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highlight w:val="none"/>
        </w:rPr>
      </w:pPr>
    </w:p>
    <w:p>
      <w:pPr>
        <w:adjustRightInd/>
        <w:spacing w:line="360" w:lineRule="auto"/>
        <w:jc w:val="center"/>
        <w:rPr>
          <w:rFonts w:ascii="宋体" w:hAnsi="宋体" w:cs="宋体"/>
          <w:b/>
          <w:sz w:val="48"/>
          <w:szCs w:val="48"/>
          <w:highlight w:val="none"/>
        </w:rPr>
      </w:pPr>
    </w:p>
    <w:p>
      <w:pPr>
        <w:adjustRightInd/>
        <w:spacing w:line="360" w:lineRule="auto"/>
        <w:jc w:val="center"/>
        <w:rPr>
          <w:rFonts w:hint="eastAsia" w:ascii="宋体" w:hAnsi="宋体" w:cs="宋体"/>
          <w:sz w:val="48"/>
          <w:szCs w:val="48"/>
          <w:highlight w:val="none"/>
        </w:rPr>
      </w:pPr>
      <w:r>
        <w:rPr>
          <w:rFonts w:hint="eastAsia" w:ascii="宋体" w:hAnsi="宋体" w:cs="宋体"/>
          <w:sz w:val="48"/>
          <w:szCs w:val="48"/>
          <w:highlight w:val="none"/>
        </w:rPr>
        <w:t>中国美术学院国际设计博物馆室内吊顶提升工程项目</w:t>
      </w:r>
    </w:p>
    <w:p>
      <w:pPr>
        <w:adjustRightInd/>
        <w:spacing w:line="360" w:lineRule="auto"/>
        <w:jc w:val="center"/>
        <w:rPr>
          <w:rFonts w:hint="eastAsia" w:ascii="宋体" w:hAnsi="宋体" w:cs="宋体"/>
          <w:sz w:val="48"/>
          <w:szCs w:val="48"/>
          <w:highlight w:val="none"/>
        </w:rPr>
      </w:pPr>
    </w:p>
    <w:p>
      <w:pPr>
        <w:adjustRightInd/>
        <w:spacing w:line="360" w:lineRule="auto"/>
        <w:jc w:val="center"/>
        <w:outlineLvl w:val="0"/>
        <w:rPr>
          <w:rFonts w:ascii="宋体" w:hAnsi="宋体" w:cs="宋体"/>
          <w:sz w:val="48"/>
          <w:szCs w:val="48"/>
          <w:highlight w:val="none"/>
        </w:rPr>
      </w:pPr>
      <w:bookmarkStart w:id="0" w:name="_Toc2869"/>
      <w:r>
        <w:rPr>
          <w:rFonts w:hint="eastAsia" w:ascii="宋体" w:hAnsi="宋体" w:cs="宋体"/>
          <w:sz w:val="48"/>
          <w:szCs w:val="48"/>
          <w:highlight w:val="none"/>
        </w:rPr>
        <w:t>竞争性磋商文件</w:t>
      </w:r>
      <w:bookmarkEnd w:id="0"/>
    </w:p>
    <w:p>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（电子交易）</w:t>
      </w:r>
    </w:p>
    <w:p>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编号:ZGMY-LD-2024001</w:t>
      </w:r>
    </w:p>
    <w:p>
      <w:pPr>
        <w:adjustRightInd/>
        <w:spacing w:line="360" w:lineRule="auto"/>
        <w:rPr>
          <w:rFonts w:ascii="宋体" w:hAnsi="宋体" w:cs="宋体"/>
          <w:sz w:val="28"/>
          <w:szCs w:val="20"/>
          <w:highlight w:val="none"/>
        </w:rPr>
      </w:pPr>
    </w:p>
    <w:p>
      <w:pPr>
        <w:spacing w:line="360" w:lineRule="auto"/>
        <w:jc w:val="center"/>
        <w:rPr>
          <w:rFonts w:ascii="宋体" w:hAnsi="宋体" w:cs="宋体"/>
          <w:sz w:val="24"/>
          <w:highlight w:val="none"/>
        </w:rPr>
      </w:pPr>
    </w:p>
    <w:p>
      <w:pPr>
        <w:pStyle w:val="61"/>
        <w:rPr>
          <w:highlight w:val="none"/>
        </w:rPr>
      </w:pPr>
    </w:p>
    <w:p>
      <w:pPr>
        <w:spacing w:line="360" w:lineRule="auto"/>
        <w:rPr>
          <w:rFonts w:ascii="宋体" w:hAnsi="宋体" w:cs="宋体"/>
          <w:sz w:val="32"/>
          <w:szCs w:val="32"/>
          <w:highlight w:val="none"/>
        </w:rPr>
      </w:pPr>
    </w:p>
    <w:p>
      <w:pPr>
        <w:pStyle w:val="61"/>
        <w:rPr>
          <w:highlight w:val="none"/>
        </w:rPr>
      </w:pPr>
    </w:p>
    <w:p>
      <w:pPr>
        <w:spacing w:line="360" w:lineRule="auto"/>
        <w:ind w:left="0" w:leftChars="0" w:firstLine="1264" w:firstLineChars="414"/>
        <w:jc w:val="both"/>
        <w:outlineLvl w:val="9"/>
        <w:rPr>
          <w:rFonts w:hint="eastAsia" w:ascii="宋体" w:hAnsi="宋体" w:cs="宋体"/>
          <w:bCs/>
          <w:sz w:val="32"/>
          <w:szCs w:val="32"/>
          <w:highlight w:val="none"/>
        </w:rPr>
      </w:pPr>
      <w:bookmarkStart w:id="1" w:name="_Toc27639"/>
      <w:r>
        <w:rPr>
          <w:rFonts w:hAnsi="宋体"/>
          <w:b/>
          <w:bCs/>
          <w:w w:val="95"/>
          <w:sz w:val="32"/>
          <w:szCs w:val="32"/>
          <w:highlight w:val="none"/>
        </w:rPr>
        <w:t>采购单位：</w:t>
      </w:r>
      <w:r>
        <w:rPr>
          <w:rFonts w:hint="eastAsia" w:ascii="宋体" w:hAnsi="宋体" w:cs="宋体"/>
          <w:bCs/>
          <w:sz w:val="32"/>
          <w:szCs w:val="32"/>
          <w:highlight w:val="none"/>
        </w:rPr>
        <w:t>中国美术学院</w:t>
      </w:r>
      <w:bookmarkEnd w:id="1"/>
    </w:p>
    <w:p>
      <w:pPr>
        <w:pStyle w:val="61"/>
        <w:rPr>
          <w:rFonts w:hint="eastAsia"/>
          <w:highlight w:val="none"/>
        </w:rPr>
      </w:pPr>
    </w:p>
    <w:p>
      <w:pPr>
        <w:snapToGrid w:val="0"/>
        <w:spacing w:line="360" w:lineRule="auto"/>
        <w:ind w:left="0" w:leftChars="0" w:firstLine="1264" w:firstLineChars="414"/>
        <w:jc w:val="both"/>
        <w:outlineLvl w:val="9"/>
        <w:rPr>
          <w:rFonts w:hint="eastAsia" w:ascii="宋体" w:hAnsi="宋体" w:cs="宋体"/>
          <w:bCs/>
          <w:sz w:val="32"/>
          <w:szCs w:val="32"/>
          <w:highlight w:val="none"/>
        </w:rPr>
      </w:pPr>
      <w:bookmarkStart w:id="2" w:name="_Toc1230"/>
      <w:r>
        <w:rPr>
          <w:rFonts w:hAnsi="宋体"/>
          <w:b/>
          <w:bCs/>
          <w:w w:val="95"/>
          <w:sz w:val="32"/>
          <w:szCs w:val="32"/>
          <w:highlight w:val="none"/>
        </w:rPr>
        <w:t>代理机构：</w:t>
      </w:r>
      <w:r>
        <w:rPr>
          <w:rFonts w:hint="eastAsia" w:ascii="宋体" w:hAnsi="宋体" w:cs="宋体"/>
          <w:bCs/>
          <w:sz w:val="32"/>
          <w:szCs w:val="32"/>
          <w:highlight w:val="none"/>
        </w:rPr>
        <w:t>浙江力德工程顾问有限公司</w:t>
      </w:r>
      <w:bookmarkEnd w:id="2"/>
    </w:p>
    <w:p>
      <w:pPr>
        <w:snapToGrid w:val="0"/>
        <w:spacing w:line="360" w:lineRule="auto"/>
        <w:jc w:val="center"/>
        <w:rPr>
          <w:rFonts w:hint="eastAsia" w:ascii="宋体" w:hAnsi="宋体" w:cs="宋体"/>
          <w:bCs/>
          <w:sz w:val="32"/>
          <w:szCs w:val="32"/>
          <w:highlight w:val="none"/>
        </w:rPr>
      </w:pPr>
    </w:p>
    <w:p>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eastAsia="zh-CN"/>
        </w:rPr>
        <w:t>四年三</w:t>
      </w:r>
      <w:r>
        <w:rPr>
          <w:rFonts w:hint="eastAsia" w:ascii="宋体" w:hAnsi="宋体" w:cs="宋体"/>
          <w:bCs/>
          <w:sz w:val="32"/>
          <w:szCs w:val="32"/>
          <w:highlight w:val="none"/>
        </w:rPr>
        <w:t>月</w:t>
      </w:r>
      <w:r>
        <w:rPr>
          <w:rFonts w:hint="eastAsia" w:ascii="宋体" w:hAnsi="宋体" w:cs="宋体"/>
          <w:bCs/>
          <w:sz w:val="32"/>
          <w:szCs w:val="32"/>
          <w:highlight w:val="none"/>
          <w:lang w:eastAsia="zh-CN"/>
        </w:rPr>
        <w:t>二十一</w:t>
      </w:r>
      <w:r>
        <w:rPr>
          <w:rFonts w:hint="eastAsia" w:ascii="宋体" w:hAnsi="宋体" w:cs="宋体"/>
          <w:bCs/>
          <w:sz w:val="32"/>
          <w:szCs w:val="32"/>
          <w:highlight w:val="none"/>
        </w:rPr>
        <w:t>日</w:t>
      </w:r>
    </w:p>
    <w:p>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3" w:name="_Hlt67893495"/>
      <w:bookmarkEnd w:id="3"/>
    </w:p>
    <w:p>
      <w:pPr>
        <w:spacing w:before="0" w:beforeLines="0" w:after="0" w:afterLines="0" w:line="480" w:lineRule="auto"/>
        <w:ind w:left="0" w:leftChars="0" w:right="0" w:rightChars="0" w:firstLine="0" w:firstLineChars="0"/>
        <w:jc w:val="center"/>
        <w:rPr>
          <w:rFonts w:hint="eastAsia" w:ascii="宋体" w:hAnsi="宋体" w:eastAsia="宋体" w:cs="宋体"/>
          <w:sz w:val="28"/>
          <w:szCs w:val="28"/>
          <w:highlight w:val="none"/>
        </w:rPr>
      </w:pPr>
    </w:p>
    <w:p>
      <w:pPr>
        <w:spacing w:before="0" w:beforeLines="0" w:after="0" w:afterLines="0" w:line="480" w:lineRule="auto"/>
        <w:ind w:left="0" w:leftChars="0" w:right="0" w:rightChars="0" w:firstLine="0" w:firstLineChars="0"/>
        <w:jc w:val="center"/>
        <w:rPr>
          <w:rFonts w:hint="eastAsia" w:ascii="宋体" w:hAnsi="宋体" w:eastAsia="宋体" w:cs="宋体"/>
          <w:sz w:val="28"/>
          <w:szCs w:val="28"/>
          <w:highlight w:val="none"/>
        </w:rPr>
      </w:pPr>
    </w:p>
    <w:p>
      <w:pPr>
        <w:spacing w:beforeLines="0" w:afterLines="0"/>
        <w:jc w:val="center"/>
        <w:rPr>
          <w:rFonts w:hint="eastAsia" w:ascii="宋体" w:hAnsi="宋体" w:eastAsia="宋体" w:cs="宋体"/>
          <w:b/>
          <w:sz w:val="28"/>
          <w:szCs w:val="28"/>
          <w:highlight w:val="none"/>
        </w:rPr>
      </w:pPr>
      <w:r>
        <w:rPr>
          <w:rFonts w:hint="eastAsia" w:ascii="宋体" w:hAnsi="宋体" w:eastAsia="宋体" w:cs="宋体"/>
          <w:sz w:val="52"/>
          <w:szCs w:val="52"/>
          <w:highlight w:val="none"/>
        </w:rPr>
        <w:t>目录</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"1-2" \h \u </w:instrText>
      </w:r>
      <w:r>
        <w:rPr>
          <w:rFonts w:hint="eastAsia" w:ascii="宋体" w:hAnsi="宋体" w:eastAsia="宋体" w:cs="宋体"/>
          <w:sz w:val="28"/>
          <w:szCs w:val="28"/>
          <w:highlight w:val="none"/>
        </w:rPr>
        <w:fldChar w:fldCharType="separate"/>
      </w:r>
    </w:p>
    <w:p>
      <w:pPr>
        <w:pStyle w:val="966"/>
        <w:tabs>
          <w:tab w:val="right" w:leader="dot" w:pos="9746"/>
        </w:tabs>
        <w:spacing w:line="480" w:lineRule="auto"/>
        <w:rPr>
          <w:rFonts w:hint="eastAsia" w:ascii="宋体" w:hAnsi="宋体" w:eastAsia="宋体" w:cs="宋体"/>
          <w:b/>
          <w:sz w:val="28"/>
          <w:szCs w:val="28"/>
          <w:highlight w:val="none"/>
        </w:rPr>
      </w:pPr>
    </w:p>
    <w:p>
      <w:pPr>
        <w:pStyle w:val="966"/>
        <w:tabs>
          <w:tab w:val="right" w:leader="dot" w:pos="9746"/>
        </w:tabs>
        <w:spacing w:line="48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fldChar w:fldCharType="begin"/>
      </w:r>
      <w:r>
        <w:rPr>
          <w:rFonts w:hint="eastAsia" w:ascii="宋体" w:hAnsi="宋体" w:eastAsia="宋体" w:cs="宋体"/>
          <w:b/>
          <w:sz w:val="28"/>
          <w:szCs w:val="28"/>
          <w:highlight w:val="none"/>
        </w:rPr>
        <w:instrText xml:space="preserve"> HYPERLINK \l _Toc19730 </w:instrText>
      </w:r>
      <w:r>
        <w:rPr>
          <w:rFonts w:hint="eastAsia" w:ascii="宋体" w:hAnsi="宋体" w:eastAsia="宋体" w:cs="宋体"/>
          <w:b/>
          <w:sz w:val="28"/>
          <w:szCs w:val="28"/>
          <w:highlight w:val="none"/>
        </w:rPr>
        <w:fldChar w:fldCharType="separate"/>
      </w:r>
      <w:r>
        <w:rPr>
          <w:rFonts w:hint="eastAsia" w:ascii="宋体" w:hAnsi="宋体" w:eastAsia="宋体" w:cs="宋体"/>
          <w:b/>
          <w:sz w:val="28"/>
          <w:szCs w:val="28"/>
          <w:highlight w:val="none"/>
        </w:rPr>
        <w:t>第一部分 竞争性磋商公告</w:t>
      </w:r>
      <w:r>
        <w:rPr>
          <w:rFonts w:hint="eastAsia" w:ascii="宋体" w:hAnsi="宋体" w:eastAsia="宋体" w:cs="宋体"/>
          <w:b/>
          <w:sz w:val="28"/>
          <w:szCs w:val="28"/>
          <w:highlight w:val="none"/>
        </w:rPr>
        <w:tab/>
      </w:r>
      <w:r>
        <w:rPr>
          <w:rFonts w:hint="eastAsia" w:ascii="宋体" w:hAnsi="宋体" w:eastAsia="宋体" w:cs="宋体"/>
          <w:b/>
          <w:sz w:val="28"/>
          <w:szCs w:val="28"/>
          <w:highlight w:val="none"/>
          <w:lang w:val="en-US" w:eastAsia="zh-CN"/>
        </w:rPr>
        <w:t>4</w:t>
      </w:r>
      <w:r>
        <w:rPr>
          <w:rFonts w:hint="eastAsia" w:ascii="宋体" w:hAnsi="宋体" w:eastAsia="宋体" w:cs="宋体"/>
          <w:b/>
          <w:sz w:val="28"/>
          <w:szCs w:val="28"/>
          <w:highlight w:val="none"/>
        </w:rPr>
        <w:fldChar w:fldCharType="end"/>
      </w:r>
    </w:p>
    <w:p>
      <w:pPr>
        <w:pStyle w:val="966"/>
        <w:tabs>
          <w:tab w:val="right" w:leader="dot" w:pos="9746"/>
        </w:tabs>
        <w:spacing w:line="48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fldChar w:fldCharType="begin"/>
      </w:r>
      <w:r>
        <w:rPr>
          <w:rFonts w:hint="eastAsia" w:ascii="宋体" w:hAnsi="宋体" w:eastAsia="宋体" w:cs="宋体"/>
          <w:b/>
          <w:sz w:val="28"/>
          <w:szCs w:val="28"/>
          <w:highlight w:val="none"/>
        </w:rPr>
        <w:instrText xml:space="preserve"> HYPERLINK \l _Toc29003 </w:instrText>
      </w:r>
      <w:r>
        <w:rPr>
          <w:rFonts w:hint="eastAsia" w:ascii="宋体" w:hAnsi="宋体" w:eastAsia="宋体" w:cs="宋体"/>
          <w:b/>
          <w:sz w:val="28"/>
          <w:szCs w:val="28"/>
          <w:highlight w:val="none"/>
        </w:rPr>
        <w:fldChar w:fldCharType="separate"/>
      </w:r>
      <w:r>
        <w:rPr>
          <w:rFonts w:hint="eastAsia" w:ascii="宋体" w:hAnsi="宋体" w:eastAsia="宋体" w:cs="宋体"/>
          <w:b/>
          <w:sz w:val="28"/>
          <w:szCs w:val="28"/>
          <w:highlight w:val="none"/>
          <w:lang w:val="en-US" w:eastAsia="zh-CN"/>
        </w:rPr>
        <w:t>第二部分 供应商须知</w:t>
      </w:r>
      <w:r>
        <w:rPr>
          <w:rFonts w:hint="eastAsia" w:ascii="宋体" w:hAnsi="宋体" w:eastAsia="宋体" w:cs="宋体"/>
          <w:b/>
          <w:sz w:val="28"/>
          <w:szCs w:val="28"/>
          <w:highlight w:val="none"/>
        </w:rPr>
        <w:tab/>
      </w:r>
      <w:r>
        <w:rPr>
          <w:rFonts w:hint="eastAsia" w:ascii="宋体" w:hAnsi="宋体" w:eastAsia="宋体" w:cs="宋体"/>
          <w:b/>
          <w:sz w:val="28"/>
          <w:szCs w:val="28"/>
          <w:highlight w:val="none"/>
          <w:lang w:val="en-US" w:eastAsia="zh-CN"/>
        </w:rPr>
        <w:t>9</w:t>
      </w:r>
      <w:r>
        <w:rPr>
          <w:rFonts w:hint="eastAsia" w:ascii="宋体" w:hAnsi="宋体" w:eastAsia="宋体" w:cs="宋体"/>
          <w:b/>
          <w:sz w:val="28"/>
          <w:szCs w:val="28"/>
          <w:highlight w:val="none"/>
        </w:rPr>
        <w:fldChar w:fldCharType="end"/>
      </w:r>
    </w:p>
    <w:p>
      <w:pPr>
        <w:pStyle w:val="966"/>
        <w:tabs>
          <w:tab w:val="right" w:leader="dot" w:pos="9746"/>
        </w:tabs>
        <w:spacing w:line="48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fldChar w:fldCharType="begin"/>
      </w:r>
      <w:r>
        <w:rPr>
          <w:rFonts w:hint="eastAsia" w:ascii="宋体" w:hAnsi="宋体" w:eastAsia="宋体" w:cs="宋体"/>
          <w:b/>
          <w:sz w:val="28"/>
          <w:szCs w:val="28"/>
          <w:highlight w:val="none"/>
        </w:rPr>
        <w:instrText xml:space="preserve"> HYPERLINK \l _Toc12710 </w:instrText>
      </w:r>
      <w:r>
        <w:rPr>
          <w:rFonts w:hint="eastAsia" w:ascii="宋体" w:hAnsi="宋体" w:eastAsia="宋体" w:cs="宋体"/>
          <w:b/>
          <w:sz w:val="28"/>
          <w:szCs w:val="28"/>
          <w:highlight w:val="none"/>
        </w:rPr>
        <w:fldChar w:fldCharType="separate"/>
      </w:r>
      <w:r>
        <w:rPr>
          <w:rFonts w:hint="eastAsia" w:ascii="宋体" w:hAnsi="宋体" w:eastAsia="宋体" w:cs="宋体"/>
          <w:b/>
          <w:sz w:val="28"/>
          <w:szCs w:val="28"/>
          <w:highlight w:val="none"/>
          <w:lang w:val="en-US" w:eastAsia="zh-CN"/>
        </w:rPr>
        <w:t>第三部分 采购需求</w:t>
      </w:r>
      <w:r>
        <w:rPr>
          <w:rFonts w:hint="eastAsia" w:ascii="宋体" w:hAnsi="宋体" w:eastAsia="宋体" w:cs="宋体"/>
          <w:b/>
          <w:sz w:val="28"/>
          <w:szCs w:val="28"/>
          <w:highlight w:val="none"/>
        </w:rPr>
        <w:tab/>
      </w:r>
      <w:r>
        <w:rPr>
          <w:rFonts w:hint="eastAsia" w:ascii="宋体" w:hAnsi="宋体" w:eastAsia="宋体" w:cs="宋体"/>
          <w:b/>
          <w:sz w:val="28"/>
          <w:szCs w:val="28"/>
          <w:highlight w:val="none"/>
        </w:rPr>
        <w:fldChar w:fldCharType="begin"/>
      </w:r>
      <w:r>
        <w:rPr>
          <w:rFonts w:hint="eastAsia" w:ascii="宋体" w:hAnsi="宋体" w:eastAsia="宋体" w:cs="宋体"/>
          <w:b/>
          <w:sz w:val="28"/>
          <w:szCs w:val="28"/>
          <w:highlight w:val="none"/>
        </w:rPr>
        <w:instrText xml:space="preserve"> PAGEREF _Toc12710 \h </w:instrText>
      </w:r>
      <w:r>
        <w:rPr>
          <w:rFonts w:hint="eastAsia" w:ascii="宋体" w:hAnsi="宋体" w:eastAsia="宋体" w:cs="宋体"/>
          <w:b/>
          <w:sz w:val="28"/>
          <w:szCs w:val="28"/>
          <w:highlight w:val="none"/>
        </w:rPr>
        <w:fldChar w:fldCharType="separate"/>
      </w:r>
      <w:r>
        <w:rPr>
          <w:rFonts w:hint="eastAsia" w:ascii="宋体" w:hAnsi="宋体" w:eastAsia="宋体" w:cs="宋体"/>
          <w:b/>
          <w:sz w:val="28"/>
          <w:szCs w:val="28"/>
          <w:highlight w:val="none"/>
        </w:rPr>
        <w:t>2</w:t>
      </w:r>
      <w:r>
        <w:rPr>
          <w:rFonts w:hint="eastAsia" w:ascii="宋体" w:hAnsi="宋体" w:eastAsia="宋体" w:cs="宋体"/>
          <w:b/>
          <w:sz w:val="28"/>
          <w:szCs w:val="28"/>
          <w:highlight w:val="none"/>
          <w:lang w:val="en-US" w:eastAsia="zh-CN"/>
        </w:rPr>
        <w:t>4</w:t>
      </w:r>
      <w:r>
        <w:rPr>
          <w:rFonts w:hint="eastAsia" w:ascii="宋体" w:hAnsi="宋体" w:eastAsia="宋体" w:cs="宋体"/>
          <w:b/>
          <w:sz w:val="28"/>
          <w:szCs w:val="28"/>
          <w:highlight w:val="none"/>
        </w:rPr>
        <w:fldChar w:fldCharType="end"/>
      </w:r>
      <w:r>
        <w:rPr>
          <w:rFonts w:hint="eastAsia" w:ascii="宋体" w:hAnsi="宋体" w:eastAsia="宋体" w:cs="宋体"/>
          <w:b/>
          <w:sz w:val="28"/>
          <w:szCs w:val="28"/>
          <w:highlight w:val="none"/>
        </w:rPr>
        <w:fldChar w:fldCharType="end"/>
      </w:r>
    </w:p>
    <w:p>
      <w:pPr>
        <w:pStyle w:val="966"/>
        <w:tabs>
          <w:tab w:val="right" w:leader="dot" w:pos="9746"/>
        </w:tabs>
        <w:spacing w:line="48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fldChar w:fldCharType="begin"/>
      </w:r>
      <w:r>
        <w:rPr>
          <w:rFonts w:hint="eastAsia" w:ascii="宋体" w:hAnsi="宋体" w:eastAsia="宋体" w:cs="宋体"/>
          <w:b/>
          <w:sz w:val="28"/>
          <w:szCs w:val="28"/>
          <w:highlight w:val="none"/>
        </w:rPr>
        <w:instrText xml:space="preserve"> HYPERLINK \l _Toc19054 </w:instrText>
      </w:r>
      <w:r>
        <w:rPr>
          <w:rFonts w:hint="eastAsia" w:ascii="宋体" w:hAnsi="宋体" w:eastAsia="宋体" w:cs="宋体"/>
          <w:b/>
          <w:sz w:val="28"/>
          <w:szCs w:val="28"/>
          <w:highlight w:val="none"/>
        </w:rPr>
        <w:fldChar w:fldCharType="separate"/>
      </w:r>
      <w:r>
        <w:rPr>
          <w:rFonts w:hint="eastAsia" w:ascii="宋体" w:hAnsi="宋体" w:eastAsia="宋体" w:cs="宋体"/>
          <w:b/>
          <w:sz w:val="28"/>
          <w:szCs w:val="28"/>
          <w:highlight w:val="none"/>
        </w:rPr>
        <w:t>第四部分 评审办法</w:t>
      </w:r>
      <w:r>
        <w:rPr>
          <w:rFonts w:hint="eastAsia" w:ascii="宋体" w:hAnsi="宋体" w:eastAsia="宋体" w:cs="宋体"/>
          <w:b/>
          <w:sz w:val="28"/>
          <w:szCs w:val="28"/>
          <w:highlight w:val="none"/>
        </w:rPr>
        <w:tab/>
      </w:r>
      <w:r>
        <w:rPr>
          <w:rFonts w:hint="eastAsia" w:ascii="宋体" w:hAnsi="宋体" w:eastAsia="宋体" w:cs="宋体"/>
          <w:b/>
          <w:sz w:val="28"/>
          <w:szCs w:val="28"/>
          <w:highlight w:val="none"/>
        </w:rPr>
        <w:fldChar w:fldCharType="begin"/>
      </w:r>
      <w:r>
        <w:rPr>
          <w:rFonts w:hint="eastAsia" w:ascii="宋体" w:hAnsi="宋体" w:eastAsia="宋体" w:cs="宋体"/>
          <w:b/>
          <w:sz w:val="28"/>
          <w:szCs w:val="28"/>
          <w:highlight w:val="none"/>
        </w:rPr>
        <w:instrText xml:space="preserve"> PAGEREF _Toc19054 \h </w:instrText>
      </w:r>
      <w:r>
        <w:rPr>
          <w:rFonts w:hint="eastAsia" w:ascii="宋体" w:hAnsi="宋体" w:eastAsia="宋体" w:cs="宋体"/>
          <w:b/>
          <w:sz w:val="28"/>
          <w:szCs w:val="28"/>
          <w:highlight w:val="none"/>
        </w:rPr>
        <w:fldChar w:fldCharType="separate"/>
      </w:r>
      <w:r>
        <w:rPr>
          <w:rFonts w:hint="eastAsia" w:ascii="宋体" w:hAnsi="宋体" w:eastAsia="宋体" w:cs="宋体"/>
          <w:b/>
          <w:sz w:val="28"/>
          <w:szCs w:val="28"/>
          <w:highlight w:val="none"/>
        </w:rPr>
        <w:t>3</w:t>
      </w:r>
      <w:r>
        <w:rPr>
          <w:rFonts w:hint="eastAsia" w:ascii="宋体" w:hAnsi="宋体" w:eastAsia="宋体" w:cs="宋体"/>
          <w:b/>
          <w:sz w:val="28"/>
          <w:szCs w:val="28"/>
          <w:highlight w:val="none"/>
          <w:lang w:val="en-US" w:eastAsia="zh-CN"/>
        </w:rPr>
        <w:t>0</w:t>
      </w:r>
      <w:r>
        <w:rPr>
          <w:rFonts w:hint="eastAsia" w:ascii="宋体" w:hAnsi="宋体" w:eastAsia="宋体" w:cs="宋体"/>
          <w:b/>
          <w:sz w:val="28"/>
          <w:szCs w:val="28"/>
          <w:highlight w:val="none"/>
        </w:rPr>
        <w:fldChar w:fldCharType="end"/>
      </w:r>
      <w:r>
        <w:rPr>
          <w:rFonts w:hint="eastAsia" w:ascii="宋体" w:hAnsi="宋体" w:eastAsia="宋体" w:cs="宋体"/>
          <w:b/>
          <w:sz w:val="28"/>
          <w:szCs w:val="28"/>
          <w:highlight w:val="none"/>
        </w:rPr>
        <w:fldChar w:fldCharType="end"/>
      </w:r>
    </w:p>
    <w:p>
      <w:pPr>
        <w:pStyle w:val="966"/>
        <w:tabs>
          <w:tab w:val="right" w:leader="dot" w:pos="9746"/>
        </w:tabs>
        <w:spacing w:line="480" w:lineRule="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rPr>
        <w:fldChar w:fldCharType="begin"/>
      </w:r>
      <w:r>
        <w:rPr>
          <w:rFonts w:hint="eastAsia" w:ascii="宋体" w:hAnsi="宋体" w:eastAsia="宋体" w:cs="宋体"/>
          <w:b/>
          <w:sz w:val="28"/>
          <w:szCs w:val="28"/>
          <w:highlight w:val="none"/>
        </w:rPr>
        <w:instrText xml:space="preserve"> HYPERLINK \l _Toc11282 </w:instrText>
      </w:r>
      <w:r>
        <w:rPr>
          <w:rFonts w:hint="eastAsia" w:ascii="宋体" w:hAnsi="宋体" w:eastAsia="宋体" w:cs="宋体"/>
          <w:b/>
          <w:sz w:val="28"/>
          <w:szCs w:val="28"/>
          <w:highlight w:val="none"/>
        </w:rPr>
        <w:fldChar w:fldCharType="separate"/>
      </w:r>
      <w:r>
        <w:rPr>
          <w:rFonts w:hint="eastAsia" w:ascii="宋体" w:hAnsi="宋体" w:eastAsia="宋体" w:cs="宋体"/>
          <w:b/>
          <w:sz w:val="28"/>
          <w:szCs w:val="28"/>
          <w:highlight w:val="none"/>
        </w:rPr>
        <w:t>第五部分 拟签订的合同文本</w:t>
      </w:r>
      <w:r>
        <w:rPr>
          <w:rFonts w:hint="eastAsia" w:ascii="宋体" w:hAnsi="宋体" w:eastAsia="宋体" w:cs="宋体"/>
          <w:b/>
          <w:sz w:val="28"/>
          <w:szCs w:val="28"/>
          <w:highlight w:val="none"/>
        </w:rPr>
        <w:tab/>
      </w:r>
      <w:r>
        <w:rPr>
          <w:rFonts w:hint="eastAsia" w:ascii="宋体" w:hAnsi="宋体" w:eastAsia="宋体" w:cs="宋体"/>
          <w:b/>
          <w:sz w:val="28"/>
          <w:szCs w:val="28"/>
          <w:highlight w:val="none"/>
          <w:lang w:val="en-US" w:eastAsia="zh-CN"/>
        </w:rPr>
        <w:t>3</w:t>
      </w:r>
      <w:r>
        <w:rPr>
          <w:rFonts w:hint="eastAsia" w:ascii="宋体" w:hAnsi="宋体" w:eastAsia="宋体" w:cs="宋体"/>
          <w:b/>
          <w:sz w:val="28"/>
          <w:szCs w:val="28"/>
          <w:highlight w:val="none"/>
        </w:rPr>
        <w:fldChar w:fldCharType="end"/>
      </w:r>
      <w:r>
        <w:rPr>
          <w:rFonts w:hint="eastAsia" w:ascii="宋体" w:hAnsi="宋体" w:eastAsia="宋体" w:cs="宋体"/>
          <w:b/>
          <w:sz w:val="28"/>
          <w:szCs w:val="28"/>
          <w:highlight w:val="none"/>
          <w:lang w:val="en-US" w:eastAsia="zh-CN"/>
        </w:rPr>
        <w:t>7</w:t>
      </w:r>
    </w:p>
    <w:p>
      <w:pPr>
        <w:pStyle w:val="966"/>
        <w:tabs>
          <w:tab w:val="right" w:leader="dot" w:pos="9746"/>
        </w:tabs>
        <w:spacing w:line="480" w:lineRule="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rPr>
        <w:fldChar w:fldCharType="begin"/>
      </w:r>
      <w:r>
        <w:rPr>
          <w:rFonts w:hint="eastAsia" w:ascii="宋体" w:hAnsi="宋体" w:eastAsia="宋体" w:cs="宋体"/>
          <w:b/>
          <w:sz w:val="28"/>
          <w:szCs w:val="28"/>
          <w:highlight w:val="none"/>
        </w:rPr>
        <w:instrText xml:space="preserve"> HYPERLINK \l _Toc28485 </w:instrText>
      </w:r>
      <w:r>
        <w:rPr>
          <w:rFonts w:hint="eastAsia" w:ascii="宋体" w:hAnsi="宋体" w:eastAsia="宋体" w:cs="宋体"/>
          <w:b/>
          <w:sz w:val="28"/>
          <w:szCs w:val="28"/>
          <w:highlight w:val="none"/>
        </w:rPr>
        <w:fldChar w:fldCharType="separate"/>
      </w:r>
      <w:r>
        <w:rPr>
          <w:rFonts w:hint="eastAsia" w:ascii="宋体" w:hAnsi="宋体" w:eastAsia="宋体" w:cs="宋体"/>
          <w:b/>
          <w:sz w:val="28"/>
          <w:szCs w:val="28"/>
          <w:highlight w:val="none"/>
        </w:rPr>
        <w:t>第六部分 应提交的有关格式范例</w:t>
      </w:r>
      <w:r>
        <w:rPr>
          <w:rFonts w:hint="eastAsia" w:ascii="宋体" w:hAnsi="宋体" w:eastAsia="宋体" w:cs="宋体"/>
          <w:b/>
          <w:sz w:val="28"/>
          <w:szCs w:val="28"/>
          <w:highlight w:val="none"/>
        </w:rPr>
        <w:tab/>
      </w:r>
      <w:r>
        <w:rPr>
          <w:rFonts w:hint="eastAsia" w:ascii="宋体" w:hAnsi="宋体" w:eastAsia="宋体" w:cs="宋体"/>
          <w:b/>
          <w:sz w:val="28"/>
          <w:szCs w:val="28"/>
          <w:highlight w:val="none"/>
          <w:lang w:val="en-US" w:eastAsia="zh-CN"/>
        </w:rPr>
        <w:t>7</w:t>
      </w:r>
      <w:r>
        <w:rPr>
          <w:rFonts w:hint="eastAsia" w:ascii="宋体" w:hAnsi="宋体" w:eastAsia="宋体" w:cs="宋体"/>
          <w:b/>
          <w:sz w:val="28"/>
          <w:szCs w:val="28"/>
          <w:highlight w:val="none"/>
        </w:rPr>
        <w:fldChar w:fldCharType="end"/>
      </w:r>
      <w:r>
        <w:rPr>
          <w:rFonts w:hint="eastAsia" w:ascii="宋体" w:hAnsi="宋体" w:eastAsia="宋体" w:cs="宋体"/>
          <w:b/>
          <w:sz w:val="28"/>
          <w:szCs w:val="28"/>
          <w:highlight w:val="none"/>
          <w:lang w:val="en-US" w:eastAsia="zh-CN"/>
        </w:rPr>
        <w:t>6</w:t>
      </w:r>
    </w:p>
    <w:p>
      <w:pPr>
        <w:spacing w:line="480" w:lineRule="auto"/>
        <w:rPr>
          <w:highlight w:val="none"/>
        </w:rPr>
      </w:pPr>
      <w:r>
        <w:rPr>
          <w:rFonts w:hint="eastAsia" w:ascii="宋体" w:hAnsi="宋体" w:eastAsia="宋体" w:cs="宋体"/>
          <w:b/>
          <w:sz w:val="28"/>
          <w:szCs w:val="28"/>
          <w:highlight w:val="none"/>
        </w:rPr>
        <w:fldChar w:fldCharType="end"/>
      </w:r>
    </w:p>
    <w:p>
      <w:pPr>
        <w:spacing w:line="360" w:lineRule="auto"/>
        <w:ind w:firstLine="549" w:firstLineChars="229"/>
        <w:rPr>
          <w:rFonts w:ascii="宋体" w:hAnsi="宋体" w:cs="宋体"/>
          <w:sz w:val="24"/>
          <w:highlight w:val="none"/>
        </w:rPr>
      </w:pPr>
      <w:bookmarkStart w:id="4" w:name="_Toc91899869"/>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rPr>
          <w:rFonts w:ascii="宋体" w:hAnsi="宋体" w:cs="宋体"/>
          <w:sz w:val="24"/>
          <w:highlight w:val="none"/>
        </w:rPr>
      </w:pPr>
    </w:p>
    <w:p>
      <w:pPr>
        <w:adjustRightInd/>
        <w:spacing w:line="360" w:lineRule="auto"/>
        <w:jc w:val="center"/>
        <w:outlineLvl w:val="0"/>
        <w:rPr>
          <w:rFonts w:ascii="宋体" w:hAnsi="宋体" w:cs="宋体"/>
          <w:b/>
          <w:sz w:val="36"/>
          <w:szCs w:val="20"/>
          <w:highlight w:val="none"/>
        </w:rPr>
      </w:pPr>
      <w:bookmarkStart w:id="5" w:name="第一部分"/>
      <w:r>
        <w:rPr>
          <w:rFonts w:hint="eastAsia" w:ascii="宋体" w:hAnsi="宋体" w:cs="宋体"/>
          <w:b/>
          <w:sz w:val="36"/>
          <w:szCs w:val="36"/>
          <w:highlight w:val="none"/>
        </w:rPr>
        <w:br w:type="page"/>
      </w:r>
      <w:bookmarkEnd w:id="4"/>
      <w:bookmarkEnd w:id="5"/>
      <w:bookmarkStart w:id="6" w:name="_Hlt74729822"/>
      <w:bookmarkEnd w:id="6"/>
      <w:bookmarkStart w:id="7" w:name="_Hlt74728647"/>
      <w:bookmarkEnd w:id="7"/>
      <w:bookmarkStart w:id="8" w:name="_Hlt74707423"/>
      <w:bookmarkEnd w:id="8"/>
      <w:bookmarkStart w:id="9" w:name="_Hlt74649545"/>
      <w:bookmarkEnd w:id="9"/>
      <w:bookmarkStart w:id="10" w:name="_Toc19730"/>
      <w:bookmarkStart w:id="11" w:name="第二部分"/>
      <w:bookmarkStart w:id="12" w:name="_Toc91899870"/>
      <w:bookmarkStart w:id="13" w:name="_Toc91899871"/>
      <w:r>
        <w:rPr>
          <w:rFonts w:hint="eastAsia" w:ascii="宋体" w:hAnsi="宋体" w:cs="宋体"/>
          <w:b/>
          <w:sz w:val="36"/>
          <w:szCs w:val="20"/>
          <w:highlight w:val="none"/>
        </w:rPr>
        <w:t>第一部分 竞争性磋商公告</w:t>
      </w:r>
      <w:bookmarkEnd w:id="1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中国美术学院国际设计博物馆室内吊顶提升工程项目</w:t>
      </w:r>
      <w:r>
        <w:rPr>
          <w:rFonts w:hint="eastAsia" w:ascii="宋体" w:hAnsi="宋体" w:cs="宋体"/>
          <w:sz w:val="24"/>
          <w:highlight w:val="none"/>
        </w:rPr>
        <w:t>采购项目的潜在供应商应在政采云平台（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4</w:t>
      </w:r>
      <w:r>
        <w:rPr>
          <w:rFonts w:hint="eastAsia" w:ascii="宋体" w:hAnsi="宋体" w:cs="宋体"/>
          <w:sz w:val="24"/>
          <w:highlight w:val="none"/>
          <w:u w:val="single"/>
        </w:rPr>
        <w:t xml:space="preserve"> 月</w:t>
      </w:r>
      <w:r>
        <w:rPr>
          <w:rFonts w:hint="eastAsia" w:ascii="宋体" w:hAnsi="宋体" w:cs="宋体"/>
          <w:sz w:val="24"/>
          <w:highlight w:val="none"/>
          <w:u w:val="single"/>
          <w:lang w:val="en-US" w:eastAsia="zh-CN"/>
        </w:rPr>
        <w:t xml:space="preserve"> 1</w:t>
      </w:r>
      <w:r>
        <w:rPr>
          <w:rFonts w:hint="eastAsia" w:ascii="宋体" w:hAnsi="宋体" w:cs="宋体"/>
          <w:sz w:val="24"/>
          <w:highlight w:val="none"/>
          <w:u w:val="single"/>
        </w:rPr>
        <w:t xml:space="preserve"> 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 xml:space="preserve"> 点 </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提交（上传）响应文件。</w:t>
      </w:r>
    </w:p>
    <w:p>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pPr>
        <w:snapToGrid w:val="0"/>
        <w:spacing w:line="360" w:lineRule="auto"/>
        <w:ind w:firstLine="482" w:firstLineChars="200"/>
        <w:outlineLvl w:val="1"/>
        <w:rPr>
          <w:rFonts w:ascii="宋体" w:hAnsi="宋体" w:cs="宋体"/>
          <w:sz w:val="24"/>
          <w:highlight w:val="none"/>
        </w:rPr>
      </w:pPr>
      <w:bookmarkStart w:id="14" w:name="_Toc20918"/>
      <w:r>
        <w:rPr>
          <w:rFonts w:hint="eastAsia" w:ascii="宋体" w:hAnsi="宋体" w:cs="宋体"/>
          <w:b/>
          <w:sz w:val="24"/>
          <w:highlight w:val="none"/>
        </w:rPr>
        <w:t>项目编号：</w:t>
      </w:r>
      <w:r>
        <w:rPr>
          <w:rFonts w:hint="eastAsia" w:ascii="宋体" w:hAnsi="宋体" w:cs="宋体"/>
          <w:sz w:val="24"/>
          <w:highlight w:val="none"/>
        </w:rPr>
        <w:t>ZGMY-LD-2024001</w:t>
      </w:r>
      <w:bookmarkEnd w:id="14"/>
    </w:p>
    <w:p>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sz w:val="24"/>
          <w:highlight w:val="none"/>
        </w:rPr>
        <w:t>项</w:t>
      </w:r>
      <w:r>
        <w:rPr>
          <w:rFonts w:hint="eastAsia" w:ascii="宋体" w:hAnsi="宋体" w:cs="宋体"/>
          <w:b/>
          <w:color w:val="auto"/>
          <w:sz w:val="24"/>
          <w:highlight w:val="none"/>
        </w:rPr>
        <w:t>目名称：</w:t>
      </w:r>
      <w:r>
        <w:rPr>
          <w:rFonts w:hint="eastAsia" w:ascii="宋体" w:hAnsi="宋体" w:cs="宋体"/>
          <w:color w:val="auto"/>
          <w:sz w:val="24"/>
          <w:highlight w:val="none"/>
          <w:lang w:eastAsia="zh-CN"/>
        </w:rPr>
        <w:t>中国美术学院国际设计博物馆室内吊顶提升工程项目</w:t>
      </w:r>
    </w:p>
    <w:p>
      <w:pPr>
        <w:snapToGrid w:val="0"/>
        <w:spacing w:line="360" w:lineRule="auto"/>
        <w:ind w:firstLine="482" w:firstLineChars="200"/>
        <w:rPr>
          <w:rFonts w:hint="eastAsia" w:ascii="宋体" w:hAnsi="宋体" w:cs="宋体"/>
          <w:b w:val="0"/>
          <w:bCs/>
          <w:color w:val="auto"/>
          <w:sz w:val="24"/>
          <w:highlight w:val="none"/>
        </w:rPr>
      </w:pPr>
      <w:r>
        <w:rPr>
          <w:rFonts w:hint="eastAsia" w:ascii="宋体" w:hAnsi="宋体" w:cs="宋体"/>
          <w:b/>
          <w:color w:val="auto"/>
          <w:sz w:val="24"/>
          <w:highlight w:val="none"/>
        </w:rPr>
        <w:t>采购方式：</w:t>
      </w:r>
      <w:r>
        <w:rPr>
          <w:rFonts w:hint="eastAsia" w:ascii="宋体" w:hAnsi="宋体" w:cs="宋体"/>
          <w:b w:val="0"/>
          <w:bCs/>
          <w:color w:val="auto"/>
          <w:sz w:val="24"/>
          <w:highlight w:val="none"/>
        </w:rPr>
        <w:t>竞争性磋商</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3800000</w:t>
      </w:r>
      <w:r>
        <w:rPr>
          <w:rFonts w:hint="eastAsia" w:ascii="宋体" w:hAnsi="宋体" w:cs="宋体"/>
          <w:b w:val="0"/>
          <w:bCs/>
          <w:color w:val="auto"/>
          <w:sz w:val="24"/>
          <w:highlight w:val="none"/>
        </w:rPr>
        <w:t xml:space="preserve"> </w:t>
      </w:r>
      <w:r>
        <w:rPr>
          <w:rFonts w:hint="eastAsia" w:ascii="宋体" w:hAnsi="宋体" w:cs="宋体"/>
          <w:color w:val="auto"/>
          <w:sz w:val="24"/>
          <w:highlight w:val="none"/>
        </w:rPr>
        <w:t xml:space="preserve"> </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eastAsia="zh-CN"/>
        </w:rPr>
        <w:t>3570594</w:t>
      </w:r>
      <w:r>
        <w:rPr>
          <w:rFonts w:hint="eastAsia" w:ascii="宋体" w:hAnsi="宋体" w:cs="宋体"/>
          <w:b w:val="0"/>
          <w:bCs/>
          <w:color w:val="auto"/>
          <w:sz w:val="24"/>
          <w:highlight w:val="none"/>
        </w:rPr>
        <w:t xml:space="preserve">  </w:t>
      </w:r>
    </w:p>
    <w:p>
      <w:pPr>
        <w:pStyle w:val="15"/>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采购需求：</w:t>
      </w:r>
    </w:p>
    <w:p>
      <w:pPr>
        <w:pStyle w:val="15"/>
        <w:spacing w:line="360" w:lineRule="auto"/>
        <w:ind w:firstLine="482" w:firstLineChars="200"/>
        <w:rPr>
          <w:rFonts w:hint="eastAsia" w:hAnsi="宋体" w:cs="宋体"/>
          <w:bCs/>
          <w:snapToGrid/>
          <w:color w:val="auto"/>
          <w:kern w:val="2"/>
          <w:sz w:val="24"/>
          <w:szCs w:val="24"/>
          <w:highlight w:val="none"/>
          <w:lang w:eastAsia="zh-CN"/>
        </w:rPr>
      </w:pPr>
      <w:r>
        <w:rPr>
          <w:rFonts w:hint="eastAsia" w:hAnsi="宋体" w:cs="宋体"/>
          <w:b/>
          <w:bCs w:val="0"/>
          <w:snapToGrid/>
          <w:color w:val="auto"/>
          <w:kern w:val="2"/>
          <w:sz w:val="24"/>
          <w:szCs w:val="24"/>
          <w:highlight w:val="none"/>
          <w:lang w:eastAsia="zh-CN"/>
        </w:rPr>
        <w:t>数量：</w:t>
      </w:r>
      <w:r>
        <w:rPr>
          <w:rFonts w:hint="eastAsia" w:hAnsi="宋体" w:cs="宋体"/>
          <w:bCs/>
          <w:snapToGrid/>
          <w:color w:val="auto"/>
          <w:kern w:val="2"/>
          <w:sz w:val="24"/>
          <w:szCs w:val="24"/>
          <w:highlight w:val="none"/>
          <w:lang w:eastAsia="zh-CN"/>
        </w:rPr>
        <w:t>1</w:t>
      </w:r>
    </w:p>
    <w:p>
      <w:pPr>
        <w:pStyle w:val="15"/>
        <w:spacing w:line="360" w:lineRule="auto"/>
        <w:ind w:firstLine="482" w:firstLineChars="200"/>
        <w:rPr>
          <w:rFonts w:hint="eastAsia" w:hAnsi="宋体" w:cs="宋体"/>
          <w:bCs/>
          <w:snapToGrid/>
          <w:color w:val="auto"/>
          <w:kern w:val="2"/>
          <w:sz w:val="24"/>
          <w:szCs w:val="24"/>
          <w:highlight w:val="none"/>
          <w:lang w:eastAsia="zh-CN"/>
        </w:rPr>
      </w:pPr>
      <w:r>
        <w:rPr>
          <w:rFonts w:hint="eastAsia" w:hAnsi="宋体" w:cs="宋体"/>
          <w:b/>
          <w:bCs w:val="0"/>
          <w:snapToGrid/>
          <w:color w:val="auto"/>
          <w:kern w:val="2"/>
          <w:sz w:val="24"/>
          <w:szCs w:val="24"/>
          <w:highlight w:val="none"/>
          <w:lang w:eastAsia="zh-CN"/>
        </w:rPr>
        <w:t>预算金额（元）</w:t>
      </w:r>
      <w:r>
        <w:rPr>
          <w:rFonts w:hint="eastAsia" w:hAnsi="宋体" w:cs="宋体"/>
          <w:bCs/>
          <w:snapToGrid/>
          <w:color w:val="auto"/>
          <w:kern w:val="2"/>
          <w:sz w:val="24"/>
          <w:szCs w:val="24"/>
          <w:highlight w:val="none"/>
          <w:lang w:eastAsia="zh-CN"/>
        </w:rPr>
        <w:t xml:space="preserve">：3800000 </w:t>
      </w:r>
    </w:p>
    <w:p>
      <w:pPr>
        <w:pStyle w:val="15"/>
        <w:spacing w:line="360" w:lineRule="auto"/>
        <w:ind w:firstLine="482" w:firstLineChars="200"/>
        <w:rPr>
          <w:rFonts w:hint="eastAsia" w:hAnsi="宋体" w:cs="宋体"/>
          <w:bCs/>
          <w:snapToGrid/>
          <w:color w:val="auto"/>
          <w:kern w:val="2"/>
          <w:sz w:val="24"/>
          <w:szCs w:val="24"/>
          <w:highlight w:val="none"/>
          <w:lang w:eastAsia="zh-CN"/>
        </w:rPr>
      </w:pPr>
      <w:r>
        <w:rPr>
          <w:rFonts w:hint="eastAsia" w:hAnsi="宋体" w:cs="宋体"/>
          <w:b/>
          <w:bCs w:val="0"/>
          <w:snapToGrid/>
          <w:color w:val="auto"/>
          <w:kern w:val="2"/>
          <w:sz w:val="24"/>
          <w:szCs w:val="24"/>
          <w:highlight w:val="none"/>
          <w:lang w:eastAsia="zh-CN"/>
        </w:rPr>
        <w:t>单位</w:t>
      </w:r>
      <w:r>
        <w:rPr>
          <w:rFonts w:hint="eastAsia" w:hAnsi="宋体" w:cs="宋体"/>
          <w:bCs/>
          <w:snapToGrid/>
          <w:color w:val="auto"/>
          <w:kern w:val="2"/>
          <w:sz w:val="24"/>
          <w:szCs w:val="24"/>
          <w:highlight w:val="none"/>
          <w:lang w:eastAsia="zh-CN"/>
        </w:rPr>
        <w:t xml:space="preserve">：项 </w:t>
      </w:r>
    </w:p>
    <w:p>
      <w:pPr>
        <w:pStyle w:val="15"/>
        <w:spacing w:line="360" w:lineRule="auto"/>
        <w:ind w:firstLine="482" w:firstLineChars="200"/>
        <w:rPr>
          <w:rFonts w:hAnsi="宋体" w:cs="宋体"/>
          <w:bCs/>
          <w:snapToGrid/>
          <w:color w:val="auto"/>
          <w:kern w:val="2"/>
          <w:sz w:val="24"/>
          <w:szCs w:val="24"/>
          <w:highlight w:val="none"/>
        </w:rPr>
      </w:pPr>
      <w:r>
        <w:rPr>
          <w:rFonts w:hint="eastAsia" w:hAnsi="宋体" w:cs="宋体"/>
          <w:b/>
          <w:bCs w:val="0"/>
          <w:snapToGrid/>
          <w:color w:val="auto"/>
          <w:kern w:val="2"/>
          <w:sz w:val="24"/>
          <w:szCs w:val="24"/>
          <w:highlight w:val="none"/>
          <w:lang w:eastAsia="zh-CN"/>
        </w:rPr>
        <w:t>简要规格描述：</w:t>
      </w:r>
      <w:r>
        <w:rPr>
          <w:rFonts w:hint="eastAsia" w:hAnsi="宋体" w:cs="宋体"/>
          <w:bCs/>
          <w:snapToGrid/>
          <w:color w:val="auto"/>
          <w:kern w:val="2"/>
          <w:sz w:val="24"/>
          <w:szCs w:val="24"/>
          <w:highlight w:val="none"/>
          <w:lang w:eastAsia="zh-CN"/>
        </w:rPr>
        <w:t>中国美术学院国际设计博物馆室内吊顶提升工程项目</w:t>
      </w:r>
      <w:r>
        <w:rPr>
          <w:rFonts w:hint="eastAsia" w:hAnsi="宋体" w:cs="宋体"/>
          <w:bCs/>
          <w:snapToGrid/>
          <w:color w:val="auto"/>
          <w:kern w:val="2"/>
          <w:sz w:val="24"/>
          <w:szCs w:val="24"/>
          <w:highlight w:val="none"/>
        </w:rPr>
        <w:t>主要内容：国际设计博物馆吊顶全面的维修和提升。详见采购文件第三部分采购需求</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rPr>
        <w:t>图纸及工程量清单。</w:t>
      </w:r>
    </w:p>
    <w:p>
      <w:pPr>
        <w:pStyle w:val="128"/>
        <w:snapToGrid w:val="0"/>
        <w:spacing w:before="0"/>
        <w:ind w:firstLine="482"/>
        <w:outlineLvl w:val="2"/>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备注：</w:t>
      </w:r>
    </w:p>
    <w:p>
      <w:pPr>
        <w:pStyle w:val="128"/>
        <w:snapToGrid w:val="0"/>
        <w:spacing w:before="0"/>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eastAsia="zh-CN"/>
        </w:rPr>
        <w:t>合同签订起</w:t>
      </w:r>
      <w:r>
        <w:rPr>
          <w:rFonts w:hint="eastAsia" w:ascii="宋体" w:hAnsi="宋体" w:cs="宋体"/>
          <w:b/>
          <w:color w:val="auto"/>
          <w:highlight w:val="none"/>
          <w:lang w:val="en-US" w:eastAsia="zh-CN"/>
        </w:rPr>
        <w:t>60日历天</w:t>
      </w:r>
    </w:p>
    <w:p>
      <w:pPr>
        <w:pStyle w:val="1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pPr>
        <w:pStyle w:val="15"/>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pPr>
        <w:pStyle w:val="15"/>
        <w:spacing w:line="360" w:lineRule="auto"/>
        <w:ind w:firstLine="480" w:firstLineChars="200"/>
        <w:rPr>
          <w:rFonts w:ascii="宋体" w:hAnsi="宋体" w:cs="宋体"/>
          <w:b/>
          <w:color w:val="auto"/>
          <w:highlight w:val="none"/>
        </w:rPr>
      </w:pP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pPr>
        <w:spacing w:line="360" w:lineRule="auto"/>
        <w:outlineLvl w:val="1"/>
        <w:rPr>
          <w:rFonts w:ascii="宋体" w:hAnsi="宋体" w:cs="宋体"/>
          <w:b/>
          <w:color w:val="auto"/>
          <w:sz w:val="24"/>
          <w:highlight w:val="none"/>
        </w:rPr>
      </w:pPr>
      <w:bookmarkStart w:id="15" w:name="_Toc18644"/>
      <w:r>
        <w:rPr>
          <w:rFonts w:hint="eastAsia" w:ascii="宋体" w:hAnsi="宋体" w:cs="宋体"/>
          <w:b/>
          <w:color w:val="auto"/>
          <w:sz w:val="24"/>
          <w:highlight w:val="none"/>
        </w:rPr>
        <w:t>二、</w:t>
      </w:r>
      <w:bookmarkStart w:id="16" w:name="_Hlk101132948"/>
      <w:r>
        <w:rPr>
          <w:rFonts w:hint="eastAsia" w:ascii="宋体" w:hAnsi="宋体" w:cs="宋体"/>
          <w:b/>
          <w:color w:val="auto"/>
          <w:sz w:val="24"/>
          <w:highlight w:val="none"/>
        </w:rPr>
        <w:t>申请人的资格要求</w:t>
      </w:r>
      <w:bookmarkEnd w:id="16"/>
      <w:r>
        <w:rPr>
          <w:rFonts w:hint="eastAsia" w:ascii="宋体" w:hAnsi="宋体" w:cs="宋体"/>
          <w:b/>
          <w:color w:val="auto"/>
          <w:sz w:val="24"/>
          <w:highlight w:val="none"/>
        </w:rPr>
        <w:t>：</w:t>
      </w:r>
      <w:bookmarkEnd w:id="15"/>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pPr>
        <w:numPr>
          <w:ilvl w:val="0"/>
          <w:numId w:val="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（1）具有建筑装修装饰工程专业承包二级及以上资质；</w:t>
      </w:r>
    </w:p>
    <w:p>
      <w:pPr>
        <w:ind w:firstLine="480"/>
        <w:outlineLvl w:val="1"/>
        <w:rPr>
          <w:rFonts w:hint="eastAsia" w:ascii="宋体" w:hAnsi="宋体" w:cs="宋体"/>
          <w:color w:val="auto"/>
          <w:sz w:val="24"/>
          <w:highlight w:val="none"/>
        </w:rPr>
      </w:pPr>
      <w:bookmarkStart w:id="17" w:name="_Toc22476"/>
      <w:r>
        <w:rPr>
          <w:rFonts w:hint="eastAsia" w:ascii="宋体" w:hAnsi="宋体" w:cs="宋体"/>
          <w:color w:val="auto"/>
          <w:sz w:val="24"/>
          <w:highlight w:val="none"/>
        </w:rPr>
        <w:t>（2）具有有效的安全生产许可证；</w:t>
      </w:r>
      <w:bookmarkEnd w:id="17"/>
    </w:p>
    <w:p>
      <w:pPr>
        <w:ind w:firstLine="480"/>
        <w:outlineLvl w:val="1"/>
        <w:rPr>
          <w:rFonts w:hint="eastAsia" w:ascii="宋体" w:hAnsi="宋体" w:eastAsia="宋体" w:cs="宋体"/>
          <w:color w:val="auto"/>
          <w:sz w:val="24"/>
          <w:highlight w:val="none"/>
          <w:lang w:val="en-US" w:eastAsia="zh-CN"/>
        </w:rPr>
      </w:pPr>
      <w:bookmarkStart w:id="18" w:name="_Toc925"/>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u w:val="none"/>
          <w:lang w:eastAsia="zh-CN"/>
        </w:rPr>
        <w:t>拟派项目负责人</w:t>
      </w:r>
      <w:r>
        <w:rPr>
          <w:rFonts w:hint="eastAsia" w:ascii="宋体" w:hAnsi="宋体" w:cs="宋体"/>
          <w:color w:val="auto"/>
          <w:sz w:val="24"/>
          <w:highlight w:val="none"/>
          <w:u w:val="none"/>
        </w:rPr>
        <w:t>具有建筑工程专业二级及以上注册建造师执业资格且具有有效的三类人员B类证书</w:t>
      </w:r>
      <w:r>
        <w:rPr>
          <w:rFonts w:hint="eastAsia" w:ascii="宋体" w:hAnsi="宋体" w:cs="宋体"/>
          <w:color w:val="auto"/>
          <w:sz w:val="24"/>
          <w:highlight w:val="none"/>
          <w:u w:val="none"/>
          <w:lang w:eastAsia="zh-CN"/>
        </w:rPr>
        <w:t>。</w:t>
      </w:r>
      <w:bookmarkEnd w:id="18"/>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outlineLvl w:val="1"/>
        <w:rPr>
          <w:rFonts w:ascii="宋体" w:hAnsi="宋体" w:cs="宋体"/>
          <w:b/>
          <w:color w:val="auto"/>
          <w:sz w:val="24"/>
          <w:highlight w:val="none"/>
        </w:rPr>
      </w:pPr>
      <w:bookmarkStart w:id="19" w:name="_Toc5353"/>
      <w:r>
        <w:rPr>
          <w:rFonts w:hint="eastAsia" w:ascii="宋体" w:hAnsi="宋体" w:cs="宋体"/>
          <w:b/>
          <w:color w:val="auto"/>
          <w:sz w:val="24"/>
          <w:highlight w:val="none"/>
        </w:rPr>
        <w:t>三、获取采购文件</w:t>
      </w:r>
      <w:bookmarkEnd w:id="19"/>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bookmarkStart w:id="606" w:name="_GoBack"/>
      <w:bookmarkEnd w:id="606"/>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outlineLvl w:val="1"/>
        <w:rPr>
          <w:rFonts w:ascii="宋体" w:hAnsi="宋体" w:cs="宋体"/>
          <w:b/>
          <w:color w:val="auto"/>
          <w:sz w:val="24"/>
          <w:highlight w:val="none"/>
        </w:rPr>
      </w:pPr>
      <w:bookmarkStart w:id="20" w:name="_Toc1529"/>
      <w:r>
        <w:rPr>
          <w:rFonts w:hint="eastAsia" w:ascii="宋体" w:hAnsi="宋体" w:cs="宋体"/>
          <w:b/>
          <w:color w:val="auto"/>
          <w:sz w:val="24"/>
          <w:highlight w:val="none"/>
        </w:rPr>
        <w:t>四、响应文件提交（上传）</w:t>
      </w:r>
      <w:bookmarkEnd w:id="20"/>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 xml:space="preserve">年 </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w:t>
      </w:r>
      <w:r>
        <w:rPr>
          <w:rFonts w:hint="eastAsia" w:ascii="宋体" w:hAnsi="宋体" w:cs="宋体"/>
          <w:color w:val="auto"/>
          <w:sz w:val="24"/>
          <w:highlight w:val="none"/>
          <w:u w:val="single"/>
        </w:rPr>
        <w:t xml:space="preserve"> 日 </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outlineLvl w:val="1"/>
        <w:rPr>
          <w:rFonts w:ascii="宋体" w:hAnsi="宋体" w:cs="宋体"/>
          <w:color w:val="auto"/>
          <w:sz w:val="24"/>
          <w:highlight w:val="none"/>
        </w:rPr>
      </w:pPr>
      <w:bookmarkStart w:id="21" w:name="_Toc23136"/>
      <w:r>
        <w:rPr>
          <w:rFonts w:hint="eastAsia" w:ascii="宋体" w:hAnsi="宋体" w:cs="宋体"/>
          <w:b/>
          <w:color w:val="auto"/>
          <w:sz w:val="24"/>
          <w:highlight w:val="none"/>
        </w:rPr>
        <w:t>五、响应文件开启</w:t>
      </w:r>
      <w:bookmarkEnd w:id="21"/>
      <w:r>
        <w:rPr>
          <w:rFonts w:hint="eastAsia" w:ascii="宋体" w:hAnsi="宋体" w:cs="宋体"/>
          <w:b/>
          <w:color w:val="auto"/>
          <w:sz w:val="24"/>
          <w:highlight w:val="none"/>
        </w:rPr>
        <w:t xml:space="preserve">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 xml:space="preserve"> 1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 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pPr>
        <w:spacing w:line="360" w:lineRule="auto"/>
        <w:outlineLvl w:val="1"/>
        <w:rPr>
          <w:rFonts w:ascii="宋体" w:hAnsi="宋体" w:cs="宋体"/>
          <w:color w:val="auto"/>
          <w:sz w:val="24"/>
          <w:highlight w:val="none"/>
        </w:rPr>
      </w:pPr>
      <w:bookmarkStart w:id="22" w:name="_Toc25366"/>
      <w:r>
        <w:rPr>
          <w:rFonts w:hint="eastAsia" w:ascii="宋体" w:hAnsi="宋体" w:cs="宋体"/>
          <w:b/>
          <w:color w:val="auto"/>
          <w:sz w:val="24"/>
          <w:highlight w:val="none"/>
        </w:rPr>
        <w:t>六、公告期限</w:t>
      </w:r>
      <w:bookmarkEnd w:id="22"/>
      <w:r>
        <w:rPr>
          <w:rFonts w:hint="eastAsia" w:ascii="宋体" w:hAnsi="宋体" w:cs="宋体"/>
          <w:b/>
          <w:color w:val="auto"/>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自本公告发布之日起3个工作日。</w:t>
      </w:r>
    </w:p>
    <w:p>
      <w:pPr>
        <w:spacing w:line="360" w:lineRule="auto"/>
        <w:outlineLvl w:val="1"/>
        <w:rPr>
          <w:rFonts w:ascii="宋体" w:hAnsi="宋体" w:cs="宋体"/>
          <w:b/>
          <w:sz w:val="24"/>
          <w:highlight w:val="none"/>
        </w:rPr>
      </w:pPr>
      <w:bookmarkStart w:id="23" w:name="_Toc295"/>
      <w:r>
        <w:rPr>
          <w:rFonts w:hint="eastAsia" w:ascii="宋体" w:hAnsi="宋体" w:cs="宋体"/>
          <w:b/>
          <w:sz w:val="24"/>
          <w:highlight w:val="none"/>
        </w:rPr>
        <w:t>七、其他补充事宜</w:t>
      </w:r>
      <w:bookmarkEnd w:id="23"/>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highlight w:val="none"/>
        </w:rPr>
        <w:t>《</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w:t>
      </w:r>
      <w:r>
        <w:rPr>
          <w:rFonts w:hint="eastAsia" w:ascii="宋体" w:hAnsi="宋体" w:cs="宋体"/>
          <w:sz w:val="24"/>
          <w:highlight w:val="none"/>
        </w:rPr>
        <w:t>有关规定与上述文件内容不一致的，按上述文件要求执行。</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r>
        <w:rPr>
          <w:rFonts w:hint="eastAsia" w:ascii="宋体" w:hAnsi="宋体" w:cs="宋体"/>
          <w:sz w:val="24"/>
          <w:highlight w:val="none"/>
          <w:lang w:val="en-US" w:eastAsia="zh-CN"/>
        </w:rPr>
        <w:t>(3)</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）采购文件公告期限与竞争性磋商公告的公告期限一致。</w:t>
      </w:r>
    </w:p>
    <w:p>
      <w:pPr>
        <w:spacing w:line="360" w:lineRule="auto"/>
        <w:outlineLvl w:val="1"/>
        <w:rPr>
          <w:rFonts w:ascii="宋体" w:hAnsi="宋体" w:cs="宋体"/>
          <w:b/>
          <w:sz w:val="24"/>
          <w:highlight w:val="none"/>
        </w:rPr>
      </w:pPr>
      <w:bookmarkStart w:id="24" w:name="_Toc24716"/>
      <w:r>
        <w:rPr>
          <w:rFonts w:hint="eastAsia" w:ascii="宋体" w:hAnsi="宋体" w:cs="宋体"/>
          <w:b/>
          <w:sz w:val="24"/>
          <w:highlight w:val="none"/>
        </w:rPr>
        <w:t>八、对本次采购提出询问、质疑、投诉，请按以下方式联系</w:t>
      </w:r>
      <w:bookmarkEnd w:id="24"/>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1.采购人信息</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名    称：</w:t>
      </w:r>
      <w:r>
        <w:rPr>
          <w:rFonts w:hint="eastAsia" w:ascii="宋体" w:hAnsi="宋体" w:cs="宋体"/>
          <w:sz w:val="24"/>
          <w:highlight w:val="none"/>
          <w:lang w:eastAsia="zh-CN"/>
        </w:rPr>
        <w:t>中国美术学院</w:t>
      </w:r>
      <w:r>
        <w:rPr>
          <w:rFonts w:hint="eastAsia" w:ascii="宋体" w:hAnsi="宋体" w:cs="宋体"/>
          <w:sz w:val="24"/>
          <w:highlight w:val="none"/>
        </w:rPr>
        <w:t xml:space="preserve">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地    址：杭州市上城区南山路218号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传    真：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val="en-US" w:eastAsia="zh-CN"/>
        </w:rPr>
        <w:t>徐老师</w:t>
      </w:r>
      <w:r>
        <w:rPr>
          <w:rFonts w:hint="eastAsia" w:ascii="宋体" w:hAnsi="宋体" w:cs="宋体"/>
          <w:sz w:val="24"/>
          <w:highlight w:val="none"/>
        </w:rPr>
        <w:t xml:space="preserve">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项目联系方式（询问）：0571-</w:t>
      </w:r>
      <w:r>
        <w:rPr>
          <w:rFonts w:hint="eastAsia" w:ascii="宋体" w:hAnsi="宋体" w:cs="宋体"/>
          <w:sz w:val="24"/>
          <w:highlight w:val="none"/>
          <w:lang w:val="en-US" w:eastAsia="zh-CN"/>
        </w:rPr>
        <w:t>87200076</w:t>
      </w:r>
      <w:r>
        <w:rPr>
          <w:rFonts w:hint="eastAsia" w:ascii="宋体" w:hAnsi="宋体" w:cs="宋体"/>
          <w:sz w:val="24"/>
          <w:highlight w:val="none"/>
        </w:rPr>
        <w:t xml:space="preserve">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质疑联系人：黄</w:t>
      </w:r>
      <w:r>
        <w:rPr>
          <w:rFonts w:hint="eastAsia" w:ascii="宋体" w:hAnsi="宋体" w:cs="宋体"/>
          <w:sz w:val="24"/>
          <w:highlight w:val="none"/>
          <w:lang w:eastAsia="zh-CN"/>
        </w:rPr>
        <w:t>老师</w:t>
      </w:r>
      <w:r>
        <w:rPr>
          <w:rFonts w:hint="eastAsia" w:ascii="宋体" w:hAnsi="宋体" w:cs="宋体"/>
          <w:sz w:val="24"/>
          <w:highlight w:val="none"/>
        </w:rPr>
        <w:t xml:space="preserve">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质疑联系方式：0571-86027612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2.采购代理机构信息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名    称：浙江力德工程顾问有限公司</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地    址：浙江省杭州市上城区全福弄口商务中心3幢901室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传    真：</w:t>
      </w:r>
      <w:r>
        <w:rPr>
          <w:rFonts w:hint="eastAsia" w:ascii="宋体" w:hAnsi="宋体" w:cs="宋体"/>
          <w:sz w:val="24"/>
          <w:highlight w:val="none"/>
          <w:lang w:val="en-US" w:eastAsia="zh-CN"/>
        </w:rPr>
        <w:t>/</w:t>
      </w:r>
      <w:r>
        <w:rPr>
          <w:rFonts w:hint="eastAsia" w:ascii="宋体" w:hAnsi="宋体" w:cs="宋体"/>
          <w:sz w:val="24"/>
          <w:highlight w:val="none"/>
        </w:rPr>
        <w:t xml:space="preserve">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项目联系人（询问）：章工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项目联系方式（询问）：15990002298</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质疑联系人：</w:t>
      </w:r>
      <w:r>
        <w:rPr>
          <w:rFonts w:hint="eastAsia" w:ascii="宋体" w:hAnsi="宋体" w:cs="宋体"/>
          <w:sz w:val="24"/>
          <w:highlight w:val="none"/>
          <w:lang w:eastAsia="zh-CN"/>
        </w:rPr>
        <w:t>俞工</w:t>
      </w:r>
      <w:r>
        <w:rPr>
          <w:rFonts w:hint="eastAsia" w:ascii="宋体" w:hAnsi="宋体" w:cs="宋体"/>
          <w:sz w:val="24"/>
          <w:highlight w:val="none"/>
        </w:rPr>
        <w:t xml:space="preserve">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质疑联系方式：13396568169</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3.同级政府采购监督管理部门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名    称：浙江省财政厅政府采购监管处、浙江省政府采购行政裁决服务中心（杭州）</w:t>
      </w:r>
    </w:p>
    <w:p>
      <w:pPr>
        <w:spacing w:line="360" w:lineRule="auto"/>
        <w:rPr>
          <w:rFonts w:hint="eastAsia" w:ascii="宋体" w:hAnsi="宋体" w:cs="宋体"/>
          <w:sz w:val="24"/>
          <w:highlight w:val="none"/>
        </w:rPr>
      </w:pPr>
      <w:r>
        <w:rPr>
          <w:rFonts w:hint="eastAsia" w:ascii="宋体" w:hAnsi="宋体" w:cs="宋体"/>
          <w:sz w:val="24"/>
          <w:highlight w:val="none"/>
        </w:rPr>
        <w:t xml:space="preserve">    地    址：杭州市上城区四季青街道新业路市民之家G03办公室 </w:t>
      </w:r>
    </w:p>
    <w:p>
      <w:pPr>
        <w:spacing w:line="360" w:lineRule="auto"/>
        <w:rPr>
          <w:rFonts w:hint="eastAsia" w:ascii="宋体" w:hAnsi="宋体" w:cs="宋体"/>
          <w:sz w:val="24"/>
          <w:highlight w:val="none"/>
        </w:rPr>
      </w:pPr>
      <w:r>
        <w:rPr>
          <w:rFonts w:hint="eastAsia" w:ascii="宋体" w:hAnsi="宋体" w:cs="宋体"/>
          <w:sz w:val="24"/>
          <w:highlight w:val="none"/>
        </w:rPr>
        <w:t xml:space="preserve">    传    真： /</w:t>
      </w:r>
    </w:p>
    <w:p>
      <w:pPr>
        <w:spacing w:line="360" w:lineRule="auto"/>
        <w:rPr>
          <w:rFonts w:hint="eastAsia" w:ascii="宋体" w:hAnsi="宋体" w:cs="宋体"/>
          <w:sz w:val="24"/>
          <w:highlight w:val="none"/>
        </w:rPr>
      </w:pPr>
      <w:r>
        <w:rPr>
          <w:rFonts w:hint="eastAsia" w:ascii="宋体" w:hAnsi="宋体" w:cs="宋体"/>
          <w:sz w:val="24"/>
          <w:highlight w:val="none"/>
        </w:rPr>
        <w:t xml:space="preserve">    联系人 ：朱女士、王女士</w:t>
      </w:r>
    </w:p>
    <w:p>
      <w:pPr>
        <w:spacing w:line="360" w:lineRule="auto"/>
        <w:outlineLvl w:val="0"/>
        <w:rPr>
          <w:rFonts w:hint="eastAsia" w:ascii="宋体" w:hAnsi="宋体" w:cs="宋体"/>
          <w:sz w:val="24"/>
          <w:highlight w:val="none"/>
        </w:rPr>
      </w:pPr>
      <w:r>
        <w:rPr>
          <w:rFonts w:hint="eastAsia" w:ascii="宋体" w:hAnsi="宋体" w:cs="宋体"/>
          <w:sz w:val="24"/>
          <w:highlight w:val="none"/>
        </w:rPr>
        <w:t xml:space="preserve">    </w:t>
      </w:r>
      <w:bookmarkStart w:id="25" w:name="_Toc12038"/>
      <w:r>
        <w:rPr>
          <w:rFonts w:hint="eastAsia" w:ascii="宋体" w:hAnsi="宋体" w:cs="宋体"/>
          <w:sz w:val="24"/>
          <w:highlight w:val="none"/>
        </w:rPr>
        <w:t>监督投诉电话：电话：0571-85252453</w:t>
      </w:r>
      <w:bookmarkEnd w:id="25"/>
      <w:r>
        <w:rPr>
          <w:rFonts w:hint="eastAsia" w:ascii="宋体" w:hAnsi="宋体" w:cs="宋体"/>
          <w:sz w:val="24"/>
          <w:highlight w:val="none"/>
        </w:rPr>
        <w:t xml:space="preserve">    </w:t>
      </w:r>
    </w:p>
    <w:p>
      <w:pPr>
        <w:snapToGrid w:val="0"/>
        <w:spacing w:line="360" w:lineRule="auto"/>
        <w:ind w:firstLine="0" w:firstLineChars="0"/>
        <w:rPr>
          <w:rFonts w:ascii="宋体" w:hAnsi="宋体" w:cs="宋体"/>
          <w:sz w:val="24"/>
          <w:highlight w:val="none"/>
        </w:rPr>
      </w:pPr>
      <w:r>
        <w:rPr>
          <w:rFonts w:hint="eastAsia" w:ascii="宋体" w:hAnsi="宋体" w:cs="宋体"/>
          <w:sz w:val="24"/>
          <w:highlight w:val="none"/>
        </w:rPr>
        <w:t xml:space="preserve">     若对项目采购电子交易系统操作有疑问，可登录政采云（https://www.zcygov.cn/），点击右侧咨询小采，获取采小蜜智能服务管家帮助，或拨打政采云服务热线400-881-7190获取热线服务帮助。</w:t>
      </w:r>
    </w:p>
    <w:p>
      <w:pPr>
        <w:snapToGrid w:val="0"/>
        <w:spacing w:line="360" w:lineRule="auto"/>
        <w:ind w:firstLine="480" w:firstLineChars="200"/>
        <w:rPr>
          <w:rFonts w:ascii="宋体" w:hAnsi="宋体" w:cs="宋体"/>
          <w:sz w:val="24"/>
          <w:highlight w:val="none"/>
        </w:rPr>
        <w:sectPr>
          <w:footerReference r:id="rId6" w:type="first"/>
          <w:headerReference r:id="rId3" w:type="default"/>
          <w:footerReference r:id="rId4" w:type="default"/>
          <w:footerReference r:id="rId5" w:type="even"/>
          <w:pgSz w:w="11906" w:h="16838"/>
          <w:pgMar w:top="1440" w:right="1080" w:bottom="1440" w:left="1080" w:header="851" w:footer="992" w:gutter="0"/>
          <w:cols w:space="720" w:num="1"/>
          <w:titlePg/>
          <w:docGrid w:linePitch="312" w:charSpace="0"/>
        </w:sectPr>
      </w:pPr>
      <w:r>
        <w:rPr>
          <w:rFonts w:hint="eastAsia" w:ascii="宋体" w:hAnsi="宋体" w:cs="宋体"/>
          <w:sz w:val="24"/>
          <w:highlight w:val="none"/>
        </w:rPr>
        <w:t>CA问题联系电话（人工）：汇信CA 400-888-4636；天谷CA 400-087-8198。</w:t>
      </w:r>
    </w:p>
    <w:p>
      <w:pPr>
        <w:adjustRightInd/>
        <w:spacing w:line="360" w:lineRule="auto"/>
        <w:jc w:val="center"/>
        <w:outlineLvl w:val="0"/>
        <w:rPr>
          <w:rFonts w:hint="eastAsia" w:ascii="宋体" w:hAnsi="宋体" w:cs="宋体"/>
          <w:b/>
          <w:sz w:val="36"/>
          <w:szCs w:val="20"/>
          <w:highlight w:val="none"/>
          <w:lang w:val="en-US" w:eastAsia="zh-CN"/>
        </w:rPr>
      </w:pPr>
      <w:bookmarkStart w:id="26" w:name="_Toc29003"/>
      <w:r>
        <w:rPr>
          <w:rFonts w:hint="eastAsia" w:ascii="宋体" w:hAnsi="宋体" w:cs="宋体"/>
          <w:b/>
          <w:sz w:val="36"/>
          <w:szCs w:val="20"/>
          <w:highlight w:val="none"/>
          <w:lang w:val="en-US" w:eastAsia="zh-CN"/>
        </w:rPr>
        <w:t>第二部分</w:t>
      </w:r>
      <w:bookmarkEnd w:id="11"/>
      <w:r>
        <w:rPr>
          <w:rFonts w:hint="eastAsia" w:ascii="宋体" w:hAnsi="宋体" w:cs="宋体"/>
          <w:b/>
          <w:sz w:val="36"/>
          <w:szCs w:val="20"/>
          <w:highlight w:val="none"/>
          <w:lang w:val="en-US" w:eastAsia="zh-CN"/>
        </w:rPr>
        <w:t xml:space="preserve"> 供应商须知</w:t>
      </w:r>
      <w:bookmarkEnd w:id="12"/>
      <w:bookmarkEnd w:id="26"/>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2093"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927"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2093"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927" w:type="dxa"/>
            <w:vAlign w:val="center"/>
          </w:tcPr>
          <w:p>
            <w:pPr>
              <w:spacing w:line="360" w:lineRule="auto"/>
              <w:rPr>
                <w:rFonts w:ascii="宋体" w:hAnsi="宋体" w:cs="宋体"/>
                <w:sz w:val="24"/>
                <w:highlight w:val="none"/>
              </w:rPr>
            </w:pPr>
            <w:r>
              <w:rPr>
                <w:rFonts w:hint="eastAsia" w:ascii="宋体" w:hAnsi="宋体" w:cs="宋体"/>
                <w:kern w:val="0"/>
                <w:sz w:val="24"/>
                <w:highlight w:val="none"/>
              </w:rPr>
              <w:t>工程</w:t>
            </w:r>
            <w:r>
              <w:rPr>
                <w:rFonts w:hint="eastAsia" w:ascii="宋体" w:hAnsi="宋体" w:cs="宋体"/>
                <w:sz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2093"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927" w:type="dxa"/>
            <w:vAlign w:val="center"/>
          </w:tcPr>
          <w:p>
            <w:pPr>
              <w:snapToGrid w:val="0"/>
              <w:spacing w:line="360" w:lineRule="auto"/>
              <w:rPr>
                <w:rFonts w:ascii="宋体" w:hAnsi="宋体" w:eastAsia="宋体" w:cs="宋体"/>
                <w:highlight w:val="none"/>
                <w:lang w:val="en-US"/>
              </w:rPr>
            </w:pPr>
            <w:r>
              <w:rPr>
                <w:rFonts w:hint="eastAsia" w:ascii="宋体" w:hAnsi="宋体" w:cs="宋体"/>
                <w:kern w:val="0"/>
                <w:sz w:val="24"/>
                <w:highlight w:val="none"/>
              </w:rPr>
              <w:t>（1）标的：</w:t>
            </w:r>
            <w:r>
              <w:rPr>
                <w:rFonts w:hint="eastAsia" w:ascii="宋体" w:hAnsi="宋体" w:cs="宋体"/>
                <w:kern w:val="0"/>
                <w:sz w:val="24"/>
                <w:highlight w:val="none"/>
                <w:u w:val="single"/>
              </w:rPr>
              <w:t>中国美术学院国际设计博物馆室内吊顶提升工程项目</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 建筑业 </w:t>
            </w:r>
            <w:r>
              <w:rPr>
                <w:rFonts w:hint="eastAsia" w:ascii="宋体" w:hAnsi="宋体" w:cs="宋体"/>
                <w:kern w:val="0"/>
                <w:sz w:val="24"/>
                <w:highlight w:val="none"/>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2093"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927" w:type="dxa"/>
            <w:vAlign w:val="center"/>
          </w:tcPr>
          <w:p>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pPr>
              <w:spacing w:line="360" w:lineRule="auto"/>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2093"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分包</w:t>
            </w:r>
          </w:p>
        </w:tc>
        <w:tc>
          <w:tcPr>
            <w:tcW w:w="6927" w:type="dxa"/>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劳务</w:t>
            </w:r>
            <w:r>
              <w:rPr>
                <w:rFonts w:hint="eastAsia" w:ascii="宋体" w:hAnsi="宋体" w:cs="宋体"/>
                <w:sz w:val="24"/>
                <w:highlight w:val="none"/>
                <w:u w:val="single"/>
              </w:rPr>
              <w:t xml:space="preserve">     </w:t>
            </w:r>
            <w:r>
              <w:rPr>
                <w:rFonts w:hint="eastAsia" w:ascii="宋体" w:hAnsi="宋体" w:cs="宋体"/>
                <w:sz w:val="24"/>
                <w:highlight w:val="none"/>
              </w:rPr>
              <w:t>工作分包。</w:t>
            </w:r>
          </w:p>
          <w:p>
            <w:pPr>
              <w:spacing w:line="360" w:lineRule="auto"/>
              <w:rPr>
                <w:rFonts w:ascii="宋体" w:hAnsi="宋体" w:cs="宋体"/>
                <w:sz w:val="24"/>
                <w:highlight w:val="none"/>
              </w:rPr>
            </w:pPr>
            <w:sdt>
              <w:sdtPr>
                <w:rPr>
                  <w:rFonts w:hint="eastAsia" w:ascii="宋体" w:hAnsi="宋体" w:cs="宋体"/>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不同意分包，具体理由：</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2093"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磋商前答疑会或现场考察</w:t>
            </w:r>
          </w:p>
        </w:tc>
        <w:tc>
          <w:tcPr>
            <w:tcW w:w="6927" w:type="dxa"/>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2093"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927" w:type="dxa"/>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B要求提供，</w:t>
            </w:r>
          </w:p>
          <w:p>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评审办法</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。请供应商在上述时间内提供样品并按规定位置安装完毕。超过截止时间的，采购人或采购代理机构将不予接收，并将清场并封闭样品现场。</w:t>
            </w:r>
          </w:p>
          <w:p>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2093" w:type="dxa"/>
            <w:vAlign w:val="center"/>
          </w:tcPr>
          <w:p>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927" w:type="dxa"/>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（1）在评审时安排每个供应商进行方案讲解演示。每个供应商时间不超过20分钟，讲解次序以响应文件解密时间先后次序为准，讲解演示人员不超过3人。讲解演示结束后按要求解答磋商小组提问。</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方式二：现场讲解演示。现场讲解地点为</w:t>
            </w:r>
            <w:r>
              <w:rPr>
                <w:rFonts w:hint="eastAsia" w:ascii="宋体" w:hAnsi="宋体" w:cs="宋体"/>
                <w:sz w:val="24"/>
                <w:highlight w:val="none"/>
                <w:u w:val="single"/>
              </w:rPr>
              <w:t xml:space="preserve">    </w:t>
            </w:r>
            <w:r>
              <w:rPr>
                <w:rFonts w:hint="eastAsia" w:ascii="宋体" w:hAnsi="宋体" w:cs="宋体"/>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2093" w:type="dxa"/>
            <w:vMerge w:val="restart"/>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供应商应当提供的资格、资信证明文件</w:t>
            </w:r>
          </w:p>
        </w:tc>
        <w:tc>
          <w:tcPr>
            <w:tcW w:w="6927" w:type="dxa"/>
            <w:vAlign w:val="center"/>
          </w:tcPr>
          <w:p>
            <w:pPr>
              <w:spacing w:line="360" w:lineRule="auto"/>
              <w:rPr>
                <w:rFonts w:ascii="宋体" w:hAnsi="宋体" w:cs="宋体"/>
                <w:sz w:val="24"/>
                <w:highlight w:val="none"/>
              </w:rPr>
            </w:pPr>
            <w:r>
              <w:rPr>
                <w:rFonts w:hint="eastAsia" w:ascii="宋体" w:hAnsi="宋体" w:cs="宋体"/>
                <w:sz w:val="24"/>
                <w:highlight w:val="none"/>
              </w:rPr>
              <w:t>（1）资格证明文件：见采购文件第二部分11.1。</w:t>
            </w:r>
          </w:p>
          <w:p>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sz w:val="24"/>
                <w:highlight w:val="none"/>
              </w:rPr>
            </w:pPr>
          </w:p>
        </w:tc>
        <w:tc>
          <w:tcPr>
            <w:tcW w:w="2093" w:type="dxa"/>
            <w:vMerge w:val="continue"/>
            <w:vAlign w:val="center"/>
          </w:tcPr>
          <w:p>
            <w:pPr>
              <w:snapToGrid w:val="0"/>
              <w:spacing w:line="360" w:lineRule="auto"/>
              <w:jc w:val="center"/>
              <w:rPr>
                <w:rFonts w:ascii="宋体" w:hAnsi="宋体" w:cs="宋体"/>
                <w:b/>
                <w:sz w:val="24"/>
                <w:highlight w:val="none"/>
              </w:rPr>
            </w:pPr>
          </w:p>
        </w:tc>
        <w:tc>
          <w:tcPr>
            <w:tcW w:w="6927" w:type="dxa"/>
            <w:vAlign w:val="center"/>
          </w:tcPr>
          <w:p>
            <w:pPr>
              <w:spacing w:line="360" w:lineRule="auto"/>
              <w:rPr>
                <w:rFonts w:ascii="宋体" w:hAnsi="宋体" w:cs="宋体"/>
                <w:sz w:val="24"/>
                <w:highlight w:val="none"/>
              </w:rPr>
            </w:pPr>
            <w:r>
              <w:rPr>
                <w:rFonts w:hint="eastAsia" w:ascii="宋体" w:hAnsi="宋体" w:cs="宋体"/>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2093"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927" w:type="dxa"/>
            <w:vAlign w:val="center"/>
          </w:tcPr>
          <w:p>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2093"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927" w:type="dxa"/>
            <w:vAlign w:val="center"/>
          </w:tcPr>
          <w:p>
            <w:pPr>
              <w:snapToGrid w:val="0"/>
              <w:spacing w:line="360" w:lineRule="auto"/>
              <w:jc w:val="left"/>
              <w:rPr>
                <w:rFonts w:hint="default" w:ascii="宋体" w:hAnsi="宋体" w:eastAsia="宋体" w:cs="宋体"/>
                <w:b/>
                <w:kern w:val="0"/>
                <w:sz w:val="24"/>
                <w:highlight w:val="none"/>
                <w:lang w:val="en-US" w:eastAsia="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sz w:val="24"/>
                <w:highlight w:val="none"/>
              </w:rPr>
              <w:t>报价单是报价的唯一载体</w:t>
            </w:r>
            <w:r>
              <w:rPr>
                <w:rFonts w:hint="eastAsia" w:ascii="宋体" w:hAnsi="宋体" w:cs="宋体"/>
                <w:kern w:val="0"/>
                <w:sz w:val="24"/>
                <w:highlight w:val="none"/>
                <w:lang w:val="zh-CN"/>
              </w:rPr>
              <w:t>。响应文件中价格全部采用人民币报价。采购文件未列明，而供应商认为必需的费用也需列入报价。</w:t>
            </w:r>
            <w:r>
              <w:rPr>
                <w:rFonts w:hint="eastAsia" w:ascii="宋体" w:hAnsi="宋体" w:cs="宋体"/>
                <w:b/>
                <w:kern w:val="0"/>
                <w:sz w:val="24"/>
                <w:highlight w:val="none"/>
                <w:lang w:val="zh-CN"/>
              </w:rPr>
              <w:t>提醒：</w:t>
            </w:r>
            <w:r>
              <w:rPr>
                <w:rFonts w:hint="eastAsia" w:ascii="宋体" w:hAnsi="宋体" w:cs="宋体"/>
                <w:b/>
                <w:kern w:val="0"/>
                <w:sz w:val="24"/>
                <w:highlight w:val="none"/>
                <w:lang w:val="en-US" w:eastAsia="zh-CN"/>
              </w:rPr>
              <w:t>1.</w:t>
            </w:r>
            <w:r>
              <w:rPr>
                <w:rFonts w:hint="eastAsia" w:ascii="宋体" w:hAnsi="宋体" w:cs="宋体"/>
                <w:b/>
                <w:kern w:val="0"/>
                <w:sz w:val="24"/>
                <w:highlight w:val="none"/>
                <w:lang w:val="zh-CN"/>
              </w:rPr>
              <w:t>验收时检测费用由采购人承担，不包含在总价中。</w:t>
            </w:r>
            <w:r>
              <w:rPr>
                <w:rFonts w:hint="eastAsia" w:ascii="宋体" w:hAnsi="宋体" w:cs="宋体"/>
                <w:b/>
                <w:kern w:val="0"/>
                <w:sz w:val="24"/>
                <w:highlight w:val="none"/>
                <w:lang w:val="en-US" w:eastAsia="zh-CN"/>
              </w:rPr>
              <w:t>2.本项目设置暂列金15万元，具体详见工程量清单及编制说明。</w:t>
            </w:r>
          </w:p>
          <w:p>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最后报价出现下列情形的，响应文件无效：</w:t>
            </w:r>
          </w:p>
          <w:p>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响应文件出现不是唯一的、有选择性最后报价的；</w:t>
            </w:r>
          </w:p>
          <w:p>
            <w:pPr>
              <w:snapToGrid w:val="0"/>
              <w:spacing w:line="360" w:lineRule="auto"/>
              <w:ind w:firstLine="241" w:firstLineChars="100"/>
              <w:jc w:val="left"/>
              <w:rPr>
                <w:rFonts w:hint="eastAsia" w:ascii="宋体" w:hAnsi="宋体" w:cs="宋体"/>
                <w:b/>
                <w:kern w:val="0"/>
                <w:sz w:val="24"/>
                <w:highlight w:val="none"/>
                <w:lang w:val="zh-CN"/>
              </w:rPr>
            </w:pPr>
            <w:r>
              <w:rPr>
                <w:rFonts w:hint="eastAsia" w:ascii="宋体" w:hAnsi="宋体" w:cs="宋体"/>
                <w:b/>
                <w:kern w:val="0"/>
                <w:sz w:val="24"/>
                <w:highlight w:val="none"/>
                <w:lang w:val="zh-CN"/>
              </w:rPr>
              <w:t>最后报价超过采购文件中规定的预算金额或者最高限价的；</w:t>
            </w:r>
          </w:p>
          <w:p>
            <w:pPr>
              <w:snapToGrid w:val="0"/>
              <w:spacing w:line="360" w:lineRule="auto"/>
              <w:ind w:firstLine="241" w:firstLineChars="100"/>
              <w:jc w:val="left"/>
              <w:rPr>
                <w:rFonts w:hint="default" w:eastAsia="宋体"/>
                <w:highlight w:val="none"/>
                <w:lang w:val="en-US" w:eastAsia="zh-CN"/>
              </w:rPr>
            </w:pPr>
            <w:r>
              <w:rPr>
                <w:rFonts w:hint="eastAsia" w:ascii="宋体" w:hAnsi="宋体" w:cs="宋体"/>
                <w:b/>
                <w:kern w:val="0"/>
                <w:sz w:val="24"/>
                <w:highlight w:val="none"/>
                <w:lang w:val="en-US" w:eastAsia="zh-CN"/>
              </w:rPr>
              <w:t>未按要求列入暂列金或暂列金金额与要求不一致的；</w:t>
            </w:r>
          </w:p>
          <w:p>
            <w:pPr>
              <w:spacing w:line="360" w:lineRule="auto"/>
              <w:ind w:firstLine="241" w:firstLineChars="100"/>
              <w:rPr>
                <w:rFonts w:hint="eastAsia" w:ascii="宋体" w:hAnsi="宋体" w:eastAsia="宋体" w:cs="宋体"/>
                <w:b/>
                <w:sz w:val="24"/>
                <w:highlight w:val="none"/>
                <w:lang w:eastAsia="zh-CN"/>
              </w:rPr>
            </w:pPr>
            <w:r>
              <w:rPr>
                <w:rFonts w:hint="eastAsia" w:ascii="宋体" w:hAnsi="宋体" w:cs="宋体"/>
                <w:b/>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kern w:val="0"/>
                <w:sz w:val="24"/>
                <w:highlight w:val="none"/>
                <w:lang w:eastAsia="zh-CN"/>
              </w:rPr>
              <w:t>；</w:t>
            </w:r>
          </w:p>
          <w:p>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供应商对根据修正原则修正后的报价不确认的</w:t>
            </w:r>
            <w:r>
              <w:rPr>
                <w:rFonts w:hint="eastAsia" w:ascii="宋体" w:hAnsi="宋体" w:cs="宋体"/>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2093"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927" w:type="dxa"/>
            <w:vAlign w:val="center"/>
          </w:tcPr>
          <w:p>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2093"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备份响应文件送达地点和签收人员</w:t>
            </w:r>
          </w:p>
        </w:tc>
        <w:tc>
          <w:tcPr>
            <w:tcW w:w="6927" w:type="dxa"/>
            <w:vAlign w:val="center"/>
          </w:tcPr>
          <w:p>
            <w:pPr>
              <w:pStyle w:val="33"/>
              <w:spacing w:line="360" w:lineRule="auto"/>
              <w:rPr>
                <w:rFonts w:hAnsi="宋体" w:cs="宋体"/>
                <w:kern w:val="28"/>
                <w:sz w:val="24"/>
                <w:szCs w:val="24"/>
                <w:highlight w:val="none"/>
              </w:rPr>
            </w:pPr>
            <w:r>
              <w:rPr>
                <w:rFonts w:hint="eastAsia" w:hAnsi="宋体" w:cs="宋体"/>
                <w:kern w:val="28"/>
                <w:sz w:val="24"/>
                <w:szCs w:val="24"/>
                <w:highlight w:val="none"/>
              </w:rPr>
              <w:t>备份响应文件送达地点：</w:t>
            </w:r>
            <w:r>
              <w:rPr>
                <w:rFonts w:hint="eastAsia" w:hAnsi="宋体" w:cs="宋体"/>
                <w:sz w:val="24"/>
                <w:highlight w:val="none"/>
                <w:u w:val="single"/>
              </w:rPr>
              <w:t xml:space="preserve"> 浙江省杭州市上城区全福弄口商务中心3幢901室   </w:t>
            </w:r>
            <w:r>
              <w:rPr>
                <w:rFonts w:hint="eastAsia" w:hAnsi="宋体" w:cs="宋体"/>
                <w:kern w:val="28"/>
                <w:sz w:val="24"/>
                <w:szCs w:val="24"/>
                <w:highlight w:val="none"/>
              </w:rPr>
              <w:t>；</w:t>
            </w:r>
          </w:p>
          <w:p>
            <w:pPr>
              <w:pStyle w:val="33"/>
              <w:spacing w:line="360" w:lineRule="auto"/>
              <w:rPr>
                <w:rFonts w:hAnsi="宋体" w:cs="宋体"/>
                <w:sz w:val="24"/>
                <w:szCs w:val="24"/>
                <w:highlight w:val="none"/>
              </w:rPr>
            </w:pPr>
            <w:r>
              <w:rPr>
                <w:rFonts w:hint="eastAsia" w:hAnsi="宋体" w:cs="宋体"/>
                <w:kern w:val="28"/>
                <w:sz w:val="24"/>
                <w:szCs w:val="24"/>
                <w:highlight w:val="none"/>
              </w:rPr>
              <w:t>备份响应文件签收人员联系电话：</w:t>
            </w:r>
            <w:r>
              <w:rPr>
                <w:rFonts w:hint="eastAsia" w:hAnsi="宋体" w:cs="宋体"/>
                <w:kern w:val="28"/>
                <w:sz w:val="24"/>
                <w:szCs w:val="24"/>
                <w:highlight w:val="none"/>
                <w:u w:val="single"/>
              </w:rPr>
              <w:t>章工</w:t>
            </w:r>
            <w:r>
              <w:rPr>
                <w:rFonts w:hint="eastAsia" w:hAnsi="宋体" w:cs="宋体"/>
                <w:sz w:val="24"/>
                <w:highlight w:val="none"/>
                <w:u w:val="single"/>
                <w:lang w:eastAsia="zh-CN"/>
              </w:rPr>
              <w:t>、15990002298</w:t>
            </w:r>
            <w:r>
              <w:rPr>
                <w:rFonts w:hint="eastAsia" w:hAnsi="宋体" w:cs="宋体"/>
                <w:sz w:val="24"/>
                <w:highlight w:val="none"/>
                <w:u w:val="single"/>
              </w:rPr>
              <w:t xml:space="preserve">   </w:t>
            </w:r>
            <w:r>
              <w:rPr>
                <w:rFonts w:hint="eastAsia" w:hAnsi="宋体" w:cs="宋体"/>
                <w:sz w:val="24"/>
                <w:szCs w:val="24"/>
                <w:highlight w:val="none"/>
              </w:rPr>
              <w:t>。</w:t>
            </w:r>
          </w:p>
          <w:p>
            <w:pPr>
              <w:pStyle w:val="33"/>
              <w:spacing w:line="360" w:lineRule="auto"/>
              <w:rPr>
                <w:rFonts w:hAnsi="宋体" w:cs="宋体"/>
                <w:kern w:val="28"/>
                <w:sz w:val="24"/>
                <w:highlight w:val="none"/>
              </w:rPr>
            </w:pPr>
            <w:r>
              <w:rPr>
                <w:rFonts w:hint="eastAsia" w:hAnsi="宋体" w:cs="宋体"/>
                <w:b/>
                <w:sz w:val="24"/>
                <w:szCs w:val="24"/>
                <w:highlight w:val="none"/>
              </w:rPr>
              <w:t>采购人、采购机构不强制或变相强制供应商提交备份响应文件。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2093"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其它说明</w:t>
            </w:r>
          </w:p>
        </w:tc>
        <w:tc>
          <w:tcPr>
            <w:tcW w:w="6927" w:type="dxa"/>
            <w:vAlign w:val="center"/>
          </w:tcPr>
          <w:p>
            <w:pPr>
              <w:spacing w:line="360" w:lineRule="auto"/>
              <w:rPr>
                <w:rFonts w:hint="eastAsia" w:ascii="宋体" w:hAnsi="宋体" w:cs="宋体"/>
                <w:b w:val="0"/>
                <w:snapToGrid w:val="0"/>
                <w:kern w:val="28"/>
                <w:sz w:val="24"/>
                <w:highlight w:val="none"/>
              </w:rPr>
            </w:pPr>
            <w:r>
              <w:rPr>
                <w:rFonts w:hint="eastAsia" w:ascii="宋体" w:hAnsi="宋体" w:cs="宋体"/>
                <w:snapToGrid w:val="0"/>
                <w:kern w:val="28"/>
                <w:sz w:val="24"/>
                <w:highlight w:val="none"/>
                <w:lang w:val="en-US" w:eastAsia="zh-CN"/>
              </w:rPr>
              <w:t>1、</w:t>
            </w:r>
            <w:r>
              <w:rPr>
                <w:rFonts w:hint="eastAsia" w:ascii="宋体" w:hAnsi="宋体" w:cs="宋体"/>
                <w:snapToGrid w:val="0"/>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val="0"/>
                <w:snapToGrid w:val="0"/>
                <w:kern w:val="28"/>
                <w:sz w:val="24"/>
                <w:highlight w:val="none"/>
              </w:rPr>
              <w:t>。</w:t>
            </w:r>
          </w:p>
          <w:p>
            <w:pPr>
              <w:spacing w:line="360" w:lineRule="auto"/>
              <w:rPr>
                <w:rFonts w:hint="default" w:eastAsia="宋体"/>
                <w:highlight w:val="none"/>
                <w:lang w:val="en-US" w:eastAsia="zh-CN"/>
              </w:rPr>
            </w:pPr>
            <w:r>
              <w:rPr>
                <w:rFonts w:hint="eastAsia" w:ascii="宋体" w:hAnsi="宋体" w:cs="宋体"/>
                <w:b w:val="0"/>
                <w:snapToGrid w:val="0"/>
                <w:kern w:val="28"/>
                <w:sz w:val="24"/>
                <w:highlight w:val="none"/>
                <w:lang w:val="en-US" w:eastAsia="zh-CN"/>
              </w:rPr>
              <w:t>2、本项目实施过程中需重点保护、搬迁或拆装相关展具，具体详见附件。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2093"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采购代理服务费</w:t>
            </w:r>
          </w:p>
        </w:tc>
        <w:tc>
          <w:tcPr>
            <w:tcW w:w="6927" w:type="dxa"/>
            <w:vAlign w:val="center"/>
          </w:tcPr>
          <w:p>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1、本项目代理服务费参照计价格【2002】1980号文的服务收费标准的80%向成交供应商收取，计算不足3000元按3000元计取。供应商应当自成交公告发布之日起5个工作日内一次性向采购代理机构支付代理服务费。</w:t>
            </w:r>
          </w:p>
          <w:p>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2、代理服务费支付：</w:t>
            </w:r>
          </w:p>
          <w:p>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① 代理服务费缴纳形式：汇票/支票/电汇/现金</w:t>
            </w:r>
          </w:p>
          <w:p>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② 代理服务费汇入以下账户 ：</w:t>
            </w:r>
          </w:p>
          <w:p>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收款单位（户名）：浙江力德工程顾问有限公司；</w:t>
            </w:r>
          </w:p>
          <w:p>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开  户：杭州联合农村商业银行股份有限公司彭埠支行；</w:t>
            </w:r>
          </w:p>
          <w:p>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账  号：201000322033075</w:t>
            </w:r>
          </w:p>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3、增值税发票开票资料：①专票/普票；②单位名称；③税号（统一社会信用代码）；数电票接收邮箱。</w:t>
            </w:r>
          </w:p>
        </w:tc>
      </w:tr>
    </w:tbl>
    <w:p>
      <w:pPr>
        <w:snapToGrid w:val="0"/>
        <w:spacing w:line="360" w:lineRule="auto"/>
        <w:jc w:val="center"/>
        <w:rPr>
          <w:rFonts w:ascii="宋体" w:hAnsi="宋体" w:cs="宋体"/>
          <w:b/>
          <w:sz w:val="32"/>
          <w:szCs w:val="20"/>
          <w:highlight w:val="none"/>
        </w:rPr>
      </w:pPr>
    </w:p>
    <w:bookmarkEnd w:id="13"/>
    <w:p>
      <w:pPr>
        <w:widowControl/>
        <w:adjustRightInd/>
        <w:jc w:val="left"/>
        <w:rPr>
          <w:rFonts w:ascii="宋体" w:hAnsi="宋体" w:cs="宋体"/>
          <w:b/>
          <w:sz w:val="32"/>
          <w:szCs w:val="20"/>
          <w:highlight w:val="none"/>
        </w:rPr>
      </w:pPr>
      <w:bookmarkStart w:id="27" w:name="第三部分"/>
      <w:bookmarkStart w:id="28" w:name="_Toc164416483"/>
      <w:r>
        <w:rPr>
          <w:rFonts w:hint="eastAsia" w:ascii="宋体" w:hAnsi="宋体" w:cs="宋体"/>
          <w:b/>
          <w:sz w:val="32"/>
          <w:szCs w:val="20"/>
          <w:highlight w:val="none"/>
        </w:rPr>
        <w:br w:type="page"/>
      </w:r>
    </w:p>
    <w:p>
      <w:pPr>
        <w:snapToGrid w:val="0"/>
        <w:spacing w:line="360" w:lineRule="auto"/>
        <w:jc w:val="center"/>
        <w:outlineLvl w:val="1"/>
        <w:rPr>
          <w:rFonts w:ascii="宋体" w:hAnsi="宋体" w:cs="宋体"/>
          <w:b/>
          <w:sz w:val="32"/>
          <w:szCs w:val="20"/>
          <w:highlight w:val="none"/>
        </w:rPr>
      </w:pPr>
      <w:bookmarkStart w:id="29" w:name="_Toc1615"/>
      <w:r>
        <w:rPr>
          <w:rFonts w:hint="eastAsia" w:ascii="宋体" w:hAnsi="宋体" w:cs="宋体"/>
          <w:b/>
          <w:sz w:val="32"/>
          <w:szCs w:val="20"/>
          <w:highlight w:val="none"/>
        </w:rPr>
        <w:t>一、总则</w:t>
      </w:r>
      <w:bookmarkEnd w:id="29"/>
    </w:p>
    <w:p>
      <w:pPr>
        <w:snapToGrid w:val="0"/>
        <w:spacing w:line="360" w:lineRule="auto"/>
        <w:jc w:val="left"/>
        <w:outlineLvl w:val="1"/>
        <w:rPr>
          <w:rFonts w:ascii="宋体" w:hAnsi="宋体" w:cs="宋体"/>
          <w:b/>
          <w:sz w:val="24"/>
          <w:highlight w:val="none"/>
        </w:rPr>
      </w:pPr>
      <w:bookmarkStart w:id="30" w:name="_Toc17659"/>
      <w:r>
        <w:rPr>
          <w:rFonts w:hint="eastAsia" w:ascii="宋体" w:hAnsi="宋体" w:cs="宋体"/>
          <w:b/>
          <w:sz w:val="24"/>
          <w:highlight w:val="none"/>
        </w:rPr>
        <w:t>1. 适用范围</w:t>
      </w:r>
      <w:bookmarkEnd w:id="30"/>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sz w:val="24"/>
          <w:highlight w:val="none"/>
        </w:rPr>
      </w:pPr>
      <w:bookmarkStart w:id="31" w:name="_Toc7229"/>
      <w:r>
        <w:rPr>
          <w:rFonts w:hint="eastAsia" w:ascii="宋体" w:hAnsi="宋体" w:cs="宋体"/>
          <w:b/>
          <w:sz w:val="24"/>
          <w:highlight w:val="none"/>
        </w:rPr>
        <w:t>2.定义</w:t>
      </w:r>
      <w:bookmarkEnd w:id="31"/>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“采购人”系指竞争性磋商公告中载明的本项目的采购人。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“采购机构”系指竞争性磋商公告中载明的本项目的采购机构。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系指不适用本项目的要求，“※”系指磋商过程中可能实质性变动的内容。</w:t>
      </w:r>
    </w:p>
    <w:p>
      <w:pPr>
        <w:snapToGrid w:val="0"/>
        <w:spacing w:line="360" w:lineRule="auto"/>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 支持绿色发展</w:t>
      </w:r>
    </w:p>
    <w:p>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3.3支持中小企业发展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在政府采购活动中，供应商提供的工程符合下列情形的，享受中小企业扶持政策：</w:t>
      </w:r>
      <w:r>
        <w:rPr>
          <w:rFonts w:ascii="宋体" w:hAnsi="宋体" w:cs="宋体"/>
          <w:sz w:val="24"/>
          <w:highlight w:val="none"/>
        </w:rPr>
        <w:t>在工程采购项目中，工程由中小企业承建，即工程施工单位为中小企业</w:t>
      </w:r>
      <w:r>
        <w:rPr>
          <w:rFonts w:hint="eastAsia" w:ascii="宋体" w:hAnsi="宋体" w:cs="宋体"/>
          <w:kern w:val="0"/>
          <w:sz w:val="24"/>
          <w:highlight w:val="none"/>
        </w:rPr>
        <w:t>。</w:t>
      </w:r>
    </w:p>
    <w:p>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32" w:name="_Hlk101132181"/>
      <w:r>
        <w:rPr>
          <w:rFonts w:hint="eastAsia" w:ascii="宋体" w:hAnsi="宋体" w:cs="宋体"/>
          <w:sz w:val="24"/>
          <w:highlight w:val="none"/>
        </w:rPr>
        <w:t>联合协议或者分包意向协议约定小微企业的合同份额占到合同总金额30%以上的</w:t>
      </w:r>
      <w:bookmarkEnd w:id="32"/>
      <w:r>
        <w:rPr>
          <w:rFonts w:hint="eastAsia" w:ascii="宋体" w:hAnsi="宋体" w:cs="宋体"/>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hint="eastAsia" w:ascii="宋体" w:hAnsi="宋体" w:cs="宋体"/>
          <w:color w:val="FF0000"/>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pPr>
        <w:pStyle w:val="887"/>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4.1在线询问、质疑、投诉</w:t>
      </w:r>
    </w:p>
    <w:p>
      <w:pPr>
        <w:pStyle w:val="887"/>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pPr>
        <w:pStyle w:val="33"/>
        <w:snapToGrid w:val="0"/>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.1提出质疑的供应商应当是参与所质疑项目采购活动的供应商。潜在供应商已依法获取其可质疑的采购文件的，可以对该文件提出质疑。</w:t>
      </w:r>
    </w:p>
    <w:p>
      <w:pPr>
        <w:pStyle w:val="33"/>
        <w:snapToGrid w:val="0"/>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pPr>
        <w:pStyle w:val="33"/>
        <w:snapToGrid w:val="0"/>
        <w:spacing w:line="360" w:lineRule="auto"/>
        <w:ind w:firstLine="480" w:firstLineChars="200"/>
        <w:rPr>
          <w:rFonts w:hAnsi="宋体" w:cs="宋体"/>
          <w:sz w:val="24"/>
          <w:highlight w:val="none"/>
        </w:rPr>
      </w:pPr>
      <w:r>
        <w:rPr>
          <w:rFonts w:hint="eastAsia" w:hAnsi="宋体" w:cs="宋体"/>
          <w:sz w:val="24"/>
          <w:highlight w:val="none"/>
        </w:rPr>
        <w:t>4.3.2.2对采购过程提出质疑的，质疑期限为各采购程序环节结束之日起计算。</w:t>
      </w:r>
    </w:p>
    <w:p>
      <w:pPr>
        <w:pStyle w:val="33"/>
        <w:snapToGrid w:val="0"/>
        <w:spacing w:line="360" w:lineRule="auto"/>
        <w:ind w:firstLine="480" w:firstLineChars="200"/>
        <w:rPr>
          <w:rFonts w:hAnsi="宋体" w:cs="宋体"/>
          <w:sz w:val="24"/>
          <w:highlight w:val="none"/>
        </w:rPr>
      </w:pPr>
      <w:r>
        <w:rPr>
          <w:rFonts w:hint="eastAsia" w:hAnsi="宋体" w:cs="宋体"/>
          <w:sz w:val="24"/>
          <w:highlight w:val="none"/>
        </w:rPr>
        <w:t>4.3.2.3对采购结果提出质疑的，质疑期限自采购结果公告期限届满之日起计算。</w:t>
      </w:r>
    </w:p>
    <w:p>
      <w:pPr>
        <w:pStyle w:val="33"/>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pPr>
        <w:pStyle w:val="33"/>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4.3.3.1供应商的姓名或者名称、地址、邮编、联系人及联系电话；</w:t>
      </w:r>
    </w:p>
    <w:p>
      <w:pPr>
        <w:pStyle w:val="33"/>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4.3.3.2质疑项目的名称、编号；</w:t>
      </w:r>
    </w:p>
    <w:p>
      <w:pPr>
        <w:pStyle w:val="33"/>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4.3.3.3具体、明确的质疑事项和与质疑事项相关的请求；</w:t>
      </w:r>
    </w:p>
    <w:p>
      <w:pPr>
        <w:pStyle w:val="33"/>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4.3.3.4事实依据；</w:t>
      </w:r>
    </w:p>
    <w:p>
      <w:pPr>
        <w:pStyle w:val="33"/>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4.3.3.5必要的法律依据；</w:t>
      </w:r>
    </w:p>
    <w:p>
      <w:pPr>
        <w:pStyle w:val="33"/>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4.3.3.6提出质疑的日期。</w:t>
      </w:r>
    </w:p>
    <w:p>
      <w:pPr>
        <w:pStyle w:val="887"/>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质疑函范本及制作说明详见附件2。</w:t>
      </w:r>
    </w:p>
    <w:p>
      <w:pPr>
        <w:pStyle w:val="887"/>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4.3.4对同一采购程序环节的质疑，供应商须在法定质疑期内一次性提出。</w:t>
      </w:r>
    </w:p>
    <w:p>
      <w:pPr>
        <w:pStyle w:val="887"/>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pPr>
        <w:pStyle w:val="887"/>
        <w:shd w:val="clear" w:color="auto" w:fill="FFFFFF"/>
        <w:adjustRightInd w:val="0"/>
        <w:snapToGrid w:val="0"/>
        <w:spacing w:before="0" w:beforeAutospacing="0" w:after="0" w:afterAutospacing="0" w:line="360" w:lineRule="auto"/>
        <w:ind w:firstLine="480" w:firstLineChars="200"/>
        <w:contextualSpacing/>
        <w:rPr>
          <w:highlight w:val="none"/>
          <w:lang w:val="zh-CN"/>
        </w:rPr>
      </w:pPr>
      <w:r>
        <w:rPr>
          <w:rFonts w:hint="eastAsia"/>
          <w:highlight w:val="none"/>
          <w:lang w:val="zh-CN"/>
        </w:rPr>
        <w:t>4.4供应商投诉</w:t>
      </w:r>
    </w:p>
    <w:p>
      <w:pPr>
        <w:pStyle w:val="887"/>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pPr>
        <w:pStyle w:val="887"/>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4.4.3供应商投诉应当有明确的请求和必要的证明材料。</w:t>
      </w:r>
    </w:p>
    <w:p>
      <w:pPr>
        <w:pStyle w:val="887"/>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4.4.4以联合体形式参加政府采购活动的，其投诉应当由组成联合体的所有供应商共同提出。</w:t>
      </w:r>
    </w:p>
    <w:p>
      <w:pPr>
        <w:pStyle w:val="887"/>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asciiTheme="minorEastAsia" w:hAnsiTheme="minorEastAsia" w:eastAsiaTheme="minorEastAsia"/>
          <w:highlight w:val="none"/>
        </w:rPr>
        <w:t>4.5.5浙江省本级、杭州市本级、拱墅区、富阳区政府采购项目投诉材料可寄送浙江省政府采购行政裁决服务中心（杭州），地址：杭州市上城区四季青街道新业路市民之家G03办公室，收件人：朱女士，电话：</w:t>
      </w:r>
      <w:r>
        <w:rPr>
          <w:rFonts w:hint="eastAsia" w:ascii="宋体" w:hAnsi="宋体" w:cs="宋体"/>
          <w:sz w:val="24"/>
          <w:highlight w:val="none"/>
        </w:rPr>
        <w:t xml:space="preserve">0571-85252453 </w:t>
      </w:r>
    </w:p>
    <w:p>
      <w:pPr>
        <w:pStyle w:val="887"/>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投诉书范本及制作说明详见附件3。</w:t>
      </w:r>
    </w:p>
    <w:p>
      <w:pPr>
        <w:pStyle w:val="128"/>
        <w:snapToGrid w:val="0"/>
        <w:spacing w:before="0"/>
        <w:ind w:firstLine="360"/>
        <w:rPr>
          <w:rFonts w:ascii="宋体" w:hAnsi="宋体" w:cs="宋体"/>
          <w:sz w:val="18"/>
          <w:szCs w:val="18"/>
          <w:highlight w:val="none"/>
        </w:rPr>
      </w:pPr>
    </w:p>
    <w:p>
      <w:pPr>
        <w:snapToGrid w:val="0"/>
        <w:spacing w:line="360" w:lineRule="auto"/>
        <w:jc w:val="center"/>
        <w:outlineLvl w:val="1"/>
        <w:rPr>
          <w:rFonts w:ascii="宋体" w:hAnsi="宋体" w:cs="宋体"/>
          <w:b/>
          <w:sz w:val="32"/>
          <w:szCs w:val="20"/>
          <w:highlight w:val="none"/>
        </w:rPr>
      </w:pPr>
      <w:bookmarkStart w:id="33" w:name="_Toc30547"/>
      <w:r>
        <w:rPr>
          <w:rFonts w:hint="eastAsia" w:ascii="宋体" w:hAnsi="宋体" w:cs="宋体"/>
          <w:b/>
          <w:sz w:val="32"/>
          <w:szCs w:val="20"/>
          <w:highlight w:val="none"/>
        </w:rPr>
        <w:t>二、采购文件的构成、澄清、修改</w:t>
      </w:r>
      <w:bookmarkEnd w:id="33"/>
    </w:p>
    <w:p>
      <w:pPr>
        <w:pStyle w:val="33"/>
        <w:spacing w:line="360" w:lineRule="auto"/>
        <w:rPr>
          <w:rFonts w:hAnsi="宋体" w:cs="宋体"/>
          <w:b/>
          <w:sz w:val="24"/>
          <w:szCs w:val="24"/>
          <w:highlight w:val="none"/>
        </w:rPr>
      </w:pPr>
      <w:r>
        <w:rPr>
          <w:rFonts w:hint="eastAsia" w:hAnsi="宋体" w:cs="宋体"/>
          <w:b/>
          <w:sz w:val="24"/>
          <w:szCs w:val="24"/>
          <w:highlight w:val="none"/>
        </w:rPr>
        <w:t>5．采购文件的构成</w:t>
      </w:r>
    </w:p>
    <w:p>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采购文件包括下列文件及附件：</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5.1.1竞争性磋商公告；</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5.1.2供应商须知；</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5.1.4评审办法；</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澄清或者修改的内容为采购文件的组成部分</w:t>
      </w:r>
      <w:r>
        <w:rPr>
          <w:rFonts w:hint="eastAsia" w:ascii="宋体" w:hAnsi="宋体" w:cs="宋体"/>
          <w:sz w:val="24"/>
          <w:highlight w:val="none"/>
        </w:rPr>
        <w:t>。</w:t>
      </w:r>
    </w:p>
    <w:p>
      <w:pPr>
        <w:pStyle w:val="33"/>
        <w:spacing w:line="360" w:lineRule="auto"/>
        <w:rPr>
          <w:rFonts w:hAnsi="宋体" w:cs="宋体"/>
          <w:b/>
          <w:sz w:val="24"/>
          <w:szCs w:val="24"/>
          <w:highlight w:val="none"/>
        </w:rPr>
      </w:pPr>
      <w:r>
        <w:rPr>
          <w:rFonts w:hint="eastAsia" w:hAnsi="宋体" w:cs="宋体"/>
          <w:b/>
          <w:sz w:val="24"/>
          <w:szCs w:val="24"/>
          <w:highlight w:val="none"/>
        </w:rPr>
        <w:t>6. 采购文件的澄清、修改</w:t>
      </w:r>
    </w:p>
    <w:p>
      <w:pPr>
        <w:pStyle w:val="128"/>
        <w:snapToGrid w:val="0"/>
        <w:spacing w:before="0"/>
        <w:ind w:firstLine="480"/>
        <w:rPr>
          <w:rFonts w:ascii="宋体" w:hAnsi="宋体" w:cs="宋体"/>
          <w:highlight w:val="none"/>
        </w:rPr>
      </w:pPr>
      <w:r>
        <w:rPr>
          <w:rFonts w:hint="eastAsia" w:ascii="宋体" w:hAnsi="宋体" w:cs="宋体"/>
          <w:highlight w:val="none"/>
        </w:rPr>
        <w:t>6.1已获取采购文件的潜在供应商，若有问题需要澄清，应于响应文件提交（上传）截止时间前，以书面形式向采购机构提出。</w:t>
      </w:r>
    </w:p>
    <w:p>
      <w:pPr>
        <w:pStyle w:val="128"/>
        <w:snapToGrid w:val="0"/>
        <w:spacing w:before="0"/>
        <w:ind w:firstLine="480"/>
        <w:rPr>
          <w:rFonts w:ascii="宋体" w:hAnsi="宋体" w:cs="宋体"/>
          <w:highlight w:val="none"/>
        </w:rPr>
      </w:pPr>
      <w:r>
        <w:rPr>
          <w:rFonts w:hint="eastAsia" w:ascii="宋体" w:hAnsi="宋体" w:cs="宋体"/>
          <w:highlight w:val="none"/>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3"/>
        <w:rPr>
          <w:rFonts w:hAnsi="宋体" w:cs="宋体"/>
          <w:sz w:val="18"/>
          <w:szCs w:val="18"/>
          <w:highlight w:val="none"/>
          <w:lang w:val="en-US"/>
        </w:rPr>
      </w:pPr>
    </w:p>
    <w:p>
      <w:pPr>
        <w:snapToGrid w:val="0"/>
        <w:spacing w:line="360" w:lineRule="auto"/>
        <w:jc w:val="center"/>
        <w:outlineLvl w:val="1"/>
        <w:rPr>
          <w:rFonts w:ascii="宋体" w:hAnsi="宋体" w:cs="宋体"/>
          <w:b/>
          <w:sz w:val="32"/>
          <w:szCs w:val="20"/>
          <w:highlight w:val="none"/>
        </w:rPr>
      </w:pPr>
      <w:bookmarkStart w:id="34" w:name="_Toc13167"/>
      <w:r>
        <w:rPr>
          <w:rFonts w:hint="eastAsia" w:ascii="宋体" w:hAnsi="宋体" w:cs="宋体"/>
          <w:b/>
          <w:sz w:val="32"/>
          <w:szCs w:val="20"/>
          <w:highlight w:val="none"/>
        </w:rPr>
        <w:t>三、提交响应文件</w:t>
      </w:r>
      <w:bookmarkEnd w:id="34"/>
    </w:p>
    <w:p>
      <w:pPr>
        <w:pStyle w:val="33"/>
        <w:spacing w:line="360" w:lineRule="auto"/>
        <w:rPr>
          <w:rFonts w:hAnsi="宋体" w:cs="宋体"/>
          <w:b/>
          <w:sz w:val="24"/>
          <w:szCs w:val="24"/>
          <w:highlight w:val="none"/>
        </w:rPr>
      </w:pPr>
      <w:r>
        <w:rPr>
          <w:rFonts w:hint="eastAsia" w:hAnsi="宋体" w:cs="宋体"/>
          <w:b/>
          <w:sz w:val="24"/>
          <w:szCs w:val="24"/>
          <w:highlight w:val="none"/>
        </w:rPr>
        <w:t>7. 采购文件的获取</w:t>
      </w:r>
    </w:p>
    <w:p>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详见竞争性磋商公告中获取采购文件的时间期限、地点、方式及采购文件售价。</w:t>
      </w:r>
    </w:p>
    <w:p>
      <w:pPr>
        <w:pStyle w:val="33"/>
        <w:spacing w:line="360" w:lineRule="auto"/>
        <w:rPr>
          <w:rFonts w:hAnsi="宋体" w:cs="宋体"/>
          <w:b/>
          <w:sz w:val="24"/>
          <w:szCs w:val="24"/>
          <w:highlight w:val="none"/>
        </w:rPr>
      </w:pPr>
      <w:r>
        <w:rPr>
          <w:rFonts w:hint="eastAsia" w:hAnsi="宋体" w:cs="宋体"/>
          <w:b/>
          <w:sz w:val="24"/>
          <w:szCs w:val="24"/>
          <w:highlight w:val="none"/>
        </w:rPr>
        <w:t>8.磋商前答疑会或现场考察</w:t>
      </w:r>
    </w:p>
    <w:p>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采购人组织潜在供应商现场考察或者召开磋商前答疑会的，潜在供应商按第二部分供应商须知前附表的规定参加现场考察或者磋商前答疑会。</w:t>
      </w:r>
    </w:p>
    <w:p>
      <w:pPr>
        <w:pStyle w:val="33"/>
        <w:spacing w:line="360" w:lineRule="auto"/>
        <w:rPr>
          <w:rFonts w:hAnsi="宋体" w:cs="宋体"/>
          <w:b/>
          <w:szCs w:val="24"/>
          <w:highlight w:val="none"/>
        </w:rPr>
      </w:pPr>
      <w:r>
        <w:rPr>
          <w:rFonts w:hint="eastAsia" w:hAnsi="宋体" w:cs="宋体"/>
          <w:b/>
          <w:kern w:val="28"/>
          <w:sz w:val="24"/>
          <w:szCs w:val="24"/>
          <w:highlight w:val="none"/>
        </w:rPr>
        <w:t>9.磋商保证金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pPr>
        <w:pStyle w:val="33"/>
        <w:spacing w:line="360" w:lineRule="auto"/>
        <w:rPr>
          <w:rFonts w:hAnsi="宋体" w:cs="宋体"/>
          <w:b/>
          <w:sz w:val="24"/>
          <w:szCs w:val="24"/>
          <w:highlight w:val="none"/>
        </w:rPr>
      </w:pPr>
      <w:r>
        <w:rPr>
          <w:rFonts w:hint="eastAsia" w:hAnsi="宋体" w:cs="宋体"/>
          <w:b/>
          <w:sz w:val="24"/>
          <w:szCs w:val="24"/>
          <w:highlight w:val="none"/>
        </w:rPr>
        <w:t>10. 响应文件的语言</w:t>
      </w:r>
    </w:p>
    <w:p>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响应文件及供应商与采购有关的来往通知、函件和文件均应使用中文。</w:t>
      </w:r>
    </w:p>
    <w:p>
      <w:pPr>
        <w:pStyle w:val="33"/>
        <w:spacing w:line="360" w:lineRule="auto"/>
        <w:rPr>
          <w:rFonts w:hAnsi="宋体" w:cs="宋体"/>
          <w:b/>
          <w:sz w:val="24"/>
          <w:szCs w:val="24"/>
          <w:highlight w:val="none"/>
        </w:rPr>
      </w:pPr>
      <w:r>
        <w:rPr>
          <w:rFonts w:hint="eastAsia" w:hAnsi="宋体" w:cs="宋体"/>
          <w:b/>
          <w:sz w:val="24"/>
          <w:szCs w:val="24"/>
          <w:highlight w:val="none"/>
        </w:rPr>
        <w:t>11. 响应文件的组成</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35" w:name="_Hlk101259339"/>
      <w:r>
        <w:rPr>
          <w:rFonts w:hint="eastAsia" w:ascii="宋体" w:hAnsi="宋体" w:cs="宋体"/>
          <w:snapToGrid w:val="0"/>
          <w:kern w:val="28"/>
          <w:sz w:val="24"/>
          <w:szCs w:val="20"/>
          <w:highlight w:val="none"/>
        </w:rPr>
        <w:t>联合协议</w:t>
      </w:r>
      <w:bookmarkStart w:id="36" w:name="_Hlk101257010"/>
      <w:r>
        <w:rPr>
          <w:rFonts w:hint="eastAsia" w:ascii="宋体" w:hAnsi="宋体" w:cs="宋体"/>
          <w:snapToGrid w:val="0"/>
          <w:kern w:val="28"/>
          <w:sz w:val="24"/>
          <w:szCs w:val="20"/>
          <w:highlight w:val="none"/>
        </w:rPr>
        <w:t>（如果有)</w:t>
      </w:r>
      <w:bookmarkEnd w:id="35"/>
      <w:bookmarkEnd w:id="36"/>
      <w:r>
        <w:rPr>
          <w:rFonts w:hint="eastAsia" w:ascii="宋体" w:hAnsi="宋体" w:cs="宋体"/>
          <w:snapToGrid w:val="0"/>
          <w:kern w:val="28"/>
          <w:sz w:val="24"/>
          <w:szCs w:val="20"/>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11.2.1响应函；</w:t>
      </w:r>
      <w:r>
        <w:rPr>
          <w:rFonts w:hint="eastAsia" w:ascii="宋体" w:hAnsi="宋体" w:cs="宋体"/>
          <w:sz w:val="24"/>
          <w:highlight w:val="none"/>
          <w:lang w:val="zh-CN"/>
        </w:rPr>
        <w:t xml:space="preserve"> </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11.2.3分包意向协议（如果有)；</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11.2.4符合性审查资料；</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11.2.5评审标准相应的商务技术资料；</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11.2.6商务技术偏离表；</w:t>
      </w:r>
    </w:p>
    <w:p>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11.3.1报价单；</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11.3.2已标价工程量清单；</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11.3.3中小企业声明函。</w:t>
      </w:r>
    </w:p>
    <w:p>
      <w:pPr>
        <w:spacing w:line="360" w:lineRule="auto"/>
        <w:ind w:firstLine="723" w:firstLineChars="300"/>
        <w:rPr>
          <w:rFonts w:ascii="宋体" w:hAnsi="宋体" w:cs="宋体"/>
          <w:b/>
          <w:sz w:val="24"/>
          <w:highlight w:val="none"/>
        </w:rPr>
      </w:pPr>
      <w:r>
        <w:rPr>
          <w:rFonts w:hint="eastAsia" w:ascii="宋体" w:hAnsi="宋体" w:cs="宋体"/>
          <w:b/>
          <w:sz w:val="24"/>
          <w:highlight w:val="none"/>
        </w:rPr>
        <w:t>响应文件含有采购人不能接受的附加条件的，响应文件无效；</w:t>
      </w:r>
    </w:p>
    <w:p>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供应商提供虚假材料的，响应文件无效。</w:t>
      </w:r>
    </w:p>
    <w:p>
      <w:pPr>
        <w:pStyle w:val="128"/>
        <w:snapToGrid w:val="0"/>
        <w:spacing w:before="0"/>
        <w:ind w:firstLine="0" w:firstLineChars="0"/>
        <w:outlineLvl w:val="0"/>
        <w:rPr>
          <w:rFonts w:ascii="宋体" w:hAnsi="宋体" w:cs="宋体"/>
          <w:b/>
          <w:szCs w:val="24"/>
          <w:highlight w:val="none"/>
        </w:rPr>
      </w:pPr>
      <w:bookmarkStart w:id="37" w:name="_Toc1842"/>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响应文件的编制</w:t>
      </w:r>
      <w:bookmarkEnd w:id="37"/>
    </w:p>
    <w:p>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highlight w:val="none"/>
        </w:rPr>
      </w:pPr>
      <w:r>
        <w:rPr>
          <w:rFonts w:hint="eastAsia" w:ascii="宋体" w:hAnsi="宋体" w:cs="宋体"/>
          <w:b/>
          <w:sz w:val="24"/>
          <w:highlight w:val="none"/>
        </w:rPr>
        <w:t>13.响应文件的签署、盖章</w:t>
      </w:r>
    </w:p>
    <w:p>
      <w:pPr>
        <w:pStyle w:val="128"/>
        <w:snapToGrid w:val="0"/>
        <w:spacing w:before="0"/>
        <w:ind w:firstLine="480"/>
        <w:rPr>
          <w:rFonts w:ascii="宋体" w:hAnsi="宋体" w:cs="宋体"/>
          <w:b/>
          <w:highlight w:val="none"/>
        </w:rPr>
      </w:pPr>
      <w:r>
        <w:rPr>
          <w:rFonts w:hint="eastAsia" w:ascii="宋体" w:hAnsi="宋体" w:cs="宋体"/>
          <w:szCs w:val="24"/>
          <w:highlight w:val="none"/>
        </w:rPr>
        <w:t>13.1响应文件按照采购文件第六部分格式要</w:t>
      </w:r>
      <w:r>
        <w:rPr>
          <w:rFonts w:hint="eastAsia" w:ascii="宋体" w:hAnsi="宋体" w:cs="宋体"/>
          <w:highlight w:val="none"/>
        </w:rPr>
        <w:t>求进行签署、盖章。</w:t>
      </w:r>
      <w:r>
        <w:rPr>
          <w:rFonts w:hint="eastAsia" w:ascii="宋体" w:hAnsi="宋体" w:cs="宋体"/>
          <w:b/>
          <w:highlight w:val="none"/>
        </w:rPr>
        <w:t>▲供应商的响应文件未按照采购文件要求签署、盖章的，其响应文件无效</w:t>
      </w:r>
      <w:r>
        <w:rPr>
          <w:rFonts w:hint="eastAsia" w:ascii="宋体" w:hAnsi="宋体" w:cs="宋体"/>
          <w:szCs w:val="24"/>
          <w:highlight w:val="none"/>
        </w:rPr>
        <w:t>。</w:t>
      </w:r>
    </w:p>
    <w:p>
      <w:pPr>
        <w:pStyle w:val="128"/>
        <w:snapToGrid w:val="0"/>
        <w:spacing w:before="0"/>
        <w:ind w:firstLine="480"/>
        <w:rPr>
          <w:rFonts w:ascii="宋体" w:hAnsi="宋体" w:cs="宋体"/>
          <w:highlight w:val="none"/>
        </w:rPr>
      </w:pPr>
      <w:r>
        <w:rPr>
          <w:rFonts w:hint="eastAsia" w:ascii="宋体" w:hAnsi="宋体" w:cs="宋体"/>
          <w:highlight w:val="none"/>
        </w:rPr>
        <w:t>13.2为确保网上操作合法、有效和安全，供应商应当在响应文件提交（上传）截止时间前完成在“政府采购云平台”的身份认证，确保在电子投标过程中能够对相关数据电文进行加密和使用电子签名。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highlight w:val="none"/>
        </w:rPr>
      </w:pPr>
      <w:r>
        <w:rPr>
          <w:rFonts w:hint="eastAsia" w:ascii="宋体" w:hAnsi="宋体" w:cs="宋体"/>
          <w:highlight w:val="none"/>
        </w:rPr>
        <w:t>13.3采购文件对响应文件签署、盖章的要求适用于电子签名。</w:t>
      </w:r>
    </w:p>
    <w:p>
      <w:pPr>
        <w:pStyle w:val="128"/>
        <w:snapToGrid w:val="0"/>
        <w:spacing w:before="0"/>
        <w:ind w:firstLine="0" w:firstLineChars="0"/>
        <w:rPr>
          <w:rFonts w:ascii="宋体" w:hAnsi="宋体" w:cs="宋体"/>
          <w:b/>
          <w:szCs w:val="24"/>
          <w:highlight w:val="none"/>
        </w:rPr>
      </w:pPr>
    </w:p>
    <w:p>
      <w:pPr>
        <w:pStyle w:val="128"/>
        <w:snapToGrid w:val="0"/>
        <w:spacing w:before="0"/>
        <w:ind w:firstLine="0" w:firstLineChars="0"/>
        <w:rPr>
          <w:rFonts w:ascii="宋体" w:hAnsi="宋体" w:cs="宋体"/>
          <w:b/>
          <w:szCs w:val="24"/>
          <w:highlight w:val="none"/>
        </w:rPr>
      </w:pPr>
      <w:r>
        <w:rPr>
          <w:rFonts w:hint="eastAsia" w:ascii="宋体" w:hAnsi="宋体" w:cs="宋体"/>
          <w:b/>
          <w:szCs w:val="24"/>
          <w:highlight w:val="none"/>
        </w:rPr>
        <w:t>14. 响应文件的提交、补充、修改、撤回</w:t>
      </w:r>
    </w:p>
    <w:p>
      <w:pPr>
        <w:pStyle w:val="128"/>
        <w:snapToGrid w:val="0"/>
        <w:spacing w:before="0"/>
        <w:ind w:firstLine="480"/>
        <w:rPr>
          <w:rFonts w:ascii="宋体" w:hAnsi="宋体" w:cs="宋体"/>
          <w:szCs w:val="24"/>
          <w:highlight w:val="none"/>
        </w:rPr>
      </w:pPr>
      <w:r>
        <w:rPr>
          <w:rFonts w:hint="eastAsia" w:ascii="宋体" w:hAnsi="宋体" w:cs="宋体"/>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28"/>
        <w:snapToGrid w:val="0"/>
        <w:spacing w:before="0"/>
        <w:ind w:firstLine="480"/>
        <w:rPr>
          <w:rFonts w:ascii="宋体" w:hAnsi="宋体" w:cs="宋体"/>
          <w:szCs w:val="24"/>
          <w:highlight w:val="none"/>
        </w:rPr>
      </w:pPr>
      <w:r>
        <w:rPr>
          <w:rFonts w:hint="eastAsia" w:ascii="宋体" w:hAnsi="宋体" w:cs="宋体"/>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28"/>
        <w:snapToGrid w:val="0"/>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14.3采购人、采购机构可以视情况延长响应文件提交的截止时间。在上述情况下，采购机构与供应商以前在响应文件提交截止时间方面的全部权利、责任和义务，将适用于延长至新的响应文件提交截止时间。</w:t>
      </w:r>
    </w:p>
    <w:p>
      <w:pPr>
        <w:pStyle w:val="33"/>
        <w:snapToGrid w:val="0"/>
        <w:spacing w:line="360" w:lineRule="auto"/>
        <w:rPr>
          <w:rFonts w:hAnsi="宋体" w:cs="宋体"/>
          <w:b/>
          <w:sz w:val="24"/>
          <w:szCs w:val="24"/>
          <w:highlight w:val="none"/>
        </w:rPr>
      </w:pPr>
      <w:r>
        <w:rPr>
          <w:rFonts w:hint="eastAsia" w:hAnsi="宋体" w:cs="宋体"/>
          <w:b/>
          <w:sz w:val="24"/>
          <w:szCs w:val="24"/>
          <w:highlight w:val="none"/>
        </w:rPr>
        <w:t>15.备份响应文件</w:t>
      </w:r>
    </w:p>
    <w:p>
      <w:pPr>
        <w:pStyle w:val="33"/>
        <w:snapToGrid w:val="0"/>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highlight w:val="none"/>
        </w:rPr>
        <w:t>但采购人、采购机构不强制或变相强制供应商提交备份响应文件。</w:t>
      </w:r>
    </w:p>
    <w:p>
      <w:pPr>
        <w:pStyle w:val="33"/>
        <w:snapToGrid w:val="0"/>
        <w:spacing w:line="360" w:lineRule="auto"/>
        <w:ind w:firstLine="480" w:firstLineChars="200"/>
        <w:rPr>
          <w:rFonts w:hAnsi="宋体" w:cs="宋体"/>
          <w:b/>
          <w:sz w:val="24"/>
          <w:szCs w:val="24"/>
          <w:highlight w:val="none"/>
        </w:rPr>
      </w:pPr>
      <w:r>
        <w:rPr>
          <w:rFonts w:hint="eastAsia" w:hAnsi="宋体" w:cs="宋体"/>
          <w:sz w:val="24"/>
          <w:szCs w:val="24"/>
          <w:highlight w:val="none"/>
        </w:rPr>
        <w:t>15.2备份响应文件须在“政采云投标客户端”制作生成，并储存在</w:t>
      </w:r>
      <w:r>
        <w:rPr>
          <w:rFonts w:hint="eastAsia" w:hAnsi="宋体" w:cs="宋体"/>
          <w:sz w:val="24"/>
          <w:highlight w:val="none"/>
        </w:rPr>
        <w:t>DVD光盘</w:t>
      </w:r>
      <w:r>
        <w:rPr>
          <w:rFonts w:hint="eastAsia" w:hAnsi="宋体" w:cs="宋体"/>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存储、密封规定的备份响应文件将被视为无效或者被拒绝接收。</w:t>
      </w:r>
    </w:p>
    <w:p>
      <w:pPr>
        <w:pStyle w:val="33"/>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15.3直接提交备份响应文件的，供应商应于响应文件提交（上传）截止时间前在竞争性磋商公告中载明的响应文件开启地点将备份响应文件提交给采购机构，采购机构将拒绝接受逾期送达的备份响应文件。</w:t>
      </w:r>
    </w:p>
    <w:p>
      <w:pPr>
        <w:pStyle w:val="33"/>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highlight w:val="none"/>
        </w:rPr>
        <w:t>采购文件第二部分供应商须知前附表规定的备份响应文件送达地点；</w:t>
      </w:r>
      <w:r>
        <w:rPr>
          <w:rFonts w:hint="eastAsia" w:hAnsi="宋体" w:cs="宋体"/>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pPr>
        <w:pStyle w:val="33"/>
        <w:snapToGrid w:val="0"/>
        <w:spacing w:line="360" w:lineRule="auto"/>
        <w:ind w:firstLine="479" w:firstLineChars="199"/>
        <w:rPr>
          <w:rFonts w:hAnsi="宋体" w:cs="宋体"/>
          <w:b/>
          <w:sz w:val="24"/>
          <w:szCs w:val="24"/>
          <w:highlight w:val="none"/>
        </w:rPr>
      </w:pPr>
      <w:r>
        <w:rPr>
          <w:rFonts w:hint="eastAsia" w:hAnsi="宋体" w:cs="宋体"/>
          <w:b/>
          <w:sz w:val="24"/>
          <w:szCs w:val="24"/>
          <w:highlight w:val="none"/>
        </w:rPr>
        <w:t>15.5供应商仅提交备份响应文件，未在电子交易平台传输递交响应文件的，响应文件无效。</w:t>
      </w:r>
    </w:p>
    <w:p>
      <w:pPr>
        <w:pStyle w:val="128"/>
        <w:spacing w:before="0"/>
        <w:ind w:firstLine="0" w:firstLineChars="0"/>
        <w:rPr>
          <w:rFonts w:ascii="宋体" w:hAnsi="宋体" w:cs="宋体"/>
          <w:b/>
          <w:szCs w:val="24"/>
          <w:highlight w:val="none"/>
        </w:rPr>
      </w:pPr>
      <w:r>
        <w:rPr>
          <w:rFonts w:hint="eastAsia" w:ascii="宋体" w:hAnsi="宋体" w:cs="宋体"/>
          <w:b/>
          <w:szCs w:val="24"/>
          <w:highlight w:val="none"/>
        </w:rPr>
        <w:t>16.响应文件的无效处理</w:t>
      </w:r>
    </w:p>
    <w:p>
      <w:pPr>
        <w:pStyle w:val="25"/>
        <w:spacing w:line="360" w:lineRule="auto"/>
        <w:ind w:firstLine="360" w:firstLineChars="150"/>
        <w:rPr>
          <w:rFonts w:cs="宋体"/>
          <w:szCs w:val="21"/>
          <w:highlight w:val="none"/>
        </w:rPr>
      </w:pPr>
      <w:r>
        <w:rPr>
          <w:rFonts w:hint="eastAsia" w:cs="宋体"/>
          <w:szCs w:val="21"/>
          <w:highlight w:val="none"/>
        </w:rPr>
        <w:t>有采购文件第四部分</w:t>
      </w:r>
      <w:r>
        <w:rPr>
          <w:rFonts w:hint="eastAsia" w:cs="宋体"/>
          <w:highlight w:val="none"/>
        </w:rPr>
        <w:t>4.2规定</w:t>
      </w:r>
      <w:r>
        <w:rPr>
          <w:rFonts w:hint="eastAsia" w:cs="宋体"/>
          <w:szCs w:val="21"/>
          <w:highlight w:val="none"/>
        </w:rPr>
        <w:t>的情形之一的，响应文件无效：</w:t>
      </w:r>
    </w:p>
    <w:p>
      <w:pPr>
        <w:pStyle w:val="128"/>
        <w:spacing w:before="0"/>
        <w:ind w:firstLine="0" w:firstLineChars="0"/>
        <w:rPr>
          <w:rFonts w:ascii="宋体" w:hAnsi="宋体" w:cs="宋体"/>
          <w:b/>
          <w:szCs w:val="24"/>
          <w:highlight w:val="none"/>
        </w:rPr>
      </w:pPr>
      <w:r>
        <w:rPr>
          <w:rFonts w:hint="eastAsia" w:ascii="宋体" w:hAnsi="宋体" w:cs="宋体"/>
          <w:b/>
          <w:szCs w:val="24"/>
          <w:highlight w:val="none"/>
        </w:rPr>
        <w:t>17.响应文件有效期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17.1响应文件有效期为从提交响应文件的截止之日起90天。▲</w:t>
      </w:r>
      <w:r>
        <w:rPr>
          <w:rFonts w:hint="eastAsia" w:ascii="宋体" w:hAnsi="宋体" w:cs="宋体"/>
          <w:b/>
          <w:sz w:val="24"/>
          <w:szCs w:val="20"/>
          <w:highlight w:val="none"/>
        </w:rPr>
        <w:t>供应商的响应文件中承</w:t>
      </w:r>
      <w:r>
        <w:rPr>
          <w:rFonts w:hint="eastAsia" w:ascii="宋体" w:hAnsi="宋体" w:cs="宋体"/>
          <w:b/>
          <w:sz w:val="24"/>
          <w:szCs w:val="21"/>
          <w:highlight w:val="none"/>
        </w:rPr>
        <w:t>诺的响应文件有效期少于采购文件中载明的响应文件有效期的，响应文件无效。</w:t>
      </w:r>
    </w:p>
    <w:p>
      <w:pPr>
        <w:pStyle w:val="128"/>
        <w:spacing w:before="0"/>
        <w:ind w:firstLine="480"/>
        <w:rPr>
          <w:rFonts w:ascii="宋体" w:hAnsi="宋体" w:cs="宋体"/>
          <w:highlight w:val="none"/>
        </w:rPr>
      </w:pPr>
      <w:r>
        <w:rPr>
          <w:rFonts w:hint="eastAsia" w:ascii="宋体" w:hAnsi="宋体" w:cs="宋体"/>
          <w:highlight w:val="none"/>
        </w:rPr>
        <w:t>17.2响应文件合格投递后，自响应文件提交截止时间起，在响应文件有效期内有效。</w:t>
      </w:r>
    </w:p>
    <w:p>
      <w:pPr>
        <w:pStyle w:val="128"/>
        <w:spacing w:before="0"/>
        <w:ind w:firstLine="480"/>
        <w:rPr>
          <w:rFonts w:ascii="宋体" w:hAnsi="宋体" w:cs="宋体"/>
          <w:highlight w:val="none"/>
        </w:rPr>
      </w:pPr>
      <w:r>
        <w:rPr>
          <w:rFonts w:hint="eastAsia" w:ascii="宋体" w:hAnsi="宋体" w:cs="宋体"/>
          <w:highlight w:val="none"/>
        </w:rPr>
        <w:t>17.3在原定响应文件有效期满之前，如果出现特殊情况，采购机构可以以书面形式通知供应商延长响应文件有效期。供应商同意延长的，不得要求或被允许修改其响应文件，供应商拒绝延长的，其响应文件无效。</w:t>
      </w:r>
    </w:p>
    <w:p>
      <w:pPr>
        <w:pStyle w:val="128"/>
        <w:spacing w:before="0"/>
        <w:ind w:firstLine="643"/>
        <w:rPr>
          <w:rFonts w:ascii="宋体" w:hAnsi="宋体" w:cs="宋体"/>
          <w:b/>
          <w:sz w:val="32"/>
          <w:highlight w:val="none"/>
        </w:rPr>
      </w:pPr>
    </w:p>
    <w:p>
      <w:pPr>
        <w:snapToGrid w:val="0"/>
        <w:spacing w:line="360" w:lineRule="auto"/>
        <w:jc w:val="center"/>
        <w:outlineLvl w:val="1"/>
        <w:rPr>
          <w:rFonts w:ascii="宋体" w:hAnsi="宋体" w:cs="宋体"/>
          <w:b/>
          <w:sz w:val="32"/>
          <w:szCs w:val="20"/>
          <w:highlight w:val="none"/>
        </w:rPr>
      </w:pPr>
      <w:bookmarkStart w:id="38" w:name="_Toc25370"/>
      <w:r>
        <w:rPr>
          <w:rFonts w:hint="eastAsia" w:ascii="宋体" w:hAnsi="宋体" w:cs="宋体"/>
          <w:b/>
          <w:sz w:val="32"/>
          <w:szCs w:val="20"/>
          <w:highlight w:val="none"/>
        </w:rPr>
        <w:t>四、响应文件开启、资格审查与信用信息查询</w:t>
      </w:r>
      <w:bookmarkEnd w:id="38"/>
    </w:p>
    <w:p>
      <w:pPr>
        <w:pStyle w:val="555"/>
        <w:spacing w:before="0" w:line="360" w:lineRule="auto"/>
        <w:ind w:left="0" w:firstLine="0"/>
        <w:contextualSpacing/>
        <w:rPr>
          <w:rFonts w:ascii="宋体" w:hAnsi="宋体" w:cs="宋体"/>
          <w:sz w:val="24"/>
          <w:highlight w:val="none"/>
        </w:rPr>
      </w:pPr>
      <w:r>
        <w:rPr>
          <w:rFonts w:hint="eastAsia" w:ascii="宋体" w:hAnsi="宋体" w:cs="宋体"/>
          <w:b/>
          <w:sz w:val="24"/>
          <w:szCs w:val="24"/>
          <w:highlight w:val="none"/>
        </w:rPr>
        <w:t>18.响应文件开启</w:t>
      </w:r>
      <w:r>
        <w:rPr>
          <w:rFonts w:hint="eastAsia" w:ascii="宋体" w:hAnsi="宋体" w:cs="宋体"/>
          <w:sz w:val="24"/>
          <w:highlight w:val="none"/>
        </w:rPr>
        <w:t xml:space="preserve"> </w:t>
      </w:r>
    </w:p>
    <w:p>
      <w:pPr>
        <w:pStyle w:val="555"/>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18.1采购机构按照采购文件规定的时间通过电子交易平台组织响应文件开启，所有供应商均应当准时在线参加。供应商不足3家的，不得开启。</w:t>
      </w:r>
    </w:p>
    <w:p>
      <w:pPr>
        <w:pStyle w:val="555"/>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18.2响应文件开启时，电子交易平台按响应文件开启时间自动提取所有响应文件。采购机构依托电子交易平台发起开始解密指令，供应商按照平台提示和采购文件的规定在半小时内完成在线解密。</w:t>
      </w:r>
    </w:p>
    <w:p>
      <w:pPr>
        <w:pStyle w:val="555"/>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18.3</w:t>
      </w:r>
      <w:r>
        <w:rPr>
          <w:rFonts w:hint="eastAsia" w:ascii="宋体" w:hAnsi="宋体" w:cs="宋体"/>
          <w:b/>
          <w:bCs/>
          <w:sz w:val="24"/>
          <w:highlight w:val="none"/>
        </w:rPr>
        <w:t>响应文件未按时解密，供应商提供了备份响应文件的，以备份响应文件作为依据，否则视为响应文件撤回。响应文件已按时解密的，备份响应文件自动失效。</w:t>
      </w:r>
    </w:p>
    <w:p>
      <w:pPr>
        <w:pStyle w:val="555"/>
        <w:spacing w:before="0" w:line="360" w:lineRule="auto"/>
        <w:ind w:left="0" w:firstLine="0"/>
        <w:contextualSpacing/>
        <w:rPr>
          <w:rFonts w:ascii="宋体" w:hAnsi="宋体" w:cs="宋体"/>
          <w:b/>
          <w:sz w:val="24"/>
          <w:szCs w:val="24"/>
          <w:highlight w:val="none"/>
        </w:rPr>
      </w:pPr>
      <w:r>
        <w:rPr>
          <w:rFonts w:hint="eastAsia" w:ascii="宋体" w:hAnsi="宋体" w:cs="宋体"/>
          <w:b/>
          <w:sz w:val="24"/>
          <w:szCs w:val="24"/>
          <w:highlight w:val="none"/>
        </w:rPr>
        <w:t>19、资格审查</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19.1响应文件开启后，</w:t>
      </w:r>
      <w:r>
        <w:rPr>
          <w:rFonts w:hint="eastAsia" w:ascii="宋体" w:hAnsi="宋体" w:cs="宋体"/>
          <w:highlight w:val="none"/>
        </w:rPr>
        <w:t>采购人、采购机构或磋商小组</w:t>
      </w:r>
      <w:r>
        <w:rPr>
          <w:rFonts w:hint="eastAsia" w:ascii="宋体" w:hAnsi="宋体" w:cs="宋体"/>
          <w:kern w:val="0"/>
          <w:szCs w:val="24"/>
          <w:highlight w:val="none"/>
        </w:rPr>
        <w:t>将依法对供应商的资格进行审查。</w:t>
      </w:r>
    </w:p>
    <w:p>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采购人、采购机构或磋商小组依据法律法规和采购文件的规定，对供应商的资格进行审查。</w:t>
      </w:r>
    </w:p>
    <w:p>
      <w:pPr>
        <w:pStyle w:val="128"/>
        <w:spacing w:before="0"/>
        <w:ind w:firstLine="480"/>
        <w:rPr>
          <w:rFonts w:ascii="宋体" w:hAnsi="宋体" w:cs="宋体"/>
          <w:highlight w:val="none"/>
        </w:rPr>
      </w:pPr>
      <w:r>
        <w:rPr>
          <w:rFonts w:hint="eastAsia" w:ascii="宋体" w:hAnsi="宋体" w:cs="宋体"/>
          <w:kern w:val="0"/>
          <w:szCs w:val="24"/>
          <w:highlight w:val="none"/>
        </w:rPr>
        <w:t>19.3供应商未按照采购文件要求提供与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供应商不具备采购文件中规定的资格要求，其响应文件无效。</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4对未通过资格审查的供应商，采购人或采购机构告知其未通过的原因。</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5合格供应商不足3家的，不再评审。</w:t>
      </w:r>
    </w:p>
    <w:p>
      <w:pPr>
        <w:pStyle w:val="128"/>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12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20.1信用信息查询渠道及截止时间：采购机构将在资格审查时通过“信用中国”网站(www.creditchina.gov.cn)、中国政府采购网(www.ccgp.gov.cn)渠道查询供应商接受资格审查时的信用记录。</w:t>
      </w:r>
    </w:p>
    <w:p>
      <w:pPr>
        <w:pStyle w:val="12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20.2信用信息查询记录和证据留存的具体方式：现场查询的供应商的信用记录、查询结果经确认后将与采购文件一起存档。</w:t>
      </w:r>
    </w:p>
    <w:p>
      <w:pPr>
        <w:pStyle w:val="12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128"/>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128"/>
        <w:spacing w:before="0"/>
        <w:ind w:firstLine="0" w:firstLineChars="0"/>
        <w:rPr>
          <w:rFonts w:ascii="宋体" w:hAnsi="宋体" w:cs="宋体"/>
          <w:kern w:val="0"/>
          <w:szCs w:val="24"/>
          <w:highlight w:val="none"/>
        </w:rPr>
      </w:pPr>
    </w:p>
    <w:p>
      <w:pPr>
        <w:snapToGrid w:val="0"/>
        <w:spacing w:line="360" w:lineRule="auto"/>
        <w:jc w:val="center"/>
        <w:outlineLvl w:val="1"/>
        <w:rPr>
          <w:rFonts w:ascii="宋体" w:hAnsi="宋体" w:cs="宋体"/>
          <w:b/>
          <w:sz w:val="32"/>
          <w:szCs w:val="20"/>
          <w:highlight w:val="none"/>
        </w:rPr>
      </w:pPr>
      <w:bookmarkStart w:id="39" w:name="_Toc15231"/>
      <w:r>
        <w:rPr>
          <w:rFonts w:hint="eastAsia" w:ascii="宋体" w:hAnsi="宋体" w:cs="宋体"/>
          <w:b/>
          <w:sz w:val="32"/>
          <w:szCs w:val="20"/>
          <w:highlight w:val="none"/>
        </w:rPr>
        <w:t>五、评审</w:t>
      </w:r>
      <w:bookmarkEnd w:id="39"/>
    </w:p>
    <w:p>
      <w:pPr>
        <w:spacing w:line="360" w:lineRule="auto"/>
        <w:rPr>
          <w:rFonts w:ascii="宋体" w:hAnsi="宋体" w:cs="宋体"/>
          <w:b/>
          <w:sz w:val="24"/>
          <w:highlight w:val="none"/>
        </w:rPr>
      </w:pPr>
      <w:bookmarkStart w:id="40"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highlight w:val="none"/>
        </w:rPr>
        <w:t>详见采购文件第四部分评审办法。</w:t>
      </w:r>
    </w:p>
    <w:p>
      <w:pPr>
        <w:spacing w:line="360" w:lineRule="auto"/>
        <w:rPr>
          <w:rFonts w:ascii="宋体" w:hAnsi="宋体" w:cs="宋体"/>
          <w:b/>
          <w:sz w:val="24"/>
          <w:highlight w:val="none"/>
        </w:rPr>
      </w:pPr>
    </w:p>
    <w:p>
      <w:pPr>
        <w:snapToGrid w:val="0"/>
        <w:spacing w:line="360" w:lineRule="auto"/>
        <w:jc w:val="center"/>
        <w:outlineLvl w:val="1"/>
        <w:rPr>
          <w:rFonts w:ascii="宋体" w:hAnsi="宋体" w:cs="宋体"/>
          <w:b/>
          <w:sz w:val="32"/>
          <w:szCs w:val="20"/>
          <w:highlight w:val="none"/>
        </w:rPr>
      </w:pPr>
      <w:bookmarkStart w:id="41" w:name="_Toc22756"/>
      <w:r>
        <w:rPr>
          <w:rFonts w:hint="eastAsia" w:ascii="宋体" w:hAnsi="宋体" w:cs="宋体"/>
          <w:b/>
          <w:sz w:val="32"/>
          <w:szCs w:val="20"/>
          <w:highlight w:val="none"/>
        </w:rPr>
        <w:t>六、成交供应商确定</w:t>
      </w:r>
      <w:bookmarkEnd w:id="41"/>
    </w:p>
    <w:p>
      <w:pPr>
        <w:pStyle w:val="25"/>
        <w:spacing w:line="360" w:lineRule="auto"/>
        <w:ind w:left="479" w:hanging="479" w:hangingChars="199"/>
        <w:rPr>
          <w:rFonts w:cs="宋体"/>
          <w:b/>
          <w:highlight w:val="none"/>
        </w:rPr>
      </w:pPr>
      <w:r>
        <w:rPr>
          <w:rFonts w:hint="eastAsia" w:cs="宋体"/>
          <w:b/>
          <w:highlight w:val="none"/>
        </w:rPr>
        <w:t>22. 确定成交供应商</w:t>
      </w:r>
    </w:p>
    <w:p>
      <w:pPr>
        <w:pStyle w:val="128"/>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highlight w:val="none"/>
        </w:rPr>
      </w:pPr>
      <w:r>
        <w:rPr>
          <w:rFonts w:hint="eastAsia" w:ascii="宋体" w:hAnsi="宋体" w:cs="宋体"/>
          <w:b/>
          <w:szCs w:val="24"/>
          <w:highlight w:val="none"/>
        </w:rPr>
        <w:t>23. 成交通知与成交结果公告</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23.1自成交供应商确定之日起1个工作日内，采购机构通过电子交易平台向成交供应商发出成交通知书，同时编制发布采购结果公告。采购机构也可以以纸质形式进行成交通知。</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pPr>
        <w:snapToGrid w:val="0"/>
        <w:spacing w:line="360" w:lineRule="auto"/>
        <w:ind w:left="120" w:leftChars="57" w:firstLine="482" w:firstLineChars="150"/>
        <w:jc w:val="center"/>
        <w:rPr>
          <w:rFonts w:ascii="宋体" w:hAnsi="宋体" w:cs="宋体"/>
          <w:b/>
          <w:sz w:val="32"/>
          <w:highlight w:val="none"/>
        </w:rPr>
      </w:pPr>
    </w:p>
    <w:p>
      <w:pPr>
        <w:snapToGrid w:val="0"/>
        <w:spacing w:line="360" w:lineRule="auto"/>
        <w:jc w:val="center"/>
        <w:outlineLvl w:val="1"/>
        <w:rPr>
          <w:rFonts w:ascii="宋体" w:hAnsi="宋体" w:cs="宋体"/>
          <w:b/>
          <w:sz w:val="32"/>
          <w:szCs w:val="20"/>
          <w:highlight w:val="none"/>
        </w:rPr>
      </w:pPr>
      <w:bookmarkStart w:id="42" w:name="_Toc3107"/>
      <w:r>
        <w:rPr>
          <w:rFonts w:hint="eastAsia" w:ascii="宋体" w:hAnsi="宋体" w:cs="宋体"/>
          <w:b/>
          <w:sz w:val="32"/>
          <w:szCs w:val="20"/>
          <w:highlight w:val="none"/>
        </w:rPr>
        <w:t>七、合同授予</w:t>
      </w:r>
      <w:bookmarkEnd w:id="42"/>
    </w:p>
    <w:p>
      <w:pPr>
        <w:pStyle w:val="25"/>
        <w:snapToGrid w:val="0"/>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25"/>
        <w:snapToGrid w:val="0"/>
        <w:spacing w:line="360" w:lineRule="auto"/>
        <w:ind w:left="479" w:hanging="479" w:hangingChars="199"/>
        <w:rPr>
          <w:rFonts w:cs="宋体"/>
          <w:b/>
          <w:highlight w:val="none"/>
        </w:rPr>
      </w:pPr>
      <w:r>
        <w:rPr>
          <w:rFonts w:hint="eastAsia" w:cs="宋体"/>
          <w:b/>
          <w:highlight w:val="none"/>
        </w:rPr>
        <w:t>25. 合同的签订</w:t>
      </w:r>
    </w:p>
    <w:p>
      <w:pPr>
        <w:widowControl/>
        <w:shd w:val="clear" w:color="auto" w:fill="FFFFFF"/>
        <w:snapToGrid w:val="0"/>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28"/>
        <w:snapToGrid w:val="0"/>
        <w:spacing w:before="0"/>
        <w:ind w:firstLine="480"/>
        <w:rPr>
          <w:rFonts w:ascii="宋体" w:hAnsi="宋体" w:cs="宋体"/>
          <w:kern w:val="0"/>
          <w:highlight w:val="none"/>
        </w:rPr>
      </w:pPr>
      <w:r>
        <w:rPr>
          <w:rFonts w:hint="eastAsia" w:ascii="宋体" w:hAnsi="宋体" w:cs="宋体"/>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28"/>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highlight w:val="none"/>
        </w:rPr>
      </w:pPr>
      <w:r>
        <w:rPr>
          <w:rFonts w:hint="eastAsia" w:ascii="宋体" w:hAnsi="宋体" w:cs="宋体"/>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28"/>
        <w:snapToGrid w:val="0"/>
        <w:spacing w:before="0"/>
        <w:ind w:firstLine="480"/>
        <w:rPr>
          <w:rFonts w:ascii="宋体" w:hAnsi="宋体" w:cs="宋体"/>
          <w:highlight w:val="none"/>
        </w:rPr>
      </w:pPr>
      <w:r>
        <w:rPr>
          <w:rFonts w:hint="eastAsia" w:ascii="宋体" w:hAnsi="宋体" w:cs="宋体"/>
          <w:highlight w:val="none"/>
        </w:rPr>
        <w:t>25.5采购合同由采购人与成交供应商根据采购文件、响应文件等内容通过政府采购电子交易平台在线签订，自动备案。</w:t>
      </w:r>
    </w:p>
    <w:p>
      <w:pPr>
        <w:pStyle w:val="25"/>
        <w:snapToGrid w:val="0"/>
        <w:spacing w:line="360" w:lineRule="auto"/>
        <w:ind w:left="479" w:hanging="479" w:hangingChars="199"/>
        <w:rPr>
          <w:rFonts w:cs="宋体"/>
          <w:b/>
          <w:highlight w:val="none"/>
        </w:rPr>
      </w:pPr>
      <w:r>
        <w:rPr>
          <w:rFonts w:hint="eastAsia" w:cs="宋体"/>
          <w:b/>
          <w:highlight w:val="none"/>
        </w:rPr>
        <w:t>26. 履约保证金</w:t>
      </w:r>
    </w:p>
    <w:p>
      <w:pPr>
        <w:tabs>
          <w:tab w:val="left" w:pos="0"/>
        </w:tabs>
        <w:snapToGrid w:val="0"/>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sz w:val="24"/>
          <w:highlight w:val="none"/>
        </w:rPr>
        <w:t>。采购单位鼓励供应商采取履约保函形式提供信用保证；供应商提供保函的，采购单位不得拒收。项目验收结束后应及时退还，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pPr>
        <w:pStyle w:val="4"/>
        <w:snapToGrid w:val="0"/>
        <w:ind w:left="0" w:firstLine="480" w:firstLineChars="200"/>
        <w:rPr>
          <w:rFonts w:ascii="宋体" w:hAnsi="宋体" w:eastAsia="宋体" w:cs="宋体"/>
          <w:highlight w:val="none"/>
          <w:lang w:val="en-US"/>
        </w:rPr>
      </w:pPr>
      <w:bookmarkStart w:id="43" w:name="_Toc4748"/>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3"/>
    </w:p>
    <w:p>
      <w:pPr>
        <w:snapToGrid w:val="0"/>
        <w:spacing w:line="360" w:lineRule="auto"/>
        <w:ind w:firstLine="3357" w:firstLineChars="1045"/>
        <w:rPr>
          <w:rFonts w:ascii="宋体" w:hAnsi="宋体" w:cs="宋体"/>
          <w:b/>
          <w:sz w:val="32"/>
          <w:highlight w:val="none"/>
        </w:rPr>
      </w:pPr>
    </w:p>
    <w:p>
      <w:pPr>
        <w:snapToGrid w:val="0"/>
        <w:spacing w:line="360" w:lineRule="auto"/>
        <w:jc w:val="center"/>
        <w:outlineLvl w:val="1"/>
        <w:rPr>
          <w:rFonts w:ascii="宋体" w:hAnsi="宋体" w:cs="宋体"/>
          <w:b/>
          <w:sz w:val="32"/>
          <w:szCs w:val="20"/>
          <w:highlight w:val="none"/>
        </w:rPr>
      </w:pPr>
      <w:bookmarkStart w:id="44" w:name="_Toc6030"/>
      <w:r>
        <w:rPr>
          <w:rFonts w:hint="eastAsia" w:ascii="宋体" w:hAnsi="宋体" w:cs="宋体"/>
          <w:b/>
          <w:sz w:val="32"/>
          <w:szCs w:val="20"/>
          <w:highlight w:val="none"/>
        </w:rPr>
        <w:t>八、电子交易活动的中止</w:t>
      </w:r>
      <w:bookmarkEnd w:id="44"/>
    </w:p>
    <w:p>
      <w:pPr>
        <w:pStyle w:val="128"/>
        <w:snapToGrid w:val="0"/>
        <w:spacing w:before="0"/>
        <w:ind w:firstLine="0" w:firstLineChars="0"/>
        <w:rPr>
          <w:rFonts w:ascii="宋体" w:hAnsi="宋体" w:cs="宋体"/>
          <w:highlight w:val="none"/>
        </w:rPr>
      </w:pPr>
      <w:r>
        <w:rPr>
          <w:rFonts w:hint="eastAsia" w:ascii="宋体" w:hAnsi="宋体" w:cs="宋体"/>
          <w:highlight w:val="none"/>
        </w:rPr>
        <w:t>2</w:t>
      </w:r>
      <w:r>
        <w:rPr>
          <w:rFonts w:hint="eastAsia" w:ascii="宋体" w:hAnsi="宋体" w:cs="宋体"/>
          <w:b/>
          <w:szCs w:val="24"/>
          <w:highlight w:val="none"/>
        </w:rPr>
        <w:t>7.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highlight w:val="none"/>
        </w:rPr>
      </w:pPr>
      <w:r>
        <w:rPr>
          <w:rFonts w:hint="eastAsia" w:ascii="宋体" w:hAnsi="宋体" w:cs="宋体"/>
          <w:highlight w:val="none"/>
        </w:rPr>
        <w:t xml:space="preserve">27.1电子交易平台发生故障而无法登录访问的； </w:t>
      </w:r>
    </w:p>
    <w:p>
      <w:pPr>
        <w:pStyle w:val="128"/>
        <w:snapToGrid w:val="0"/>
        <w:spacing w:before="0"/>
        <w:ind w:firstLine="480"/>
        <w:rPr>
          <w:rFonts w:ascii="宋体" w:hAnsi="宋体" w:cs="宋体"/>
          <w:highlight w:val="none"/>
        </w:rPr>
      </w:pPr>
      <w:r>
        <w:rPr>
          <w:rFonts w:hint="eastAsia" w:ascii="宋体" w:hAnsi="宋体" w:cs="宋体"/>
          <w:highlight w:val="none"/>
        </w:rPr>
        <w:t>27.2电子交易平台应用或数据库出现错误，不能进行正常操作的；</w:t>
      </w:r>
    </w:p>
    <w:p>
      <w:pPr>
        <w:pStyle w:val="128"/>
        <w:snapToGrid w:val="0"/>
        <w:spacing w:before="0"/>
        <w:ind w:firstLine="480"/>
        <w:rPr>
          <w:rFonts w:ascii="宋体" w:hAnsi="宋体" w:cs="宋体"/>
          <w:highlight w:val="none"/>
        </w:rPr>
      </w:pPr>
      <w:r>
        <w:rPr>
          <w:rFonts w:hint="eastAsia" w:ascii="宋体" w:hAnsi="宋体" w:cs="宋体"/>
          <w:highlight w:val="none"/>
        </w:rPr>
        <w:t>27.3电子交易平台发现严重安全漏洞，有潜在泄密危险的；</w:t>
      </w:r>
    </w:p>
    <w:p>
      <w:pPr>
        <w:pStyle w:val="128"/>
        <w:snapToGrid w:val="0"/>
        <w:spacing w:before="0"/>
        <w:ind w:firstLine="480"/>
        <w:rPr>
          <w:rFonts w:ascii="宋体" w:hAnsi="宋体" w:cs="宋体"/>
          <w:highlight w:val="none"/>
        </w:rPr>
      </w:pPr>
      <w:r>
        <w:rPr>
          <w:rFonts w:hint="eastAsia" w:ascii="宋体" w:hAnsi="宋体" w:cs="宋体"/>
          <w:highlight w:val="none"/>
        </w:rPr>
        <w:t xml:space="preserve">27.4病毒发作导致不能进行正常操作的； </w:t>
      </w:r>
    </w:p>
    <w:p>
      <w:pPr>
        <w:pStyle w:val="128"/>
        <w:snapToGrid w:val="0"/>
        <w:spacing w:before="0"/>
        <w:ind w:firstLine="480"/>
        <w:rPr>
          <w:rFonts w:ascii="宋体" w:hAnsi="宋体" w:cs="宋体"/>
          <w:highlight w:val="none"/>
        </w:rPr>
      </w:pPr>
      <w:r>
        <w:rPr>
          <w:rFonts w:hint="eastAsia" w:ascii="宋体" w:hAnsi="宋体" w:cs="宋体"/>
          <w:highlight w:val="none"/>
        </w:rPr>
        <w:t>27.5其他无法保证电子交易的公平、公正和安全的情况。</w:t>
      </w:r>
    </w:p>
    <w:p>
      <w:pPr>
        <w:pStyle w:val="128"/>
        <w:snapToGrid w:val="0"/>
        <w:spacing w:before="0"/>
        <w:ind w:firstLine="0" w:firstLineChars="0"/>
        <w:rPr>
          <w:rFonts w:ascii="宋体" w:hAnsi="宋体" w:cs="宋体"/>
          <w:highlight w:val="none"/>
        </w:rPr>
      </w:pPr>
      <w:r>
        <w:rPr>
          <w:rFonts w:hint="eastAsia" w:ascii="宋体" w:hAnsi="宋体" w:cs="宋体"/>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highlight w:val="none"/>
        </w:rPr>
      </w:pPr>
    </w:p>
    <w:p>
      <w:pPr>
        <w:snapToGrid w:val="0"/>
        <w:spacing w:line="360" w:lineRule="auto"/>
        <w:jc w:val="center"/>
        <w:outlineLvl w:val="1"/>
        <w:rPr>
          <w:rFonts w:ascii="宋体" w:hAnsi="宋体" w:cs="宋体"/>
          <w:b/>
          <w:sz w:val="32"/>
          <w:szCs w:val="20"/>
          <w:highlight w:val="none"/>
        </w:rPr>
      </w:pPr>
      <w:bookmarkStart w:id="45" w:name="_Toc5571"/>
      <w:r>
        <w:rPr>
          <w:rFonts w:hint="eastAsia" w:ascii="宋体" w:hAnsi="宋体" w:cs="宋体"/>
          <w:b/>
          <w:sz w:val="32"/>
          <w:szCs w:val="20"/>
          <w:highlight w:val="none"/>
        </w:rPr>
        <w:t>九、验收</w:t>
      </w:r>
      <w:bookmarkEnd w:id="45"/>
    </w:p>
    <w:p>
      <w:pPr>
        <w:pStyle w:val="25"/>
        <w:spacing w:line="360" w:lineRule="auto"/>
        <w:ind w:firstLine="0" w:firstLineChars="0"/>
        <w:rPr>
          <w:rFonts w:cs="宋体"/>
          <w:b/>
          <w:highlight w:val="none"/>
        </w:rPr>
      </w:pPr>
      <w:r>
        <w:rPr>
          <w:rFonts w:hint="eastAsia" w:cs="宋体"/>
          <w:b/>
          <w:highlight w:val="none"/>
        </w:rPr>
        <w:t>29.验收</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0"/>
    <w:p>
      <w:pPr>
        <w:tabs>
          <w:tab w:val="left" w:pos="0"/>
        </w:tabs>
        <w:spacing w:line="360" w:lineRule="auto"/>
        <w:ind w:firstLine="480"/>
        <w:rPr>
          <w:rFonts w:ascii="宋体" w:hAnsi="宋体" w:cs="宋体"/>
          <w:kern w:val="0"/>
          <w:sz w:val="24"/>
          <w:highlight w:val="none"/>
        </w:rPr>
        <w:sectPr>
          <w:pgSz w:w="11906" w:h="16838"/>
          <w:pgMar w:top="1440" w:right="1080" w:bottom="1440" w:left="1080" w:header="851" w:footer="992" w:gutter="0"/>
          <w:cols w:space="720" w:num="1"/>
          <w:titlePg/>
          <w:docGrid w:linePitch="312" w:charSpace="0"/>
        </w:sectPr>
      </w:pPr>
      <w:bookmarkStart w:id="46" w:name="_Hlt68072990"/>
      <w:bookmarkEnd w:id="46"/>
      <w:bookmarkStart w:id="47" w:name="_Hlt75236101"/>
      <w:bookmarkEnd w:id="47"/>
      <w:bookmarkStart w:id="48" w:name="_Hlt74730295"/>
      <w:bookmarkEnd w:id="48"/>
      <w:bookmarkStart w:id="49" w:name="_Hlt74729768"/>
      <w:bookmarkEnd w:id="49"/>
      <w:bookmarkStart w:id="50" w:name="_Hlt68073093"/>
      <w:bookmarkEnd w:id="50"/>
      <w:bookmarkStart w:id="51" w:name="_Hlt68057669"/>
      <w:bookmarkEnd w:id="51"/>
      <w:bookmarkStart w:id="52" w:name="_Hlt68072998"/>
      <w:bookmarkEnd w:id="52"/>
      <w:bookmarkStart w:id="53" w:name="_Hlt74714665"/>
      <w:bookmarkEnd w:id="53"/>
      <w:bookmarkStart w:id="54" w:name="_Hlt75236011"/>
      <w:bookmarkEnd w:id="54"/>
      <w:bookmarkStart w:id="55" w:name="_Hlt74707468"/>
      <w:bookmarkEnd w:id="55"/>
      <w:bookmarkStart w:id="56" w:name="_Hlt75236290"/>
      <w:bookmarkEnd w:id="56"/>
      <w:bookmarkStart w:id="57" w:name="_Hlt68403820"/>
      <w:bookmarkEnd w:id="57"/>
    </w:p>
    <w:bookmarkEnd w:id="27"/>
    <w:bookmarkEnd w:id="28"/>
    <w:p>
      <w:pPr>
        <w:adjustRightInd/>
        <w:spacing w:line="360" w:lineRule="auto"/>
        <w:jc w:val="center"/>
        <w:outlineLvl w:val="0"/>
        <w:rPr>
          <w:rFonts w:hint="eastAsia" w:ascii="宋体" w:hAnsi="宋体" w:cs="宋体"/>
          <w:b/>
          <w:sz w:val="36"/>
          <w:szCs w:val="20"/>
          <w:highlight w:val="none"/>
          <w:lang w:val="en-US" w:eastAsia="zh-CN"/>
        </w:rPr>
      </w:pPr>
      <w:bookmarkStart w:id="58" w:name="_Toc12710"/>
      <w:bookmarkStart w:id="59" w:name="第四部分"/>
      <w:r>
        <w:rPr>
          <w:rFonts w:hint="eastAsia" w:ascii="宋体" w:hAnsi="宋体" w:cs="宋体"/>
          <w:b/>
          <w:sz w:val="36"/>
          <w:szCs w:val="20"/>
          <w:highlight w:val="none"/>
          <w:lang w:val="en-US" w:eastAsia="zh-CN"/>
        </w:rPr>
        <w:t>第三部分 采购需求</w:t>
      </w:r>
      <w:bookmarkEnd w:id="58"/>
    </w:p>
    <w:p>
      <w:pPr>
        <w:spacing w:line="360" w:lineRule="auto"/>
        <w:jc w:val="left"/>
        <w:outlineLvl w:val="1"/>
        <w:rPr>
          <w:rFonts w:ascii="宋体" w:hAnsi="宋体" w:cs="仿宋_GB2312"/>
          <w:b/>
          <w:bCs/>
          <w:sz w:val="24"/>
          <w:highlight w:val="none"/>
        </w:rPr>
      </w:pPr>
      <w:bookmarkStart w:id="60" w:name="_Toc8165"/>
      <w:r>
        <w:rPr>
          <w:rFonts w:hint="eastAsia" w:ascii="宋体" w:hAnsi="宋体" w:cs="仿宋_GB2312"/>
          <w:b/>
          <w:bCs/>
          <w:sz w:val="24"/>
          <w:highlight w:val="none"/>
        </w:rPr>
        <w:t>一、工程概况</w:t>
      </w:r>
      <w:bookmarkEnd w:id="60"/>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Times New Roman"/>
          <w:sz w:val="24"/>
          <w:highlight w:val="none"/>
          <w:u w:val="single"/>
        </w:rPr>
      </w:pPr>
      <w:r>
        <w:rPr>
          <w:rFonts w:hint="eastAsia" w:ascii="宋体" w:hAnsi="宋体" w:cs="Times New Roman"/>
          <w:sz w:val="24"/>
          <w:highlight w:val="none"/>
          <w:u w:val="single"/>
          <w:lang w:val="en-US" w:eastAsia="zh-CN"/>
        </w:rPr>
        <w:t>中国美术学院</w:t>
      </w:r>
      <w:r>
        <w:rPr>
          <w:rFonts w:hint="eastAsia" w:ascii="宋体" w:hAnsi="宋体" w:eastAsia="宋体" w:cs="Times New Roman"/>
          <w:sz w:val="24"/>
          <w:highlight w:val="none"/>
          <w:u w:val="single"/>
        </w:rPr>
        <w:t>国际设计博物馆</w:t>
      </w:r>
      <w:r>
        <w:rPr>
          <w:rFonts w:hint="eastAsia" w:ascii="宋体" w:hAnsi="宋体"/>
          <w:sz w:val="24"/>
          <w:highlight w:val="none"/>
          <w:u w:val="single"/>
        </w:rPr>
        <w:t>于2018年投入使用，期间因周边地铁施工、自然沉降、空调凝结水等各种因素，导致室内陶铝板</w:t>
      </w:r>
      <w:r>
        <w:rPr>
          <w:rFonts w:hint="eastAsia" w:ascii="宋体" w:hAnsi="宋体" w:eastAsia="宋体" w:cs="Times New Roman"/>
          <w:sz w:val="24"/>
          <w:highlight w:val="none"/>
          <w:u w:val="single"/>
        </w:rPr>
        <w:t>吊顶多处区域出现开裂、霉渍、锈渍和空鼓</w:t>
      </w:r>
      <w:r>
        <w:rPr>
          <w:rFonts w:hint="eastAsia" w:ascii="宋体" w:hAnsi="宋体" w:cs="Times New Roman"/>
          <w:sz w:val="24"/>
          <w:highlight w:val="none"/>
          <w:u w:val="single"/>
          <w:lang w:val="en-US" w:eastAsia="zh-CN"/>
        </w:rPr>
        <w:t>等</w:t>
      </w:r>
      <w:r>
        <w:rPr>
          <w:rFonts w:hint="eastAsia" w:ascii="宋体" w:hAnsi="宋体" w:eastAsia="宋体" w:cs="Times New Roman"/>
          <w:sz w:val="24"/>
          <w:highlight w:val="none"/>
          <w:u w:val="single"/>
        </w:rPr>
        <w:t>现象，需</w:t>
      </w:r>
      <w:r>
        <w:rPr>
          <w:rFonts w:hint="eastAsia" w:ascii="宋体" w:hAnsi="宋体" w:cs="Times New Roman"/>
          <w:sz w:val="24"/>
          <w:highlight w:val="none"/>
          <w:u w:val="single"/>
          <w:lang w:val="en-US" w:eastAsia="zh-CN"/>
        </w:rPr>
        <w:t>对吊顶</w:t>
      </w:r>
      <w:r>
        <w:rPr>
          <w:rFonts w:hint="eastAsia" w:ascii="宋体" w:hAnsi="宋体" w:eastAsia="宋体" w:cs="Times New Roman"/>
          <w:sz w:val="24"/>
          <w:highlight w:val="none"/>
          <w:u w:val="single"/>
        </w:rPr>
        <w:t>进行较为全面的维修和提升，确保</w:t>
      </w:r>
      <w:r>
        <w:rPr>
          <w:rFonts w:hint="eastAsia" w:ascii="宋体" w:hAnsi="宋体" w:cs="Times New Roman"/>
          <w:sz w:val="24"/>
          <w:highlight w:val="none"/>
          <w:u w:val="single"/>
          <w:lang w:val="en-US" w:eastAsia="zh-CN"/>
        </w:rPr>
        <w:t>使用</w:t>
      </w:r>
      <w:r>
        <w:rPr>
          <w:rFonts w:hint="eastAsia" w:ascii="宋体" w:hAnsi="宋体" w:eastAsia="宋体" w:cs="Times New Roman"/>
          <w:sz w:val="24"/>
          <w:highlight w:val="none"/>
          <w:u w:val="single"/>
        </w:rPr>
        <w:t xml:space="preserve">的安全，提升空间的美观度。   </w:t>
      </w:r>
    </w:p>
    <w:p>
      <w:pPr>
        <w:spacing w:line="360" w:lineRule="auto"/>
        <w:jc w:val="left"/>
        <w:outlineLvl w:val="1"/>
        <w:rPr>
          <w:rFonts w:ascii="宋体" w:hAnsi="宋体" w:cs="仿宋_GB2312"/>
          <w:sz w:val="24"/>
          <w:highlight w:val="none"/>
        </w:rPr>
      </w:pPr>
      <w:bookmarkStart w:id="61" w:name="_Toc16160"/>
      <w:r>
        <w:rPr>
          <w:rFonts w:hint="eastAsia" w:ascii="宋体" w:hAnsi="宋体" w:cs="仿宋_GB2312"/>
          <w:b/>
          <w:bCs/>
          <w:sz w:val="24"/>
          <w:highlight w:val="none"/>
        </w:rPr>
        <w:t>二、工程内容</w:t>
      </w:r>
      <w:bookmarkEnd w:id="61"/>
      <w:r>
        <w:rPr>
          <w:rFonts w:hint="eastAsia" w:ascii="宋体" w:hAnsi="宋体" w:cs="仿宋_GB2312"/>
          <w:b/>
          <w:bCs/>
          <w:sz w:val="24"/>
          <w:highlight w:val="none"/>
        </w:rPr>
        <w:t xml:space="preserve"> </w:t>
      </w:r>
    </w:p>
    <w:p>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1.工程名称</w:t>
      </w:r>
    </w:p>
    <w:p>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中国美术学院国际设计博物馆室内吊顶提升工程项目</w:t>
      </w:r>
    </w:p>
    <w:p>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2.现场条件</w:t>
      </w:r>
    </w:p>
    <w:p>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 xml:space="preserve">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投标报价中。成交后，供应商不得再以不完全了解现场情况等为理由而提出额外付款或延长工期等的要求，若有此类要求，采购人将不作任何答复与考虑，供应商应承担现场踏勘的责任和风险，踏勘现场的费用由供应商自行承担。     </w:t>
      </w:r>
    </w:p>
    <w:p>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3.工程承包范围</w:t>
      </w:r>
    </w:p>
    <w:p>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工程承包范围为采购人提供的施工图和工程量清单以及磋商文件、磋商记录等所有内容。工程实施过程，采购人保留局部调整</w:t>
      </w:r>
      <w:r>
        <w:rPr>
          <w:rFonts w:hint="eastAsia" w:ascii="宋体" w:hAnsi="宋体"/>
          <w:sz w:val="24"/>
          <w:highlight w:val="none"/>
          <w:u w:val="single"/>
          <w:lang w:eastAsia="zh-CN"/>
        </w:rPr>
        <w:t>、</w:t>
      </w:r>
      <w:r>
        <w:rPr>
          <w:rFonts w:hint="eastAsia" w:ascii="宋体" w:hAnsi="宋体"/>
          <w:sz w:val="24"/>
          <w:highlight w:val="none"/>
          <w:u w:val="single"/>
        </w:rPr>
        <w:t>变更</w:t>
      </w:r>
      <w:r>
        <w:rPr>
          <w:rFonts w:hint="eastAsia" w:ascii="宋体" w:hAnsi="宋体"/>
          <w:sz w:val="24"/>
          <w:highlight w:val="none"/>
          <w:u w:val="single"/>
          <w:lang w:val="en-US" w:eastAsia="zh-CN"/>
        </w:rPr>
        <w:t>及增减</w:t>
      </w:r>
      <w:r>
        <w:rPr>
          <w:rFonts w:hint="eastAsia" w:ascii="宋体" w:hAnsi="宋体"/>
          <w:sz w:val="24"/>
          <w:highlight w:val="none"/>
          <w:u w:val="single"/>
        </w:rPr>
        <w:t xml:space="preserve">工程内容的权力。        </w:t>
      </w:r>
    </w:p>
    <w:p>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4.工程质量标准</w:t>
      </w:r>
    </w:p>
    <w:p>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 xml:space="preserve">依据设计施工图纸和技术文件要求，本工程项目的材料、设备、施工必须达到以下现行中华人民共和国及省、市、行业的一切有关法规、规范的要求，如下述标准及规范要求有出入则以较严格者为准。     </w:t>
      </w:r>
    </w:p>
    <w:p>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5.工程施工要求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5.</w:t>
      </w:r>
      <w:r>
        <w:rPr>
          <w:rFonts w:hint="eastAsia" w:ascii="宋体" w:hAnsi="宋体"/>
          <w:sz w:val="24"/>
          <w:highlight w:val="none"/>
          <w:u w:val="single"/>
        </w:rPr>
        <w:t>1、本工程施工严格按照规范要求进行施工，达到各项拟定的设计指标。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5.</w:t>
      </w:r>
      <w:r>
        <w:rPr>
          <w:rFonts w:hint="eastAsia" w:ascii="宋体" w:hAnsi="宋体"/>
          <w:sz w:val="24"/>
          <w:highlight w:val="none"/>
          <w:u w:val="single"/>
        </w:rPr>
        <w:t>2、本工程施工按《建筑工程施工质量验收统一标准》（GB50300-2013）、《建筑装饰装修工程质量验收规范》（GB50210-2001）和《民用建筑工程室内环境污染控制规范》（GB50325—2010）等进行施工和验收。技术规范由乙方自备，如有不足之处或未能达到国家最新标准时，乙方应使施工及选用的设备和材料符合最新版本的国家标准、规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5.</w:t>
      </w:r>
      <w:r>
        <w:rPr>
          <w:rFonts w:hint="eastAsia" w:ascii="宋体" w:hAnsi="宋体"/>
          <w:sz w:val="24"/>
          <w:highlight w:val="none"/>
          <w:u w:val="single"/>
        </w:rPr>
        <w:t>3、在免费保修期内，</w:t>
      </w:r>
      <w:r>
        <w:rPr>
          <w:rFonts w:hint="eastAsia" w:ascii="宋体" w:hAnsi="宋体"/>
          <w:sz w:val="24"/>
          <w:highlight w:val="none"/>
          <w:u w:val="single"/>
          <w:lang w:eastAsia="zh-CN"/>
        </w:rPr>
        <w:t>成交供应商</w:t>
      </w:r>
      <w:r>
        <w:rPr>
          <w:rFonts w:hint="eastAsia" w:ascii="宋体" w:hAnsi="宋体"/>
          <w:sz w:val="24"/>
          <w:highlight w:val="none"/>
          <w:u w:val="single"/>
        </w:rPr>
        <w:t>对有缺陷的部位必须无偿地给予修理与更换，并承担一切由此引起的对采购人或第三者的直接损失，除非该缺陷是由于人为破坏或合同规定的不可抗因素造成的损坏。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5.</w:t>
      </w:r>
      <w:r>
        <w:rPr>
          <w:rFonts w:hint="eastAsia" w:ascii="宋体" w:hAnsi="宋体"/>
          <w:sz w:val="24"/>
          <w:highlight w:val="none"/>
          <w:u w:val="single"/>
        </w:rPr>
        <w:t>4、</w:t>
      </w:r>
      <w:r>
        <w:rPr>
          <w:rFonts w:hint="eastAsia" w:ascii="宋体" w:hAnsi="宋体"/>
          <w:sz w:val="24"/>
          <w:highlight w:val="none"/>
          <w:u w:val="single"/>
          <w:lang w:eastAsia="zh-CN"/>
        </w:rPr>
        <w:t>成交供应商</w:t>
      </w:r>
      <w:r>
        <w:rPr>
          <w:rFonts w:hint="eastAsia" w:ascii="宋体" w:hAnsi="宋体"/>
          <w:sz w:val="24"/>
          <w:highlight w:val="none"/>
          <w:u w:val="single"/>
        </w:rPr>
        <w:t>必须对所承包的工程的质量负全部责任，其责任不因其他材料生产商提供的保证书而减轻或更改。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5.</w:t>
      </w:r>
      <w:r>
        <w:rPr>
          <w:rFonts w:hint="eastAsia" w:ascii="宋体" w:hAnsi="宋体"/>
          <w:sz w:val="24"/>
          <w:highlight w:val="none"/>
          <w:u w:val="single"/>
        </w:rPr>
        <w:t>5、施工时注意做好必要的劳动保护工作。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5.</w:t>
      </w:r>
      <w:r>
        <w:rPr>
          <w:rFonts w:hint="eastAsia" w:ascii="宋体" w:hAnsi="宋体"/>
          <w:sz w:val="24"/>
          <w:highlight w:val="none"/>
          <w:u w:val="single"/>
        </w:rPr>
        <w:t>6、施工期间</w:t>
      </w:r>
      <w:r>
        <w:rPr>
          <w:rFonts w:hint="eastAsia" w:ascii="宋体" w:hAnsi="宋体"/>
          <w:sz w:val="24"/>
          <w:highlight w:val="none"/>
          <w:u w:val="single"/>
          <w:lang w:eastAsia="zh-CN"/>
        </w:rPr>
        <w:t>涉及</w:t>
      </w:r>
      <w:r>
        <w:rPr>
          <w:rFonts w:hint="eastAsia" w:ascii="宋体" w:hAnsi="宋体"/>
          <w:sz w:val="24"/>
          <w:highlight w:val="none"/>
          <w:u w:val="single"/>
        </w:rPr>
        <w:t>敲墙、凿墙地砖、拆除吊顶等有较大噪音的应做好合理施工进程安排；</w:t>
      </w:r>
      <w:r>
        <w:rPr>
          <w:rFonts w:hint="eastAsia" w:ascii="宋体" w:hAnsi="宋体"/>
          <w:sz w:val="24"/>
          <w:highlight w:val="none"/>
          <w:u w:val="single"/>
          <w:lang w:val="en-US" w:eastAsia="zh-CN"/>
        </w:rPr>
        <w:t>同时</w:t>
      </w:r>
      <w:r>
        <w:rPr>
          <w:rFonts w:hint="eastAsia" w:ascii="宋体" w:hAnsi="宋体"/>
          <w:sz w:val="24"/>
          <w:highlight w:val="none"/>
          <w:u w:val="single"/>
        </w:rPr>
        <w:t>应做各块地面保护工作。如果因拆除造成墙地面、灯体等损坏的，由施工单位复原；造成损失的由施工单位进行赔偿。</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5.</w:t>
      </w:r>
      <w:r>
        <w:rPr>
          <w:rFonts w:hint="eastAsia" w:ascii="宋体" w:hAnsi="宋体"/>
          <w:sz w:val="24"/>
          <w:highlight w:val="none"/>
          <w:u w:val="single"/>
        </w:rPr>
        <w:t>7、本项目的施工成果须与效果图一致，如果因施工成果与效果图不符造成的工期延误及费用由</w:t>
      </w:r>
      <w:r>
        <w:rPr>
          <w:rFonts w:hint="eastAsia" w:ascii="宋体" w:hAnsi="宋体"/>
          <w:sz w:val="24"/>
          <w:highlight w:val="none"/>
          <w:u w:val="single"/>
          <w:lang w:eastAsia="zh-CN"/>
        </w:rPr>
        <w:t>成交供应商</w:t>
      </w:r>
      <w:r>
        <w:rPr>
          <w:rFonts w:hint="eastAsia" w:ascii="宋体" w:hAnsi="宋体"/>
          <w:sz w:val="24"/>
          <w:highlight w:val="none"/>
          <w:u w:val="single"/>
        </w:rPr>
        <w:t>自行承担。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single"/>
        </w:rPr>
      </w:pPr>
      <w:r>
        <w:rPr>
          <w:rFonts w:hint="eastAsia" w:ascii="宋体" w:hAnsi="宋体"/>
          <w:sz w:val="24"/>
          <w:highlight w:val="none"/>
          <w:u w:val="single"/>
          <w:lang w:val="en-US" w:eastAsia="zh-CN"/>
        </w:rPr>
        <w:t>5.</w:t>
      </w:r>
      <w:r>
        <w:rPr>
          <w:rFonts w:hint="eastAsia" w:ascii="宋体" w:hAnsi="宋体"/>
          <w:sz w:val="24"/>
          <w:highlight w:val="none"/>
          <w:u w:val="single"/>
        </w:rPr>
        <w:t xml:space="preserve">8、施工单位进场需遵守学校管理相关规定。                   </w:t>
      </w:r>
    </w:p>
    <w:p>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6.工程管理要求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6.</w:t>
      </w:r>
      <w:r>
        <w:rPr>
          <w:rFonts w:hint="eastAsia" w:ascii="宋体" w:hAnsi="宋体"/>
          <w:sz w:val="24"/>
          <w:highlight w:val="none"/>
          <w:u w:val="single"/>
        </w:rPr>
        <w:t>1、本工程发包范围内的工程项目，未经采购人同意一律不得分包。一经发现立即取消承包资格，作违约处理，并承担由此引起的一切经济损失。</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6.</w:t>
      </w:r>
      <w:r>
        <w:rPr>
          <w:rFonts w:hint="eastAsia" w:ascii="宋体" w:hAnsi="宋体"/>
          <w:sz w:val="24"/>
          <w:highlight w:val="none"/>
          <w:u w:val="single"/>
        </w:rPr>
        <w:t>2、</w:t>
      </w:r>
      <w:r>
        <w:rPr>
          <w:rFonts w:hint="eastAsia" w:ascii="宋体" w:hAnsi="宋体"/>
          <w:sz w:val="24"/>
          <w:highlight w:val="none"/>
          <w:u w:val="single"/>
          <w:lang w:eastAsia="zh-CN"/>
        </w:rPr>
        <w:t>成交供应商</w:t>
      </w:r>
      <w:r>
        <w:rPr>
          <w:rFonts w:hint="eastAsia" w:ascii="宋体" w:hAnsi="宋体"/>
          <w:sz w:val="24"/>
          <w:highlight w:val="none"/>
          <w:u w:val="single"/>
        </w:rPr>
        <w:t>应严格按已确认施工技术方案组织施工，并无条件地接受采购人代表、监理对施工质量的监督和管理。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6.</w:t>
      </w:r>
      <w:r>
        <w:rPr>
          <w:rFonts w:hint="eastAsia" w:ascii="宋体" w:hAnsi="宋体"/>
          <w:sz w:val="24"/>
          <w:highlight w:val="none"/>
          <w:u w:val="single"/>
        </w:rPr>
        <w:t>3、</w:t>
      </w:r>
      <w:r>
        <w:rPr>
          <w:rFonts w:hint="eastAsia" w:ascii="宋体" w:hAnsi="宋体"/>
          <w:sz w:val="24"/>
          <w:highlight w:val="none"/>
          <w:u w:val="single"/>
          <w:lang w:eastAsia="zh-CN"/>
        </w:rPr>
        <w:t>成交供应商</w:t>
      </w:r>
      <w:r>
        <w:rPr>
          <w:rFonts w:hint="eastAsia" w:ascii="宋体" w:hAnsi="宋体"/>
          <w:sz w:val="24"/>
          <w:highlight w:val="none"/>
          <w:u w:val="single"/>
        </w:rPr>
        <w:t>在工程施工全过程中要认真做好</w:t>
      </w:r>
      <w:r>
        <w:rPr>
          <w:rFonts w:hint="eastAsia" w:ascii="宋体" w:hAnsi="宋体"/>
          <w:sz w:val="24"/>
          <w:highlight w:val="none"/>
          <w:u w:val="single"/>
          <w:lang w:val="en-US" w:eastAsia="zh-CN"/>
        </w:rPr>
        <w:t>成品</w:t>
      </w:r>
      <w:r>
        <w:rPr>
          <w:rFonts w:hint="eastAsia" w:ascii="宋体" w:hAnsi="宋体"/>
          <w:sz w:val="24"/>
          <w:highlight w:val="none"/>
          <w:u w:val="single"/>
        </w:rPr>
        <w:t>保护。因失窃或失火造成的损失均由承包方负责，凡由此而损及采购人利益时，采购人将向中标施工单位索赔。</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6.</w:t>
      </w:r>
      <w:r>
        <w:rPr>
          <w:rFonts w:hint="eastAsia" w:ascii="宋体" w:hAnsi="宋体"/>
          <w:sz w:val="24"/>
          <w:highlight w:val="none"/>
          <w:u w:val="single"/>
        </w:rPr>
        <w:t>4、</w:t>
      </w:r>
      <w:r>
        <w:rPr>
          <w:rFonts w:hint="eastAsia" w:ascii="宋体" w:hAnsi="宋体"/>
          <w:sz w:val="24"/>
          <w:highlight w:val="none"/>
          <w:u w:val="single"/>
          <w:lang w:eastAsia="zh-CN"/>
        </w:rPr>
        <w:t>成交供应商</w:t>
      </w:r>
      <w:r>
        <w:rPr>
          <w:rFonts w:hint="eastAsia" w:ascii="宋体" w:hAnsi="宋体"/>
          <w:sz w:val="24"/>
          <w:highlight w:val="none"/>
          <w:u w:val="single"/>
        </w:rPr>
        <w:t>在响应文件中确定的工程项目负责人及项目管理班子人员，未经采购人同意，不得调换和撤离，本工程确定的成交人的项目管理班子成员，不得兼任其他工程职务并应完全到位。采购人有权要求</w:t>
      </w:r>
      <w:r>
        <w:rPr>
          <w:rFonts w:hint="eastAsia" w:ascii="宋体" w:hAnsi="宋体"/>
          <w:sz w:val="24"/>
          <w:highlight w:val="none"/>
          <w:u w:val="single"/>
          <w:lang w:eastAsia="zh-CN"/>
        </w:rPr>
        <w:t>成交供应商</w:t>
      </w:r>
      <w:r>
        <w:rPr>
          <w:rFonts w:hint="eastAsia" w:ascii="宋体" w:hAnsi="宋体"/>
          <w:sz w:val="24"/>
          <w:highlight w:val="none"/>
          <w:u w:val="single"/>
        </w:rPr>
        <w:t>撤换工作不负责任、管理不力、贻误工期、违法乱纪及造成严重安全事故和工程质量事故的项目班子的任何人员，直至项目经理本人。如项目班子成员被采购人撤换，按项目班子成员不到位处罚额度进行处罚，</w:t>
      </w:r>
      <w:r>
        <w:rPr>
          <w:rFonts w:hint="eastAsia" w:ascii="宋体" w:hAnsi="宋体"/>
          <w:sz w:val="24"/>
          <w:highlight w:val="none"/>
          <w:u w:val="single"/>
          <w:lang w:eastAsia="zh-CN"/>
        </w:rPr>
        <w:t>成交供应商</w:t>
      </w:r>
      <w:r>
        <w:rPr>
          <w:rFonts w:hint="eastAsia" w:ascii="宋体" w:hAnsi="宋体"/>
          <w:sz w:val="24"/>
          <w:highlight w:val="none"/>
          <w:u w:val="single"/>
        </w:rPr>
        <w:t>不得姑息迁就，拖延撤换和有碍工程进展，否则，采购人有权单方面终止合同，并对由此造成的采购人损失，予以追究赔偿。</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6.</w:t>
      </w:r>
      <w:r>
        <w:rPr>
          <w:rFonts w:hint="eastAsia" w:ascii="宋体" w:hAnsi="宋体"/>
          <w:sz w:val="24"/>
          <w:highlight w:val="none"/>
          <w:u w:val="single"/>
        </w:rPr>
        <w:t>5、项目管理人员要求: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rPr>
        <w:t>①企业管理人员要求：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rPr>
        <w:t>企业主要负责人（法定代表人、企业经理、企业分管安全生产的副经理、企业技术负责人）具有“三类人员”A类证书，企业分管安全生产副经理具有企业任命书；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rPr>
        <w:t>②项目负责人要求：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rPr>
        <w:t>▲项目</w:t>
      </w:r>
      <w:r>
        <w:rPr>
          <w:rFonts w:hint="eastAsia" w:ascii="宋体" w:hAnsi="宋体"/>
          <w:sz w:val="24"/>
          <w:highlight w:val="none"/>
          <w:u w:val="single"/>
          <w:lang w:eastAsia="zh-CN"/>
        </w:rPr>
        <w:t>负责人</w:t>
      </w:r>
      <w:r>
        <w:rPr>
          <w:rFonts w:hint="eastAsia" w:ascii="宋体" w:hAnsi="宋体"/>
          <w:sz w:val="24"/>
          <w:highlight w:val="none"/>
          <w:u w:val="single"/>
        </w:rPr>
        <w:t>具有注册在供应商单位的建筑工程专业二级及以上注册建造师执业资格且具有有效的三类人员B类证书；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rPr>
        <w:t>③拟派项目管理班子中安全员（拟派现场安全管理人员具有“三类人员”C类证书）；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sz w:val="24"/>
          <w:highlight w:val="none"/>
          <w:u w:val="single"/>
          <w:lang w:eastAsia="zh-CN"/>
        </w:rPr>
      </w:pPr>
      <w:r>
        <w:rPr>
          <w:rFonts w:hint="eastAsia" w:ascii="宋体" w:hAnsi="宋体"/>
          <w:sz w:val="24"/>
          <w:highlight w:val="none"/>
          <w:u w:val="single"/>
          <w:lang w:eastAsia="zh-CN"/>
        </w:rPr>
        <w:t>④</w:t>
      </w:r>
      <w:r>
        <w:rPr>
          <w:rFonts w:hint="eastAsia" w:ascii="宋体" w:hAnsi="宋体"/>
          <w:sz w:val="24"/>
          <w:highlight w:val="none"/>
          <w:u w:val="single"/>
        </w:rPr>
        <w:t>拟派项目管理</w:t>
      </w:r>
      <w:r>
        <w:rPr>
          <w:rFonts w:hint="eastAsia" w:ascii="宋体" w:hAnsi="宋体"/>
          <w:sz w:val="24"/>
          <w:highlight w:val="none"/>
          <w:u w:val="single"/>
          <w:lang w:eastAsia="zh-CN"/>
        </w:rPr>
        <w:t>班子需配备施工员、质量员、材料员及资料员等相关人员。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6.</w:t>
      </w:r>
      <w:r>
        <w:rPr>
          <w:rFonts w:hint="eastAsia" w:ascii="宋体" w:hAnsi="宋体"/>
          <w:sz w:val="24"/>
          <w:highlight w:val="none"/>
          <w:u w:val="single"/>
        </w:rPr>
        <w:t>6、工程管理其他要求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rPr>
        <w:t>本项目施工现场采购人不提供食宿，施工期间，所有施工人员的食宿均由成交供应商自行安排，材料的堆放及停车必须服从采购人的安排。</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single"/>
        </w:rPr>
      </w:pPr>
      <w:r>
        <w:rPr>
          <w:rFonts w:hint="eastAsia" w:ascii="宋体" w:hAnsi="宋体"/>
          <w:sz w:val="24"/>
          <w:highlight w:val="none"/>
          <w:u w:val="single"/>
        </w:rPr>
        <w:t xml:space="preserve">本项目施工现场在校园内，供应商必须考虑相关因素，合理安排时间施工，合理安排车辆进出等事宜，服从校园管理，施工现场严禁吸烟。 </w:t>
      </w:r>
    </w:p>
    <w:p>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 xml:space="preserve">7.工程主要材料（设备）要求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rPr>
        <w:t xml:space="preserve"> </w:t>
      </w:r>
      <w:r>
        <w:rPr>
          <w:rFonts w:hint="eastAsia" w:ascii="宋体" w:hAnsi="宋体"/>
          <w:sz w:val="24"/>
          <w:highlight w:val="none"/>
          <w:u w:val="single"/>
          <w:lang w:val="en-US" w:eastAsia="zh-CN"/>
        </w:rPr>
        <w:t>7.</w:t>
      </w:r>
      <w:r>
        <w:rPr>
          <w:rFonts w:hint="eastAsia" w:ascii="宋体" w:hAnsi="宋体"/>
          <w:sz w:val="24"/>
          <w:highlight w:val="none"/>
          <w:u w:val="single"/>
        </w:rPr>
        <w:t>1、本工程使用的原材料必须符合设计要求和施工规范的规定。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rPr>
        <w:t>实际施工过程中，采购人将严格检查验收进场原材料的合格证及质保书，如发现实样与质保书不符，应立即取样进行复查，对不合格的材料严禁用于本工程。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rPr>
        <w:t>本工程涉及的主要材料及零星材料，各磋商供应商须根据采购人要求及规范进行选材并报价，所有材料要求采用在行业内有一定知名度的品牌(招标文件已定品牌的按招标文件)，材料生产厂家必须通过ISO质量认证，并符合环保要求，严禁选择不合设计要求的低档材料进行投标报价及组织施工实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rPr>
        <w:t>设备、材料选用时，供应商应考虑与现有的和在用的各类系统的具体情况，并保持统一。项目采用的材料、设备、施工、检验检测、验收等均须符合本工程施工图等设计文件的要求，并按现行的国家标准、相关技术规范等实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7.</w:t>
      </w:r>
      <w:r>
        <w:rPr>
          <w:rFonts w:hint="eastAsia" w:ascii="宋体" w:hAnsi="宋体"/>
          <w:sz w:val="24"/>
          <w:highlight w:val="none"/>
          <w:u w:val="single"/>
        </w:rPr>
        <w:t>2、材料的质量保证</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rPr>
        <w:t>（1）在免费保修期内，</w:t>
      </w:r>
      <w:r>
        <w:rPr>
          <w:rFonts w:hint="eastAsia" w:ascii="宋体" w:hAnsi="宋体"/>
          <w:sz w:val="24"/>
          <w:highlight w:val="none"/>
          <w:u w:val="single"/>
          <w:lang w:eastAsia="zh-CN"/>
        </w:rPr>
        <w:t>成交供应商</w:t>
      </w:r>
      <w:r>
        <w:rPr>
          <w:rFonts w:hint="eastAsia" w:ascii="宋体" w:hAnsi="宋体"/>
          <w:sz w:val="24"/>
          <w:highlight w:val="none"/>
          <w:u w:val="single"/>
        </w:rPr>
        <w:t>对有缺陷的部位必须无偿地给予修理与更换，并承担一切由此引起的对采购人或第三者的直接损失，除非该缺陷是由于人为破坏或合同规定的不可抗因素造成的损坏。工程用一切材料设备均应满足设计文件的要求，并得到采购人、设计单位认可，且必须符合国家标准和规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rPr>
        <w:t>（3）</w:t>
      </w:r>
      <w:r>
        <w:rPr>
          <w:rFonts w:hint="eastAsia" w:ascii="宋体" w:hAnsi="宋体"/>
          <w:sz w:val="24"/>
          <w:highlight w:val="none"/>
          <w:u w:val="single"/>
          <w:lang w:eastAsia="zh-CN"/>
        </w:rPr>
        <w:t>成交供应商</w:t>
      </w:r>
      <w:r>
        <w:rPr>
          <w:rFonts w:hint="eastAsia" w:ascii="宋体" w:hAnsi="宋体"/>
          <w:sz w:val="24"/>
          <w:highlight w:val="none"/>
          <w:u w:val="single"/>
        </w:rPr>
        <w:t>必须对所承包工程的质量负全部责任，其责任不因其他材料生产商提供的保证书而减轻或更改。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single"/>
        </w:rPr>
      </w:pPr>
      <w:r>
        <w:rPr>
          <w:rFonts w:hint="eastAsia" w:ascii="宋体" w:hAnsi="宋体"/>
          <w:sz w:val="24"/>
          <w:highlight w:val="none"/>
          <w:u w:val="single"/>
        </w:rPr>
        <w:t>（4）本项目各项由磋商供应商提供的主要材料，必须是符合国家现行质量标准和环保要求的材料，在施工前由采购人进行选样，未经采购人选样擅自采购施工造成的损失由</w:t>
      </w:r>
      <w:r>
        <w:rPr>
          <w:rFonts w:hint="eastAsia" w:ascii="宋体" w:hAnsi="宋体"/>
          <w:sz w:val="24"/>
          <w:highlight w:val="none"/>
          <w:u w:val="single"/>
          <w:lang w:eastAsia="zh-CN"/>
        </w:rPr>
        <w:t>成交供应商</w:t>
      </w:r>
      <w:r>
        <w:rPr>
          <w:rFonts w:hint="eastAsia" w:ascii="宋体" w:hAnsi="宋体"/>
          <w:sz w:val="24"/>
          <w:highlight w:val="none"/>
          <w:u w:val="single"/>
        </w:rPr>
        <w:t xml:space="preserve">自行承担。 </w:t>
      </w:r>
    </w:p>
    <w:p>
      <w:pPr>
        <w:spacing w:line="360" w:lineRule="auto"/>
        <w:jc w:val="left"/>
        <w:rPr>
          <w:rFonts w:ascii="宋体" w:hAnsi="宋体" w:cs="仿宋_GB2312"/>
          <w:b/>
          <w:bCs/>
          <w:sz w:val="24"/>
          <w:highlight w:val="none"/>
        </w:rPr>
      </w:pPr>
    </w:p>
    <w:p>
      <w:pPr>
        <w:spacing w:line="360" w:lineRule="auto"/>
        <w:jc w:val="left"/>
        <w:outlineLvl w:val="1"/>
        <w:rPr>
          <w:rFonts w:ascii="宋体" w:hAnsi="宋体" w:cs="仿宋_GB2312"/>
          <w:b/>
          <w:bCs/>
          <w:sz w:val="24"/>
          <w:highlight w:val="none"/>
        </w:rPr>
      </w:pPr>
      <w:bookmarkStart w:id="62" w:name="_Toc21624"/>
      <w:r>
        <w:rPr>
          <w:rFonts w:hint="eastAsia" w:ascii="宋体" w:hAnsi="宋体" w:cs="仿宋_GB2312"/>
          <w:b/>
          <w:bCs/>
          <w:sz w:val="24"/>
          <w:highlight w:val="none"/>
        </w:rPr>
        <w:t>三、商务要求</w:t>
      </w:r>
      <w:bookmarkEnd w:id="62"/>
    </w:p>
    <w:p>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1.工期要求：</w:t>
      </w:r>
      <w:r>
        <w:rPr>
          <w:rFonts w:hint="eastAsia" w:ascii="宋体" w:hAnsi="宋体"/>
          <w:sz w:val="24"/>
          <w:highlight w:val="none"/>
          <w:u w:val="single"/>
        </w:rPr>
        <w:t xml:space="preserve">  </w:t>
      </w:r>
      <w:r>
        <w:rPr>
          <w:rFonts w:hint="eastAsia" w:ascii="宋体" w:hAnsi="宋体"/>
          <w:sz w:val="24"/>
          <w:highlight w:val="none"/>
          <w:u w:val="single"/>
          <w:lang w:eastAsia="zh-CN"/>
        </w:rPr>
        <w:t>合同签订起</w:t>
      </w:r>
      <w:r>
        <w:rPr>
          <w:rFonts w:hint="eastAsia" w:ascii="宋体" w:hAnsi="宋体"/>
          <w:sz w:val="24"/>
          <w:highlight w:val="none"/>
          <w:u w:val="single"/>
          <w:lang w:val="en-US" w:eastAsia="zh-CN"/>
        </w:rPr>
        <w:t>60日历天</w:t>
      </w:r>
      <w:r>
        <w:rPr>
          <w:rFonts w:hint="eastAsia" w:ascii="宋体" w:hAnsi="宋体"/>
          <w:sz w:val="24"/>
          <w:highlight w:val="none"/>
          <w:u w:val="single"/>
        </w:rPr>
        <w:t xml:space="preserve">  </w:t>
      </w:r>
    </w:p>
    <w:p>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2.工程地点：</w:t>
      </w:r>
      <w:r>
        <w:rPr>
          <w:rFonts w:hint="eastAsia" w:ascii="宋体" w:hAnsi="宋体"/>
          <w:sz w:val="24"/>
          <w:highlight w:val="none"/>
          <w:u w:val="single"/>
        </w:rPr>
        <w:t xml:space="preserve">    中国美术学院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仿宋_GB2312"/>
          <w:sz w:val="24"/>
          <w:highlight w:val="none"/>
          <w:lang w:eastAsia="zh-CN"/>
        </w:rPr>
      </w:pPr>
      <w:r>
        <w:rPr>
          <w:rFonts w:hint="eastAsia" w:ascii="宋体" w:hAnsi="宋体" w:cs="仿宋_GB2312"/>
          <w:sz w:val="24"/>
          <w:highlight w:val="none"/>
        </w:rPr>
        <w:t>3.</w:t>
      </w:r>
      <w:r>
        <w:rPr>
          <w:rFonts w:hint="eastAsia" w:ascii="宋体" w:hAnsi="宋体" w:cs="仿宋_GB2312"/>
          <w:sz w:val="24"/>
          <w:highlight w:val="none"/>
          <w:lang w:eastAsia="zh-CN"/>
        </w:rPr>
        <w:t>履约保证金、</w:t>
      </w:r>
      <w:r>
        <w:rPr>
          <w:rFonts w:hint="eastAsia" w:ascii="宋体" w:hAnsi="宋体" w:cs="仿宋_GB2312"/>
          <w:sz w:val="24"/>
          <w:highlight w:val="none"/>
        </w:rPr>
        <w:t>付款进度和方式</w:t>
      </w:r>
      <w:r>
        <w:rPr>
          <w:rFonts w:hint="eastAsia" w:ascii="宋体" w:hAnsi="宋体" w:cs="仿宋_GB2312"/>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3.1</w:t>
      </w:r>
      <w:r>
        <w:rPr>
          <w:rFonts w:hint="eastAsia" w:ascii="宋体" w:hAnsi="宋体"/>
          <w:sz w:val="24"/>
          <w:highlight w:val="none"/>
          <w:u w:val="single"/>
        </w:rPr>
        <w:t>、合同签订后5个工作日内，</w:t>
      </w:r>
      <w:r>
        <w:rPr>
          <w:rFonts w:hint="eastAsia" w:ascii="宋体" w:hAnsi="宋体"/>
          <w:sz w:val="24"/>
          <w:highlight w:val="none"/>
          <w:u w:val="single"/>
          <w:lang w:eastAsia="zh-CN"/>
        </w:rPr>
        <w:t>供应商</w:t>
      </w:r>
      <w:r>
        <w:rPr>
          <w:rFonts w:hint="eastAsia" w:ascii="宋体" w:hAnsi="宋体"/>
          <w:sz w:val="24"/>
          <w:highlight w:val="none"/>
          <w:u w:val="single"/>
        </w:rPr>
        <w:t>提交合同价</w:t>
      </w:r>
      <w:r>
        <w:rPr>
          <w:rFonts w:hint="eastAsia" w:ascii="宋体" w:hAnsi="宋体"/>
          <w:sz w:val="24"/>
          <w:highlight w:val="none"/>
          <w:u w:val="single"/>
          <w:lang w:val="en-US" w:eastAsia="zh-CN"/>
        </w:rPr>
        <w:t>2</w:t>
      </w:r>
      <w:r>
        <w:rPr>
          <w:rFonts w:hint="eastAsia" w:ascii="宋体" w:hAnsi="宋体"/>
          <w:sz w:val="24"/>
          <w:highlight w:val="none"/>
          <w:u w:val="single"/>
        </w:rPr>
        <w:t>％的履约保证金至</w:t>
      </w:r>
      <w:r>
        <w:rPr>
          <w:rFonts w:hint="eastAsia" w:ascii="宋体" w:hAnsi="宋体"/>
          <w:sz w:val="24"/>
          <w:highlight w:val="none"/>
          <w:u w:val="single"/>
          <w:lang w:eastAsia="zh-CN"/>
        </w:rPr>
        <w:t>采购人</w:t>
      </w:r>
      <w:r>
        <w:rPr>
          <w:rFonts w:hint="eastAsia" w:ascii="宋体" w:hAnsi="宋体"/>
          <w:sz w:val="24"/>
          <w:highlight w:val="none"/>
          <w:u w:val="single"/>
        </w:rPr>
        <w:t>账户，以电汇、汇票、支票形式或银行、保险公司出具的保函形式递交。联合体投标的，履约保证金由牵头人缴纳给</w:t>
      </w:r>
      <w:r>
        <w:rPr>
          <w:rFonts w:hint="eastAsia" w:ascii="宋体" w:hAnsi="宋体"/>
          <w:sz w:val="24"/>
          <w:highlight w:val="none"/>
          <w:u w:val="single"/>
          <w:lang w:eastAsia="zh-CN"/>
        </w:rPr>
        <w:t>采购</w:t>
      </w:r>
      <w:r>
        <w:rPr>
          <w:rFonts w:hint="eastAsia" w:ascii="宋体" w:hAnsi="宋体"/>
          <w:sz w:val="24"/>
          <w:highlight w:val="none"/>
          <w:u w:val="single"/>
        </w:rPr>
        <w:t>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3.2、合同签订、供应商递交履约保证金且采购人收到符合要求的发票后7个工作日内</w:t>
      </w:r>
      <w:r>
        <w:rPr>
          <w:rFonts w:hint="eastAsia" w:ascii="宋体" w:hAnsi="宋体"/>
          <w:sz w:val="24"/>
          <w:highlight w:val="none"/>
          <w:u w:val="single"/>
        </w:rPr>
        <w:t>支付合同总金额40%预付款。</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3.3</w:t>
      </w:r>
      <w:r>
        <w:rPr>
          <w:rFonts w:hint="eastAsia" w:ascii="宋体" w:hAnsi="宋体"/>
          <w:sz w:val="24"/>
          <w:highlight w:val="none"/>
          <w:u w:val="single"/>
        </w:rPr>
        <w:t>、工程竣工后，由采购人进行初步验收。验收合格后，工程移交采购人管理，支付至</w:t>
      </w:r>
      <w:r>
        <w:rPr>
          <w:rFonts w:hint="eastAsia" w:ascii="宋体" w:hAnsi="宋体" w:cs="宋体"/>
          <w:bCs/>
          <w:sz w:val="24"/>
          <w:highlight w:val="none"/>
          <w:u w:val="single"/>
        </w:rPr>
        <w:t>合同总价</w:t>
      </w:r>
      <w:r>
        <w:rPr>
          <w:rFonts w:hint="eastAsia" w:ascii="宋体" w:hAnsi="宋体" w:cs="宋体"/>
          <w:bCs/>
          <w:sz w:val="24"/>
          <w:highlight w:val="none"/>
          <w:u w:val="single"/>
          <w:lang w:val="en-US" w:eastAsia="zh-CN"/>
        </w:rPr>
        <w:t>扣除暂列金后</w:t>
      </w:r>
      <w:r>
        <w:rPr>
          <w:rFonts w:hint="eastAsia" w:ascii="宋体" w:hAnsi="宋体"/>
          <w:sz w:val="24"/>
          <w:highlight w:val="none"/>
          <w:u w:val="single"/>
        </w:rPr>
        <w:t>的8</w:t>
      </w:r>
      <w:r>
        <w:rPr>
          <w:rFonts w:hint="eastAsia" w:ascii="宋体" w:hAnsi="宋体"/>
          <w:sz w:val="24"/>
          <w:highlight w:val="none"/>
          <w:u w:val="single"/>
          <w:lang w:val="en-US" w:eastAsia="zh-CN"/>
        </w:rPr>
        <w:t>5</w:t>
      </w:r>
      <w:r>
        <w:rPr>
          <w:rFonts w:hint="eastAsia" w:ascii="宋体" w:hAnsi="宋体"/>
          <w:sz w:val="24"/>
          <w:highlight w:val="none"/>
          <w:u w:val="single"/>
        </w:rPr>
        <w:t>%（含预付款）。履约保证金无息退还。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3.4</w:t>
      </w:r>
      <w:r>
        <w:rPr>
          <w:rFonts w:hint="eastAsia" w:ascii="宋体" w:hAnsi="宋体"/>
          <w:sz w:val="24"/>
          <w:highlight w:val="none"/>
          <w:u w:val="single"/>
        </w:rPr>
        <w:t>、工程竣工结算经审计，采购人和</w:t>
      </w:r>
      <w:r>
        <w:rPr>
          <w:rFonts w:hint="eastAsia" w:ascii="宋体" w:hAnsi="宋体"/>
          <w:sz w:val="24"/>
          <w:highlight w:val="none"/>
          <w:u w:val="single"/>
          <w:lang w:val="en-US" w:eastAsia="zh-CN"/>
        </w:rPr>
        <w:t>成交</w:t>
      </w:r>
      <w:r>
        <w:rPr>
          <w:rFonts w:hint="eastAsia" w:ascii="宋体" w:hAnsi="宋体"/>
          <w:sz w:val="24"/>
          <w:highlight w:val="none"/>
          <w:u w:val="single"/>
        </w:rPr>
        <w:t>供应商双方签字确认，且供应商缴纳质量保证金（结算审定价的1.5%）后，采购人支付至结算审定价的100%；质量保证金按《工程质量保修书》的有关规定退还。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3.5</w:t>
      </w:r>
      <w:r>
        <w:rPr>
          <w:rFonts w:hint="eastAsia" w:ascii="宋体" w:hAnsi="宋体"/>
          <w:sz w:val="24"/>
          <w:highlight w:val="none"/>
          <w:u w:val="single"/>
        </w:rPr>
        <w:t>、如无法安装水电表，施工水电费按工程竣工结算审定价的0.7％计算，在结算审定款中直接扣除。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3.6</w:t>
      </w:r>
      <w:r>
        <w:rPr>
          <w:rFonts w:hint="eastAsia" w:ascii="宋体" w:hAnsi="宋体"/>
          <w:sz w:val="24"/>
          <w:highlight w:val="none"/>
          <w:u w:val="single"/>
        </w:rPr>
        <w:t>、以上款项均不计息。在采购人支付上述款项前，</w:t>
      </w:r>
      <w:r>
        <w:rPr>
          <w:rFonts w:hint="eastAsia" w:ascii="宋体" w:hAnsi="宋体"/>
          <w:sz w:val="24"/>
          <w:highlight w:val="none"/>
          <w:u w:val="single"/>
          <w:lang w:val="en-US" w:eastAsia="zh-CN"/>
        </w:rPr>
        <w:t>成交</w:t>
      </w:r>
      <w:r>
        <w:rPr>
          <w:rFonts w:hint="eastAsia" w:ascii="宋体" w:hAnsi="宋体"/>
          <w:sz w:val="24"/>
          <w:highlight w:val="none"/>
          <w:u w:val="single"/>
        </w:rPr>
        <w:t>供应商必须开具同等数额的正规税务发票，否则采购人有权拒绝支付。</w:t>
      </w:r>
    </w:p>
    <w:p>
      <w:pPr>
        <w:spacing w:line="360" w:lineRule="auto"/>
        <w:ind w:left="210" w:leftChars="100" w:firstLine="240" w:firstLineChars="100"/>
        <w:jc w:val="left"/>
        <w:rPr>
          <w:rFonts w:ascii="宋体" w:hAnsi="宋体" w:cs="仿宋_GB2312"/>
          <w:sz w:val="24"/>
          <w:highlight w:val="none"/>
        </w:rPr>
      </w:pPr>
      <w:r>
        <w:rPr>
          <w:rFonts w:hint="eastAsia" w:ascii="宋体" w:hAnsi="宋体" w:cs="仿宋_GB2312"/>
          <w:sz w:val="24"/>
          <w:highlight w:val="none"/>
        </w:rPr>
        <w:t>4.工程售后服务要求</w:t>
      </w:r>
    </w:p>
    <w:p>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详见工程质量保修书。质保2年。</w:t>
      </w:r>
    </w:p>
    <w:p>
      <w:pPr>
        <w:spacing w:line="360" w:lineRule="auto"/>
        <w:jc w:val="left"/>
        <w:outlineLvl w:val="1"/>
        <w:rPr>
          <w:rFonts w:ascii="宋体" w:hAnsi="宋体" w:cs="仿宋_GB2312"/>
          <w:b/>
          <w:bCs/>
          <w:sz w:val="24"/>
          <w:highlight w:val="none"/>
        </w:rPr>
      </w:pPr>
      <w:bookmarkStart w:id="63" w:name="_Toc26756"/>
      <w:r>
        <w:rPr>
          <w:rFonts w:hint="eastAsia" w:ascii="宋体" w:hAnsi="宋体" w:cs="仿宋_GB2312"/>
          <w:b/>
          <w:bCs/>
          <w:sz w:val="24"/>
          <w:highlight w:val="none"/>
        </w:rPr>
        <w:t>五、其他要求</w:t>
      </w:r>
      <w:bookmarkEnd w:id="63"/>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lang w:val="en-US" w:eastAsia="zh-CN"/>
        </w:rPr>
      </w:pPr>
      <w:r>
        <w:rPr>
          <w:rFonts w:hint="eastAsia" w:ascii="宋体" w:hAnsi="宋体"/>
          <w:sz w:val="24"/>
          <w:highlight w:val="none"/>
          <w:u w:val="single"/>
          <w:lang w:val="en-US" w:eastAsia="zh-CN"/>
        </w:rPr>
        <w:t>1、展具、吊顶内设备、周边墙地面保护</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b/>
          <w:bCs/>
          <w:sz w:val="24"/>
          <w:highlight w:val="none"/>
          <w:u w:val="single"/>
          <w:lang w:val="en-US" w:eastAsia="zh-CN"/>
        </w:rPr>
      </w:pPr>
      <w:r>
        <w:rPr>
          <w:rFonts w:hint="eastAsia" w:ascii="宋体" w:hAnsi="宋体"/>
          <w:b/>
          <w:bCs/>
          <w:sz w:val="24"/>
          <w:highlight w:val="none"/>
          <w:u w:val="single"/>
          <w:lang w:val="en-US" w:eastAsia="zh-CN"/>
        </w:rPr>
        <w:t>1.1、供应商在项目实施过程中需做好展具、吊顶内设备及周边墙地面保护工作。特别是展具保护，供应商需提供相关实施方案经采购人认可后方可实施。供应商擅自实施或实施过程中若造成展具、吊顶内设备及周边墙地面损坏的，由此引起的</w:t>
      </w:r>
      <w:r>
        <w:rPr>
          <w:rFonts w:hint="eastAsia" w:ascii="宋体" w:hAnsi="宋体"/>
          <w:b/>
          <w:bCs/>
          <w:sz w:val="24"/>
          <w:highlight w:val="none"/>
          <w:u w:val="single"/>
        </w:rPr>
        <w:t>所有经济和法律责任</w:t>
      </w:r>
      <w:r>
        <w:rPr>
          <w:rFonts w:hint="eastAsia" w:ascii="宋体" w:hAnsi="宋体"/>
          <w:b/>
          <w:bCs/>
          <w:sz w:val="24"/>
          <w:highlight w:val="none"/>
          <w:u w:val="single"/>
          <w:lang w:eastAsia="zh-CN"/>
        </w:rPr>
        <w:t>由供应商承担。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1、</w:t>
      </w:r>
      <w:r>
        <w:rPr>
          <w:rFonts w:hint="eastAsia" w:ascii="宋体" w:hAnsi="宋体"/>
          <w:sz w:val="24"/>
          <w:highlight w:val="none"/>
          <w:u w:val="single"/>
        </w:rPr>
        <w:t xml:space="preserve"> 安全文明施工：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1.</w:t>
      </w:r>
      <w:r>
        <w:rPr>
          <w:rFonts w:hint="eastAsia" w:ascii="宋体" w:hAnsi="宋体"/>
          <w:sz w:val="24"/>
          <w:highlight w:val="none"/>
          <w:u w:val="single"/>
        </w:rPr>
        <w:t>1、供应商应加强施工的安全生产管理，制定安全操作规程，保证工程施工的安全，供应商应教育其职工进行文明施工，配备必要的安全生产设施和劳动保护用具。供应商应对其管辖范围内的人员和配备（包括业主的人员和设备）以及工程的安全负责，应负责做好其所辖人员的工作场所和居住区的日常治安管理和安全保护工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1.</w:t>
      </w:r>
      <w:r>
        <w:rPr>
          <w:rFonts w:hint="eastAsia" w:ascii="宋体" w:hAnsi="宋体"/>
          <w:sz w:val="24"/>
          <w:highlight w:val="none"/>
          <w:u w:val="single"/>
        </w:rPr>
        <w:t>2、供应商必须注意保护工地；邻近建筑物和附近居民的安全，防止因施工措施不当使附近居民的人员财产遭受损失或发生其他任何施工安全事故，供应商必须对施工现场的用电安全负责。施工现场用电必须遵照杭州市建委颁布的施工现场用电管理条例执行。在工地现场做好警戒告示牌，提醒进入施工现场人员的注意。供应商承担所有安全保卫责任以及由此引起的所有经济和法律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1.</w:t>
      </w:r>
      <w:r>
        <w:rPr>
          <w:rFonts w:hint="eastAsia" w:ascii="宋体" w:hAnsi="宋体"/>
          <w:sz w:val="24"/>
          <w:highlight w:val="none"/>
          <w:u w:val="single"/>
        </w:rPr>
        <w:t>3、因供应商原因发生质量事故、工程事故、安全事故，造成人身和财产损失的，承包方承担全部行政、民事、刑事责任，并承担损害赔偿责任。违反文明施工管理、卫生管理、安全生产管理、扬尘污染防治管理等国家、省、市相关规定，造成后果的由承包方承担一切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2</w:t>
      </w:r>
      <w:r>
        <w:rPr>
          <w:rFonts w:hint="eastAsia" w:ascii="宋体" w:hAnsi="宋体"/>
          <w:sz w:val="24"/>
          <w:highlight w:val="none"/>
          <w:u w:val="single"/>
        </w:rPr>
        <w:t>、验收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rPr>
        <w:t>成交供应商必须严格按合同条款、施工验收规范、国家和省市的有关质量验收标准及磋商文件要求，精心组织施工，确保工程质量达到国家合格验收标准。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lang w:val="en-US" w:eastAsia="zh-CN"/>
        </w:rPr>
        <w:t>3</w:t>
      </w:r>
      <w:r>
        <w:rPr>
          <w:rFonts w:hint="eastAsia" w:ascii="宋体" w:hAnsi="宋体"/>
          <w:sz w:val="24"/>
          <w:highlight w:val="none"/>
          <w:u w:val="single"/>
        </w:rPr>
        <w:t>、保密要求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rPr>
        <w:t>1、成交供应商的项目经理应该对采购人的信息具有保密义务。在进行服务的过程中，应当佩戴明显的公司标志，并严格遵守服务规范和用户单位的规章制度。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single"/>
        </w:rPr>
      </w:pPr>
      <w:r>
        <w:rPr>
          <w:rFonts w:hint="eastAsia" w:ascii="宋体" w:hAnsi="宋体"/>
          <w:sz w:val="24"/>
          <w:highlight w:val="none"/>
          <w:u w:val="single"/>
        </w:rPr>
        <w:t xml:space="preserve">2、成交供应商对涉及机密的数据进行维护时，要求由用户单位相关使用人在场，如果因为供应商过失引起的泄密，将依法追究其民事、刑事责任。        </w:t>
      </w:r>
    </w:p>
    <w:p>
      <w:pPr>
        <w:outlineLvl w:val="1"/>
        <w:rPr>
          <w:rFonts w:hint="eastAsia" w:ascii="宋体" w:hAnsi="宋体" w:eastAsia="宋体" w:cs="仿宋_GB2312"/>
          <w:b/>
          <w:bCs/>
          <w:sz w:val="24"/>
          <w:szCs w:val="24"/>
          <w:highlight w:val="none"/>
        </w:rPr>
      </w:pPr>
      <w:bookmarkStart w:id="64" w:name="_Toc26774"/>
      <w:r>
        <w:rPr>
          <w:rFonts w:hint="eastAsia" w:ascii="宋体" w:hAnsi="宋体" w:cs="仿宋_GB2312"/>
          <w:b/>
          <w:bCs/>
          <w:sz w:val="24"/>
          <w:highlight w:val="none"/>
          <w:u w:val="none"/>
          <w:lang w:eastAsia="zh-CN"/>
        </w:rPr>
        <w:t>六、</w:t>
      </w:r>
      <w:bookmarkStart w:id="65" w:name="_Toc25431"/>
      <w:bookmarkStart w:id="66" w:name="_Toc28324"/>
      <w:bookmarkStart w:id="67" w:name="_Toc27408"/>
      <w:bookmarkStart w:id="68" w:name="_Toc32149"/>
      <w:bookmarkStart w:id="69" w:name="_Toc29799"/>
      <w:bookmarkStart w:id="70" w:name="_Toc29944"/>
      <w:r>
        <w:rPr>
          <w:rFonts w:hint="eastAsia" w:ascii="宋体" w:hAnsi="宋体" w:eastAsia="宋体" w:cs="仿宋_GB2312"/>
          <w:b/>
          <w:bCs/>
          <w:sz w:val="24"/>
          <w:szCs w:val="24"/>
          <w:highlight w:val="none"/>
        </w:rPr>
        <w:t>磋商响应要求</w:t>
      </w:r>
      <w:bookmarkEnd w:id="64"/>
      <w:bookmarkEnd w:id="65"/>
      <w:bookmarkEnd w:id="66"/>
      <w:bookmarkEnd w:id="67"/>
      <w:bookmarkEnd w:id="68"/>
      <w:bookmarkEnd w:id="69"/>
    </w:p>
    <w:p>
      <w:pPr>
        <w:pStyle w:val="23"/>
        <w:snapToGrid w:val="0"/>
        <w:ind w:firstLine="482" w:firstLineChars="200"/>
        <w:rPr>
          <w:rFonts w:hint="eastAsia" w:ascii="宋体" w:hAnsi="宋体" w:eastAsia="宋体" w:cs="宋体"/>
          <w:b/>
          <w:bCs/>
          <w:highlight w:val="none"/>
        </w:rPr>
      </w:pPr>
      <w:r>
        <w:rPr>
          <w:rFonts w:hint="eastAsia" w:ascii="宋体" w:hAnsi="宋体" w:eastAsia="宋体" w:cs="宋体"/>
          <w:b/>
          <w:bCs/>
          <w:highlight w:val="none"/>
        </w:rPr>
        <w:t>（一）</w:t>
      </w:r>
      <w:r>
        <w:rPr>
          <w:rFonts w:hint="eastAsia" w:ascii="宋体" w:hAnsi="宋体" w:eastAsia="宋体" w:cs="宋体"/>
          <w:b/>
          <w:bCs/>
          <w:highlight w:val="none"/>
          <w:lang w:val="en-US"/>
        </w:rPr>
        <w:t>供应商</w:t>
      </w:r>
      <w:r>
        <w:rPr>
          <w:rFonts w:hint="eastAsia" w:ascii="宋体" w:hAnsi="宋体" w:eastAsia="宋体" w:cs="宋体"/>
          <w:b/>
          <w:bCs/>
          <w:highlight w:val="none"/>
        </w:rPr>
        <w:t>要求</w:t>
      </w:r>
    </w:p>
    <w:p>
      <w:pPr>
        <w:pStyle w:val="23"/>
        <w:snapToGrid w:val="0"/>
        <w:ind w:firstLine="480" w:firstLineChars="200"/>
        <w:rPr>
          <w:rFonts w:hint="eastAsia" w:ascii="宋体" w:hAnsi="宋体" w:eastAsia="宋体" w:cs="宋体"/>
          <w:bCs/>
          <w:highlight w:val="none"/>
        </w:rPr>
      </w:pPr>
      <w:r>
        <w:rPr>
          <w:rFonts w:hint="eastAsia" w:ascii="宋体" w:hAnsi="宋体" w:eastAsia="宋体" w:cs="宋体"/>
          <w:bCs/>
          <w:highlight w:val="none"/>
        </w:rPr>
        <w:t>为确保项目的顺利实施，</w:t>
      </w:r>
      <w:r>
        <w:rPr>
          <w:rFonts w:hint="eastAsia" w:ascii="宋体" w:hAnsi="宋体" w:eastAsia="宋体" w:cs="宋体"/>
          <w:bCs/>
          <w:highlight w:val="none"/>
          <w:lang w:val="en-US"/>
        </w:rPr>
        <w:t>供应商</w:t>
      </w:r>
      <w:r>
        <w:rPr>
          <w:rFonts w:hint="eastAsia" w:ascii="宋体" w:hAnsi="宋体" w:eastAsia="宋体" w:cs="宋体"/>
          <w:bCs/>
          <w:highlight w:val="none"/>
        </w:rPr>
        <w:t>应有类似装饰装修业绩经验。</w:t>
      </w:r>
    </w:p>
    <w:p>
      <w:pPr>
        <w:pStyle w:val="23"/>
        <w:snapToGrid w:val="0"/>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w:t>
      </w:r>
      <w:r>
        <w:rPr>
          <w:rFonts w:hint="eastAsia" w:ascii="宋体" w:hAnsi="宋体" w:eastAsia="宋体" w:cs="宋体"/>
          <w:b/>
          <w:bCs/>
          <w:szCs w:val="24"/>
          <w:highlight w:val="none"/>
          <w:lang w:val="en-US"/>
        </w:rPr>
        <w:t>二</w:t>
      </w:r>
      <w:r>
        <w:rPr>
          <w:rFonts w:hint="eastAsia" w:ascii="宋体" w:hAnsi="宋体" w:eastAsia="宋体" w:cs="宋体"/>
          <w:b/>
          <w:bCs/>
          <w:szCs w:val="24"/>
          <w:highlight w:val="none"/>
        </w:rPr>
        <w:t>）磋商响应时对方案的要求</w:t>
      </w:r>
    </w:p>
    <w:p>
      <w:pPr>
        <w:tabs>
          <w:tab w:val="left" w:pos="0"/>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1、供应商参与本项目应有完整的、可行的服务方案，对磋商文件提出的服务要求予以响应。结合自身资源与项目特点，磋商响应需根据自身经验针对本需求编制响应方案。</w:t>
      </w:r>
    </w:p>
    <w:p>
      <w:pPr>
        <w:tabs>
          <w:tab w:val="left" w:pos="0"/>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2、响应文件内容在涵盖对本项目采购内容及需求中列明全部内容的响应之外，还应包括但不限于以下内容：</w:t>
      </w:r>
    </w:p>
    <w:bookmarkEnd w:id="70"/>
    <w:p>
      <w:pPr>
        <w:numPr>
          <w:ilvl w:val="0"/>
          <w:numId w:val="2"/>
        </w:numPr>
        <w:tabs>
          <w:tab w:val="left" w:pos="0"/>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针对本项目投入的项目班子成员情况；</w:t>
      </w:r>
    </w:p>
    <w:p>
      <w:pPr>
        <w:numPr>
          <w:ilvl w:val="0"/>
          <w:numId w:val="2"/>
        </w:numPr>
        <w:tabs>
          <w:tab w:val="left" w:pos="0"/>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针对本项目整体</w:t>
      </w:r>
      <w:r>
        <w:rPr>
          <w:rFonts w:hint="eastAsia" w:ascii="宋体" w:hAnsi="宋体" w:eastAsia="宋体" w:cs="宋体"/>
          <w:kern w:val="0"/>
          <w:sz w:val="24"/>
          <w:highlight w:val="none"/>
          <w:lang w:eastAsia="zh-CN"/>
        </w:rPr>
        <w:t>施工</w:t>
      </w:r>
      <w:r>
        <w:rPr>
          <w:rFonts w:hint="eastAsia" w:ascii="宋体" w:hAnsi="宋体" w:eastAsia="宋体" w:cs="宋体"/>
          <w:kern w:val="0"/>
          <w:sz w:val="24"/>
          <w:highlight w:val="none"/>
        </w:rPr>
        <w:t>方案；</w:t>
      </w:r>
    </w:p>
    <w:p>
      <w:pPr>
        <w:numPr>
          <w:ilvl w:val="0"/>
          <w:numId w:val="2"/>
        </w:numPr>
        <w:tabs>
          <w:tab w:val="left" w:pos="0"/>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针对本项目</w:t>
      </w:r>
      <w:r>
        <w:rPr>
          <w:rFonts w:hint="eastAsia" w:ascii="宋体" w:hAnsi="宋体" w:eastAsia="宋体" w:cs="宋体"/>
          <w:kern w:val="0"/>
          <w:sz w:val="24"/>
          <w:highlight w:val="none"/>
          <w:lang w:eastAsia="zh-CN"/>
        </w:rPr>
        <w:t>的</w:t>
      </w:r>
      <w:r>
        <w:rPr>
          <w:rFonts w:hint="eastAsia" w:ascii="宋体" w:hAnsi="宋体" w:eastAsia="宋体" w:cs="宋体"/>
          <w:kern w:val="0"/>
          <w:sz w:val="24"/>
          <w:highlight w:val="none"/>
        </w:rPr>
        <w:t>工期及进度控制；</w:t>
      </w:r>
    </w:p>
    <w:p>
      <w:pPr>
        <w:numPr>
          <w:ilvl w:val="0"/>
          <w:numId w:val="2"/>
        </w:numPr>
        <w:tabs>
          <w:tab w:val="left" w:pos="0"/>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针对本项目</w:t>
      </w:r>
      <w:r>
        <w:rPr>
          <w:rFonts w:hint="eastAsia" w:ascii="宋体" w:hAnsi="宋体" w:eastAsia="宋体" w:cs="宋体"/>
          <w:kern w:val="0"/>
          <w:sz w:val="24"/>
          <w:highlight w:val="none"/>
          <w:lang w:eastAsia="zh-CN"/>
        </w:rPr>
        <w:t>的</w:t>
      </w:r>
      <w:r>
        <w:rPr>
          <w:rFonts w:hint="eastAsia" w:ascii="宋体" w:hAnsi="宋体" w:eastAsia="宋体" w:cs="宋体"/>
          <w:kern w:val="0"/>
          <w:sz w:val="24"/>
          <w:highlight w:val="none"/>
        </w:rPr>
        <w:t>施工重点难点</w:t>
      </w:r>
      <w:r>
        <w:rPr>
          <w:rFonts w:hint="eastAsia" w:ascii="宋体" w:hAnsi="宋体" w:eastAsia="宋体" w:cs="宋体"/>
          <w:kern w:val="0"/>
          <w:sz w:val="24"/>
          <w:highlight w:val="none"/>
          <w:lang w:eastAsia="zh-CN"/>
        </w:rPr>
        <w:t>进行</w:t>
      </w:r>
      <w:r>
        <w:rPr>
          <w:rFonts w:hint="eastAsia" w:ascii="宋体" w:hAnsi="宋体" w:eastAsia="宋体" w:cs="宋体"/>
          <w:kern w:val="0"/>
          <w:sz w:val="24"/>
          <w:highlight w:val="none"/>
        </w:rPr>
        <w:t>分析</w:t>
      </w:r>
      <w:r>
        <w:rPr>
          <w:rFonts w:hint="eastAsia" w:ascii="宋体" w:hAnsi="宋体" w:eastAsia="宋体" w:cs="宋体"/>
          <w:kern w:val="0"/>
          <w:sz w:val="24"/>
          <w:highlight w:val="none"/>
          <w:lang w:eastAsia="zh-CN"/>
        </w:rPr>
        <w:t>并提出相应措施</w:t>
      </w:r>
      <w:r>
        <w:rPr>
          <w:rFonts w:hint="eastAsia" w:ascii="宋体" w:hAnsi="宋体" w:eastAsia="宋体" w:cs="宋体"/>
          <w:kern w:val="0"/>
          <w:sz w:val="24"/>
          <w:highlight w:val="none"/>
        </w:rPr>
        <w:t>；</w:t>
      </w:r>
    </w:p>
    <w:p>
      <w:pPr>
        <w:numPr>
          <w:ilvl w:val="0"/>
          <w:numId w:val="2"/>
        </w:numPr>
        <w:tabs>
          <w:tab w:val="left" w:pos="0"/>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针对本项目制定的</w:t>
      </w:r>
      <w:r>
        <w:rPr>
          <w:rFonts w:hint="eastAsia" w:ascii="宋体" w:hAnsi="宋体" w:eastAsia="宋体" w:cs="宋体"/>
          <w:kern w:val="0"/>
          <w:sz w:val="24"/>
          <w:highlight w:val="none"/>
          <w:lang w:eastAsia="zh-CN"/>
        </w:rPr>
        <w:t>保护</w:t>
      </w:r>
      <w:r>
        <w:rPr>
          <w:rFonts w:hint="eastAsia" w:ascii="宋体" w:hAnsi="宋体" w:eastAsia="宋体" w:cs="宋体"/>
          <w:kern w:val="0"/>
          <w:sz w:val="24"/>
          <w:highlight w:val="none"/>
        </w:rPr>
        <w:t>方案；</w:t>
      </w:r>
    </w:p>
    <w:p>
      <w:pPr>
        <w:numPr>
          <w:ilvl w:val="0"/>
          <w:numId w:val="2"/>
        </w:numPr>
        <w:tabs>
          <w:tab w:val="left" w:pos="0"/>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针对本项目</w:t>
      </w:r>
      <w:r>
        <w:rPr>
          <w:rFonts w:hint="eastAsia" w:ascii="宋体" w:hAnsi="宋体" w:eastAsia="宋体" w:cs="宋体"/>
          <w:kern w:val="0"/>
          <w:sz w:val="24"/>
          <w:highlight w:val="none"/>
          <w:lang w:eastAsia="zh-CN"/>
        </w:rPr>
        <w:t>制定的质量控制措施</w:t>
      </w:r>
      <w:r>
        <w:rPr>
          <w:rFonts w:hint="eastAsia" w:ascii="宋体" w:hAnsi="宋体" w:eastAsia="宋体" w:cs="宋体"/>
          <w:kern w:val="0"/>
          <w:sz w:val="24"/>
          <w:highlight w:val="none"/>
        </w:rPr>
        <w:t>；</w:t>
      </w:r>
    </w:p>
    <w:p>
      <w:pPr>
        <w:numPr>
          <w:ilvl w:val="0"/>
          <w:numId w:val="2"/>
        </w:numPr>
        <w:tabs>
          <w:tab w:val="left" w:pos="0"/>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针对本项目</w:t>
      </w:r>
      <w:r>
        <w:rPr>
          <w:rFonts w:hint="eastAsia" w:ascii="宋体" w:hAnsi="宋体" w:eastAsia="宋体" w:cs="宋体"/>
          <w:kern w:val="0"/>
          <w:sz w:val="24"/>
          <w:highlight w:val="none"/>
          <w:lang w:eastAsia="zh-CN"/>
        </w:rPr>
        <w:t>制定的安全、文明施工及市政、市容、环保、消防等的保证措施</w:t>
      </w:r>
      <w:r>
        <w:rPr>
          <w:rFonts w:hint="eastAsia" w:ascii="宋体" w:hAnsi="宋体" w:eastAsia="宋体" w:cs="宋体"/>
          <w:kern w:val="0"/>
          <w:sz w:val="24"/>
          <w:highlight w:val="none"/>
        </w:rPr>
        <w:t>。</w:t>
      </w:r>
    </w:p>
    <w:p>
      <w:pPr>
        <w:numPr>
          <w:ilvl w:val="0"/>
          <w:numId w:val="2"/>
        </w:numPr>
        <w:tabs>
          <w:tab w:val="left" w:pos="0"/>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针对本项目</w:t>
      </w:r>
      <w:r>
        <w:rPr>
          <w:rFonts w:hint="eastAsia" w:ascii="宋体" w:hAnsi="宋体" w:eastAsia="宋体" w:cs="宋体"/>
          <w:kern w:val="0"/>
          <w:sz w:val="24"/>
          <w:highlight w:val="none"/>
          <w:lang w:eastAsia="zh-CN"/>
        </w:rPr>
        <w:t>制定的</w:t>
      </w:r>
      <w:r>
        <w:rPr>
          <w:rFonts w:hint="eastAsia" w:ascii="宋体" w:hAnsi="宋体" w:eastAsia="宋体" w:cs="宋体"/>
          <w:kern w:val="0"/>
          <w:sz w:val="24"/>
          <w:highlight w:val="none"/>
        </w:rPr>
        <w:t>降噪措施。</w:t>
      </w:r>
    </w:p>
    <w:p>
      <w:pPr>
        <w:numPr>
          <w:ilvl w:val="0"/>
          <w:numId w:val="2"/>
        </w:numPr>
        <w:tabs>
          <w:tab w:val="left" w:pos="0"/>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针对本项目的需求制定管理人员的岗位、专业及各专业工种劳动力配置等；</w:t>
      </w:r>
    </w:p>
    <w:p>
      <w:pPr>
        <w:numPr>
          <w:ilvl w:val="0"/>
          <w:numId w:val="2"/>
        </w:numPr>
        <w:tabs>
          <w:tab w:val="left" w:pos="0"/>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针对本项目</w:t>
      </w:r>
      <w:r>
        <w:rPr>
          <w:rFonts w:hint="eastAsia" w:ascii="宋体" w:hAnsi="宋体" w:eastAsia="宋体" w:cs="宋体"/>
          <w:kern w:val="0"/>
          <w:sz w:val="24"/>
          <w:highlight w:val="none"/>
          <w:lang w:eastAsia="zh-CN"/>
        </w:rPr>
        <w:t>需求配备的</w:t>
      </w:r>
      <w:r>
        <w:rPr>
          <w:rFonts w:hint="eastAsia" w:ascii="宋体" w:hAnsi="宋体" w:eastAsia="宋体" w:cs="宋体"/>
          <w:kern w:val="0"/>
          <w:sz w:val="24"/>
          <w:highlight w:val="none"/>
        </w:rPr>
        <w:t>施工机具和检验仪器。</w:t>
      </w:r>
    </w:p>
    <w:p>
      <w:pPr>
        <w:numPr>
          <w:ilvl w:val="0"/>
          <w:numId w:val="2"/>
        </w:numPr>
        <w:tabs>
          <w:tab w:val="left" w:pos="0"/>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针对本项目</w:t>
      </w:r>
      <w:r>
        <w:rPr>
          <w:rFonts w:hint="eastAsia" w:ascii="宋体" w:hAnsi="宋体" w:eastAsia="宋体" w:cs="宋体"/>
          <w:kern w:val="0"/>
          <w:sz w:val="24"/>
          <w:highlight w:val="none"/>
          <w:lang w:eastAsia="zh-CN"/>
        </w:rPr>
        <w:t>需求制定的材料设备进场计划及施工计划</w:t>
      </w:r>
      <w:r>
        <w:rPr>
          <w:rFonts w:hint="eastAsia" w:ascii="宋体" w:hAnsi="宋体" w:eastAsia="宋体" w:cs="宋体"/>
          <w:kern w:val="0"/>
          <w:sz w:val="24"/>
          <w:highlight w:val="none"/>
        </w:rPr>
        <w:t>；</w:t>
      </w:r>
    </w:p>
    <w:p>
      <w:pPr>
        <w:numPr>
          <w:ilvl w:val="0"/>
          <w:numId w:val="2"/>
        </w:numPr>
        <w:tabs>
          <w:tab w:val="left" w:pos="0"/>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供应商需针对本项目制定质保期内服务方案。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sz w:val="24"/>
          <w:highlight w:val="none"/>
          <w:u w:val="single"/>
          <w:lang w:eastAsia="zh-CN"/>
        </w:rPr>
      </w:pPr>
    </w:p>
    <w:p>
      <w:pPr>
        <w:widowControl/>
        <w:ind w:firstLine="720" w:firstLineChars="300"/>
        <w:jc w:val="left"/>
        <w:rPr>
          <w:rFonts w:ascii="宋体" w:hAnsi="宋体" w:cs="宋体"/>
          <w:bCs/>
          <w:sz w:val="24"/>
          <w:highlight w:val="none"/>
        </w:rPr>
      </w:pPr>
    </w:p>
    <w:p>
      <w:pPr>
        <w:rPr>
          <w:rFonts w:ascii="宋体" w:hAnsi="宋体" w:cs="宋体"/>
          <w:snapToGrid w:val="0"/>
          <w:kern w:val="0"/>
          <w:sz w:val="24"/>
          <w:highlight w:val="none"/>
        </w:rPr>
      </w:pPr>
    </w:p>
    <w:p>
      <w:pPr>
        <w:snapToGrid w:val="0"/>
        <w:spacing w:line="360" w:lineRule="auto"/>
        <w:jc w:val="center"/>
        <w:outlineLvl w:val="0"/>
        <w:rPr>
          <w:rFonts w:hint="eastAsia" w:ascii="宋体" w:hAnsi="宋体" w:cs="宋体"/>
          <w:b/>
          <w:sz w:val="36"/>
          <w:szCs w:val="20"/>
          <w:highlight w:val="none"/>
        </w:rPr>
      </w:pPr>
      <w:r>
        <w:rPr>
          <w:rFonts w:hint="eastAsia" w:ascii="宋体" w:hAnsi="宋体" w:cs="宋体"/>
          <w:b/>
          <w:sz w:val="24"/>
          <w:highlight w:val="none"/>
        </w:rPr>
        <w:br w:type="page"/>
      </w:r>
      <w:bookmarkStart w:id="71" w:name="_Toc19054"/>
      <w:r>
        <w:rPr>
          <w:rFonts w:hint="eastAsia" w:ascii="宋体" w:hAnsi="宋体" w:cs="宋体"/>
          <w:b/>
          <w:sz w:val="36"/>
          <w:szCs w:val="20"/>
          <w:highlight w:val="none"/>
        </w:rPr>
        <w:t>第四部分</w:t>
      </w:r>
      <w:bookmarkStart w:id="72" w:name="_Toc184310289"/>
      <w:bookmarkEnd w:id="72"/>
      <w:bookmarkStart w:id="73" w:name="_Toc184314418"/>
      <w:bookmarkEnd w:id="73"/>
      <w:bookmarkStart w:id="74" w:name="_Toc184312117"/>
      <w:bookmarkEnd w:id="74"/>
      <w:bookmarkStart w:id="75" w:name="_Toc184313245"/>
      <w:bookmarkEnd w:id="75"/>
      <w:bookmarkStart w:id="76" w:name="_Toc184310335"/>
      <w:bookmarkEnd w:id="76"/>
      <w:bookmarkStart w:id="77" w:name="_Toc184312076"/>
      <w:bookmarkEnd w:id="77"/>
      <w:bookmarkStart w:id="78" w:name="_Toc184310298"/>
      <w:bookmarkEnd w:id="78"/>
      <w:bookmarkStart w:id="79" w:name="_Toc184310313"/>
      <w:bookmarkEnd w:id="79"/>
      <w:bookmarkStart w:id="80" w:name="_Toc184312069"/>
      <w:bookmarkEnd w:id="80"/>
      <w:bookmarkStart w:id="81" w:name="_Toc184313275"/>
      <w:bookmarkEnd w:id="81"/>
      <w:bookmarkStart w:id="82" w:name="_Toc184310334"/>
      <w:bookmarkEnd w:id="82"/>
      <w:bookmarkStart w:id="83" w:name="_Toc184308071"/>
      <w:bookmarkEnd w:id="83"/>
      <w:bookmarkStart w:id="84" w:name="_Toc184308094"/>
      <w:bookmarkEnd w:id="84"/>
      <w:bookmarkStart w:id="85" w:name="_Toc184313242"/>
      <w:bookmarkEnd w:id="85"/>
      <w:bookmarkStart w:id="86" w:name="_Toc184310329"/>
      <w:bookmarkEnd w:id="86"/>
      <w:bookmarkStart w:id="87" w:name="_Toc184313268"/>
      <w:bookmarkEnd w:id="87"/>
      <w:bookmarkStart w:id="88" w:name="_Toc184308104"/>
      <w:bookmarkEnd w:id="88"/>
      <w:bookmarkStart w:id="89" w:name="_Toc184314429"/>
      <w:bookmarkEnd w:id="89"/>
      <w:bookmarkStart w:id="90" w:name="_Toc184314420"/>
      <w:bookmarkEnd w:id="90"/>
      <w:bookmarkStart w:id="91" w:name="_Toc184314469"/>
      <w:bookmarkEnd w:id="91"/>
      <w:bookmarkStart w:id="92" w:name="_Toc184310274"/>
      <w:bookmarkEnd w:id="92"/>
      <w:bookmarkStart w:id="93" w:name="_Toc184312119"/>
      <w:bookmarkEnd w:id="93"/>
      <w:bookmarkStart w:id="94" w:name="_Toc184313290"/>
      <w:bookmarkEnd w:id="94"/>
      <w:bookmarkStart w:id="95" w:name="_Toc184308063"/>
      <w:bookmarkEnd w:id="95"/>
      <w:bookmarkStart w:id="96" w:name="_Toc184310288"/>
      <w:bookmarkEnd w:id="96"/>
      <w:bookmarkStart w:id="97" w:name="_Toc184314476"/>
      <w:bookmarkEnd w:id="97"/>
      <w:bookmarkStart w:id="98" w:name="_Toc184308052"/>
      <w:bookmarkEnd w:id="98"/>
      <w:bookmarkStart w:id="99" w:name="_Toc184312121"/>
      <w:bookmarkEnd w:id="99"/>
      <w:bookmarkStart w:id="100" w:name="_Toc184308101"/>
      <w:bookmarkEnd w:id="100"/>
      <w:bookmarkStart w:id="101" w:name="_Toc184312127"/>
      <w:bookmarkEnd w:id="101"/>
      <w:bookmarkStart w:id="102" w:name="_Toc184313261"/>
      <w:bookmarkEnd w:id="102"/>
      <w:bookmarkStart w:id="103" w:name="_Toc184312115"/>
      <w:bookmarkEnd w:id="103"/>
      <w:bookmarkStart w:id="104" w:name="_Toc184314472"/>
      <w:bookmarkEnd w:id="104"/>
      <w:bookmarkStart w:id="105" w:name="_Toc184312085"/>
      <w:bookmarkEnd w:id="105"/>
      <w:bookmarkStart w:id="106" w:name="_Toc184314424"/>
      <w:bookmarkEnd w:id="106"/>
      <w:bookmarkStart w:id="107" w:name="_Toc184314459"/>
      <w:bookmarkEnd w:id="107"/>
      <w:bookmarkStart w:id="108" w:name="_Toc184312104"/>
      <w:bookmarkEnd w:id="108"/>
      <w:bookmarkStart w:id="109" w:name="_Toc184310276"/>
      <w:bookmarkEnd w:id="109"/>
      <w:bookmarkStart w:id="110" w:name="_Toc184310291"/>
      <w:bookmarkEnd w:id="110"/>
      <w:bookmarkStart w:id="111" w:name="_Toc184308064"/>
      <w:bookmarkEnd w:id="111"/>
      <w:bookmarkStart w:id="112" w:name="_Toc184310342"/>
      <w:bookmarkEnd w:id="112"/>
      <w:bookmarkStart w:id="113" w:name="_Toc184314457"/>
      <w:bookmarkEnd w:id="113"/>
      <w:bookmarkStart w:id="114" w:name="_Toc184308047"/>
      <w:bookmarkEnd w:id="114"/>
      <w:bookmarkStart w:id="115" w:name="_Toc184310292"/>
      <w:bookmarkEnd w:id="115"/>
      <w:bookmarkStart w:id="116" w:name="_Toc184310319"/>
      <w:bookmarkEnd w:id="116"/>
      <w:bookmarkStart w:id="117" w:name="_Toc184310324"/>
      <w:bookmarkEnd w:id="117"/>
      <w:bookmarkStart w:id="118" w:name="_Toc184310333"/>
      <w:bookmarkEnd w:id="118"/>
      <w:bookmarkStart w:id="119" w:name="_Toc184314433"/>
      <w:bookmarkEnd w:id="119"/>
      <w:bookmarkStart w:id="120" w:name="_Toc184308067"/>
      <w:bookmarkEnd w:id="120"/>
      <w:bookmarkStart w:id="121" w:name="_Toc184313264"/>
      <w:bookmarkEnd w:id="121"/>
      <w:bookmarkStart w:id="122" w:name="_Toc184313256"/>
      <w:bookmarkEnd w:id="122"/>
      <w:bookmarkStart w:id="123" w:name="_Toc184314456"/>
      <w:bookmarkEnd w:id="123"/>
      <w:bookmarkStart w:id="124" w:name="_Toc184313310"/>
      <w:bookmarkEnd w:id="124"/>
      <w:bookmarkStart w:id="125" w:name="_Toc184312129"/>
      <w:bookmarkEnd w:id="125"/>
      <w:bookmarkStart w:id="126" w:name="_Toc184312089"/>
      <w:bookmarkEnd w:id="126"/>
      <w:bookmarkStart w:id="127" w:name="_Toc184313283"/>
      <w:bookmarkEnd w:id="127"/>
      <w:bookmarkStart w:id="128" w:name="_Toc184313255"/>
      <w:bookmarkEnd w:id="128"/>
      <w:bookmarkStart w:id="129" w:name="_Toc184314436"/>
      <w:bookmarkEnd w:id="129"/>
      <w:bookmarkStart w:id="130" w:name="_Toc184310339"/>
      <w:bookmarkEnd w:id="130"/>
      <w:bookmarkStart w:id="131" w:name="_Toc184314427"/>
      <w:bookmarkEnd w:id="131"/>
      <w:bookmarkStart w:id="132" w:name="_Toc184312077"/>
      <w:bookmarkEnd w:id="132"/>
      <w:bookmarkStart w:id="133" w:name="_Toc184308081"/>
      <w:bookmarkEnd w:id="133"/>
      <w:bookmarkStart w:id="134" w:name="_Toc184314410"/>
      <w:bookmarkEnd w:id="134"/>
      <w:bookmarkStart w:id="135" w:name="_Toc184312135"/>
      <w:bookmarkEnd w:id="135"/>
      <w:bookmarkStart w:id="136" w:name="_Toc184313269"/>
      <w:bookmarkEnd w:id="136"/>
      <w:bookmarkStart w:id="137" w:name="_Toc184314458"/>
      <w:bookmarkEnd w:id="137"/>
      <w:bookmarkStart w:id="138" w:name="_Toc184314446"/>
      <w:bookmarkEnd w:id="138"/>
      <w:bookmarkStart w:id="139" w:name="_Toc184314426"/>
      <w:bookmarkEnd w:id="139"/>
      <w:bookmarkStart w:id="140" w:name="_Toc184310330"/>
      <w:bookmarkEnd w:id="140"/>
      <w:bookmarkStart w:id="141" w:name="_Toc184313309"/>
      <w:bookmarkEnd w:id="141"/>
      <w:bookmarkStart w:id="142" w:name="_Toc184313249"/>
      <w:bookmarkEnd w:id="142"/>
      <w:bookmarkStart w:id="143" w:name="_Toc184308090"/>
      <w:bookmarkEnd w:id="143"/>
      <w:bookmarkStart w:id="144" w:name="_Toc184313267"/>
      <w:bookmarkEnd w:id="144"/>
      <w:bookmarkStart w:id="145" w:name="_Toc184308088"/>
      <w:bookmarkEnd w:id="145"/>
      <w:bookmarkStart w:id="146" w:name="_Toc184314462"/>
      <w:bookmarkEnd w:id="146"/>
      <w:bookmarkStart w:id="147" w:name="_Toc184314452"/>
      <w:bookmarkEnd w:id="147"/>
      <w:bookmarkStart w:id="148" w:name="_Toc184308041"/>
      <w:bookmarkEnd w:id="148"/>
      <w:bookmarkStart w:id="149" w:name="_Toc184308099"/>
      <w:bookmarkEnd w:id="149"/>
      <w:bookmarkStart w:id="150" w:name="_Toc184308043"/>
      <w:bookmarkEnd w:id="150"/>
      <w:bookmarkStart w:id="151" w:name="_Toc184308091"/>
      <w:bookmarkEnd w:id="151"/>
      <w:bookmarkStart w:id="152" w:name="_Toc184308062"/>
      <w:bookmarkEnd w:id="152"/>
      <w:bookmarkStart w:id="153" w:name="_Toc184314438"/>
      <w:bookmarkEnd w:id="153"/>
      <w:bookmarkStart w:id="154" w:name="_Toc184313266"/>
      <w:bookmarkEnd w:id="154"/>
      <w:bookmarkStart w:id="155" w:name="_Toc184314428"/>
      <w:bookmarkEnd w:id="155"/>
      <w:bookmarkStart w:id="156" w:name="_Toc184312075"/>
      <w:bookmarkEnd w:id="156"/>
      <w:bookmarkStart w:id="157" w:name="_Toc184314466"/>
      <w:bookmarkEnd w:id="157"/>
      <w:bookmarkStart w:id="158" w:name="_Toc184310337"/>
      <w:bookmarkEnd w:id="158"/>
      <w:bookmarkStart w:id="159" w:name="_Toc184314432"/>
      <w:bookmarkEnd w:id="159"/>
      <w:bookmarkStart w:id="160" w:name="_Toc184314440"/>
      <w:bookmarkEnd w:id="160"/>
      <w:bookmarkStart w:id="161" w:name="_Toc184312068"/>
      <w:bookmarkEnd w:id="161"/>
      <w:bookmarkStart w:id="162" w:name="_Toc184310311"/>
      <w:bookmarkEnd w:id="162"/>
      <w:bookmarkStart w:id="163" w:name="_Toc184314416"/>
      <w:bookmarkEnd w:id="163"/>
      <w:bookmarkStart w:id="164" w:name="_Toc184310286"/>
      <w:bookmarkEnd w:id="164"/>
      <w:bookmarkStart w:id="165" w:name="_Toc184312109"/>
      <w:bookmarkEnd w:id="165"/>
      <w:bookmarkStart w:id="166" w:name="_Toc184313260"/>
      <w:bookmarkEnd w:id="166"/>
      <w:bookmarkStart w:id="167" w:name="_Toc184312093"/>
      <w:bookmarkEnd w:id="167"/>
      <w:bookmarkStart w:id="168" w:name="_Toc184308076"/>
      <w:bookmarkEnd w:id="168"/>
      <w:bookmarkStart w:id="169" w:name="_Toc184312102"/>
      <w:bookmarkEnd w:id="169"/>
      <w:bookmarkStart w:id="170" w:name="_Toc184308051"/>
      <w:bookmarkEnd w:id="170"/>
      <w:bookmarkStart w:id="171" w:name="_Toc184312111"/>
      <w:bookmarkEnd w:id="171"/>
      <w:bookmarkStart w:id="172" w:name="_Toc184312080"/>
      <w:bookmarkEnd w:id="172"/>
      <w:bookmarkStart w:id="173" w:name="_Toc184310293"/>
      <w:bookmarkEnd w:id="173"/>
      <w:bookmarkStart w:id="174" w:name="_Toc184310285"/>
      <w:bookmarkEnd w:id="174"/>
      <w:bookmarkStart w:id="175" w:name="_Toc184310282"/>
      <w:bookmarkEnd w:id="175"/>
      <w:bookmarkStart w:id="176" w:name="_Toc184312090"/>
      <w:bookmarkEnd w:id="176"/>
      <w:bookmarkStart w:id="177" w:name="_Toc184308102"/>
      <w:bookmarkEnd w:id="177"/>
      <w:bookmarkStart w:id="178" w:name="_Toc184310300"/>
      <w:bookmarkEnd w:id="178"/>
      <w:bookmarkStart w:id="179" w:name="_Toc184310283"/>
      <w:bookmarkEnd w:id="179"/>
      <w:bookmarkStart w:id="180" w:name="_Toc184314468"/>
      <w:bookmarkEnd w:id="180"/>
      <w:bookmarkStart w:id="181" w:name="_Toc184313274"/>
      <w:bookmarkEnd w:id="181"/>
      <w:bookmarkStart w:id="182" w:name="_Toc184310314"/>
      <w:bookmarkEnd w:id="182"/>
      <w:bookmarkStart w:id="183" w:name="_Toc184310301"/>
      <w:bookmarkEnd w:id="183"/>
      <w:bookmarkStart w:id="184" w:name="_Toc184308089"/>
      <w:bookmarkEnd w:id="184"/>
      <w:bookmarkStart w:id="185" w:name="_Toc184310320"/>
      <w:bookmarkEnd w:id="185"/>
      <w:bookmarkStart w:id="186" w:name="_Toc184313248"/>
      <w:bookmarkEnd w:id="186"/>
      <w:bookmarkStart w:id="187" w:name="_Toc184313305"/>
      <w:bookmarkEnd w:id="187"/>
      <w:bookmarkStart w:id="188" w:name="_Toc184314413"/>
      <w:bookmarkEnd w:id="188"/>
      <w:bookmarkStart w:id="189" w:name="_Toc184312128"/>
      <w:bookmarkEnd w:id="189"/>
      <w:bookmarkStart w:id="190" w:name="_Toc184308100"/>
      <w:bookmarkEnd w:id="190"/>
      <w:bookmarkStart w:id="191" w:name="_Toc184312070"/>
      <w:bookmarkEnd w:id="191"/>
      <w:bookmarkStart w:id="192" w:name="_Toc184308093"/>
      <w:bookmarkEnd w:id="192"/>
      <w:bookmarkStart w:id="193" w:name="_Toc184313278"/>
      <w:bookmarkEnd w:id="193"/>
      <w:bookmarkStart w:id="194" w:name="_Toc184312097"/>
      <w:bookmarkEnd w:id="194"/>
      <w:bookmarkStart w:id="195" w:name="_Toc184314470"/>
      <w:bookmarkEnd w:id="195"/>
      <w:bookmarkStart w:id="196" w:name="_Toc184310315"/>
      <w:bookmarkEnd w:id="196"/>
      <w:bookmarkStart w:id="197" w:name="_Toc184308044"/>
      <w:bookmarkEnd w:id="197"/>
      <w:bookmarkStart w:id="198" w:name="_Toc184314460"/>
      <w:bookmarkEnd w:id="198"/>
      <w:bookmarkStart w:id="199" w:name="_Toc184312114"/>
      <w:bookmarkEnd w:id="199"/>
      <w:bookmarkStart w:id="200" w:name="_Toc184312095"/>
      <w:bookmarkEnd w:id="200"/>
      <w:bookmarkStart w:id="201" w:name="_Toc184313272"/>
      <w:bookmarkEnd w:id="201"/>
      <w:bookmarkStart w:id="202" w:name="_Toc184313280"/>
      <w:bookmarkEnd w:id="202"/>
      <w:bookmarkStart w:id="203" w:name="_Toc184310327"/>
      <w:bookmarkEnd w:id="203"/>
      <w:bookmarkStart w:id="204" w:name="_Toc184312081"/>
      <w:bookmarkEnd w:id="204"/>
      <w:bookmarkStart w:id="205" w:name="_Toc184312112"/>
      <w:bookmarkEnd w:id="205"/>
      <w:bookmarkStart w:id="206" w:name="_Toc184308107"/>
      <w:bookmarkEnd w:id="206"/>
      <w:bookmarkStart w:id="207" w:name="_Toc184312096"/>
      <w:bookmarkEnd w:id="207"/>
      <w:bookmarkStart w:id="208" w:name="_Toc184310290"/>
      <w:bookmarkEnd w:id="208"/>
      <w:bookmarkStart w:id="209" w:name="_Toc184313303"/>
      <w:bookmarkEnd w:id="209"/>
      <w:bookmarkStart w:id="210" w:name="_Toc184308042"/>
      <w:bookmarkEnd w:id="210"/>
      <w:bookmarkStart w:id="211" w:name="_Toc184312082"/>
      <w:bookmarkEnd w:id="211"/>
      <w:bookmarkStart w:id="212" w:name="_Toc184308050"/>
      <w:bookmarkEnd w:id="212"/>
      <w:bookmarkStart w:id="213" w:name="_Toc184314464"/>
      <w:bookmarkEnd w:id="213"/>
      <w:bookmarkStart w:id="214" w:name="_Toc184313296"/>
      <w:bookmarkEnd w:id="214"/>
      <w:bookmarkStart w:id="215" w:name="_Toc184310284"/>
      <w:bookmarkEnd w:id="215"/>
      <w:bookmarkStart w:id="216" w:name="_Toc184310297"/>
      <w:bookmarkEnd w:id="216"/>
      <w:bookmarkStart w:id="217" w:name="_Toc184313288"/>
      <w:bookmarkEnd w:id="217"/>
      <w:bookmarkStart w:id="218" w:name="_Toc184308066"/>
      <w:bookmarkEnd w:id="218"/>
      <w:bookmarkStart w:id="219" w:name="_Toc184314454"/>
      <w:bookmarkEnd w:id="219"/>
      <w:bookmarkStart w:id="220" w:name="_Toc184308061"/>
      <w:bookmarkEnd w:id="220"/>
      <w:bookmarkStart w:id="221" w:name="_Toc184308040"/>
      <w:bookmarkEnd w:id="221"/>
      <w:bookmarkStart w:id="222" w:name="_Toc184313294"/>
      <w:bookmarkEnd w:id="222"/>
      <w:bookmarkStart w:id="223" w:name="_Toc184314455"/>
      <w:bookmarkEnd w:id="223"/>
      <w:bookmarkStart w:id="224" w:name="_Toc184310273"/>
      <w:bookmarkEnd w:id="224"/>
      <w:bookmarkStart w:id="225" w:name="_Toc184314451"/>
      <w:bookmarkEnd w:id="225"/>
      <w:bookmarkStart w:id="226" w:name="_Toc184313299"/>
      <w:bookmarkEnd w:id="226"/>
      <w:bookmarkStart w:id="227" w:name="_Toc184310332"/>
      <w:bookmarkEnd w:id="227"/>
      <w:bookmarkStart w:id="228" w:name="_Toc184314473"/>
      <w:bookmarkEnd w:id="228"/>
      <w:bookmarkStart w:id="229" w:name="_Toc184313239"/>
      <w:bookmarkEnd w:id="229"/>
      <w:bookmarkStart w:id="230" w:name="_Toc184310318"/>
      <w:bookmarkEnd w:id="230"/>
      <w:bookmarkStart w:id="231" w:name="_Toc184308106"/>
      <w:bookmarkEnd w:id="231"/>
      <w:bookmarkStart w:id="232" w:name="_Toc184314441"/>
      <w:bookmarkEnd w:id="232"/>
      <w:bookmarkStart w:id="233" w:name="_Toc184308059"/>
      <w:bookmarkEnd w:id="233"/>
      <w:bookmarkStart w:id="234" w:name="_Toc184314435"/>
      <w:bookmarkEnd w:id="234"/>
      <w:bookmarkStart w:id="235" w:name="_Toc184313292"/>
      <w:bookmarkEnd w:id="235"/>
      <w:bookmarkStart w:id="236" w:name="_Toc184312094"/>
      <w:bookmarkEnd w:id="236"/>
      <w:bookmarkStart w:id="237" w:name="_Toc184313246"/>
      <w:bookmarkEnd w:id="237"/>
      <w:bookmarkStart w:id="238" w:name="_Toc184312124"/>
      <w:bookmarkEnd w:id="238"/>
      <w:bookmarkStart w:id="239" w:name="_Toc184310343"/>
      <w:bookmarkEnd w:id="239"/>
      <w:bookmarkStart w:id="240" w:name="_Toc184310328"/>
      <w:bookmarkEnd w:id="240"/>
      <w:bookmarkStart w:id="241" w:name="_Toc184308068"/>
      <w:bookmarkEnd w:id="241"/>
      <w:bookmarkStart w:id="242" w:name="_Toc184312108"/>
      <w:bookmarkEnd w:id="242"/>
      <w:bookmarkStart w:id="243" w:name="_Toc184310338"/>
      <w:bookmarkEnd w:id="243"/>
      <w:bookmarkStart w:id="244" w:name="_Toc184313304"/>
      <w:bookmarkEnd w:id="244"/>
      <w:bookmarkStart w:id="245" w:name="_Toc184310277"/>
      <w:bookmarkEnd w:id="245"/>
      <w:bookmarkStart w:id="246" w:name="_Toc184313273"/>
      <w:bookmarkEnd w:id="246"/>
      <w:bookmarkStart w:id="247" w:name="_Toc184313244"/>
      <w:bookmarkEnd w:id="247"/>
      <w:bookmarkStart w:id="248" w:name="_Toc184314477"/>
      <w:bookmarkEnd w:id="248"/>
      <w:bookmarkStart w:id="249" w:name="_Toc184308085"/>
      <w:bookmarkEnd w:id="249"/>
      <w:bookmarkStart w:id="250" w:name="_Toc184310312"/>
      <w:bookmarkEnd w:id="250"/>
      <w:bookmarkStart w:id="251" w:name="_Toc184312091"/>
      <w:bookmarkEnd w:id="251"/>
      <w:bookmarkStart w:id="252" w:name="_Toc184308105"/>
      <w:bookmarkEnd w:id="252"/>
      <w:bookmarkStart w:id="253" w:name="_Toc184310304"/>
      <w:bookmarkEnd w:id="253"/>
      <w:bookmarkStart w:id="254" w:name="_Toc184310317"/>
      <w:bookmarkEnd w:id="254"/>
      <w:bookmarkStart w:id="255" w:name="_Toc184313271"/>
      <w:bookmarkEnd w:id="255"/>
      <w:bookmarkStart w:id="256" w:name="_Toc184313295"/>
      <w:bookmarkEnd w:id="256"/>
      <w:bookmarkStart w:id="257" w:name="_Toc184308097"/>
      <w:bookmarkEnd w:id="257"/>
      <w:bookmarkStart w:id="258" w:name="_Toc184313270"/>
      <w:bookmarkEnd w:id="258"/>
      <w:bookmarkStart w:id="259" w:name="_Toc184308077"/>
      <w:bookmarkEnd w:id="259"/>
      <w:bookmarkStart w:id="260" w:name="_Toc184310305"/>
      <w:bookmarkEnd w:id="260"/>
      <w:bookmarkStart w:id="261" w:name="_Toc184310321"/>
      <w:bookmarkEnd w:id="261"/>
      <w:bookmarkStart w:id="262" w:name="_Toc184313284"/>
      <w:bookmarkEnd w:id="262"/>
      <w:bookmarkStart w:id="263" w:name="_Toc184313238"/>
      <w:bookmarkEnd w:id="263"/>
      <w:bookmarkStart w:id="264" w:name="_Toc184308073"/>
      <w:bookmarkEnd w:id="264"/>
      <w:bookmarkStart w:id="265" w:name="_Toc184312113"/>
      <w:bookmarkEnd w:id="265"/>
      <w:bookmarkStart w:id="266" w:name="_Toc184313293"/>
      <w:bookmarkEnd w:id="266"/>
      <w:bookmarkStart w:id="267" w:name="_Toc184308056"/>
      <w:bookmarkEnd w:id="267"/>
      <w:bookmarkStart w:id="268" w:name="_Toc184313257"/>
      <w:bookmarkEnd w:id="268"/>
      <w:bookmarkStart w:id="269" w:name="_Toc184310287"/>
      <w:bookmarkEnd w:id="269"/>
      <w:bookmarkStart w:id="270" w:name="_Toc184310272"/>
      <w:bookmarkEnd w:id="270"/>
      <w:bookmarkStart w:id="271" w:name="_Toc184312071"/>
      <w:bookmarkEnd w:id="271"/>
      <w:bookmarkStart w:id="272" w:name="_Toc184313297"/>
      <w:bookmarkEnd w:id="272"/>
      <w:bookmarkStart w:id="273" w:name="_Toc184313262"/>
      <w:bookmarkEnd w:id="273"/>
      <w:bookmarkStart w:id="274" w:name="_Toc184308055"/>
      <w:bookmarkEnd w:id="274"/>
      <w:bookmarkStart w:id="275" w:name="_Toc184310340"/>
      <w:bookmarkEnd w:id="275"/>
      <w:bookmarkStart w:id="276" w:name="_Toc184313286"/>
      <w:bookmarkEnd w:id="276"/>
      <w:bookmarkStart w:id="277" w:name="_Toc184308065"/>
      <w:bookmarkEnd w:id="277"/>
      <w:bookmarkStart w:id="278" w:name="_Toc184314437"/>
      <w:bookmarkEnd w:id="278"/>
      <w:bookmarkStart w:id="279" w:name="_Toc184312120"/>
      <w:bookmarkEnd w:id="279"/>
      <w:bookmarkStart w:id="280" w:name="_Toc184312136"/>
      <w:bookmarkEnd w:id="280"/>
      <w:bookmarkStart w:id="281" w:name="_Toc184314475"/>
      <w:bookmarkEnd w:id="281"/>
      <w:bookmarkStart w:id="282" w:name="_Toc184314419"/>
      <w:bookmarkEnd w:id="282"/>
      <w:bookmarkStart w:id="283" w:name="_Toc184312101"/>
      <w:bookmarkEnd w:id="283"/>
      <w:bookmarkStart w:id="284" w:name="_Toc184313298"/>
      <w:bookmarkEnd w:id="284"/>
      <w:bookmarkStart w:id="285" w:name="_Toc184313252"/>
      <w:bookmarkEnd w:id="285"/>
      <w:bookmarkStart w:id="286" w:name="_Toc184308054"/>
      <w:bookmarkEnd w:id="286"/>
      <w:bookmarkStart w:id="287" w:name="_Toc184313276"/>
      <w:bookmarkEnd w:id="287"/>
      <w:bookmarkStart w:id="288" w:name="_Toc184308053"/>
      <w:bookmarkEnd w:id="288"/>
      <w:bookmarkStart w:id="289" w:name="_Toc184308080"/>
      <w:bookmarkEnd w:id="289"/>
      <w:bookmarkStart w:id="290" w:name="_Toc184314480"/>
      <w:bookmarkEnd w:id="290"/>
      <w:bookmarkStart w:id="291" w:name="_Toc184314411"/>
      <w:bookmarkEnd w:id="291"/>
      <w:bookmarkStart w:id="292" w:name="_Toc184312073"/>
      <w:bookmarkEnd w:id="292"/>
      <w:bookmarkStart w:id="293" w:name="_Toc184314467"/>
      <w:bookmarkEnd w:id="293"/>
      <w:bookmarkStart w:id="294" w:name="_Toc184314431"/>
      <w:bookmarkEnd w:id="294"/>
      <w:bookmarkStart w:id="295" w:name="_Toc184308078"/>
      <w:bookmarkEnd w:id="295"/>
      <w:bookmarkStart w:id="296" w:name="_Toc184314430"/>
      <w:bookmarkEnd w:id="296"/>
      <w:bookmarkStart w:id="297" w:name="_Toc184310278"/>
      <w:bookmarkEnd w:id="297"/>
      <w:bookmarkStart w:id="298" w:name="_Toc184308086"/>
      <w:bookmarkEnd w:id="298"/>
      <w:bookmarkStart w:id="299" w:name="_Toc184314423"/>
      <w:bookmarkEnd w:id="299"/>
      <w:bookmarkStart w:id="300" w:name="_Toc184310325"/>
      <w:bookmarkEnd w:id="300"/>
      <w:bookmarkStart w:id="301" w:name="_Toc184314422"/>
      <w:bookmarkEnd w:id="301"/>
      <w:bookmarkStart w:id="302" w:name="_Toc184314448"/>
      <w:bookmarkEnd w:id="302"/>
      <w:bookmarkStart w:id="303" w:name="_Toc184308060"/>
      <w:bookmarkEnd w:id="303"/>
      <w:bookmarkStart w:id="304" w:name="_Toc184308057"/>
      <w:bookmarkEnd w:id="304"/>
      <w:bookmarkStart w:id="305" w:name="_Toc184312092"/>
      <w:bookmarkEnd w:id="305"/>
      <w:bookmarkStart w:id="306" w:name="_Toc184313302"/>
      <w:bookmarkEnd w:id="306"/>
      <w:bookmarkStart w:id="307" w:name="_Toc184314449"/>
      <w:bookmarkEnd w:id="307"/>
      <w:bookmarkStart w:id="308" w:name="_Toc184312072"/>
      <w:bookmarkEnd w:id="308"/>
      <w:bookmarkStart w:id="309" w:name="_Toc184310336"/>
      <w:bookmarkEnd w:id="309"/>
      <w:bookmarkStart w:id="310" w:name="_Toc184313251"/>
      <w:bookmarkEnd w:id="310"/>
      <w:bookmarkStart w:id="311" w:name="_Toc184314417"/>
      <w:bookmarkEnd w:id="311"/>
      <w:bookmarkStart w:id="312" w:name="_Toc184313259"/>
      <w:bookmarkEnd w:id="312"/>
      <w:bookmarkStart w:id="313" w:name="_Toc184313258"/>
      <w:bookmarkEnd w:id="313"/>
      <w:bookmarkStart w:id="314" w:name="_Toc184314447"/>
      <w:bookmarkEnd w:id="314"/>
      <w:bookmarkStart w:id="315" w:name="_Toc184308058"/>
      <w:bookmarkEnd w:id="315"/>
      <w:bookmarkStart w:id="316" w:name="_Toc184314425"/>
      <w:bookmarkEnd w:id="316"/>
      <w:bookmarkStart w:id="317" w:name="_Toc184308092"/>
      <w:bookmarkEnd w:id="317"/>
      <w:bookmarkStart w:id="318" w:name="_Toc184312138"/>
      <w:bookmarkEnd w:id="318"/>
      <w:bookmarkStart w:id="319" w:name="_Toc184312100"/>
      <w:bookmarkEnd w:id="319"/>
      <w:bookmarkStart w:id="320" w:name="_Toc184313241"/>
      <w:bookmarkEnd w:id="320"/>
      <w:bookmarkStart w:id="321" w:name="_Toc184314421"/>
      <w:bookmarkEnd w:id="321"/>
      <w:bookmarkStart w:id="322" w:name="_Toc184312098"/>
      <w:bookmarkEnd w:id="322"/>
      <w:bookmarkStart w:id="323" w:name="_Toc184314442"/>
      <w:bookmarkEnd w:id="323"/>
      <w:bookmarkStart w:id="324" w:name="_Toc184310307"/>
      <w:bookmarkEnd w:id="324"/>
      <w:bookmarkStart w:id="325" w:name="_Toc184308087"/>
      <w:bookmarkEnd w:id="325"/>
      <w:bookmarkStart w:id="326" w:name="_Toc184310309"/>
      <w:bookmarkEnd w:id="326"/>
      <w:bookmarkStart w:id="327" w:name="_Toc184310331"/>
      <w:bookmarkEnd w:id="327"/>
      <w:bookmarkStart w:id="328" w:name="_Toc184310316"/>
      <w:bookmarkEnd w:id="328"/>
      <w:bookmarkStart w:id="329" w:name="_Toc184310310"/>
      <w:bookmarkEnd w:id="329"/>
      <w:bookmarkStart w:id="330" w:name="_Toc184314414"/>
      <w:bookmarkEnd w:id="330"/>
      <w:bookmarkStart w:id="331" w:name="_Toc184310303"/>
      <w:bookmarkEnd w:id="331"/>
      <w:bookmarkStart w:id="332" w:name="_Toc184313277"/>
      <w:bookmarkEnd w:id="332"/>
      <w:bookmarkStart w:id="333" w:name="_Toc184314479"/>
      <w:bookmarkEnd w:id="333"/>
      <w:bookmarkStart w:id="334" w:name="_Toc184312126"/>
      <w:bookmarkEnd w:id="334"/>
      <w:bookmarkStart w:id="335" w:name="_Toc184312139"/>
      <w:bookmarkEnd w:id="335"/>
      <w:bookmarkStart w:id="336" w:name="_Toc184314471"/>
      <w:bookmarkEnd w:id="336"/>
      <w:bookmarkStart w:id="337" w:name="_Toc184310295"/>
      <w:bookmarkEnd w:id="337"/>
      <w:bookmarkStart w:id="338" w:name="_Toc184312133"/>
      <w:bookmarkEnd w:id="338"/>
      <w:bookmarkStart w:id="339" w:name="_Toc184312074"/>
      <w:bookmarkEnd w:id="339"/>
      <w:bookmarkStart w:id="340" w:name="_Toc184313263"/>
      <w:bookmarkEnd w:id="340"/>
      <w:bookmarkStart w:id="341" w:name="_Toc184313301"/>
      <w:bookmarkEnd w:id="341"/>
      <w:bookmarkStart w:id="342" w:name="_Toc184313285"/>
      <w:bookmarkEnd w:id="342"/>
      <w:bookmarkStart w:id="343" w:name="_Toc184308038"/>
      <w:bookmarkEnd w:id="343"/>
      <w:bookmarkStart w:id="344" w:name="_Toc184314444"/>
      <w:bookmarkEnd w:id="344"/>
      <w:bookmarkStart w:id="345" w:name="_Toc184314445"/>
      <w:bookmarkEnd w:id="345"/>
      <w:bookmarkStart w:id="346" w:name="_Toc184308096"/>
      <w:bookmarkEnd w:id="346"/>
      <w:bookmarkStart w:id="347" w:name="_Toc184312105"/>
      <w:bookmarkEnd w:id="347"/>
      <w:bookmarkStart w:id="348" w:name="_Toc184313307"/>
      <w:bookmarkEnd w:id="348"/>
      <w:bookmarkStart w:id="349" w:name="_Toc184312132"/>
      <w:bookmarkEnd w:id="349"/>
      <w:bookmarkStart w:id="350" w:name="_Toc184314463"/>
      <w:bookmarkEnd w:id="350"/>
      <w:bookmarkStart w:id="351" w:name="_Toc184310294"/>
      <w:bookmarkEnd w:id="351"/>
      <w:bookmarkStart w:id="352" w:name="_Toc184314450"/>
      <w:bookmarkEnd w:id="352"/>
      <w:bookmarkStart w:id="353" w:name="_Toc184310322"/>
      <w:bookmarkEnd w:id="353"/>
      <w:bookmarkStart w:id="354" w:name="_Toc184314453"/>
      <w:bookmarkEnd w:id="354"/>
      <w:bookmarkStart w:id="355" w:name="_Toc184312137"/>
      <w:bookmarkEnd w:id="355"/>
      <w:bookmarkStart w:id="356" w:name="_Toc184310308"/>
      <w:bookmarkEnd w:id="356"/>
      <w:bookmarkStart w:id="357" w:name="_Toc184312099"/>
      <w:bookmarkEnd w:id="357"/>
      <w:bookmarkStart w:id="358" w:name="_Toc184308045"/>
      <w:bookmarkEnd w:id="358"/>
      <w:bookmarkStart w:id="359" w:name="_Toc184314482"/>
      <w:bookmarkEnd w:id="359"/>
      <w:bookmarkStart w:id="360" w:name="_Toc184308069"/>
      <w:bookmarkEnd w:id="360"/>
      <w:bookmarkStart w:id="361" w:name="_Toc184313282"/>
      <w:bookmarkEnd w:id="361"/>
      <w:bookmarkStart w:id="362" w:name="_Toc184312122"/>
      <w:bookmarkEnd w:id="362"/>
      <w:bookmarkStart w:id="363" w:name="_Toc184313289"/>
      <w:bookmarkEnd w:id="363"/>
      <w:bookmarkStart w:id="364" w:name="_Toc184313265"/>
      <w:bookmarkEnd w:id="364"/>
      <w:bookmarkStart w:id="365" w:name="_Toc184313247"/>
      <w:bookmarkEnd w:id="365"/>
      <w:bookmarkStart w:id="366" w:name="_Toc184310280"/>
      <w:bookmarkEnd w:id="366"/>
      <w:bookmarkStart w:id="367" w:name="_Toc184312106"/>
      <w:bookmarkEnd w:id="367"/>
      <w:bookmarkStart w:id="368" w:name="_Toc184312084"/>
      <w:bookmarkEnd w:id="368"/>
      <w:bookmarkStart w:id="369" w:name="_Toc184310306"/>
      <w:bookmarkEnd w:id="369"/>
      <w:bookmarkStart w:id="370" w:name="_Toc184312079"/>
      <w:bookmarkEnd w:id="370"/>
      <w:bookmarkStart w:id="371" w:name="_Toc184314461"/>
      <w:bookmarkEnd w:id="371"/>
      <w:bookmarkStart w:id="372" w:name="_Toc184308098"/>
      <w:bookmarkEnd w:id="372"/>
      <w:bookmarkStart w:id="373" w:name="_Toc184312134"/>
      <w:bookmarkEnd w:id="373"/>
      <w:bookmarkStart w:id="374" w:name="_Toc184312118"/>
      <w:bookmarkEnd w:id="374"/>
      <w:bookmarkStart w:id="375" w:name="_Toc184312116"/>
      <w:bookmarkEnd w:id="375"/>
      <w:bookmarkStart w:id="376" w:name="_Toc184313250"/>
      <w:bookmarkEnd w:id="376"/>
      <w:bookmarkStart w:id="377" w:name="_Toc184312103"/>
      <w:bookmarkEnd w:id="377"/>
      <w:bookmarkStart w:id="378" w:name="_Toc184308103"/>
      <w:bookmarkEnd w:id="378"/>
      <w:bookmarkStart w:id="379" w:name="_Toc184308084"/>
      <w:bookmarkEnd w:id="379"/>
      <w:bookmarkStart w:id="380" w:name="_Toc184312130"/>
      <w:bookmarkEnd w:id="380"/>
      <w:bookmarkStart w:id="381" w:name="_Toc184312125"/>
      <w:bookmarkEnd w:id="381"/>
      <w:bookmarkStart w:id="382" w:name="_Toc184314439"/>
      <w:bookmarkEnd w:id="382"/>
      <w:bookmarkStart w:id="383" w:name="_Toc184314443"/>
      <w:bookmarkEnd w:id="383"/>
      <w:bookmarkStart w:id="384" w:name="_Toc184308083"/>
      <w:bookmarkEnd w:id="384"/>
      <w:bookmarkStart w:id="385" w:name="_Toc184314474"/>
      <w:bookmarkEnd w:id="385"/>
      <w:bookmarkStart w:id="386" w:name="_Toc184310299"/>
      <w:bookmarkEnd w:id="386"/>
      <w:bookmarkStart w:id="387" w:name="_Toc184313254"/>
      <w:bookmarkEnd w:id="387"/>
      <w:bookmarkStart w:id="388" w:name="_Toc184308074"/>
      <w:bookmarkEnd w:id="388"/>
      <w:bookmarkStart w:id="389" w:name="_Toc184308095"/>
      <w:bookmarkEnd w:id="389"/>
      <w:bookmarkStart w:id="390" w:name="_Toc184314478"/>
      <w:bookmarkEnd w:id="390"/>
      <w:bookmarkStart w:id="391" w:name="_Toc184313291"/>
      <w:bookmarkEnd w:id="391"/>
      <w:bookmarkStart w:id="392" w:name="_Toc184313243"/>
      <w:bookmarkEnd w:id="392"/>
      <w:bookmarkStart w:id="393" w:name="_Toc184313287"/>
      <w:bookmarkEnd w:id="393"/>
      <w:bookmarkStart w:id="394" w:name="_Toc184308039"/>
      <w:bookmarkEnd w:id="394"/>
      <w:bookmarkStart w:id="395" w:name="_Toc184310344"/>
      <w:bookmarkEnd w:id="395"/>
      <w:bookmarkStart w:id="396" w:name="_Toc184310302"/>
      <w:bookmarkEnd w:id="396"/>
      <w:bookmarkStart w:id="397" w:name="_Toc184312087"/>
      <w:bookmarkEnd w:id="397"/>
      <w:bookmarkStart w:id="398" w:name="_Toc184308046"/>
      <w:bookmarkEnd w:id="398"/>
      <w:bookmarkStart w:id="399" w:name="_Toc184312067"/>
      <w:bookmarkEnd w:id="399"/>
      <w:bookmarkStart w:id="400" w:name="_Toc184310326"/>
      <w:bookmarkEnd w:id="400"/>
      <w:bookmarkStart w:id="401" w:name="_Toc184312086"/>
      <w:bookmarkEnd w:id="401"/>
      <w:bookmarkStart w:id="402" w:name="_Toc184310275"/>
      <w:bookmarkEnd w:id="402"/>
      <w:bookmarkStart w:id="403" w:name="_Toc184308072"/>
      <w:bookmarkEnd w:id="403"/>
      <w:bookmarkStart w:id="404" w:name="_Toc184312088"/>
      <w:bookmarkEnd w:id="404"/>
      <w:bookmarkStart w:id="405" w:name="_Toc184313279"/>
      <w:bookmarkEnd w:id="405"/>
      <w:bookmarkStart w:id="406" w:name="_Toc184314412"/>
      <w:bookmarkEnd w:id="406"/>
      <w:bookmarkStart w:id="407" w:name="_Toc184314465"/>
      <w:bookmarkEnd w:id="407"/>
      <w:bookmarkStart w:id="408" w:name="_Toc184308082"/>
      <w:bookmarkEnd w:id="408"/>
      <w:bookmarkStart w:id="409" w:name="_Toc184314481"/>
      <w:bookmarkEnd w:id="409"/>
      <w:bookmarkStart w:id="410" w:name="_Toc184308079"/>
      <w:bookmarkEnd w:id="410"/>
      <w:bookmarkStart w:id="411" w:name="_Toc184312131"/>
      <w:bookmarkEnd w:id="411"/>
      <w:bookmarkStart w:id="412" w:name="_Toc184310323"/>
      <w:bookmarkEnd w:id="412"/>
      <w:bookmarkStart w:id="413" w:name="_Toc184313306"/>
      <w:bookmarkEnd w:id="413"/>
      <w:bookmarkStart w:id="414" w:name="_Toc184312083"/>
      <w:bookmarkEnd w:id="414"/>
      <w:bookmarkStart w:id="415" w:name="_Toc184308075"/>
      <w:bookmarkEnd w:id="415"/>
      <w:bookmarkStart w:id="416" w:name="_Toc184310341"/>
      <w:bookmarkEnd w:id="416"/>
      <w:bookmarkStart w:id="417" w:name="_Toc184312123"/>
      <w:bookmarkEnd w:id="417"/>
      <w:bookmarkStart w:id="418" w:name="_Toc184312107"/>
      <w:bookmarkEnd w:id="418"/>
      <w:bookmarkStart w:id="419" w:name="_Toc184313308"/>
      <w:bookmarkEnd w:id="419"/>
      <w:bookmarkStart w:id="420" w:name="_Toc184308037"/>
      <w:bookmarkEnd w:id="420"/>
      <w:bookmarkStart w:id="421" w:name="_Toc184314415"/>
      <w:bookmarkEnd w:id="421"/>
      <w:bookmarkStart w:id="422" w:name="_Toc184312078"/>
      <w:bookmarkEnd w:id="422"/>
      <w:bookmarkStart w:id="423" w:name="_Toc184312110"/>
      <w:bookmarkEnd w:id="423"/>
      <w:bookmarkStart w:id="424" w:name="_Toc184313253"/>
      <w:bookmarkEnd w:id="424"/>
      <w:bookmarkStart w:id="425" w:name="_Toc184314434"/>
      <w:bookmarkEnd w:id="425"/>
      <w:bookmarkStart w:id="426" w:name="_Toc184308036"/>
      <w:bookmarkEnd w:id="426"/>
      <w:bookmarkStart w:id="427" w:name="_Toc184308049"/>
      <w:bookmarkEnd w:id="427"/>
      <w:bookmarkStart w:id="428" w:name="_Toc184310281"/>
      <w:bookmarkEnd w:id="428"/>
      <w:bookmarkStart w:id="429" w:name="_Toc184310296"/>
      <w:bookmarkEnd w:id="429"/>
      <w:bookmarkStart w:id="430" w:name="_Toc184308108"/>
      <w:bookmarkEnd w:id="430"/>
      <w:bookmarkStart w:id="431" w:name="_Toc184313240"/>
      <w:bookmarkEnd w:id="431"/>
      <w:bookmarkStart w:id="432" w:name="_Toc184308070"/>
      <w:bookmarkEnd w:id="432"/>
      <w:bookmarkStart w:id="433" w:name="_Toc184310279"/>
      <w:bookmarkEnd w:id="433"/>
      <w:bookmarkStart w:id="434" w:name="_Toc184308048"/>
      <w:bookmarkEnd w:id="434"/>
      <w:bookmarkStart w:id="435" w:name="_Toc184313300"/>
      <w:bookmarkEnd w:id="435"/>
      <w:bookmarkStart w:id="436" w:name="_Toc184313281"/>
      <w:bookmarkEnd w:id="436"/>
      <w:r>
        <w:rPr>
          <w:rFonts w:hint="eastAsia" w:ascii="宋体" w:hAnsi="宋体" w:cs="宋体"/>
          <w:b/>
          <w:sz w:val="36"/>
          <w:szCs w:val="20"/>
          <w:highlight w:val="none"/>
        </w:rPr>
        <w:t xml:space="preserve"> 评审办法</w:t>
      </w:r>
      <w:bookmarkEnd w:id="71"/>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评审办法前附表</w:t>
      </w:r>
    </w:p>
    <w:tbl>
      <w:tblPr>
        <w:tblStyle w:val="62"/>
        <w:tblpPr w:leftFromText="180" w:rightFromText="180" w:vertAnchor="text" w:horzAnchor="page" w:tblpX="1031" w:tblpY="126"/>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5"/>
        <w:gridCol w:w="67"/>
        <w:gridCol w:w="4878"/>
        <w:gridCol w:w="534"/>
        <w:gridCol w:w="93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0" w:type="dxa"/>
            <w:vAlign w:val="center"/>
          </w:tcPr>
          <w:p>
            <w:pPr>
              <w:spacing w:line="360" w:lineRule="auto"/>
              <w:jc w:val="center"/>
              <w:outlineLvl w:val="0"/>
              <w:rPr>
                <w:rFonts w:ascii="宋体" w:hAnsi="宋体" w:cs="宋体"/>
                <w:kern w:val="0"/>
                <w:szCs w:val="21"/>
                <w:highlight w:val="none"/>
                <w:lang w:bidi="ar"/>
              </w:rPr>
            </w:pPr>
            <w:bookmarkStart w:id="437" w:name="_Toc31405"/>
            <w:r>
              <w:rPr>
                <w:rFonts w:hint="eastAsia" w:ascii="宋体" w:hAnsi="宋体" w:cs="宋体"/>
                <w:kern w:val="0"/>
                <w:szCs w:val="21"/>
                <w:highlight w:val="none"/>
                <w:lang w:bidi="ar"/>
              </w:rPr>
              <w:t>序号</w:t>
            </w:r>
            <w:bookmarkEnd w:id="437"/>
          </w:p>
        </w:tc>
        <w:tc>
          <w:tcPr>
            <w:tcW w:w="6150" w:type="dxa"/>
            <w:gridSpan w:val="3"/>
            <w:vAlign w:val="center"/>
          </w:tcPr>
          <w:p>
            <w:pPr>
              <w:spacing w:line="360" w:lineRule="auto"/>
              <w:jc w:val="center"/>
              <w:outlineLvl w:val="0"/>
              <w:rPr>
                <w:rFonts w:ascii="宋体" w:hAnsi="宋体" w:cs="宋体"/>
                <w:kern w:val="0"/>
                <w:szCs w:val="21"/>
                <w:highlight w:val="none"/>
                <w:lang w:bidi="ar"/>
              </w:rPr>
            </w:pPr>
            <w:bookmarkStart w:id="438" w:name="_Toc13518"/>
            <w:r>
              <w:rPr>
                <w:rFonts w:hint="eastAsia" w:ascii="宋体" w:hAnsi="宋体" w:cs="宋体"/>
                <w:kern w:val="0"/>
                <w:szCs w:val="21"/>
                <w:highlight w:val="none"/>
                <w:lang w:bidi="ar"/>
              </w:rPr>
              <w:t>评标标准</w:t>
            </w:r>
            <w:bookmarkEnd w:id="438"/>
          </w:p>
        </w:tc>
        <w:tc>
          <w:tcPr>
            <w:tcW w:w="534" w:type="dxa"/>
            <w:vAlign w:val="center"/>
          </w:tcPr>
          <w:p>
            <w:pPr>
              <w:spacing w:line="360" w:lineRule="auto"/>
              <w:jc w:val="center"/>
              <w:outlineLvl w:val="0"/>
              <w:rPr>
                <w:rFonts w:ascii="宋体" w:hAnsi="宋体" w:cs="宋体"/>
                <w:kern w:val="0"/>
                <w:szCs w:val="21"/>
                <w:highlight w:val="none"/>
                <w:lang w:bidi="ar"/>
              </w:rPr>
            </w:pPr>
            <w:bookmarkStart w:id="439" w:name="_Toc314"/>
            <w:r>
              <w:rPr>
                <w:rFonts w:hint="eastAsia" w:ascii="宋体" w:hAnsi="宋体" w:cs="宋体"/>
                <w:kern w:val="0"/>
                <w:szCs w:val="21"/>
                <w:highlight w:val="none"/>
                <w:lang w:bidi="ar"/>
              </w:rPr>
              <w:t>权重</w:t>
            </w:r>
            <w:bookmarkEnd w:id="439"/>
          </w:p>
        </w:tc>
        <w:tc>
          <w:tcPr>
            <w:tcW w:w="930" w:type="dxa"/>
            <w:vAlign w:val="center"/>
          </w:tcPr>
          <w:p>
            <w:pPr>
              <w:spacing w:line="360" w:lineRule="auto"/>
              <w:jc w:val="center"/>
              <w:outlineLvl w:val="0"/>
              <w:rPr>
                <w:rFonts w:hint="eastAsia" w:ascii="宋体" w:hAnsi="宋体" w:cs="宋体"/>
                <w:kern w:val="0"/>
                <w:szCs w:val="21"/>
                <w:highlight w:val="none"/>
                <w:lang w:bidi="ar"/>
              </w:rPr>
            </w:pPr>
            <w:bookmarkStart w:id="440" w:name="_Toc22839"/>
            <w:r>
              <w:rPr>
                <w:rFonts w:hint="eastAsia" w:ascii="宋体" w:hAnsi="宋体" w:cs="宋体"/>
                <w:kern w:val="0"/>
                <w:szCs w:val="21"/>
                <w:highlight w:val="none"/>
                <w:lang w:bidi="ar"/>
              </w:rPr>
              <w:t>主观分/客观分属性</w:t>
            </w:r>
            <w:bookmarkEnd w:id="440"/>
          </w:p>
        </w:tc>
        <w:tc>
          <w:tcPr>
            <w:tcW w:w="1420" w:type="dxa"/>
            <w:vAlign w:val="center"/>
          </w:tcPr>
          <w:p>
            <w:pPr>
              <w:spacing w:line="360" w:lineRule="auto"/>
              <w:jc w:val="center"/>
              <w:outlineLvl w:val="0"/>
              <w:rPr>
                <w:rFonts w:ascii="宋体" w:hAnsi="宋体" w:cs="宋体"/>
                <w:kern w:val="0"/>
                <w:szCs w:val="21"/>
                <w:highlight w:val="none"/>
                <w:lang w:bidi="ar"/>
              </w:rPr>
            </w:pPr>
            <w:bookmarkStart w:id="441" w:name="_Toc20590"/>
            <w:r>
              <w:rPr>
                <w:rFonts w:hint="eastAsia" w:ascii="宋体" w:hAnsi="宋体" w:cs="宋体"/>
                <w:kern w:val="0"/>
                <w:szCs w:val="21"/>
                <w:highlight w:val="none"/>
                <w:lang w:bidi="ar"/>
              </w:rPr>
              <w:t>目录</w:t>
            </w:r>
            <w:bookmarkEnd w:id="4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90" w:type="dxa"/>
            <w:vAlign w:val="center"/>
          </w:tcPr>
          <w:p>
            <w:pPr>
              <w:numPr>
                <w:ilvl w:val="0"/>
                <w:numId w:val="3"/>
              </w:numPr>
              <w:ind w:left="425" w:hanging="425"/>
              <w:jc w:val="center"/>
              <w:rPr>
                <w:rFonts w:ascii="宋体" w:hAnsi="宋体" w:cs="宋体"/>
                <w:kern w:val="0"/>
                <w:szCs w:val="21"/>
                <w:highlight w:val="none"/>
                <w:lang w:bidi="ar"/>
              </w:rPr>
            </w:pPr>
          </w:p>
        </w:tc>
        <w:tc>
          <w:tcPr>
            <w:tcW w:w="6150" w:type="dxa"/>
            <w:gridSpan w:val="3"/>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供应商自20</w:t>
            </w:r>
            <w:r>
              <w:rPr>
                <w:rFonts w:ascii="宋体" w:hAnsi="宋体" w:cs="宋体"/>
                <w:kern w:val="0"/>
                <w:szCs w:val="21"/>
                <w:highlight w:val="none"/>
                <w:lang w:bidi="ar"/>
              </w:rPr>
              <w:t>2</w:t>
            </w:r>
            <w:r>
              <w:rPr>
                <w:rFonts w:hint="eastAsia" w:ascii="宋体" w:hAnsi="宋体" w:cs="宋体"/>
                <w:kern w:val="0"/>
                <w:szCs w:val="21"/>
                <w:highlight w:val="none"/>
                <w:lang w:val="en-US" w:eastAsia="zh-CN" w:bidi="ar"/>
              </w:rPr>
              <w:t>1</w:t>
            </w:r>
            <w:r>
              <w:rPr>
                <w:rFonts w:hint="eastAsia" w:ascii="宋体" w:hAnsi="宋体" w:cs="宋体"/>
                <w:kern w:val="0"/>
                <w:szCs w:val="21"/>
                <w:highlight w:val="none"/>
                <w:lang w:bidi="ar"/>
              </w:rPr>
              <w:t>年</w:t>
            </w:r>
            <w:r>
              <w:rPr>
                <w:rFonts w:hint="eastAsia" w:ascii="宋体" w:hAnsi="宋体" w:cs="宋体"/>
                <w:kern w:val="0"/>
                <w:highlight w:val="none"/>
              </w:rPr>
              <w:t>1月1日</w:t>
            </w:r>
            <w:r>
              <w:rPr>
                <w:rFonts w:hint="eastAsia" w:ascii="宋体" w:hAnsi="宋体" w:cs="宋体"/>
                <w:kern w:val="0"/>
                <w:szCs w:val="21"/>
                <w:highlight w:val="none"/>
                <w:lang w:bidi="ar"/>
              </w:rPr>
              <w:t>以来（以合同签订日期为准）承建过类似业绩</w:t>
            </w:r>
            <w:r>
              <w:rPr>
                <w:rFonts w:hint="eastAsia" w:ascii="宋体" w:hAnsi="宋体"/>
                <w:highlight w:val="none"/>
              </w:rPr>
              <w:t>（</w:t>
            </w:r>
            <w:r>
              <w:rPr>
                <w:rFonts w:hint="eastAsia" w:ascii="宋体" w:hAnsi="宋体"/>
                <w:b/>
                <w:bCs/>
                <w:highlight w:val="none"/>
              </w:rPr>
              <w:t>装饰装修工程</w:t>
            </w:r>
            <w:r>
              <w:rPr>
                <w:rFonts w:hint="eastAsia" w:ascii="宋体" w:hAnsi="宋体"/>
                <w:highlight w:val="none"/>
              </w:rPr>
              <w:t>）</w:t>
            </w:r>
            <w:r>
              <w:rPr>
                <w:rFonts w:hint="eastAsia" w:ascii="宋体" w:hAnsi="宋体" w:cs="宋体"/>
                <w:kern w:val="0"/>
                <w:szCs w:val="21"/>
                <w:highlight w:val="none"/>
                <w:lang w:bidi="ar"/>
              </w:rPr>
              <w:t>，每提供一项业绩证明材料得</w:t>
            </w:r>
            <w:r>
              <w:rPr>
                <w:rFonts w:hint="eastAsia" w:ascii="宋体" w:hAnsi="宋体" w:cs="宋体"/>
                <w:kern w:val="0"/>
                <w:szCs w:val="21"/>
                <w:highlight w:val="none"/>
                <w:lang w:val="en-US" w:eastAsia="zh-CN" w:bidi="ar"/>
              </w:rPr>
              <w:t>0.5</w:t>
            </w:r>
            <w:r>
              <w:rPr>
                <w:rFonts w:hint="eastAsia" w:ascii="宋体" w:hAnsi="宋体" w:cs="宋体"/>
                <w:kern w:val="0"/>
                <w:szCs w:val="21"/>
                <w:highlight w:val="none"/>
                <w:lang w:bidi="ar"/>
              </w:rPr>
              <w:t>分，本项最高得</w:t>
            </w:r>
            <w:r>
              <w:rPr>
                <w:rFonts w:hint="eastAsia" w:ascii="宋体" w:hAnsi="宋体" w:cs="宋体"/>
                <w:kern w:val="0"/>
                <w:szCs w:val="21"/>
                <w:highlight w:val="none"/>
                <w:lang w:val="en-US" w:eastAsia="zh-CN" w:bidi="ar"/>
              </w:rPr>
              <w:t>1.5</w:t>
            </w:r>
            <w:r>
              <w:rPr>
                <w:rFonts w:hint="eastAsia" w:ascii="宋体" w:hAnsi="宋体" w:cs="宋体"/>
                <w:kern w:val="0"/>
                <w:szCs w:val="21"/>
                <w:highlight w:val="none"/>
                <w:lang w:bidi="ar"/>
              </w:rPr>
              <w:t>分。</w:t>
            </w:r>
          </w:p>
          <w:p>
            <w:pPr>
              <w:jc w:val="left"/>
              <w:rPr>
                <w:rFonts w:ascii="宋体" w:hAnsi="宋体" w:cs="宋体"/>
                <w:kern w:val="0"/>
                <w:szCs w:val="21"/>
                <w:highlight w:val="none"/>
                <w:lang w:bidi="ar"/>
              </w:rPr>
            </w:pPr>
            <w:r>
              <w:rPr>
                <w:rFonts w:hint="eastAsia" w:ascii="宋体" w:hAnsi="宋体" w:cs="宋体"/>
                <w:kern w:val="0"/>
                <w:szCs w:val="21"/>
                <w:highlight w:val="none"/>
                <w:lang w:bidi="ar"/>
              </w:rPr>
              <w:t>【提供中标</w:t>
            </w:r>
            <w:r>
              <w:rPr>
                <w:rFonts w:hint="eastAsia" w:ascii="宋体" w:hAnsi="宋体" w:cs="宋体"/>
                <w:kern w:val="0"/>
                <w:szCs w:val="21"/>
                <w:highlight w:val="none"/>
                <w:lang w:val="en-US" w:eastAsia="zh-CN" w:bidi="ar"/>
              </w:rPr>
              <w:t>/成交</w:t>
            </w:r>
            <w:r>
              <w:rPr>
                <w:rFonts w:hint="eastAsia" w:ascii="宋体" w:hAnsi="宋体" w:cs="宋体"/>
                <w:kern w:val="0"/>
                <w:szCs w:val="21"/>
                <w:highlight w:val="none"/>
                <w:lang w:bidi="ar"/>
              </w:rPr>
              <w:t>通知书、合同的扫描件】</w:t>
            </w:r>
          </w:p>
          <w:p>
            <w:pPr>
              <w:jc w:val="left"/>
              <w:rPr>
                <w:rFonts w:ascii="宋体" w:hAnsi="宋体" w:cs="宋体"/>
                <w:kern w:val="0"/>
                <w:szCs w:val="21"/>
                <w:highlight w:val="none"/>
                <w:lang w:bidi="ar"/>
              </w:rPr>
            </w:pPr>
            <w:r>
              <w:rPr>
                <w:rFonts w:hint="eastAsia" w:ascii="宋体" w:hAnsi="宋体" w:cs="宋体"/>
                <w:kern w:val="0"/>
                <w:szCs w:val="21"/>
                <w:highlight w:val="none"/>
                <w:lang w:bidi="ar"/>
              </w:rPr>
              <w:t>（所有材料的签字、盖章及日期内容须完整。未按要求提供完整证明材料的，不予得分。）</w:t>
            </w:r>
          </w:p>
        </w:tc>
        <w:tc>
          <w:tcPr>
            <w:tcW w:w="534" w:type="dxa"/>
            <w:vAlign w:val="center"/>
          </w:tcPr>
          <w:p>
            <w:pPr>
              <w:snapToGrid w:val="0"/>
              <w:jc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1.5</w:t>
            </w:r>
          </w:p>
        </w:tc>
        <w:tc>
          <w:tcPr>
            <w:tcW w:w="930" w:type="dxa"/>
            <w:vAlign w:val="center"/>
          </w:tcPr>
          <w:p>
            <w:pPr>
              <w:snapToGrid w:val="0"/>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客观分</w:t>
            </w:r>
          </w:p>
        </w:tc>
        <w:tc>
          <w:tcPr>
            <w:tcW w:w="142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公司业绩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890" w:type="dxa"/>
            <w:vAlign w:val="center"/>
          </w:tcPr>
          <w:p>
            <w:pPr>
              <w:numPr>
                <w:ilvl w:val="0"/>
                <w:numId w:val="3"/>
              </w:numPr>
              <w:ind w:left="425" w:hanging="425"/>
              <w:jc w:val="center"/>
              <w:rPr>
                <w:rFonts w:ascii="宋体" w:hAnsi="宋体" w:cs="宋体"/>
                <w:kern w:val="0"/>
                <w:szCs w:val="21"/>
                <w:highlight w:val="none"/>
                <w:lang w:bidi="ar"/>
              </w:rPr>
            </w:pPr>
          </w:p>
        </w:tc>
        <w:tc>
          <w:tcPr>
            <w:tcW w:w="6150" w:type="dxa"/>
            <w:gridSpan w:val="3"/>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针对本项目拟派的项目负责人：具备与本项目相关专业</w:t>
            </w:r>
            <w:r>
              <w:rPr>
                <w:rFonts w:hint="eastAsia" w:ascii="宋体" w:hAnsi="宋体" w:cs="宋体"/>
                <w:kern w:val="0"/>
                <w:szCs w:val="21"/>
                <w:highlight w:val="none"/>
                <w:lang w:val="en-US" w:eastAsia="zh-CN" w:bidi="ar"/>
              </w:rPr>
              <w:t>高级</w:t>
            </w:r>
            <w:r>
              <w:rPr>
                <w:rFonts w:hint="eastAsia" w:ascii="宋体" w:hAnsi="宋体" w:cs="宋体"/>
                <w:kern w:val="0"/>
                <w:szCs w:val="21"/>
                <w:highlight w:val="none"/>
                <w:lang w:bidi="ar"/>
              </w:rPr>
              <w:t>工程师及以上职称的，得</w:t>
            </w:r>
            <w:r>
              <w:rPr>
                <w:rFonts w:hint="eastAsia" w:ascii="宋体" w:hAnsi="宋体" w:cs="宋体"/>
                <w:kern w:val="0"/>
                <w:szCs w:val="21"/>
                <w:highlight w:val="none"/>
                <w:lang w:val="en-US" w:eastAsia="zh-CN" w:bidi="ar"/>
              </w:rPr>
              <w:t>2</w:t>
            </w:r>
            <w:r>
              <w:rPr>
                <w:rFonts w:hint="eastAsia" w:ascii="宋体" w:hAnsi="宋体" w:cs="宋体"/>
                <w:kern w:val="0"/>
                <w:szCs w:val="21"/>
                <w:highlight w:val="none"/>
                <w:lang w:bidi="ar"/>
              </w:rPr>
              <w:t>分</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具备与本项目相关专业工程师</w:t>
            </w:r>
            <w:r>
              <w:rPr>
                <w:rFonts w:hint="eastAsia" w:ascii="宋体" w:hAnsi="宋体" w:cs="宋体"/>
                <w:kern w:val="0"/>
                <w:szCs w:val="21"/>
                <w:highlight w:val="none"/>
                <w:lang w:eastAsia="zh-CN" w:bidi="ar"/>
              </w:rPr>
              <w:t>得</w:t>
            </w:r>
            <w:r>
              <w:rPr>
                <w:rFonts w:hint="eastAsia" w:ascii="宋体" w:hAnsi="宋体" w:cs="宋体"/>
                <w:kern w:val="0"/>
                <w:szCs w:val="21"/>
                <w:highlight w:val="none"/>
                <w:lang w:val="en-US" w:eastAsia="zh-CN" w:bidi="ar"/>
              </w:rPr>
              <w:t>1分。</w:t>
            </w:r>
          </w:p>
          <w:p>
            <w:pPr>
              <w:pStyle w:val="43"/>
              <w:jc w:val="left"/>
              <w:rPr>
                <w:rFonts w:ascii="宋体" w:hAnsi="宋体" w:cs="宋体"/>
                <w:kern w:val="0"/>
                <w:szCs w:val="21"/>
                <w:highlight w:val="none"/>
                <w:lang w:bidi="ar"/>
              </w:rPr>
            </w:pPr>
            <w:r>
              <w:rPr>
                <w:rFonts w:hint="eastAsia" w:ascii="宋体" w:hAnsi="宋体" w:cs="宋体"/>
                <w:kern w:val="0"/>
                <w:szCs w:val="21"/>
                <w:highlight w:val="none"/>
                <w:lang w:bidi="ar"/>
              </w:rPr>
              <w:t>【提供有效职称证书及人员近三个月</w:t>
            </w:r>
            <w:r>
              <w:rPr>
                <w:rFonts w:hint="eastAsia" w:ascii="宋体" w:hAnsi="宋体" w:cs="宋体"/>
                <w:kern w:val="0"/>
                <w:szCs w:val="21"/>
                <w:highlight w:val="none"/>
                <w:lang w:eastAsia="zh-CN" w:bidi="ar"/>
              </w:rPr>
              <w:t>任一个月</w:t>
            </w:r>
            <w:r>
              <w:rPr>
                <w:rFonts w:hint="eastAsia" w:ascii="宋体" w:hAnsi="宋体" w:cs="宋体"/>
                <w:kern w:val="0"/>
                <w:szCs w:val="21"/>
                <w:highlight w:val="none"/>
                <w:lang w:bidi="ar"/>
              </w:rPr>
              <w:t>在本单位缴纳社保证明，未提供或提供不全的不得分。】</w:t>
            </w:r>
          </w:p>
        </w:tc>
        <w:tc>
          <w:tcPr>
            <w:tcW w:w="534" w:type="dxa"/>
            <w:vAlign w:val="center"/>
          </w:tcPr>
          <w:p>
            <w:pPr>
              <w:jc w:val="center"/>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val="en-US" w:eastAsia="zh-CN" w:bidi="ar"/>
              </w:rPr>
              <w:t>2</w:t>
            </w:r>
          </w:p>
        </w:tc>
        <w:tc>
          <w:tcPr>
            <w:tcW w:w="930" w:type="dxa"/>
            <w:vAlign w:val="center"/>
          </w:tcPr>
          <w:p>
            <w:pPr>
              <w:snapToGrid w:val="0"/>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客观分</w:t>
            </w:r>
          </w:p>
        </w:tc>
        <w:tc>
          <w:tcPr>
            <w:tcW w:w="1420" w:type="dxa"/>
            <w:vMerge w:val="restart"/>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项目组人员配置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890" w:type="dxa"/>
            <w:vAlign w:val="center"/>
          </w:tcPr>
          <w:p>
            <w:pPr>
              <w:numPr>
                <w:ilvl w:val="0"/>
                <w:numId w:val="3"/>
              </w:numPr>
              <w:ind w:left="425" w:hanging="425"/>
              <w:jc w:val="center"/>
              <w:rPr>
                <w:rFonts w:ascii="宋体" w:hAnsi="宋体" w:cs="宋体"/>
                <w:kern w:val="0"/>
                <w:szCs w:val="21"/>
                <w:highlight w:val="none"/>
                <w:lang w:bidi="ar"/>
              </w:rPr>
            </w:pPr>
          </w:p>
        </w:tc>
        <w:tc>
          <w:tcPr>
            <w:tcW w:w="6150" w:type="dxa"/>
            <w:gridSpan w:val="3"/>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针对本项目拟派人员中除拟派项目负责人以外每增加一名中级工程师及以上职称的，每个得1分，最高得</w:t>
            </w:r>
            <w:r>
              <w:rPr>
                <w:rFonts w:hint="eastAsia" w:ascii="宋体" w:hAnsi="宋体" w:cs="宋体"/>
                <w:kern w:val="0"/>
                <w:szCs w:val="21"/>
                <w:highlight w:val="none"/>
                <w:lang w:val="en-US" w:eastAsia="zh-CN" w:bidi="ar"/>
              </w:rPr>
              <w:t>2</w:t>
            </w:r>
            <w:r>
              <w:rPr>
                <w:rFonts w:hint="eastAsia" w:ascii="宋体" w:hAnsi="宋体" w:cs="宋体"/>
                <w:kern w:val="0"/>
                <w:szCs w:val="21"/>
                <w:highlight w:val="none"/>
                <w:lang w:bidi="ar"/>
              </w:rPr>
              <w:t>分</w:t>
            </w:r>
          </w:p>
          <w:p>
            <w:pPr>
              <w:jc w:val="left"/>
              <w:rPr>
                <w:rFonts w:ascii="宋体" w:hAnsi="宋体" w:cs="宋体"/>
                <w:kern w:val="0"/>
                <w:szCs w:val="21"/>
                <w:highlight w:val="none"/>
                <w:lang w:bidi="ar"/>
              </w:rPr>
            </w:pPr>
            <w:r>
              <w:rPr>
                <w:rFonts w:hint="eastAsia" w:ascii="宋体" w:hAnsi="宋体" w:cs="宋体"/>
                <w:kern w:val="0"/>
                <w:szCs w:val="21"/>
                <w:highlight w:val="none"/>
                <w:lang w:bidi="ar"/>
              </w:rPr>
              <w:t>【提供有效职称证书及人员近三个月</w:t>
            </w:r>
            <w:r>
              <w:rPr>
                <w:rFonts w:hint="eastAsia" w:ascii="宋体" w:hAnsi="宋体" w:cs="宋体"/>
                <w:kern w:val="0"/>
                <w:szCs w:val="21"/>
                <w:highlight w:val="none"/>
                <w:lang w:eastAsia="zh-CN" w:bidi="ar"/>
              </w:rPr>
              <w:t>任一个月</w:t>
            </w:r>
            <w:r>
              <w:rPr>
                <w:rFonts w:hint="eastAsia" w:ascii="宋体" w:hAnsi="宋体" w:cs="宋体"/>
                <w:kern w:val="0"/>
                <w:szCs w:val="21"/>
                <w:highlight w:val="none"/>
                <w:lang w:bidi="ar"/>
              </w:rPr>
              <w:t>在本单位缴纳社保证明，未提供或提供不全的不得分。】</w:t>
            </w:r>
          </w:p>
        </w:tc>
        <w:tc>
          <w:tcPr>
            <w:tcW w:w="534" w:type="dxa"/>
            <w:vAlign w:val="center"/>
          </w:tcPr>
          <w:p>
            <w:pPr>
              <w:jc w:val="center"/>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val="en-US" w:eastAsia="zh-CN" w:bidi="ar"/>
              </w:rPr>
              <w:t>2</w:t>
            </w:r>
          </w:p>
        </w:tc>
        <w:tc>
          <w:tcPr>
            <w:tcW w:w="930" w:type="dxa"/>
            <w:vAlign w:val="center"/>
          </w:tcPr>
          <w:p>
            <w:pPr>
              <w:snapToGrid w:val="0"/>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客观分</w:t>
            </w:r>
          </w:p>
        </w:tc>
        <w:tc>
          <w:tcPr>
            <w:tcW w:w="1420" w:type="dxa"/>
            <w:vMerge w:val="continue"/>
            <w:vAlign w:val="center"/>
          </w:tcPr>
          <w:p>
            <w:pPr>
              <w:snapToGrid w:val="0"/>
              <w:jc w:val="left"/>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0" w:type="dxa"/>
            <w:vAlign w:val="center"/>
          </w:tcPr>
          <w:p>
            <w:pPr>
              <w:numPr>
                <w:ilvl w:val="0"/>
                <w:numId w:val="3"/>
              </w:numPr>
              <w:ind w:left="425" w:hanging="425"/>
              <w:jc w:val="center"/>
              <w:rPr>
                <w:rFonts w:ascii="宋体" w:hAnsi="宋体" w:cs="宋体"/>
                <w:kern w:val="0"/>
                <w:szCs w:val="21"/>
                <w:highlight w:val="none"/>
                <w:lang w:bidi="ar"/>
              </w:rPr>
            </w:pPr>
          </w:p>
        </w:tc>
        <w:tc>
          <w:tcPr>
            <w:tcW w:w="6150" w:type="dxa"/>
            <w:gridSpan w:val="3"/>
            <w:vAlign w:val="center"/>
          </w:tcPr>
          <w:p>
            <w:pPr>
              <w:widowControl/>
              <w:jc w:val="left"/>
              <w:rPr>
                <w:rFonts w:ascii="宋体" w:hAnsi="宋体" w:cs="宋体"/>
                <w:kern w:val="0"/>
                <w:szCs w:val="21"/>
                <w:highlight w:val="none"/>
                <w:lang w:bidi="ar"/>
              </w:rPr>
            </w:pPr>
            <w:r>
              <w:rPr>
                <w:rFonts w:hint="eastAsia" w:hAnsi="宋体" w:cs="宋体"/>
                <w:highlight w:val="none"/>
                <w:lang w:val="en-US" w:eastAsia="zh-CN"/>
              </w:rPr>
              <w:t>派驻项目现场的工程技术管理人员至少包括技术负责人、安全员、施工员、质量员、材料员、资料员，配置齐全的，得3分，每缺一项扣0.5分，本项分值扣完为止。</w:t>
            </w:r>
            <w:r>
              <w:rPr>
                <w:rFonts w:hint="eastAsia" w:ascii="宋体" w:hAnsi="宋体" w:cs="宋体"/>
                <w:kern w:val="0"/>
                <w:szCs w:val="21"/>
                <w:highlight w:val="none"/>
                <w:lang w:bidi="ar"/>
              </w:rPr>
              <w:t>【提供</w:t>
            </w:r>
            <w:r>
              <w:rPr>
                <w:rFonts w:hint="eastAsia" w:ascii="宋体" w:hAnsi="宋体" w:cs="宋体"/>
                <w:kern w:val="0"/>
                <w:szCs w:val="21"/>
                <w:highlight w:val="none"/>
                <w:lang w:eastAsia="zh-CN" w:bidi="ar"/>
              </w:rPr>
              <w:t>相关证明材料</w:t>
            </w:r>
            <w:r>
              <w:rPr>
                <w:rFonts w:hint="eastAsia" w:ascii="宋体" w:hAnsi="宋体" w:cs="宋体"/>
                <w:kern w:val="0"/>
                <w:szCs w:val="21"/>
                <w:highlight w:val="none"/>
                <w:lang w:bidi="ar"/>
              </w:rPr>
              <w:t>及人员近三个月</w:t>
            </w:r>
            <w:r>
              <w:rPr>
                <w:rFonts w:hint="eastAsia" w:ascii="宋体" w:hAnsi="宋体" w:cs="宋体"/>
                <w:kern w:val="0"/>
                <w:szCs w:val="21"/>
                <w:highlight w:val="none"/>
                <w:lang w:eastAsia="zh-CN" w:bidi="ar"/>
              </w:rPr>
              <w:t>任一个月</w:t>
            </w:r>
            <w:r>
              <w:rPr>
                <w:rFonts w:hint="eastAsia" w:ascii="宋体" w:hAnsi="宋体" w:cs="宋体"/>
                <w:kern w:val="0"/>
                <w:szCs w:val="21"/>
                <w:highlight w:val="none"/>
                <w:lang w:bidi="ar"/>
              </w:rPr>
              <w:t>在本单位缴纳社保证明，未提供或提供不全的不得分。】</w:t>
            </w:r>
          </w:p>
        </w:tc>
        <w:tc>
          <w:tcPr>
            <w:tcW w:w="534" w:type="dxa"/>
            <w:vAlign w:val="center"/>
          </w:tcPr>
          <w:p>
            <w:pPr>
              <w:jc w:val="center"/>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val="en-US" w:eastAsia="zh-CN" w:bidi="ar"/>
              </w:rPr>
              <w:t>3</w:t>
            </w:r>
          </w:p>
        </w:tc>
        <w:tc>
          <w:tcPr>
            <w:tcW w:w="930" w:type="dxa"/>
            <w:vAlign w:val="center"/>
          </w:tcPr>
          <w:p>
            <w:pPr>
              <w:snapToGrid w:val="0"/>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客观分</w:t>
            </w:r>
          </w:p>
        </w:tc>
        <w:tc>
          <w:tcPr>
            <w:tcW w:w="1420" w:type="dxa"/>
            <w:vMerge w:val="continue"/>
            <w:vAlign w:val="center"/>
          </w:tcPr>
          <w:p>
            <w:pPr>
              <w:snapToGrid w:val="0"/>
              <w:jc w:val="left"/>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90" w:type="dxa"/>
            <w:vMerge w:val="restart"/>
            <w:vAlign w:val="center"/>
          </w:tcPr>
          <w:p>
            <w:pPr>
              <w:numPr>
                <w:ilvl w:val="0"/>
                <w:numId w:val="3"/>
              </w:numPr>
              <w:ind w:left="425" w:hanging="425"/>
              <w:jc w:val="center"/>
              <w:rPr>
                <w:rFonts w:ascii="宋体" w:hAnsi="宋体" w:cs="宋体"/>
                <w:kern w:val="0"/>
                <w:szCs w:val="21"/>
                <w:highlight w:val="none"/>
                <w:lang w:bidi="ar"/>
              </w:rPr>
            </w:pPr>
          </w:p>
        </w:tc>
        <w:tc>
          <w:tcPr>
            <w:tcW w:w="1272" w:type="dxa"/>
            <w:gridSpan w:val="2"/>
            <w:vMerge w:val="restart"/>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施工方案总体情况评价</w:t>
            </w:r>
          </w:p>
        </w:tc>
        <w:tc>
          <w:tcPr>
            <w:tcW w:w="4878" w:type="dxa"/>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方案内容全面、合理、条理清晰，涵盖</w:t>
            </w:r>
            <w:r>
              <w:rPr>
                <w:rFonts w:hint="eastAsia" w:ascii="宋体" w:hAnsi="宋体" w:cs="宋体"/>
                <w:kern w:val="0"/>
                <w:szCs w:val="21"/>
                <w:highlight w:val="none"/>
                <w:lang w:eastAsia="zh-CN" w:bidi="ar"/>
              </w:rPr>
              <w:t>采购需求</w:t>
            </w:r>
            <w:r>
              <w:rPr>
                <w:rFonts w:hint="eastAsia" w:ascii="宋体" w:hAnsi="宋体" w:cs="宋体"/>
                <w:kern w:val="0"/>
                <w:szCs w:val="21"/>
                <w:highlight w:val="none"/>
                <w:lang w:bidi="ar"/>
              </w:rPr>
              <w:t>，且具有针对性</w:t>
            </w:r>
            <w:r>
              <w:rPr>
                <w:rFonts w:hint="eastAsia" w:ascii="宋体" w:hAnsi="宋体" w:cs="宋体"/>
                <w:kern w:val="0"/>
                <w:szCs w:val="21"/>
                <w:highlight w:val="none"/>
                <w:lang w:eastAsia="zh-CN" w:bidi="ar"/>
              </w:rPr>
              <w:t>强</w:t>
            </w:r>
            <w:r>
              <w:rPr>
                <w:rFonts w:hint="eastAsia" w:ascii="宋体" w:hAnsi="宋体" w:cs="宋体"/>
                <w:kern w:val="0"/>
                <w:szCs w:val="21"/>
                <w:highlight w:val="none"/>
                <w:lang w:bidi="ar"/>
              </w:rPr>
              <w:t>得5分</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方案</w:t>
            </w:r>
            <w:r>
              <w:rPr>
                <w:rFonts w:hint="eastAsia" w:ascii="宋体" w:hAnsi="宋体" w:cs="宋体"/>
                <w:kern w:val="0"/>
                <w:szCs w:val="21"/>
                <w:highlight w:val="none"/>
                <w:lang w:eastAsia="zh-CN" w:bidi="ar"/>
              </w:rPr>
              <w:t>可行基本满足采购需求</w:t>
            </w:r>
            <w:r>
              <w:rPr>
                <w:rFonts w:hint="eastAsia" w:ascii="宋体" w:hAnsi="宋体" w:cs="宋体"/>
                <w:kern w:val="0"/>
                <w:szCs w:val="21"/>
                <w:highlight w:val="none"/>
                <w:lang w:bidi="ar"/>
              </w:rPr>
              <w:t>得3分</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方案一般、部分满足得</w:t>
            </w:r>
            <w:r>
              <w:rPr>
                <w:rFonts w:hint="eastAsia" w:ascii="宋体" w:hAnsi="宋体" w:cs="宋体"/>
                <w:kern w:val="0"/>
                <w:szCs w:val="21"/>
                <w:highlight w:val="none"/>
                <w:lang w:val="en-US" w:eastAsia="zh-CN" w:bidi="ar"/>
              </w:rPr>
              <w:t>2</w:t>
            </w:r>
            <w:r>
              <w:rPr>
                <w:rFonts w:hint="eastAsia" w:ascii="宋体" w:hAnsi="宋体" w:cs="宋体"/>
                <w:kern w:val="0"/>
                <w:szCs w:val="21"/>
                <w:highlight w:val="none"/>
                <w:lang w:eastAsia="zh-CN" w:bidi="ar"/>
              </w:rPr>
              <w:t>分；方案</w:t>
            </w:r>
            <w:r>
              <w:rPr>
                <w:rFonts w:hint="eastAsia" w:ascii="宋体" w:hAnsi="宋体" w:eastAsia="宋体" w:cs="宋体"/>
                <w:color w:val="auto"/>
                <w:sz w:val="21"/>
                <w:szCs w:val="21"/>
                <w:highlight w:val="none"/>
              </w:rPr>
              <w:t>内容差</w:t>
            </w:r>
            <w:r>
              <w:rPr>
                <w:rFonts w:hint="eastAsia" w:ascii="宋体" w:hAnsi="宋体" w:cs="宋体"/>
                <w:kern w:val="0"/>
                <w:szCs w:val="21"/>
                <w:highlight w:val="none"/>
                <w:lang w:bidi="ar"/>
              </w:rPr>
              <w:t>得1分。严重缺失不得分。</w:t>
            </w:r>
          </w:p>
        </w:tc>
        <w:tc>
          <w:tcPr>
            <w:tcW w:w="534" w:type="dxa"/>
            <w:vAlign w:val="center"/>
          </w:tcPr>
          <w:p>
            <w:pPr>
              <w:jc w:val="center"/>
              <w:rPr>
                <w:rFonts w:ascii="宋体" w:hAnsi="宋体" w:cs="宋体"/>
                <w:kern w:val="0"/>
                <w:szCs w:val="21"/>
                <w:highlight w:val="none"/>
                <w:lang w:bidi="ar"/>
              </w:rPr>
            </w:pPr>
            <w:r>
              <w:rPr>
                <w:rFonts w:hint="eastAsia" w:ascii="宋体" w:hAnsi="宋体" w:cs="宋体"/>
                <w:kern w:val="0"/>
                <w:szCs w:val="21"/>
                <w:highlight w:val="none"/>
                <w:lang w:bidi="ar"/>
              </w:rPr>
              <w:t>5</w:t>
            </w:r>
          </w:p>
        </w:tc>
        <w:tc>
          <w:tcPr>
            <w:tcW w:w="930" w:type="dxa"/>
            <w:vAlign w:val="center"/>
          </w:tcPr>
          <w:p>
            <w:pPr>
              <w:snapToGrid w:val="0"/>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主观分</w:t>
            </w:r>
          </w:p>
        </w:tc>
        <w:tc>
          <w:tcPr>
            <w:tcW w:w="142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0" w:type="dxa"/>
            <w:vMerge w:val="continue"/>
            <w:vAlign w:val="center"/>
          </w:tcPr>
          <w:p>
            <w:pPr>
              <w:jc w:val="center"/>
              <w:rPr>
                <w:rFonts w:ascii="宋体" w:hAnsi="宋体" w:cs="宋体"/>
                <w:kern w:val="0"/>
                <w:szCs w:val="21"/>
                <w:highlight w:val="none"/>
                <w:lang w:bidi="ar"/>
              </w:rPr>
            </w:pPr>
          </w:p>
        </w:tc>
        <w:tc>
          <w:tcPr>
            <w:tcW w:w="1272" w:type="dxa"/>
            <w:gridSpan w:val="2"/>
            <w:vMerge w:val="continue"/>
            <w:vAlign w:val="center"/>
          </w:tcPr>
          <w:p>
            <w:pPr>
              <w:jc w:val="left"/>
              <w:rPr>
                <w:rFonts w:ascii="宋体" w:hAnsi="宋体" w:cs="宋体"/>
                <w:kern w:val="0"/>
                <w:szCs w:val="21"/>
                <w:highlight w:val="none"/>
                <w:lang w:bidi="ar"/>
              </w:rPr>
            </w:pPr>
          </w:p>
        </w:tc>
        <w:tc>
          <w:tcPr>
            <w:tcW w:w="4878" w:type="dxa"/>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针对本项目特殊施工环境需要采取的专门的施工技术内容科学合理，</w:t>
            </w:r>
            <w:r>
              <w:rPr>
                <w:rFonts w:hint="eastAsia" w:ascii="宋体" w:hAnsi="宋体" w:cs="宋体"/>
                <w:kern w:val="0"/>
                <w:szCs w:val="21"/>
                <w:highlight w:val="none"/>
                <w:lang w:eastAsia="zh-CN" w:bidi="ar"/>
              </w:rPr>
              <w:t>可操作性</w:t>
            </w:r>
            <w:r>
              <w:rPr>
                <w:rFonts w:hint="eastAsia" w:ascii="宋体" w:hAnsi="宋体" w:cs="宋体"/>
                <w:kern w:val="0"/>
                <w:szCs w:val="21"/>
                <w:highlight w:val="none"/>
                <w:lang w:bidi="ar"/>
              </w:rPr>
              <w:t>强的得5分；措施内容基本合理</w:t>
            </w:r>
            <w:r>
              <w:rPr>
                <w:rFonts w:hint="eastAsia" w:ascii="宋体" w:hAnsi="宋体" w:cs="宋体"/>
                <w:kern w:val="0"/>
                <w:szCs w:val="21"/>
                <w:highlight w:val="none"/>
                <w:lang w:eastAsia="zh-CN" w:bidi="ar"/>
              </w:rPr>
              <w:t>，可操作性一般的</w:t>
            </w:r>
            <w:r>
              <w:rPr>
                <w:rFonts w:hint="eastAsia" w:ascii="宋体" w:hAnsi="宋体" w:cs="宋体"/>
                <w:kern w:val="0"/>
                <w:szCs w:val="21"/>
                <w:highlight w:val="none"/>
                <w:lang w:bidi="ar"/>
              </w:rPr>
              <w:t>得</w:t>
            </w:r>
            <w:r>
              <w:rPr>
                <w:rFonts w:hint="eastAsia" w:ascii="宋体" w:hAnsi="宋体" w:cs="宋体"/>
                <w:kern w:val="0"/>
                <w:szCs w:val="21"/>
                <w:highlight w:val="none"/>
                <w:lang w:val="en-US" w:eastAsia="zh-CN" w:bidi="ar"/>
              </w:rPr>
              <w:t>3</w:t>
            </w:r>
            <w:r>
              <w:rPr>
                <w:rFonts w:hint="eastAsia" w:ascii="宋体" w:hAnsi="宋体" w:cs="宋体"/>
                <w:kern w:val="0"/>
                <w:szCs w:val="21"/>
                <w:highlight w:val="none"/>
                <w:lang w:bidi="ar"/>
              </w:rPr>
              <w:t>分；措施内容一般，</w:t>
            </w:r>
            <w:r>
              <w:rPr>
                <w:rFonts w:hint="eastAsia" w:ascii="宋体" w:hAnsi="宋体" w:cs="宋体"/>
                <w:kern w:val="0"/>
                <w:szCs w:val="21"/>
                <w:highlight w:val="none"/>
                <w:lang w:eastAsia="zh-CN" w:bidi="ar"/>
              </w:rPr>
              <w:t>有瑕疵</w:t>
            </w:r>
            <w:r>
              <w:rPr>
                <w:rFonts w:hint="eastAsia" w:ascii="宋体" w:hAnsi="宋体" w:cs="宋体"/>
                <w:kern w:val="0"/>
                <w:szCs w:val="21"/>
                <w:highlight w:val="none"/>
                <w:lang w:bidi="ar"/>
              </w:rPr>
              <w:t>得</w:t>
            </w:r>
            <w:r>
              <w:rPr>
                <w:rFonts w:hint="eastAsia" w:ascii="宋体" w:hAnsi="宋体" w:cs="宋体"/>
                <w:kern w:val="0"/>
                <w:szCs w:val="21"/>
                <w:highlight w:val="none"/>
                <w:lang w:val="en-US" w:eastAsia="zh-CN" w:bidi="ar"/>
              </w:rPr>
              <w:t>2</w:t>
            </w:r>
            <w:r>
              <w:rPr>
                <w:rFonts w:hint="eastAsia" w:ascii="宋体" w:hAnsi="宋体" w:cs="宋体"/>
                <w:kern w:val="0"/>
                <w:szCs w:val="21"/>
                <w:highlight w:val="none"/>
                <w:lang w:bidi="ar"/>
              </w:rPr>
              <w:t>分</w:t>
            </w:r>
            <w:r>
              <w:rPr>
                <w:rFonts w:hint="eastAsia" w:ascii="宋体" w:hAnsi="宋体" w:cs="宋体"/>
                <w:kern w:val="0"/>
                <w:szCs w:val="21"/>
                <w:highlight w:val="none"/>
                <w:lang w:eastAsia="zh-CN" w:bidi="ar"/>
              </w:rPr>
              <w:t>；</w:t>
            </w:r>
            <w:r>
              <w:rPr>
                <w:rFonts w:hint="eastAsia" w:ascii="宋体" w:hAnsi="宋体" w:eastAsia="宋体" w:cs="宋体"/>
                <w:color w:val="auto"/>
                <w:sz w:val="21"/>
                <w:szCs w:val="21"/>
                <w:highlight w:val="none"/>
              </w:rPr>
              <w:t>措施内容不全面可操作性差的，得1分</w:t>
            </w:r>
            <w:r>
              <w:rPr>
                <w:rFonts w:hint="eastAsia" w:ascii="宋体" w:hAnsi="宋体" w:cs="宋体"/>
                <w:color w:val="auto"/>
                <w:sz w:val="21"/>
                <w:szCs w:val="21"/>
                <w:highlight w:val="none"/>
                <w:lang w:eastAsia="zh-CN"/>
              </w:rPr>
              <w:t>。</w:t>
            </w:r>
            <w:r>
              <w:rPr>
                <w:rFonts w:hint="eastAsia" w:ascii="宋体" w:hAnsi="宋体" w:cs="宋体"/>
                <w:kern w:val="0"/>
                <w:szCs w:val="21"/>
                <w:highlight w:val="none"/>
                <w:lang w:bidi="ar"/>
              </w:rPr>
              <w:t>内容缺失严重不得分。</w:t>
            </w:r>
          </w:p>
        </w:tc>
        <w:tc>
          <w:tcPr>
            <w:tcW w:w="534" w:type="dxa"/>
            <w:vAlign w:val="center"/>
          </w:tcPr>
          <w:p>
            <w:pPr>
              <w:jc w:val="center"/>
              <w:rPr>
                <w:rFonts w:ascii="宋体" w:hAnsi="宋体" w:cs="宋体"/>
                <w:kern w:val="0"/>
                <w:szCs w:val="21"/>
                <w:highlight w:val="none"/>
                <w:lang w:bidi="ar"/>
              </w:rPr>
            </w:pPr>
            <w:r>
              <w:rPr>
                <w:rFonts w:hint="eastAsia" w:ascii="宋体" w:hAnsi="宋体" w:cs="宋体"/>
                <w:kern w:val="0"/>
                <w:szCs w:val="21"/>
                <w:highlight w:val="none"/>
                <w:lang w:bidi="ar"/>
              </w:rPr>
              <w:t>5</w:t>
            </w:r>
          </w:p>
        </w:tc>
        <w:tc>
          <w:tcPr>
            <w:tcW w:w="930" w:type="dxa"/>
            <w:vAlign w:val="center"/>
          </w:tcPr>
          <w:p>
            <w:pPr>
              <w:snapToGrid w:val="0"/>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主观分</w:t>
            </w:r>
          </w:p>
        </w:tc>
        <w:tc>
          <w:tcPr>
            <w:tcW w:w="142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0" w:type="dxa"/>
            <w:vMerge w:val="continue"/>
            <w:vAlign w:val="center"/>
          </w:tcPr>
          <w:p>
            <w:pPr>
              <w:jc w:val="center"/>
              <w:rPr>
                <w:rFonts w:ascii="宋体" w:hAnsi="宋体" w:cs="宋体"/>
                <w:kern w:val="0"/>
                <w:szCs w:val="21"/>
                <w:highlight w:val="none"/>
                <w:lang w:bidi="ar"/>
              </w:rPr>
            </w:pPr>
          </w:p>
        </w:tc>
        <w:tc>
          <w:tcPr>
            <w:tcW w:w="1272" w:type="dxa"/>
            <w:gridSpan w:val="2"/>
            <w:vMerge w:val="continue"/>
            <w:vAlign w:val="center"/>
          </w:tcPr>
          <w:p>
            <w:pPr>
              <w:jc w:val="left"/>
              <w:rPr>
                <w:rFonts w:ascii="宋体" w:hAnsi="宋体" w:cs="宋体"/>
                <w:kern w:val="0"/>
                <w:szCs w:val="21"/>
                <w:highlight w:val="none"/>
                <w:lang w:bidi="ar"/>
              </w:rPr>
            </w:pPr>
          </w:p>
        </w:tc>
        <w:tc>
          <w:tcPr>
            <w:tcW w:w="4878" w:type="dxa"/>
            <w:vAlign w:val="center"/>
          </w:tcPr>
          <w:p>
            <w:pPr>
              <w:jc w:val="left"/>
              <w:rPr>
                <w:rFonts w:hint="eastAsia" w:ascii="宋体" w:hAnsi="宋体" w:cs="宋体"/>
                <w:kern w:val="0"/>
                <w:szCs w:val="21"/>
                <w:highlight w:val="none"/>
                <w:lang w:bidi="ar"/>
              </w:rPr>
            </w:pPr>
            <w:r>
              <w:rPr>
                <w:rFonts w:hint="eastAsia" w:ascii="宋体" w:hAnsi="宋体" w:cs="宋体"/>
                <w:kern w:val="0"/>
                <w:szCs w:val="21"/>
                <w:highlight w:val="none"/>
                <w:lang w:val="en-US" w:eastAsia="zh-CN" w:bidi="ar"/>
              </w:rPr>
              <w:t>针对本项目脚手架搭设方案</w:t>
            </w:r>
            <w:r>
              <w:rPr>
                <w:rFonts w:hint="eastAsia" w:ascii="宋体" w:hAnsi="宋体" w:cs="宋体"/>
                <w:kern w:val="0"/>
                <w:szCs w:val="21"/>
                <w:highlight w:val="none"/>
                <w:lang w:bidi="ar"/>
              </w:rPr>
              <w:t>内容全面、合理、条理清晰</w:t>
            </w:r>
            <w:r>
              <w:rPr>
                <w:rFonts w:hint="eastAsia" w:ascii="宋体" w:hAnsi="宋体" w:cs="宋体"/>
                <w:kern w:val="0"/>
                <w:szCs w:val="21"/>
                <w:highlight w:val="none"/>
                <w:lang w:eastAsia="zh-CN" w:bidi="ar"/>
              </w:rPr>
              <w:t>，</w:t>
            </w:r>
            <w:r>
              <w:rPr>
                <w:rFonts w:hint="eastAsia" w:ascii="宋体" w:hAnsi="宋体" w:cs="宋体"/>
                <w:kern w:val="0"/>
                <w:szCs w:val="21"/>
                <w:highlight w:val="none"/>
                <w:lang w:val="en-US" w:eastAsia="zh-CN" w:bidi="ar"/>
              </w:rPr>
              <w:t>配合展具保护方面合理规范，</w:t>
            </w:r>
            <w:r>
              <w:rPr>
                <w:rFonts w:hint="eastAsia" w:ascii="宋体" w:hAnsi="宋体" w:cs="宋体"/>
                <w:kern w:val="0"/>
                <w:szCs w:val="21"/>
                <w:highlight w:val="none"/>
                <w:lang w:eastAsia="zh-CN" w:bidi="ar"/>
              </w:rPr>
              <w:t>可操作性</w:t>
            </w:r>
            <w:r>
              <w:rPr>
                <w:rFonts w:hint="eastAsia" w:ascii="宋体" w:hAnsi="宋体" w:cs="宋体"/>
                <w:kern w:val="0"/>
                <w:szCs w:val="21"/>
                <w:highlight w:val="none"/>
                <w:lang w:val="en-US" w:eastAsia="zh-CN" w:bidi="ar"/>
              </w:rPr>
              <w:t>强的得6分；方案内容基本可行，配合展具保护方面基本合理得4分；方案内容一般，部分配合展具保护方案得2分；方案内容</w:t>
            </w:r>
            <w:r>
              <w:rPr>
                <w:rFonts w:hint="eastAsia" w:ascii="宋体" w:hAnsi="宋体" w:cs="宋体"/>
                <w:highlight w:val="none"/>
                <w:lang w:eastAsia="zh-CN"/>
              </w:rPr>
              <w:t>不全面瑕疵较多</w:t>
            </w:r>
            <w:r>
              <w:rPr>
                <w:rFonts w:hint="eastAsia" w:ascii="宋体" w:hAnsi="宋体" w:cs="宋体"/>
                <w:kern w:val="0"/>
                <w:szCs w:val="21"/>
                <w:highlight w:val="none"/>
                <w:lang w:val="en-US" w:eastAsia="zh-CN" w:bidi="ar"/>
              </w:rPr>
              <w:t>得1分。</w:t>
            </w:r>
            <w:r>
              <w:rPr>
                <w:rFonts w:hint="eastAsia" w:ascii="宋体" w:hAnsi="宋体" w:cs="宋体"/>
                <w:kern w:val="0"/>
                <w:szCs w:val="21"/>
                <w:highlight w:val="none"/>
                <w:lang w:bidi="ar"/>
              </w:rPr>
              <w:t>内容缺失严重不得分。</w:t>
            </w:r>
          </w:p>
        </w:tc>
        <w:tc>
          <w:tcPr>
            <w:tcW w:w="534" w:type="dxa"/>
            <w:vAlign w:val="center"/>
          </w:tcPr>
          <w:p>
            <w:pPr>
              <w:jc w:val="center"/>
              <w:rPr>
                <w:rFonts w:hint="eastAsia" w:ascii="宋体" w:hAnsi="宋体" w:cs="宋体"/>
                <w:kern w:val="0"/>
                <w:szCs w:val="21"/>
                <w:highlight w:val="none"/>
                <w:lang w:bidi="ar"/>
              </w:rPr>
            </w:pPr>
            <w:r>
              <w:rPr>
                <w:rFonts w:hint="eastAsia" w:ascii="宋体" w:hAnsi="宋体" w:cs="宋体"/>
                <w:kern w:val="0"/>
                <w:szCs w:val="21"/>
                <w:highlight w:val="none"/>
                <w:lang w:val="en-US" w:eastAsia="zh-CN" w:bidi="ar"/>
              </w:rPr>
              <w:t>6</w:t>
            </w:r>
          </w:p>
        </w:tc>
        <w:tc>
          <w:tcPr>
            <w:tcW w:w="930" w:type="dxa"/>
            <w:vAlign w:val="center"/>
          </w:tcPr>
          <w:p>
            <w:pPr>
              <w:snapToGrid w:val="0"/>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主观分</w:t>
            </w:r>
          </w:p>
        </w:tc>
        <w:tc>
          <w:tcPr>
            <w:tcW w:w="1420" w:type="dxa"/>
            <w:vAlign w:val="center"/>
          </w:tcPr>
          <w:p>
            <w:pPr>
              <w:snapToGrid w:val="0"/>
              <w:jc w:val="left"/>
              <w:rPr>
                <w:rFonts w:hint="eastAsia" w:ascii="宋体" w:hAnsi="宋体" w:cs="宋体"/>
                <w:kern w:val="0"/>
                <w:szCs w:val="21"/>
                <w:highlight w:val="none"/>
                <w:lang w:bidi="ar"/>
              </w:rPr>
            </w:pPr>
            <w:r>
              <w:rPr>
                <w:rFonts w:hint="eastAsia" w:ascii="宋体" w:hAnsi="宋体" w:cs="宋体"/>
                <w:kern w:val="0"/>
                <w:szCs w:val="21"/>
                <w:highlight w:val="none"/>
                <w:lang w:val="en-US" w:eastAsia="zh-CN" w:bidi="ar"/>
              </w:rPr>
              <w:t>脚手架搭设方案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0" w:type="dxa"/>
            <w:vMerge w:val="continue"/>
            <w:vAlign w:val="center"/>
          </w:tcPr>
          <w:p>
            <w:pPr>
              <w:jc w:val="center"/>
              <w:rPr>
                <w:rFonts w:ascii="宋体" w:hAnsi="宋体" w:cs="宋体"/>
                <w:kern w:val="0"/>
                <w:szCs w:val="21"/>
                <w:highlight w:val="none"/>
                <w:lang w:bidi="ar"/>
              </w:rPr>
            </w:pPr>
          </w:p>
        </w:tc>
        <w:tc>
          <w:tcPr>
            <w:tcW w:w="1272" w:type="dxa"/>
            <w:gridSpan w:val="2"/>
            <w:vMerge w:val="continue"/>
            <w:vAlign w:val="center"/>
          </w:tcPr>
          <w:p>
            <w:pPr>
              <w:jc w:val="left"/>
              <w:rPr>
                <w:rFonts w:ascii="宋体" w:hAnsi="宋体" w:cs="宋体"/>
                <w:kern w:val="0"/>
                <w:szCs w:val="21"/>
                <w:highlight w:val="none"/>
                <w:lang w:bidi="ar"/>
              </w:rPr>
            </w:pPr>
          </w:p>
        </w:tc>
        <w:tc>
          <w:tcPr>
            <w:tcW w:w="4878" w:type="dxa"/>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组织措施内容科学合理，针对性强的得5分；措施内容基本合理</w:t>
            </w:r>
            <w:r>
              <w:rPr>
                <w:rFonts w:hint="eastAsia" w:ascii="宋体" w:hAnsi="宋体" w:cs="宋体"/>
                <w:kern w:val="0"/>
                <w:szCs w:val="21"/>
                <w:highlight w:val="none"/>
                <w:lang w:eastAsia="zh-CN" w:bidi="ar"/>
              </w:rPr>
              <w:t>的</w:t>
            </w:r>
            <w:r>
              <w:rPr>
                <w:rFonts w:hint="eastAsia" w:ascii="宋体" w:hAnsi="宋体" w:cs="宋体"/>
                <w:kern w:val="0"/>
                <w:szCs w:val="21"/>
                <w:highlight w:val="none"/>
                <w:lang w:bidi="ar"/>
              </w:rPr>
              <w:t>得</w:t>
            </w:r>
            <w:r>
              <w:rPr>
                <w:rFonts w:hint="eastAsia" w:ascii="宋体" w:hAnsi="宋体" w:cs="宋体"/>
                <w:kern w:val="0"/>
                <w:szCs w:val="21"/>
                <w:highlight w:val="none"/>
                <w:lang w:val="en-US" w:eastAsia="zh-CN" w:bidi="ar"/>
              </w:rPr>
              <w:t>3</w:t>
            </w:r>
            <w:r>
              <w:rPr>
                <w:rFonts w:hint="eastAsia" w:ascii="宋体" w:hAnsi="宋体" w:cs="宋体"/>
                <w:kern w:val="0"/>
                <w:szCs w:val="21"/>
                <w:highlight w:val="none"/>
                <w:lang w:bidi="ar"/>
              </w:rPr>
              <w:t>分；措施内容一般，</w:t>
            </w:r>
            <w:r>
              <w:rPr>
                <w:rFonts w:hint="eastAsia" w:ascii="宋体" w:hAnsi="宋体" w:cs="宋体"/>
                <w:kern w:val="0"/>
                <w:szCs w:val="21"/>
                <w:highlight w:val="none"/>
                <w:lang w:eastAsia="zh-CN" w:bidi="ar"/>
              </w:rPr>
              <w:t>有瑕疵的</w:t>
            </w:r>
            <w:r>
              <w:rPr>
                <w:rFonts w:hint="eastAsia" w:ascii="宋体" w:hAnsi="宋体" w:cs="宋体"/>
                <w:kern w:val="0"/>
                <w:szCs w:val="21"/>
                <w:highlight w:val="none"/>
                <w:lang w:bidi="ar"/>
              </w:rPr>
              <w:t>得</w:t>
            </w:r>
            <w:r>
              <w:rPr>
                <w:rFonts w:hint="eastAsia" w:ascii="宋体" w:hAnsi="宋体" w:cs="宋体"/>
                <w:kern w:val="0"/>
                <w:szCs w:val="21"/>
                <w:highlight w:val="none"/>
                <w:lang w:val="en-US" w:eastAsia="zh-CN" w:bidi="ar"/>
              </w:rPr>
              <w:t>2</w:t>
            </w:r>
            <w:r>
              <w:rPr>
                <w:rFonts w:hint="eastAsia" w:ascii="宋体" w:hAnsi="宋体" w:cs="宋体"/>
                <w:kern w:val="0"/>
                <w:szCs w:val="21"/>
                <w:highlight w:val="none"/>
                <w:lang w:bidi="ar"/>
              </w:rPr>
              <w:t>分</w:t>
            </w:r>
            <w:r>
              <w:rPr>
                <w:rFonts w:hint="eastAsia" w:ascii="宋体" w:hAnsi="宋体" w:cs="宋体"/>
                <w:kern w:val="0"/>
                <w:szCs w:val="21"/>
                <w:highlight w:val="none"/>
                <w:lang w:eastAsia="zh-CN" w:bidi="ar"/>
              </w:rPr>
              <w:t>；</w:t>
            </w:r>
            <w:r>
              <w:rPr>
                <w:rFonts w:hint="eastAsia" w:ascii="宋体" w:hAnsi="宋体" w:eastAsia="宋体" w:cs="宋体"/>
                <w:color w:val="auto"/>
                <w:sz w:val="21"/>
                <w:szCs w:val="21"/>
                <w:highlight w:val="none"/>
              </w:rPr>
              <w:t>措施内容不全面可操作性差的得1分</w:t>
            </w:r>
            <w:r>
              <w:rPr>
                <w:rFonts w:hint="eastAsia" w:ascii="宋体" w:hAnsi="宋体" w:cs="宋体"/>
                <w:kern w:val="0"/>
                <w:szCs w:val="21"/>
                <w:highlight w:val="none"/>
                <w:lang w:bidi="ar"/>
              </w:rPr>
              <w:t>。内容缺失严重不得分。</w:t>
            </w:r>
          </w:p>
        </w:tc>
        <w:tc>
          <w:tcPr>
            <w:tcW w:w="534" w:type="dxa"/>
            <w:vAlign w:val="center"/>
          </w:tcPr>
          <w:p>
            <w:pPr>
              <w:jc w:val="center"/>
              <w:rPr>
                <w:rFonts w:ascii="宋体" w:hAnsi="宋体" w:cs="宋体"/>
                <w:kern w:val="0"/>
                <w:szCs w:val="21"/>
                <w:highlight w:val="none"/>
                <w:lang w:bidi="ar"/>
              </w:rPr>
            </w:pPr>
            <w:r>
              <w:rPr>
                <w:rFonts w:hint="eastAsia" w:ascii="宋体" w:hAnsi="宋体" w:cs="宋体"/>
                <w:kern w:val="0"/>
                <w:szCs w:val="21"/>
                <w:highlight w:val="none"/>
                <w:lang w:bidi="ar"/>
              </w:rPr>
              <w:t>5</w:t>
            </w:r>
          </w:p>
        </w:tc>
        <w:tc>
          <w:tcPr>
            <w:tcW w:w="930" w:type="dxa"/>
            <w:vAlign w:val="center"/>
          </w:tcPr>
          <w:p>
            <w:pPr>
              <w:snapToGrid w:val="0"/>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主观分</w:t>
            </w:r>
          </w:p>
        </w:tc>
        <w:tc>
          <w:tcPr>
            <w:tcW w:w="142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numPr>
                <w:ilvl w:val="0"/>
                <w:numId w:val="3"/>
              </w:numPr>
              <w:ind w:left="425" w:hanging="425"/>
              <w:jc w:val="center"/>
              <w:rPr>
                <w:rFonts w:ascii="宋体" w:hAnsi="宋体" w:cs="宋体"/>
                <w:kern w:val="0"/>
                <w:szCs w:val="21"/>
                <w:highlight w:val="none"/>
                <w:lang w:bidi="ar"/>
              </w:rPr>
            </w:pPr>
          </w:p>
        </w:tc>
        <w:tc>
          <w:tcPr>
            <w:tcW w:w="6150" w:type="dxa"/>
            <w:gridSpan w:val="3"/>
            <w:vAlign w:val="center"/>
          </w:tcPr>
          <w:p>
            <w:pPr>
              <w:jc w:val="left"/>
              <w:rPr>
                <w:rFonts w:ascii="宋体" w:hAnsi="宋体" w:cs="宋体"/>
                <w:kern w:val="0"/>
                <w:szCs w:val="21"/>
                <w:highlight w:val="none"/>
                <w:lang w:bidi="ar"/>
              </w:rPr>
            </w:pPr>
            <w:r>
              <w:rPr>
                <w:rFonts w:hint="eastAsia" w:ascii="宋体" w:hAnsi="宋体" w:cs="宋体"/>
                <w:highlight w:val="none"/>
              </w:rPr>
              <w:t>工期承诺和项目进度计划和措施完善、合理</w:t>
            </w:r>
            <w:r>
              <w:rPr>
                <w:rFonts w:hint="eastAsia" w:ascii="宋体" w:hAnsi="宋体" w:cs="宋体"/>
                <w:highlight w:val="none"/>
                <w:lang w:eastAsia="zh-CN"/>
              </w:rPr>
              <w:t>、针对性强</w:t>
            </w:r>
            <w:r>
              <w:rPr>
                <w:rFonts w:hint="eastAsia" w:ascii="宋体" w:hAnsi="宋体" w:cs="宋体"/>
                <w:highlight w:val="none"/>
              </w:rPr>
              <w:t>的得</w:t>
            </w:r>
            <w:r>
              <w:rPr>
                <w:rFonts w:ascii="宋体" w:hAnsi="宋体" w:cs="宋体"/>
                <w:highlight w:val="none"/>
              </w:rPr>
              <w:t>5</w:t>
            </w:r>
            <w:r>
              <w:rPr>
                <w:rFonts w:hint="eastAsia" w:ascii="宋体" w:hAnsi="宋体" w:cs="宋体"/>
                <w:highlight w:val="none"/>
              </w:rPr>
              <w:t>分</w:t>
            </w:r>
            <w:r>
              <w:rPr>
                <w:rFonts w:hint="eastAsia" w:ascii="宋体" w:hAnsi="宋体" w:cs="宋体"/>
                <w:highlight w:val="none"/>
                <w:lang w:eastAsia="zh-CN"/>
              </w:rPr>
              <w:t>；</w:t>
            </w:r>
            <w:r>
              <w:rPr>
                <w:rFonts w:hint="eastAsia" w:ascii="宋体" w:hAnsi="宋体" w:cs="宋体"/>
                <w:highlight w:val="none"/>
              </w:rPr>
              <w:t>工期承诺和项目进度计划和措施基本合理的得</w:t>
            </w:r>
            <w:r>
              <w:rPr>
                <w:rFonts w:ascii="宋体" w:hAnsi="宋体" w:cs="宋体"/>
                <w:highlight w:val="none"/>
              </w:rPr>
              <w:t>3</w:t>
            </w:r>
            <w:r>
              <w:rPr>
                <w:rFonts w:hint="eastAsia" w:ascii="宋体" w:hAnsi="宋体" w:cs="宋体"/>
                <w:highlight w:val="none"/>
              </w:rPr>
              <w:t>分</w:t>
            </w:r>
            <w:r>
              <w:rPr>
                <w:rFonts w:hint="eastAsia" w:ascii="宋体" w:hAnsi="宋体" w:cs="宋体"/>
                <w:highlight w:val="none"/>
                <w:lang w:eastAsia="zh-CN"/>
              </w:rPr>
              <w:t>；</w:t>
            </w:r>
            <w:r>
              <w:rPr>
                <w:rFonts w:hint="eastAsia" w:ascii="宋体" w:hAnsi="宋体" w:cs="宋体"/>
                <w:highlight w:val="none"/>
              </w:rPr>
              <w:t>工期承诺和项目进度计划和措施</w:t>
            </w:r>
            <w:r>
              <w:rPr>
                <w:rFonts w:hint="eastAsia" w:ascii="宋体" w:hAnsi="宋体" w:cs="宋体"/>
                <w:highlight w:val="none"/>
                <w:lang w:eastAsia="zh-CN"/>
              </w:rPr>
              <w:t>略有</w:t>
            </w:r>
            <w:r>
              <w:rPr>
                <w:rFonts w:hint="eastAsia" w:ascii="宋体" w:hAnsi="宋体" w:cs="宋体"/>
                <w:highlight w:val="none"/>
              </w:rPr>
              <w:t>不足的给</w:t>
            </w:r>
            <w:r>
              <w:rPr>
                <w:rFonts w:ascii="宋体" w:hAnsi="宋体" w:cs="宋体"/>
                <w:highlight w:val="none"/>
              </w:rPr>
              <w:t>2</w:t>
            </w:r>
            <w:r>
              <w:rPr>
                <w:rFonts w:hint="eastAsia" w:ascii="宋体" w:hAnsi="宋体" w:cs="宋体"/>
                <w:highlight w:val="none"/>
              </w:rPr>
              <w:t>分</w:t>
            </w:r>
            <w:r>
              <w:rPr>
                <w:rFonts w:hint="eastAsia" w:ascii="宋体" w:hAnsi="宋体" w:cs="宋体"/>
                <w:highlight w:val="none"/>
                <w:lang w:eastAsia="zh-CN"/>
              </w:rPr>
              <w:t>；</w:t>
            </w:r>
            <w:r>
              <w:rPr>
                <w:rFonts w:hint="eastAsia" w:ascii="宋体" w:hAnsi="宋体" w:cs="宋体"/>
                <w:highlight w:val="none"/>
              </w:rPr>
              <w:t>缺少工期承诺或工期承诺和项目进度计划和措施</w:t>
            </w:r>
            <w:r>
              <w:rPr>
                <w:rFonts w:hint="eastAsia" w:ascii="宋体" w:hAnsi="宋体" w:cs="宋体"/>
                <w:highlight w:val="none"/>
                <w:lang w:eastAsia="zh-CN"/>
              </w:rPr>
              <w:t>内容不全面瑕疵较多</w:t>
            </w:r>
            <w:r>
              <w:rPr>
                <w:rFonts w:hint="eastAsia" w:ascii="宋体" w:hAnsi="宋体" w:cs="宋体"/>
                <w:highlight w:val="none"/>
              </w:rPr>
              <w:t>的得</w:t>
            </w:r>
            <w:r>
              <w:rPr>
                <w:rFonts w:ascii="宋体" w:hAnsi="宋体" w:cs="宋体"/>
                <w:highlight w:val="none"/>
              </w:rPr>
              <w:t>1</w:t>
            </w:r>
            <w:r>
              <w:rPr>
                <w:rFonts w:hint="eastAsia" w:ascii="宋体" w:hAnsi="宋体" w:cs="宋体"/>
                <w:highlight w:val="none"/>
              </w:rPr>
              <w:t>分</w:t>
            </w:r>
            <w:r>
              <w:rPr>
                <w:rFonts w:hint="eastAsia" w:ascii="宋体" w:hAnsi="宋体" w:cs="宋体"/>
                <w:highlight w:val="none"/>
                <w:lang w:eastAsia="zh-CN"/>
              </w:rPr>
              <w:t>。</w:t>
            </w:r>
            <w:r>
              <w:rPr>
                <w:rFonts w:hint="eastAsia" w:ascii="宋体" w:hAnsi="宋体" w:cs="宋体"/>
                <w:kern w:val="0"/>
                <w:szCs w:val="21"/>
                <w:highlight w:val="none"/>
                <w:lang w:bidi="ar"/>
              </w:rPr>
              <w:t>内容缺失严重不得分</w:t>
            </w:r>
            <w:r>
              <w:rPr>
                <w:rFonts w:hint="eastAsia" w:ascii="宋体" w:hAnsi="宋体" w:cs="宋体"/>
                <w:highlight w:val="none"/>
              </w:rPr>
              <w:t>。</w:t>
            </w:r>
          </w:p>
        </w:tc>
        <w:tc>
          <w:tcPr>
            <w:tcW w:w="534" w:type="dxa"/>
            <w:vAlign w:val="center"/>
          </w:tcPr>
          <w:p>
            <w:pPr>
              <w:jc w:val="center"/>
              <w:rPr>
                <w:rFonts w:hint="eastAsia"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5</w:t>
            </w:r>
          </w:p>
        </w:tc>
        <w:tc>
          <w:tcPr>
            <w:tcW w:w="930" w:type="dxa"/>
            <w:vAlign w:val="center"/>
          </w:tcPr>
          <w:p>
            <w:pPr>
              <w:snapToGrid w:val="0"/>
              <w:jc w:val="center"/>
              <w:rPr>
                <w:rFonts w:hint="eastAsia" w:ascii="宋体" w:hAnsi="宋体" w:cs="宋体"/>
                <w:kern w:val="0"/>
                <w:szCs w:val="21"/>
                <w:highlight w:val="none"/>
                <w:lang w:eastAsia="zh-CN" w:bidi="ar"/>
              </w:rPr>
            </w:pPr>
            <w:r>
              <w:rPr>
                <w:rFonts w:hint="eastAsia" w:ascii="宋体" w:hAnsi="宋体" w:cs="宋体"/>
                <w:kern w:val="0"/>
                <w:szCs w:val="21"/>
                <w:highlight w:val="none"/>
                <w:lang w:bidi="ar"/>
              </w:rPr>
              <w:t>主观分</w:t>
            </w:r>
          </w:p>
        </w:tc>
        <w:tc>
          <w:tcPr>
            <w:tcW w:w="1420" w:type="dxa"/>
            <w:vAlign w:val="center"/>
          </w:tcPr>
          <w:p>
            <w:pPr>
              <w:snapToGrid w:val="0"/>
              <w:jc w:val="left"/>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eastAsia="zh-CN" w:bidi="ar"/>
              </w:rPr>
              <w:t>工期及进度控制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numPr>
                <w:ilvl w:val="0"/>
                <w:numId w:val="3"/>
              </w:numPr>
              <w:ind w:left="425" w:hanging="425"/>
              <w:jc w:val="center"/>
              <w:rPr>
                <w:rFonts w:ascii="宋体" w:hAnsi="宋体" w:cs="宋体"/>
                <w:kern w:val="0"/>
                <w:szCs w:val="21"/>
                <w:highlight w:val="none"/>
                <w:lang w:bidi="ar"/>
              </w:rPr>
            </w:pPr>
          </w:p>
        </w:tc>
        <w:tc>
          <w:tcPr>
            <w:tcW w:w="6150" w:type="dxa"/>
            <w:gridSpan w:val="3"/>
            <w:vAlign w:val="center"/>
          </w:tcPr>
          <w:p>
            <w:pPr>
              <w:jc w:val="left"/>
              <w:rPr>
                <w:rFonts w:hint="eastAsia" w:ascii="宋体" w:hAnsi="宋体" w:cs="宋体"/>
                <w:kern w:val="0"/>
                <w:szCs w:val="21"/>
                <w:highlight w:val="none"/>
                <w:lang w:bidi="ar"/>
              </w:rPr>
            </w:pPr>
            <w:r>
              <w:rPr>
                <w:rFonts w:hint="eastAsia" w:ascii="宋体" w:hAnsi="宋体" w:cs="宋体"/>
                <w:kern w:val="0"/>
                <w:szCs w:val="21"/>
                <w:highlight w:val="none"/>
                <w:lang w:eastAsia="zh-CN" w:bidi="ar"/>
              </w:rPr>
              <w:t>供应商</w:t>
            </w:r>
            <w:r>
              <w:rPr>
                <w:rFonts w:hint="eastAsia" w:ascii="宋体" w:hAnsi="宋体" w:cs="宋体"/>
                <w:kern w:val="0"/>
                <w:szCs w:val="21"/>
                <w:highlight w:val="none"/>
                <w:lang w:bidi="ar"/>
              </w:rPr>
              <w:t>针对本项目施工重点难点分析到位，针对性强的得3分</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施工重点难度内容分析</w:t>
            </w:r>
            <w:r>
              <w:rPr>
                <w:rFonts w:hint="eastAsia" w:ascii="宋体" w:hAnsi="宋体" w:cs="宋体"/>
                <w:kern w:val="0"/>
                <w:szCs w:val="21"/>
                <w:highlight w:val="none"/>
                <w:lang w:eastAsia="zh-CN" w:bidi="ar"/>
              </w:rPr>
              <w:t>基本</w:t>
            </w:r>
            <w:r>
              <w:rPr>
                <w:rFonts w:hint="eastAsia" w:ascii="宋体" w:hAnsi="宋体" w:cs="宋体"/>
                <w:kern w:val="0"/>
                <w:szCs w:val="21"/>
                <w:highlight w:val="none"/>
                <w:lang w:bidi="ar"/>
              </w:rPr>
              <w:t>合理得2分</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施工重点难度内容分析</w:t>
            </w:r>
            <w:r>
              <w:rPr>
                <w:rFonts w:hint="eastAsia" w:ascii="宋体" w:hAnsi="宋体" w:cs="宋体"/>
                <w:highlight w:val="none"/>
                <w:lang w:eastAsia="zh-CN"/>
              </w:rPr>
              <w:t>不全面瑕疵较多</w:t>
            </w:r>
            <w:r>
              <w:rPr>
                <w:rFonts w:hint="eastAsia" w:ascii="宋体" w:hAnsi="宋体" w:cs="宋体"/>
                <w:kern w:val="0"/>
                <w:szCs w:val="21"/>
                <w:highlight w:val="none"/>
                <w:lang w:bidi="ar"/>
              </w:rPr>
              <w:t>得1分</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内容缺失严重不得分。</w:t>
            </w:r>
          </w:p>
        </w:tc>
        <w:tc>
          <w:tcPr>
            <w:tcW w:w="534" w:type="dxa"/>
            <w:vAlign w:val="center"/>
          </w:tcPr>
          <w:p>
            <w:pPr>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3</w:t>
            </w:r>
          </w:p>
        </w:tc>
        <w:tc>
          <w:tcPr>
            <w:tcW w:w="930" w:type="dxa"/>
            <w:vAlign w:val="center"/>
          </w:tcPr>
          <w:p>
            <w:pPr>
              <w:snapToGrid w:val="0"/>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主观分</w:t>
            </w:r>
          </w:p>
        </w:tc>
        <w:tc>
          <w:tcPr>
            <w:tcW w:w="1420" w:type="dxa"/>
            <w:vAlign w:val="center"/>
          </w:tcPr>
          <w:p>
            <w:pPr>
              <w:snapToGrid w:val="0"/>
              <w:jc w:val="left"/>
              <w:rPr>
                <w:rFonts w:hint="eastAsia" w:ascii="宋体" w:hAnsi="宋体" w:cs="宋体"/>
                <w:kern w:val="0"/>
                <w:szCs w:val="21"/>
                <w:highlight w:val="none"/>
                <w:lang w:bidi="ar"/>
              </w:rPr>
            </w:pPr>
            <w:r>
              <w:rPr>
                <w:rFonts w:hint="eastAsia" w:ascii="宋体" w:hAnsi="宋体" w:cs="宋体"/>
                <w:kern w:val="0"/>
                <w:szCs w:val="21"/>
                <w:highlight w:val="none"/>
                <w:lang w:bidi="ar"/>
              </w:rPr>
              <w:t>施工重点难点分析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numPr>
                <w:ilvl w:val="0"/>
                <w:numId w:val="3"/>
              </w:numPr>
              <w:ind w:left="425" w:hanging="425"/>
              <w:jc w:val="center"/>
              <w:rPr>
                <w:rFonts w:ascii="宋体" w:hAnsi="宋体" w:cs="宋体"/>
                <w:kern w:val="0"/>
                <w:szCs w:val="21"/>
                <w:highlight w:val="none"/>
                <w:lang w:bidi="ar"/>
              </w:rPr>
            </w:pPr>
          </w:p>
        </w:tc>
        <w:tc>
          <w:tcPr>
            <w:tcW w:w="6150" w:type="dxa"/>
            <w:gridSpan w:val="3"/>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eastAsia="zh-CN" w:bidi="ar"/>
              </w:rPr>
              <w:t>供应商</w:t>
            </w:r>
            <w:r>
              <w:rPr>
                <w:rFonts w:hint="eastAsia" w:ascii="宋体" w:hAnsi="宋体" w:cs="宋体"/>
                <w:kern w:val="0"/>
                <w:szCs w:val="21"/>
                <w:highlight w:val="none"/>
                <w:lang w:bidi="ar"/>
              </w:rPr>
              <w:t>针对本项目施工重点难点措施内容科学合理，针对性强的得4分；措施内容基本合理，针对性较强得3分；措施内容一般，有瑕疵得2分；</w:t>
            </w:r>
            <w:r>
              <w:rPr>
                <w:rFonts w:hint="eastAsia" w:ascii="宋体" w:hAnsi="宋体" w:eastAsia="宋体" w:cs="宋体"/>
                <w:color w:val="auto"/>
                <w:sz w:val="21"/>
                <w:szCs w:val="21"/>
                <w:highlight w:val="none"/>
              </w:rPr>
              <w:t>措施内容不全面可操作性差的</w:t>
            </w:r>
            <w:r>
              <w:rPr>
                <w:rFonts w:hint="eastAsia" w:ascii="宋体" w:hAnsi="宋体" w:cs="宋体"/>
                <w:kern w:val="0"/>
                <w:szCs w:val="21"/>
                <w:highlight w:val="none"/>
                <w:lang w:eastAsia="zh-CN" w:bidi="ar"/>
              </w:rPr>
              <w:t>得</w:t>
            </w:r>
            <w:r>
              <w:rPr>
                <w:rFonts w:hint="eastAsia" w:ascii="宋体" w:hAnsi="宋体" w:cs="宋体"/>
                <w:kern w:val="0"/>
                <w:szCs w:val="21"/>
                <w:highlight w:val="none"/>
                <w:lang w:bidi="ar"/>
              </w:rPr>
              <w:t>1分。内容缺失严重不得分。</w:t>
            </w:r>
          </w:p>
        </w:tc>
        <w:tc>
          <w:tcPr>
            <w:tcW w:w="534" w:type="dxa"/>
            <w:vAlign w:val="center"/>
          </w:tcPr>
          <w:p>
            <w:pPr>
              <w:jc w:val="center"/>
              <w:rPr>
                <w:rFonts w:ascii="宋体" w:hAnsi="宋体" w:cs="宋体"/>
                <w:kern w:val="0"/>
                <w:szCs w:val="21"/>
                <w:highlight w:val="none"/>
                <w:lang w:bidi="ar"/>
              </w:rPr>
            </w:pPr>
            <w:r>
              <w:rPr>
                <w:rFonts w:hint="eastAsia" w:ascii="宋体" w:hAnsi="宋体" w:cs="宋体"/>
                <w:kern w:val="0"/>
                <w:szCs w:val="21"/>
                <w:highlight w:val="none"/>
                <w:lang w:bidi="ar"/>
              </w:rPr>
              <w:t>4</w:t>
            </w:r>
          </w:p>
        </w:tc>
        <w:tc>
          <w:tcPr>
            <w:tcW w:w="930" w:type="dxa"/>
            <w:vAlign w:val="center"/>
          </w:tcPr>
          <w:p>
            <w:pPr>
              <w:snapToGrid w:val="0"/>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主观分</w:t>
            </w:r>
          </w:p>
        </w:tc>
        <w:tc>
          <w:tcPr>
            <w:tcW w:w="142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重点难点措施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restart"/>
            <w:vAlign w:val="center"/>
          </w:tcPr>
          <w:p>
            <w:pPr>
              <w:numPr>
                <w:ilvl w:val="0"/>
                <w:numId w:val="3"/>
              </w:numPr>
              <w:ind w:left="425" w:hanging="425"/>
              <w:jc w:val="center"/>
              <w:rPr>
                <w:rFonts w:ascii="宋体" w:hAnsi="宋体" w:cs="宋体"/>
                <w:kern w:val="0"/>
                <w:szCs w:val="21"/>
                <w:highlight w:val="none"/>
                <w:lang w:bidi="ar"/>
              </w:rPr>
            </w:pPr>
          </w:p>
        </w:tc>
        <w:tc>
          <w:tcPr>
            <w:tcW w:w="1205" w:type="dxa"/>
            <w:vMerge w:val="restart"/>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eastAsia="zh-CN" w:bidi="ar"/>
              </w:rPr>
              <w:t>保护</w:t>
            </w:r>
            <w:r>
              <w:rPr>
                <w:rFonts w:hint="eastAsia" w:ascii="宋体" w:hAnsi="宋体" w:cs="宋体"/>
                <w:kern w:val="0"/>
                <w:szCs w:val="21"/>
                <w:highlight w:val="none"/>
                <w:lang w:bidi="ar"/>
              </w:rPr>
              <w:t>方案</w:t>
            </w:r>
          </w:p>
        </w:tc>
        <w:tc>
          <w:tcPr>
            <w:tcW w:w="4945" w:type="dxa"/>
            <w:gridSpan w:val="2"/>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现场的展具</w:t>
            </w:r>
            <w:r>
              <w:rPr>
                <w:rFonts w:hint="eastAsia" w:ascii="宋体" w:hAnsi="宋体" w:cs="宋体"/>
                <w:kern w:val="0"/>
                <w:szCs w:val="21"/>
                <w:highlight w:val="none"/>
                <w:lang w:val="en-US" w:eastAsia="zh-CN" w:bidi="ar"/>
              </w:rPr>
              <w:t>保护</w:t>
            </w:r>
            <w:r>
              <w:rPr>
                <w:rFonts w:hint="eastAsia" w:ascii="宋体" w:hAnsi="宋体" w:cs="宋体"/>
                <w:kern w:val="0"/>
                <w:szCs w:val="21"/>
                <w:highlight w:val="none"/>
                <w:lang w:eastAsia="zh-CN" w:bidi="ar"/>
              </w:rPr>
              <w:t>及拆除</w:t>
            </w:r>
            <w:r>
              <w:rPr>
                <w:rFonts w:hint="eastAsia" w:ascii="宋体" w:hAnsi="宋体" w:cs="宋体"/>
                <w:kern w:val="0"/>
                <w:szCs w:val="21"/>
                <w:highlight w:val="none"/>
                <w:lang w:val="en-US" w:eastAsia="zh-CN" w:bidi="ar"/>
              </w:rPr>
              <w:t>复原</w:t>
            </w:r>
            <w:r>
              <w:rPr>
                <w:rFonts w:hint="eastAsia" w:ascii="宋体" w:hAnsi="宋体" w:cs="宋体"/>
                <w:kern w:val="0"/>
                <w:szCs w:val="21"/>
                <w:highlight w:val="none"/>
                <w:lang w:bidi="ar"/>
              </w:rPr>
              <w:t>施工方案内容科学合理，方法符合项目实际针对性强得</w:t>
            </w:r>
            <w:r>
              <w:rPr>
                <w:rFonts w:hint="eastAsia" w:ascii="宋体" w:hAnsi="宋体" w:cs="宋体"/>
                <w:kern w:val="0"/>
                <w:szCs w:val="21"/>
                <w:highlight w:val="none"/>
                <w:lang w:val="en-US" w:eastAsia="zh-CN" w:bidi="ar"/>
              </w:rPr>
              <w:t>6</w:t>
            </w:r>
            <w:r>
              <w:rPr>
                <w:rFonts w:hint="eastAsia" w:ascii="宋体" w:hAnsi="宋体" w:cs="宋体"/>
                <w:kern w:val="0"/>
                <w:szCs w:val="21"/>
                <w:highlight w:val="none"/>
                <w:lang w:bidi="ar"/>
              </w:rPr>
              <w:t>分</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方案</w:t>
            </w:r>
            <w:r>
              <w:rPr>
                <w:rFonts w:hint="eastAsia" w:ascii="宋体" w:hAnsi="宋体" w:cs="宋体"/>
                <w:kern w:val="0"/>
                <w:szCs w:val="21"/>
                <w:highlight w:val="none"/>
                <w:lang w:eastAsia="zh-CN" w:bidi="ar"/>
              </w:rPr>
              <w:t>可行基本满足采购需求</w:t>
            </w:r>
            <w:r>
              <w:rPr>
                <w:rFonts w:hint="eastAsia" w:ascii="宋体" w:hAnsi="宋体" w:cs="宋体"/>
                <w:kern w:val="0"/>
                <w:szCs w:val="21"/>
                <w:highlight w:val="none"/>
                <w:lang w:bidi="ar"/>
              </w:rPr>
              <w:t>得3分</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方案一般、部分满足得</w:t>
            </w:r>
            <w:r>
              <w:rPr>
                <w:rFonts w:hint="eastAsia" w:ascii="宋体" w:hAnsi="宋体" w:cs="宋体"/>
                <w:kern w:val="0"/>
                <w:szCs w:val="21"/>
                <w:highlight w:val="none"/>
                <w:lang w:val="en-US" w:eastAsia="zh-CN" w:bidi="ar"/>
              </w:rPr>
              <w:t>2</w:t>
            </w:r>
            <w:r>
              <w:rPr>
                <w:rFonts w:hint="eastAsia" w:ascii="宋体" w:hAnsi="宋体" w:cs="宋体"/>
                <w:kern w:val="0"/>
                <w:szCs w:val="21"/>
                <w:highlight w:val="none"/>
                <w:lang w:eastAsia="zh-CN" w:bidi="ar"/>
              </w:rPr>
              <w:t>分；方案</w:t>
            </w:r>
            <w:r>
              <w:rPr>
                <w:rFonts w:hint="eastAsia" w:ascii="宋体" w:hAnsi="宋体" w:eastAsia="宋体" w:cs="宋体"/>
                <w:color w:val="auto"/>
                <w:sz w:val="21"/>
                <w:szCs w:val="21"/>
                <w:highlight w:val="none"/>
              </w:rPr>
              <w:t>内容差</w:t>
            </w:r>
            <w:r>
              <w:rPr>
                <w:rFonts w:hint="eastAsia" w:ascii="宋体" w:hAnsi="宋体" w:cs="宋体"/>
                <w:kern w:val="0"/>
                <w:szCs w:val="21"/>
                <w:highlight w:val="none"/>
                <w:lang w:bidi="ar"/>
              </w:rPr>
              <w:t>得1分。严重缺失不得分。</w:t>
            </w:r>
          </w:p>
        </w:tc>
        <w:tc>
          <w:tcPr>
            <w:tcW w:w="534" w:type="dxa"/>
            <w:vAlign w:val="center"/>
          </w:tcPr>
          <w:p>
            <w:pPr>
              <w:jc w:val="center"/>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val="en-US" w:eastAsia="zh-CN" w:bidi="ar"/>
              </w:rPr>
              <w:t>6</w:t>
            </w:r>
          </w:p>
        </w:tc>
        <w:tc>
          <w:tcPr>
            <w:tcW w:w="930" w:type="dxa"/>
            <w:vAlign w:val="center"/>
          </w:tcPr>
          <w:p>
            <w:pPr>
              <w:snapToGrid w:val="0"/>
              <w:jc w:val="center"/>
              <w:rPr>
                <w:rFonts w:hint="eastAsia" w:ascii="宋体" w:hAnsi="宋体" w:cs="宋体"/>
                <w:kern w:val="0"/>
                <w:szCs w:val="21"/>
                <w:highlight w:val="none"/>
                <w:lang w:eastAsia="zh-CN" w:bidi="ar"/>
              </w:rPr>
            </w:pPr>
            <w:r>
              <w:rPr>
                <w:rFonts w:hint="eastAsia" w:ascii="宋体" w:hAnsi="宋体" w:cs="宋体"/>
                <w:kern w:val="0"/>
                <w:szCs w:val="21"/>
                <w:highlight w:val="none"/>
                <w:lang w:bidi="ar"/>
              </w:rPr>
              <w:t>主观分</w:t>
            </w:r>
          </w:p>
        </w:tc>
        <w:tc>
          <w:tcPr>
            <w:tcW w:w="142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eastAsia="zh-CN" w:bidi="ar"/>
              </w:rPr>
              <w:t>展具保护</w:t>
            </w:r>
            <w:r>
              <w:rPr>
                <w:rFonts w:hint="eastAsia" w:ascii="宋体" w:hAnsi="宋体" w:cs="宋体"/>
                <w:kern w:val="0"/>
                <w:szCs w:val="21"/>
                <w:highlight w:val="none"/>
                <w:lang w:bidi="ar"/>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continue"/>
            <w:vAlign w:val="center"/>
          </w:tcPr>
          <w:p>
            <w:pPr>
              <w:jc w:val="center"/>
              <w:rPr>
                <w:rFonts w:hint="eastAsia" w:ascii="宋体" w:hAnsi="宋体" w:cs="宋体"/>
                <w:kern w:val="0"/>
                <w:szCs w:val="21"/>
                <w:highlight w:val="none"/>
                <w:lang w:bidi="ar"/>
              </w:rPr>
            </w:pPr>
          </w:p>
        </w:tc>
        <w:tc>
          <w:tcPr>
            <w:tcW w:w="1205" w:type="dxa"/>
            <w:vMerge w:val="continue"/>
            <w:vAlign w:val="center"/>
          </w:tcPr>
          <w:p>
            <w:pPr>
              <w:jc w:val="left"/>
              <w:rPr>
                <w:rFonts w:hint="eastAsia" w:ascii="宋体" w:hAnsi="宋体" w:cs="宋体"/>
                <w:kern w:val="0"/>
                <w:szCs w:val="21"/>
                <w:highlight w:val="none"/>
                <w:lang w:eastAsia="zh-CN" w:bidi="ar"/>
              </w:rPr>
            </w:pPr>
          </w:p>
        </w:tc>
        <w:tc>
          <w:tcPr>
            <w:tcW w:w="4945" w:type="dxa"/>
            <w:gridSpan w:val="2"/>
            <w:vAlign w:val="center"/>
          </w:tcPr>
          <w:p>
            <w:pPr>
              <w:jc w:val="left"/>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bidi="ar"/>
              </w:rPr>
              <w:t>吊顶在拆除和安装、粉刷时，对现有吊顶内设备、周边墙地面的保护</w:t>
            </w:r>
            <w:r>
              <w:rPr>
                <w:rFonts w:hint="eastAsia" w:ascii="宋体" w:hAnsi="宋体" w:cs="宋体"/>
                <w:kern w:val="0"/>
                <w:szCs w:val="21"/>
                <w:highlight w:val="none"/>
                <w:lang w:eastAsia="zh-CN" w:bidi="ar"/>
              </w:rPr>
              <w:t>方案</w:t>
            </w:r>
            <w:r>
              <w:rPr>
                <w:rFonts w:hint="eastAsia" w:ascii="宋体" w:hAnsi="宋体" w:cs="宋体"/>
                <w:kern w:val="0"/>
                <w:szCs w:val="21"/>
                <w:highlight w:val="none"/>
                <w:lang w:bidi="ar"/>
              </w:rPr>
              <w:t>内容科学合理，方法符合项目实际针对性强得</w:t>
            </w:r>
            <w:r>
              <w:rPr>
                <w:rFonts w:hint="eastAsia" w:ascii="宋体" w:hAnsi="宋体" w:cs="宋体"/>
                <w:kern w:val="0"/>
                <w:szCs w:val="21"/>
                <w:highlight w:val="none"/>
                <w:lang w:val="en-US" w:eastAsia="zh-CN" w:bidi="ar"/>
              </w:rPr>
              <w:t>5.5</w:t>
            </w:r>
            <w:r>
              <w:rPr>
                <w:rFonts w:hint="eastAsia" w:ascii="宋体" w:hAnsi="宋体" w:cs="宋体"/>
                <w:kern w:val="0"/>
                <w:szCs w:val="21"/>
                <w:highlight w:val="none"/>
                <w:lang w:bidi="ar"/>
              </w:rPr>
              <w:t>分</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方案</w:t>
            </w:r>
            <w:r>
              <w:rPr>
                <w:rFonts w:hint="eastAsia" w:ascii="宋体" w:hAnsi="宋体" w:cs="宋体"/>
                <w:kern w:val="0"/>
                <w:szCs w:val="21"/>
                <w:highlight w:val="none"/>
                <w:lang w:eastAsia="zh-CN" w:bidi="ar"/>
              </w:rPr>
              <w:t>可行基本满足采购需求</w:t>
            </w:r>
            <w:r>
              <w:rPr>
                <w:rFonts w:hint="eastAsia" w:ascii="宋体" w:hAnsi="宋体" w:cs="宋体"/>
                <w:kern w:val="0"/>
                <w:szCs w:val="21"/>
                <w:highlight w:val="none"/>
                <w:lang w:bidi="ar"/>
              </w:rPr>
              <w:t>得3分</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方案一般、部分满足得</w:t>
            </w:r>
            <w:r>
              <w:rPr>
                <w:rFonts w:hint="eastAsia" w:ascii="宋体" w:hAnsi="宋体" w:cs="宋体"/>
                <w:kern w:val="0"/>
                <w:szCs w:val="21"/>
                <w:highlight w:val="none"/>
                <w:lang w:val="en-US" w:eastAsia="zh-CN" w:bidi="ar"/>
              </w:rPr>
              <w:t>2</w:t>
            </w:r>
            <w:r>
              <w:rPr>
                <w:rFonts w:hint="eastAsia" w:ascii="宋体" w:hAnsi="宋体" w:cs="宋体"/>
                <w:kern w:val="0"/>
                <w:szCs w:val="21"/>
                <w:highlight w:val="none"/>
                <w:lang w:eastAsia="zh-CN" w:bidi="ar"/>
              </w:rPr>
              <w:t>分；方案</w:t>
            </w:r>
            <w:r>
              <w:rPr>
                <w:rFonts w:hint="eastAsia" w:ascii="宋体" w:hAnsi="宋体" w:eastAsia="宋体" w:cs="宋体"/>
                <w:color w:val="auto"/>
                <w:sz w:val="21"/>
                <w:szCs w:val="21"/>
                <w:highlight w:val="none"/>
              </w:rPr>
              <w:t>内容差</w:t>
            </w:r>
            <w:r>
              <w:rPr>
                <w:rFonts w:hint="eastAsia" w:ascii="宋体" w:hAnsi="宋体" w:cs="宋体"/>
                <w:kern w:val="0"/>
                <w:szCs w:val="21"/>
                <w:highlight w:val="none"/>
                <w:lang w:bidi="ar"/>
              </w:rPr>
              <w:t>得1分。严重缺失不得分。</w:t>
            </w:r>
          </w:p>
        </w:tc>
        <w:tc>
          <w:tcPr>
            <w:tcW w:w="534" w:type="dxa"/>
            <w:vAlign w:val="center"/>
          </w:tcPr>
          <w:p>
            <w:pPr>
              <w:jc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5.5</w:t>
            </w:r>
          </w:p>
        </w:tc>
        <w:tc>
          <w:tcPr>
            <w:tcW w:w="930" w:type="dxa"/>
            <w:vAlign w:val="center"/>
          </w:tcPr>
          <w:p>
            <w:pPr>
              <w:snapToGrid w:val="0"/>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主观分</w:t>
            </w:r>
          </w:p>
        </w:tc>
        <w:tc>
          <w:tcPr>
            <w:tcW w:w="1420" w:type="dxa"/>
            <w:vAlign w:val="center"/>
          </w:tcPr>
          <w:p>
            <w:pPr>
              <w:snapToGrid w:val="0"/>
              <w:jc w:val="left"/>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bidi="ar"/>
              </w:rPr>
              <w:t>设备、周边墙地面的保护</w:t>
            </w:r>
            <w:r>
              <w:rPr>
                <w:rFonts w:hint="eastAsia" w:ascii="宋体" w:hAnsi="宋体" w:cs="宋体"/>
                <w:kern w:val="0"/>
                <w:szCs w:val="21"/>
                <w:highlight w:val="none"/>
                <w:lang w:eastAsia="zh-CN" w:bidi="ar"/>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numPr>
                <w:ilvl w:val="0"/>
                <w:numId w:val="3"/>
              </w:numPr>
              <w:ind w:left="425" w:hanging="425"/>
              <w:jc w:val="center"/>
              <w:rPr>
                <w:rFonts w:ascii="宋体" w:hAnsi="宋体" w:cs="宋体"/>
                <w:kern w:val="0"/>
                <w:szCs w:val="21"/>
                <w:highlight w:val="none"/>
                <w:lang w:bidi="ar"/>
              </w:rPr>
            </w:pPr>
          </w:p>
        </w:tc>
        <w:tc>
          <w:tcPr>
            <w:tcW w:w="6150" w:type="dxa"/>
            <w:gridSpan w:val="3"/>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施工质量目标明确，质量控制措施科学、合理，且有技术支撑的得</w:t>
            </w:r>
            <w:r>
              <w:rPr>
                <w:rFonts w:hint="eastAsia" w:ascii="宋体" w:hAnsi="宋体" w:cs="宋体"/>
                <w:kern w:val="0"/>
                <w:szCs w:val="21"/>
                <w:highlight w:val="none"/>
                <w:lang w:val="en-US" w:eastAsia="zh-CN" w:bidi="ar"/>
              </w:rPr>
              <w:t>3</w:t>
            </w:r>
            <w:r>
              <w:rPr>
                <w:rFonts w:hint="eastAsia" w:ascii="宋体" w:hAnsi="宋体" w:cs="宋体"/>
                <w:kern w:val="0"/>
                <w:szCs w:val="21"/>
                <w:highlight w:val="none"/>
                <w:lang w:bidi="ar"/>
              </w:rPr>
              <w:t>分，质量措施</w:t>
            </w:r>
            <w:r>
              <w:rPr>
                <w:rFonts w:hint="eastAsia" w:ascii="宋体" w:hAnsi="宋体" w:cs="宋体"/>
                <w:kern w:val="0"/>
                <w:szCs w:val="21"/>
                <w:highlight w:val="none"/>
                <w:lang w:eastAsia="zh-CN" w:bidi="ar"/>
              </w:rPr>
              <w:t>基本</w:t>
            </w:r>
            <w:r>
              <w:rPr>
                <w:rFonts w:hint="eastAsia" w:ascii="宋体" w:hAnsi="宋体" w:cs="宋体"/>
                <w:kern w:val="0"/>
                <w:szCs w:val="21"/>
                <w:highlight w:val="none"/>
                <w:lang w:bidi="ar"/>
              </w:rPr>
              <w:t>合理得2分，质量措施不全面可操作性差</w:t>
            </w:r>
            <w:r>
              <w:rPr>
                <w:rFonts w:hint="eastAsia" w:ascii="宋体" w:hAnsi="宋体" w:cs="宋体"/>
                <w:kern w:val="0"/>
                <w:szCs w:val="21"/>
                <w:highlight w:val="none"/>
                <w:lang w:eastAsia="zh-CN" w:bidi="ar"/>
              </w:rPr>
              <w:t>的</w:t>
            </w:r>
            <w:r>
              <w:rPr>
                <w:rFonts w:hint="eastAsia" w:ascii="宋体" w:hAnsi="宋体" w:cs="宋体"/>
                <w:kern w:val="0"/>
                <w:szCs w:val="21"/>
                <w:highlight w:val="none"/>
                <w:lang w:bidi="ar"/>
              </w:rPr>
              <w:t>得1分。严重缺失不得分。</w:t>
            </w:r>
          </w:p>
        </w:tc>
        <w:tc>
          <w:tcPr>
            <w:tcW w:w="534" w:type="dxa"/>
            <w:vAlign w:val="center"/>
          </w:tcPr>
          <w:p>
            <w:pPr>
              <w:jc w:val="center"/>
              <w:rPr>
                <w:rFonts w:ascii="宋体" w:hAnsi="宋体" w:cs="宋体"/>
                <w:kern w:val="0"/>
                <w:szCs w:val="21"/>
                <w:highlight w:val="none"/>
                <w:lang w:bidi="ar"/>
              </w:rPr>
            </w:pPr>
            <w:r>
              <w:rPr>
                <w:rFonts w:hint="eastAsia" w:ascii="宋体" w:hAnsi="宋体" w:cs="宋体"/>
                <w:kern w:val="0"/>
                <w:szCs w:val="21"/>
                <w:highlight w:val="none"/>
                <w:lang w:bidi="ar"/>
              </w:rPr>
              <w:t>3</w:t>
            </w:r>
          </w:p>
        </w:tc>
        <w:tc>
          <w:tcPr>
            <w:tcW w:w="930" w:type="dxa"/>
            <w:vAlign w:val="center"/>
          </w:tcPr>
          <w:p>
            <w:pPr>
              <w:snapToGrid w:val="0"/>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主观分</w:t>
            </w:r>
          </w:p>
        </w:tc>
        <w:tc>
          <w:tcPr>
            <w:tcW w:w="142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质量控制措施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90" w:type="dxa"/>
            <w:vAlign w:val="center"/>
          </w:tcPr>
          <w:p>
            <w:pPr>
              <w:numPr>
                <w:ilvl w:val="0"/>
                <w:numId w:val="3"/>
              </w:numPr>
              <w:ind w:left="425" w:hanging="425"/>
              <w:jc w:val="center"/>
              <w:rPr>
                <w:rFonts w:ascii="宋体" w:hAnsi="宋体" w:cs="宋体"/>
                <w:kern w:val="0"/>
                <w:szCs w:val="21"/>
                <w:highlight w:val="none"/>
                <w:lang w:bidi="ar"/>
              </w:rPr>
            </w:pPr>
          </w:p>
        </w:tc>
        <w:tc>
          <w:tcPr>
            <w:tcW w:w="6150" w:type="dxa"/>
            <w:gridSpan w:val="3"/>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安全、文明施工及市政、市容、环保、消防等的保证措施科学、合理、到位的得</w:t>
            </w:r>
            <w:r>
              <w:rPr>
                <w:rFonts w:hint="eastAsia" w:ascii="宋体" w:hAnsi="宋体" w:cs="宋体"/>
                <w:kern w:val="0"/>
                <w:szCs w:val="21"/>
                <w:highlight w:val="none"/>
                <w:lang w:val="en-US" w:eastAsia="zh-CN" w:bidi="ar"/>
              </w:rPr>
              <w:t>3</w:t>
            </w:r>
            <w:r>
              <w:rPr>
                <w:rFonts w:hint="eastAsia" w:ascii="宋体" w:hAnsi="宋体" w:cs="宋体"/>
                <w:kern w:val="0"/>
                <w:szCs w:val="21"/>
                <w:highlight w:val="none"/>
                <w:lang w:bidi="ar"/>
              </w:rPr>
              <w:t>分，措施合理得</w:t>
            </w:r>
            <w:r>
              <w:rPr>
                <w:rFonts w:hint="eastAsia" w:ascii="宋体" w:hAnsi="宋体" w:cs="宋体"/>
                <w:kern w:val="0"/>
                <w:szCs w:val="21"/>
                <w:highlight w:val="none"/>
                <w:lang w:val="en-US" w:eastAsia="zh-CN" w:bidi="ar"/>
              </w:rPr>
              <w:t>2</w:t>
            </w:r>
            <w:r>
              <w:rPr>
                <w:rFonts w:hint="eastAsia" w:ascii="宋体" w:hAnsi="宋体" w:cs="宋体"/>
                <w:kern w:val="0"/>
                <w:szCs w:val="21"/>
                <w:highlight w:val="none"/>
                <w:lang w:bidi="ar"/>
              </w:rPr>
              <w:t>分</w:t>
            </w:r>
            <w:r>
              <w:rPr>
                <w:rFonts w:hint="eastAsia" w:ascii="宋体" w:hAnsi="宋体" w:cs="宋体"/>
                <w:kern w:val="0"/>
                <w:szCs w:val="21"/>
                <w:highlight w:val="none"/>
                <w:lang w:eastAsia="zh-CN" w:bidi="ar"/>
              </w:rPr>
              <w:t>，</w:t>
            </w:r>
            <w:r>
              <w:rPr>
                <w:rFonts w:hint="eastAsia" w:ascii="宋体" w:hAnsi="宋体" w:cs="宋体"/>
                <w:highlight w:val="none"/>
              </w:rPr>
              <w:t>措施内容</w:t>
            </w:r>
            <w:r>
              <w:rPr>
                <w:rFonts w:hint="eastAsia" w:ascii="宋体" w:hAnsi="宋体" w:eastAsia="宋体" w:cs="宋体"/>
                <w:color w:val="auto"/>
                <w:sz w:val="21"/>
                <w:szCs w:val="21"/>
                <w:highlight w:val="none"/>
              </w:rPr>
              <w:t>不全面可操作性差</w:t>
            </w:r>
            <w:r>
              <w:rPr>
                <w:rFonts w:hint="eastAsia" w:ascii="宋体" w:hAnsi="宋体" w:cs="宋体"/>
                <w:highlight w:val="none"/>
              </w:rPr>
              <w:t>的得1分</w:t>
            </w:r>
            <w:r>
              <w:rPr>
                <w:rFonts w:hint="eastAsia" w:ascii="宋体" w:hAnsi="宋体" w:cs="宋体"/>
                <w:kern w:val="0"/>
                <w:szCs w:val="21"/>
                <w:highlight w:val="none"/>
                <w:lang w:bidi="ar"/>
              </w:rPr>
              <w:t>。严重缺失不得分。</w:t>
            </w:r>
          </w:p>
        </w:tc>
        <w:tc>
          <w:tcPr>
            <w:tcW w:w="534" w:type="dxa"/>
            <w:vAlign w:val="center"/>
          </w:tcPr>
          <w:p>
            <w:pPr>
              <w:jc w:val="center"/>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val="en-US" w:eastAsia="zh-CN" w:bidi="ar"/>
              </w:rPr>
              <w:t>3</w:t>
            </w:r>
          </w:p>
        </w:tc>
        <w:tc>
          <w:tcPr>
            <w:tcW w:w="930" w:type="dxa"/>
            <w:vAlign w:val="center"/>
          </w:tcPr>
          <w:p>
            <w:pPr>
              <w:snapToGrid w:val="0"/>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主观分</w:t>
            </w:r>
          </w:p>
        </w:tc>
        <w:tc>
          <w:tcPr>
            <w:tcW w:w="142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安全、文明施工及市政、市容、环保、消防等的保证措施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90" w:type="dxa"/>
            <w:vAlign w:val="center"/>
          </w:tcPr>
          <w:p>
            <w:pPr>
              <w:numPr>
                <w:ilvl w:val="0"/>
                <w:numId w:val="3"/>
              </w:numPr>
              <w:ind w:left="425" w:hanging="425"/>
              <w:jc w:val="center"/>
              <w:rPr>
                <w:rFonts w:hint="eastAsia" w:ascii="宋体" w:hAnsi="宋体" w:cs="宋体"/>
                <w:kern w:val="0"/>
                <w:szCs w:val="21"/>
                <w:highlight w:val="none"/>
                <w:lang w:bidi="ar"/>
              </w:rPr>
            </w:pPr>
          </w:p>
        </w:tc>
        <w:tc>
          <w:tcPr>
            <w:tcW w:w="6150" w:type="dxa"/>
            <w:gridSpan w:val="3"/>
            <w:vAlign w:val="center"/>
          </w:tcPr>
          <w:p>
            <w:pPr>
              <w:jc w:val="left"/>
              <w:rPr>
                <w:rFonts w:hint="eastAsia" w:ascii="宋体" w:hAnsi="宋体" w:cs="宋体"/>
                <w:kern w:val="0"/>
                <w:szCs w:val="21"/>
                <w:highlight w:val="none"/>
                <w:lang w:bidi="ar"/>
              </w:rPr>
            </w:pPr>
            <w:r>
              <w:rPr>
                <w:rFonts w:hint="eastAsia" w:ascii="宋体" w:hAnsi="宋体" w:cs="宋体"/>
                <w:kern w:val="0"/>
                <w:szCs w:val="21"/>
                <w:highlight w:val="none"/>
                <w:lang w:eastAsia="zh-CN" w:bidi="ar"/>
              </w:rPr>
              <w:t>供应商</w:t>
            </w:r>
            <w:r>
              <w:rPr>
                <w:rFonts w:hint="eastAsia" w:ascii="宋体" w:hAnsi="宋体" w:cs="宋体"/>
                <w:kern w:val="0"/>
                <w:szCs w:val="21"/>
                <w:highlight w:val="none"/>
                <w:lang w:bidi="ar"/>
              </w:rPr>
              <w:t>的降噪措施合理、具有可操作性得2分，措施</w:t>
            </w:r>
            <w:r>
              <w:rPr>
                <w:rFonts w:hint="eastAsia" w:ascii="宋体" w:hAnsi="宋体" w:cs="宋体"/>
                <w:kern w:val="0"/>
                <w:szCs w:val="21"/>
                <w:highlight w:val="none"/>
                <w:lang w:eastAsia="zh-CN" w:bidi="ar"/>
              </w:rPr>
              <w:t>基本</w:t>
            </w:r>
            <w:r>
              <w:rPr>
                <w:rFonts w:hint="eastAsia" w:ascii="宋体" w:hAnsi="宋体" w:cs="宋体"/>
                <w:kern w:val="0"/>
                <w:szCs w:val="21"/>
                <w:highlight w:val="none"/>
                <w:lang w:bidi="ar"/>
              </w:rPr>
              <w:t>合理得1分。严重缺失不得分。</w:t>
            </w:r>
          </w:p>
        </w:tc>
        <w:tc>
          <w:tcPr>
            <w:tcW w:w="534" w:type="dxa"/>
            <w:vAlign w:val="center"/>
          </w:tcPr>
          <w:p>
            <w:pPr>
              <w:jc w:val="center"/>
              <w:rPr>
                <w:rFonts w:hint="eastAsia" w:ascii="宋体" w:hAnsi="宋体" w:cs="宋体"/>
                <w:kern w:val="0"/>
                <w:szCs w:val="21"/>
                <w:highlight w:val="none"/>
                <w:lang w:val="en-US" w:eastAsia="zh-CN" w:bidi="ar"/>
              </w:rPr>
            </w:pPr>
            <w:r>
              <w:rPr>
                <w:rFonts w:hint="eastAsia" w:ascii="宋体" w:hAnsi="宋体" w:cs="宋体"/>
                <w:kern w:val="0"/>
                <w:szCs w:val="21"/>
                <w:highlight w:val="none"/>
                <w:lang w:bidi="ar"/>
              </w:rPr>
              <w:t>2</w:t>
            </w:r>
          </w:p>
        </w:tc>
        <w:tc>
          <w:tcPr>
            <w:tcW w:w="930" w:type="dxa"/>
            <w:vAlign w:val="center"/>
          </w:tcPr>
          <w:p>
            <w:pPr>
              <w:snapToGrid w:val="0"/>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主观分</w:t>
            </w:r>
          </w:p>
        </w:tc>
        <w:tc>
          <w:tcPr>
            <w:tcW w:w="1420" w:type="dxa"/>
            <w:vAlign w:val="center"/>
          </w:tcPr>
          <w:p>
            <w:pPr>
              <w:snapToGrid w:val="0"/>
              <w:jc w:val="left"/>
              <w:rPr>
                <w:rFonts w:hint="eastAsia" w:ascii="宋体" w:hAnsi="宋体" w:cs="宋体"/>
                <w:kern w:val="0"/>
                <w:szCs w:val="21"/>
                <w:highlight w:val="none"/>
                <w:lang w:bidi="ar"/>
              </w:rPr>
            </w:pPr>
            <w:r>
              <w:rPr>
                <w:rFonts w:hint="eastAsia" w:ascii="宋体" w:hAnsi="宋体" w:cs="宋体"/>
                <w:kern w:val="0"/>
                <w:szCs w:val="21"/>
                <w:highlight w:val="none"/>
                <w:lang w:bidi="ar"/>
              </w:rPr>
              <w:t>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numPr>
                <w:ilvl w:val="0"/>
                <w:numId w:val="3"/>
              </w:numPr>
              <w:ind w:left="425" w:hanging="425"/>
              <w:jc w:val="center"/>
              <w:rPr>
                <w:rFonts w:ascii="宋体" w:hAnsi="宋体" w:cs="宋体"/>
                <w:kern w:val="0"/>
                <w:szCs w:val="21"/>
                <w:highlight w:val="none"/>
                <w:lang w:bidi="ar"/>
              </w:rPr>
            </w:pPr>
          </w:p>
        </w:tc>
        <w:tc>
          <w:tcPr>
            <w:tcW w:w="6150" w:type="dxa"/>
            <w:gridSpan w:val="3"/>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施工机具和检验仪器的投入能够优于工程实施的需要，且与项目相适应针对性强得3分</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施工机具和检验仪器的投入</w:t>
            </w:r>
            <w:r>
              <w:rPr>
                <w:rFonts w:hint="eastAsia" w:ascii="宋体" w:hAnsi="宋体" w:cs="宋体"/>
                <w:kern w:val="0"/>
                <w:szCs w:val="21"/>
                <w:highlight w:val="none"/>
                <w:lang w:eastAsia="zh-CN" w:bidi="ar"/>
              </w:rPr>
              <w:t>基本</w:t>
            </w:r>
            <w:r>
              <w:rPr>
                <w:rFonts w:hint="eastAsia" w:ascii="宋体" w:hAnsi="宋体" w:cs="宋体"/>
                <w:kern w:val="0"/>
                <w:szCs w:val="21"/>
                <w:highlight w:val="none"/>
                <w:lang w:bidi="ar"/>
              </w:rPr>
              <w:t>满足工程实施需求</w:t>
            </w:r>
            <w:r>
              <w:rPr>
                <w:rFonts w:hint="eastAsia" w:ascii="宋体" w:hAnsi="宋体" w:cs="宋体"/>
                <w:kern w:val="0"/>
                <w:szCs w:val="21"/>
                <w:highlight w:val="none"/>
                <w:lang w:eastAsia="zh-CN" w:bidi="ar"/>
              </w:rPr>
              <w:t>的</w:t>
            </w:r>
            <w:r>
              <w:rPr>
                <w:rFonts w:hint="eastAsia" w:ascii="宋体" w:hAnsi="宋体" w:cs="宋体"/>
                <w:kern w:val="0"/>
                <w:szCs w:val="21"/>
                <w:highlight w:val="none"/>
                <w:lang w:bidi="ar"/>
              </w:rPr>
              <w:t>得2分</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施工机具和检验仪器的投入</w:t>
            </w:r>
            <w:r>
              <w:rPr>
                <w:rFonts w:hint="eastAsia" w:ascii="宋体" w:hAnsi="宋体" w:cs="宋体"/>
                <w:kern w:val="0"/>
                <w:szCs w:val="21"/>
                <w:highlight w:val="none"/>
                <w:lang w:eastAsia="zh-CN" w:bidi="ar"/>
              </w:rPr>
              <w:t>配备差的</w:t>
            </w:r>
            <w:r>
              <w:rPr>
                <w:rFonts w:hint="eastAsia" w:ascii="宋体" w:hAnsi="宋体" w:cs="宋体"/>
                <w:kern w:val="0"/>
                <w:szCs w:val="21"/>
                <w:highlight w:val="none"/>
                <w:lang w:bidi="ar"/>
              </w:rPr>
              <w:t>得1分。严重缺失不得分。</w:t>
            </w:r>
          </w:p>
        </w:tc>
        <w:tc>
          <w:tcPr>
            <w:tcW w:w="534" w:type="dxa"/>
            <w:vAlign w:val="center"/>
          </w:tcPr>
          <w:p>
            <w:pPr>
              <w:jc w:val="center"/>
              <w:rPr>
                <w:rFonts w:ascii="宋体" w:hAnsi="宋体" w:cs="宋体"/>
                <w:kern w:val="0"/>
                <w:szCs w:val="21"/>
                <w:highlight w:val="none"/>
                <w:lang w:bidi="ar"/>
              </w:rPr>
            </w:pPr>
            <w:r>
              <w:rPr>
                <w:rFonts w:hint="eastAsia" w:ascii="宋体" w:hAnsi="宋体" w:cs="宋体"/>
                <w:kern w:val="0"/>
                <w:szCs w:val="21"/>
                <w:highlight w:val="none"/>
                <w:lang w:bidi="ar"/>
              </w:rPr>
              <w:t>3</w:t>
            </w:r>
          </w:p>
        </w:tc>
        <w:tc>
          <w:tcPr>
            <w:tcW w:w="930" w:type="dxa"/>
            <w:vAlign w:val="center"/>
          </w:tcPr>
          <w:p>
            <w:pPr>
              <w:snapToGrid w:val="0"/>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主观分</w:t>
            </w:r>
          </w:p>
        </w:tc>
        <w:tc>
          <w:tcPr>
            <w:tcW w:w="142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施工机具和检验仪器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numPr>
                <w:ilvl w:val="0"/>
                <w:numId w:val="3"/>
              </w:numPr>
              <w:ind w:left="425" w:hanging="425"/>
              <w:jc w:val="center"/>
              <w:rPr>
                <w:rFonts w:ascii="宋体" w:hAnsi="宋体" w:cs="宋体"/>
                <w:kern w:val="0"/>
                <w:szCs w:val="21"/>
                <w:highlight w:val="none"/>
                <w:lang w:bidi="ar"/>
              </w:rPr>
            </w:pPr>
          </w:p>
        </w:tc>
        <w:tc>
          <w:tcPr>
            <w:tcW w:w="6150" w:type="dxa"/>
            <w:gridSpan w:val="3"/>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材料设备进场计划及施工计划情况：具有详细的材料设备进场计划且计划周密，材料数量、质量控制，时间安排合理，满足施工需要，合理</w:t>
            </w:r>
            <w:r>
              <w:rPr>
                <w:rFonts w:hint="eastAsia" w:ascii="宋体" w:hAnsi="宋体" w:cs="宋体"/>
                <w:kern w:val="0"/>
                <w:szCs w:val="21"/>
                <w:highlight w:val="none"/>
                <w:lang w:eastAsia="zh-CN" w:bidi="ar"/>
              </w:rPr>
              <w:t>，针对性强</w:t>
            </w:r>
            <w:r>
              <w:rPr>
                <w:rFonts w:hint="eastAsia" w:ascii="宋体" w:hAnsi="宋体" w:cs="宋体"/>
                <w:kern w:val="0"/>
                <w:szCs w:val="21"/>
                <w:highlight w:val="none"/>
                <w:lang w:bidi="ar"/>
              </w:rPr>
              <w:t>得</w:t>
            </w:r>
            <w:r>
              <w:rPr>
                <w:rFonts w:ascii="宋体" w:hAnsi="宋体" w:cs="宋体"/>
                <w:kern w:val="0"/>
                <w:szCs w:val="21"/>
                <w:highlight w:val="none"/>
                <w:lang w:bidi="ar"/>
              </w:rPr>
              <w:t>3</w:t>
            </w:r>
            <w:r>
              <w:rPr>
                <w:rFonts w:hint="eastAsia" w:ascii="宋体" w:hAnsi="宋体" w:cs="宋体"/>
                <w:kern w:val="0"/>
                <w:szCs w:val="21"/>
                <w:highlight w:val="none"/>
                <w:lang w:bidi="ar"/>
              </w:rPr>
              <w:t>分，基本合理得</w:t>
            </w:r>
            <w:r>
              <w:rPr>
                <w:rFonts w:ascii="宋体" w:hAnsi="宋体" w:cs="宋体"/>
                <w:kern w:val="0"/>
                <w:szCs w:val="21"/>
                <w:highlight w:val="none"/>
                <w:lang w:bidi="ar"/>
              </w:rPr>
              <w:t>2</w:t>
            </w:r>
            <w:r>
              <w:rPr>
                <w:rFonts w:hint="eastAsia" w:ascii="宋体" w:hAnsi="宋体" w:cs="宋体"/>
                <w:kern w:val="0"/>
                <w:szCs w:val="21"/>
                <w:highlight w:val="none"/>
                <w:lang w:bidi="ar"/>
              </w:rPr>
              <w:t>分，较差的得1分，未提供材料设备进场计划及施工计划的不得分。</w:t>
            </w:r>
          </w:p>
        </w:tc>
        <w:tc>
          <w:tcPr>
            <w:tcW w:w="534" w:type="dxa"/>
            <w:vAlign w:val="center"/>
          </w:tcPr>
          <w:p>
            <w:pPr>
              <w:jc w:val="center"/>
              <w:rPr>
                <w:rFonts w:ascii="宋体" w:hAnsi="宋体" w:cs="宋体"/>
                <w:kern w:val="0"/>
                <w:szCs w:val="21"/>
                <w:highlight w:val="none"/>
                <w:lang w:bidi="ar"/>
              </w:rPr>
            </w:pPr>
            <w:r>
              <w:rPr>
                <w:rFonts w:ascii="宋体" w:hAnsi="宋体" w:cs="宋体"/>
                <w:kern w:val="0"/>
                <w:szCs w:val="21"/>
                <w:highlight w:val="none"/>
                <w:lang w:bidi="ar"/>
              </w:rPr>
              <w:t>3</w:t>
            </w:r>
          </w:p>
        </w:tc>
        <w:tc>
          <w:tcPr>
            <w:tcW w:w="930" w:type="dxa"/>
            <w:vAlign w:val="center"/>
          </w:tcPr>
          <w:p>
            <w:pPr>
              <w:snapToGrid w:val="0"/>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主观分</w:t>
            </w:r>
          </w:p>
        </w:tc>
        <w:tc>
          <w:tcPr>
            <w:tcW w:w="142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材料设备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numPr>
                <w:ilvl w:val="0"/>
                <w:numId w:val="3"/>
              </w:numPr>
              <w:ind w:left="425" w:hanging="425"/>
              <w:jc w:val="center"/>
              <w:rPr>
                <w:rFonts w:ascii="宋体" w:hAnsi="宋体" w:cs="宋体"/>
                <w:kern w:val="0"/>
                <w:szCs w:val="21"/>
                <w:highlight w:val="none"/>
                <w:lang w:bidi="ar"/>
              </w:rPr>
            </w:pPr>
          </w:p>
        </w:tc>
        <w:tc>
          <w:tcPr>
            <w:tcW w:w="6150" w:type="dxa"/>
            <w:gridSpan w:val="3"/>
            <w:vAlign w:val="center"/>
          </w:tcPr>
          <w:p>
            <w:pPr>
              <w:jc w:val="left"/>
              <w:rPr>
                <w:rFonts w:ascii="宋体" w:hAnsi="宋体" w:cs="宋体"/>
                <w:kern w:val="0"/>
                <w:szCs w:val="21"/>
                <w:highlight w:val="none"/>
                <w:lang w:bidi="ar"/>
              </w:rPr>
            </w:pPr>
            <w:r>
              <w:rPr>
                <w:rFonts w:hint="eastAsia" w:ascii="宋体" w:hAnsi="宋体" w:cs="宋体"/>
                <w:highlight w:val="none"/>
              </w:rPr>
              <w:t>根据供应商提供质保期内服务方案（包含服务机构和服务人员）及保证措施进行评审，解决方案充分保障措施合理得</w:t>
            </w:r>
            <w:r>
              <w:rPr>
                <w:rFonts w:hint="eastAsia" w:ascii="宋体" w:hAnsi="宋体" w:cs="宋体"/>
                <w:highlight w:val="none"/>
                <w:lang w:val="en-US" w:eastAsia="zh-CN"/>
              </w:rPr>
              <w:t>3</w:t>
            </w:r>
            <w:r>
              <w:rPr>
                <w:rFonts w:hint="eastAsia" w:ascii="宋体" w:hAnsi="宋体" w:cs="宋体"/>
                <w:highlight w:val="none"/>
              </w:rPr>
              <w:t>分，解决方案和保障措施基本合理得2分，解决方案和保障措施较差1分，不提供不得0分。</w:t>
            </w:r>
          </w:p>
        </w:tc>
        <w:tc>
          <w:tcPr>
            <w:tcW w:w="534" w:type="dxa"/>
            <w:vAlign w:val="center"/>
          </w:tcPr>
          <w:p>
            <w:pPr>
              <w:jc w:val="center"/>
              <w:rPr>
                <w:rFonts w:ascii="宋体" w:hAnsi="宋体" w:cs="宋体"/>
                <w:kern w:val="0"/>
                <w:szCs w:val="21"/>
                <w:highlight w:val="none"/>
                <w:lang w:bidi="ar"/>
              </w:rPr>
            </w:pPr>
            <w:r>
              <w:rPr>
                <w:rFonts w:hint="eastAsia" w:ascii="宋体" w:hAnsi="宋体" w:cs="宋体"/>
                <w:kern w:val="0"/>
                <w:szCs w:val="21"/>
                <w:highlight w:val="none"/>
                <w:lang w:bidi="ar"/>
              </w:rPr>
              <w:t>3</w:t>
            </w:r>
          </w:p>
        </w:tc>
        <w:tc>
          <w:tcPr>
            <w:tcW w:w="930" w:type="dxa"/>
            <w:vAlign w:val="center"/>
          </w:tcPr>
          <w:p>
            <w:pPr>
              <w:snapToGrid w:val="0"/>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主观分</w:t>
            </w:r>
          </w:p>
        </w:tc>
        <w:tc>
          <w:tcPr>
            <w:tcW w:w="142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质保期内服务方案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890" w:type="dxa"/>
            <w:vAlign w:val="center"/>
          </w:tcPr>
          <w:p>
            <w:pPr>
              <w:numPr>
                <w:ilvl w:val="0"/>
                <w:numId w:val="3"/>
              </w:numPr>
              <w:ind w:left="425" w:hanging="425"/>
              <w:jc w:val="center"/>
              <w:rPr>
                <w:rFonts w:ascii="宋体" w:hAnsi="宋体" w:cs="宋体"/>
                <w:kern w:val="0"/>
                <w:szCs w:val="21"/>
                <w:highlight w:val="none"/>
                <w:lang w:bidi="ar"/>
              </w:rPr>
            </w:pPr>
          </w:p>
        </w:tc>
        <w:tc>
          <w:tcPr>
            <w:tcW w:w="6150" w:type="dxa"/>
            <w:gridSpan w:val="3"/>
          </w:tcPr>
          <w:p>
            <w:pPr>
              <w:jc w:val="left"/>
              <w:rPr>
                <w:rFonts w:ascii="宋体" w:hAnsi="宋体" w:cs="宋体"/>
                <w:kern w:val="0"/>
                <w:szCs w:val="21"/>
                <w:highlight w:val="none"/>
                <w:lang w:bidi="ar"/>
              </w:rPr>
            </w:pPr>
            <w:r>
              <w:rPr>
                <w:rFonts w:hint="eastAsia" w:ascii="宋体" w:hAnsi="宋体" w:cs="宋体"/>
                <w:kern w:val="0"/>
                <w:szCs w:val="21"/>
                <w:highlight w:val="none"/>
                <w:lang w:bidi="ar"/>
              </w:rPr>
              <w:t>有效</w:t>
            </w:r>
            <w:r>
              <w:rPr>
                <w:rFonts w:hint="eastAsia" w:ascii="宋体" w:hAnsi="宋体" w:cs="宋体"/>
                <w:kern w:val="0"/>
                <w:szCs w:val="21"/>
                <w:highlight w:val="none"/>
                <w:lang w:val="en-US" w:eastAsia="zh-CN" w:bidi="ar"/>
              </w:rPr>
              <w:t>响应</w:t>
            </w:r>
            <w:r>
              <w:rPr>
                <w:rFonts w:hint="eastAsia" w:ascii="宋体" w:hAnsi="宋体" w:cs="宋体"/>
                <w:kern w:val="0"/>
                <w:szCs w:val="21"/>
                <w:highlight w:val="none"/>
                <w:lang w:bidi="ar"/>
              </w:rPr>
              <w:t>报价的最低价作为评标基准价，其最低报价为满分；按［</w:t>
            </w:r>
            <w:r>
              <w:rPr>
                <w:rFonts w:hint="eastAsia" w:ascii="宋体" w:hAnsi="宋体" w:cs="宋体"/>
                <w:kern w:val="0"/>
                <w:szCs w:val="21"/>
                <w:highlight w:val="none"/>
                <w:lang w:val="en-US" w:eastAsia="zh-CN" w:bidi="ar"/>
              </w:rPr>
              <w:t>价格</w:t>
            </w:r>
            <w:r>
              <w:rPr>
                <w:rFonts w:hint="eastAsia" w:ascii="宋体" w:hAnsi="宋体" w:cs="宋体"/>
                <w:kern w:val="0"/>
                <w:szCs w:val="21"/>
                <w:highlight w:val="none"/>
                <w:lang w:bidi="ar"/>
              </w:rPr>
              <w:t>分=（评标基准价/</w:t>
            </w:r>
            <w:r>
              <w:rPr>
                <w:rFonts w:hint="eastAsia" w:ascii="宋体" w:hAnsi="宋体" w:cs="宋体"/>
                <w:kern w:val="0"/>
                <w:szCs w:val="21"/>
                <w:highlight w:val="none"/>
                <w:lang w:val="en-US" w:eastAsia="zh-CN" w:bidi="ar"/>
              </w:rPr>
              <w:t>磋商</w:t>
            </w:r>
            <w:r>
              <w:rPr>
                <w:rFonts w:hint="eastAsia" w:ascii="宋体" w:hAnsi="宋体" w:cs="宋体"/>
                <w:kern w:val="0"/>
                <w:szCs w:val="21"/>
                <w:highlight w:val="none"/>
                <w:lang w:bidi="ar"/>
              </w:rPr>
              <w:t>报价）*30］的计算公式计算。</w:t>
            </w:r>
          </w:p>
          <w:p>
            <w:pPr>
              <w:jc w:val="left"/>
              <w:rPr>
                <w:rFonts w:ascii="宋体" w:hAnsi="宋体" w:cs="宋体"/>
                <w:kern w:val="0"/>
                <w:szCs w:val="21"/>
                <w:highlight w:val="none"/>
                <w:lang w:bidi="ar"/>
              </w:rPr>
            </w:pPr>
            <w:r>
              <w:rPr>
                <w:rFonts w:hint="eastAsia" w:ascii="宋体" w:hAnsi="宋体" w:cs="宋体"/>
                <w:kern w:val="0"/>
                <w:szCs w:val="21"/>
                <w:highlight w:val="none"/>
                <w:lang w:val="en-US" w:eastAsia="zh-CN" w:bidi="ar"/>
              </w:rPr>
              <w:t>评审</w:t>
            </w:r>
            <w:r>
              <w:rPr>
                <w:rFonts w:hint="eastAsia" w:ascii="宋体" w:hAnsi="宋体" w:cs="宋体"/>
                <w:kern w:val="0"/>
                <w:szCs w:val="21"/>
                <w:highlight w:val="none"/>
                <w:lang w:bidi="ar"/>
              </w:rPr>
              <w:t>过程中，不得去掉报价中的最高报价和最低报价。</w:t>
            </w:r>
          </w:p>
          <w:p>
            <w:pPr>
              <w:jc w:val="left"/>
              <w:rPr>
                <w:rFonts w:ascii="宋体" w:hAnsi="宋体" w:cs="宋体"/>
                <w:kern w:val="0"/>
                <w:szCs w:val="21"/>
                <w:highlight w:val="none"/>
                <w:lang w:bidi="ar"/>
              </w:rPr>
            </w:pPr>
            <w:r>
              <w:rPr>
                <w:rFonts w:hint="eastAsia" w:ascii="宋体" w:hAnsi="宋体" w:cs="宋体"/>
                <w:kern w:val="0"/>
                <w:szCs w:val="21"/>
                <w:highlight w:val="none"/>
                <w:lang w:bidi="ar"/>
              </w:rPr>
              <w:t>因落实政府采购政策需要进行价格调整的，以调整后的价格计算评标基准价和</w:t>
            </w:r>
            <w:r>
              <w:rPr>
                <w:rFonts w:hint="eastAsia" w:ascii="宋体" w:hAnsi="宋体" w:cs="宋体"/>
                <w:kern w:val="0"/>
                <w:szCs w:val="21"/>
                <w:highlight w:val="none"/>
                <w:lang w:val="en-US" w:eastAsia="zh-CN" w:bidi="ar"/>
              </w:rPr>
              <w:t>磋商</w:t>
            </w:r>
            <w:r>
              <w:rPr>
                <w:rFonts w:hint="eastAsia" w:ascii="宋体" w:hAnsi="宋体" w:cs="宋体"/>
                <w:kern w:val="0"/>
                <w:szCs w:val="21"/>
                <w:highlight w:val="none"/>
                <w:lang w:bidi="ar"/>
              </w:rPr>
              <w:t>报价。</w:t>
            </w:r>
          </w:p>
        </w:tc>
        <w:tc>
          <w:tcPr>
            <w:tcW w:w="534" w:type="dxa"/>
            <w:vAlign w:val="center"/>
          </w:tcPr>
          <w:p>
            <w:pPr>
              <w:ind w:firstLine="105" w:firstLineChars="50"/>
              <w:jc w:val="center"/>
              <w:rPr>
                <w:rFonts w:ascii="宋体" w:hAnsi="宋体" w:cs="宋体"/>
                <w:kern w:val="0"/>
                <w:szCs w:val="21"/>
                <w:highlight w:val="none"/>
                <w:lang w:bidi="ar"/>
              </w:rPr>
            </w:pPr>
            <w:r>
              <w:rPr>
                <w:rFonts w:ascii="宋体" w:hAnsi="宋体" w:cs="宋体"/>
                <w:kern w:val="0"/>
                <w:szCs w:val="21"/>
                <w:highlight w:val="none"/>
                <w:lang w:bidi="ar"/>
              </w:rPr>
              <w:t>30</w:t>
            </w:r>
          </w:p>
        </w:tc>
        <w:tc>
          <w:tcPr>
            <w:tcW w:w="930" w:type="dxa"/>
            <w:vAlign w:val="center"/>
          </w:tcPr>
          <w:p>
            <w:pPr>
              <w:snapToGrid w:val="0"/>
              <w:jc w:val="center"/>
              <w:rPr>
                <w:rFonts w:hint="eastAsia"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w:t>
            </w:r>
          </w:p>
        </w:tc>
        <w:tc>
          <w:tcPr>
            <w:tcW w:w="1420" w:type="dxa"/>
            <w:vAlign w:val="center"/>
          </w:tcPr>
          <w:p>
            <w:pPr>
              <w:snapToGrid w:val="0"/>
              <w:jc w:val="center"/>
              <w:rPr>
                <w:rFonts w:ascii="宋体" w:hAnsi="宋体" w:cs="宋体"/>
                <w:kern w:val="0"/>
                <w:szCs w:val="21"/>
                <w:highlight w:val="none"/>
                <w:lang w:bidi="ar"/>
              </w:rPr>
            </w:pPr>
            <w:r>
              <w:rPr>
                <w:rFonts w:hint="eastAsia" w:ascii="宋体" w:hAnsi="宋体" w:cs="宋体"/>
                <w:kern w:val="0"/>
                <w:szCs w:val="21"/>
                <w:highlight w:val="none"/>
                <w:lang w:bidi="ar"/>
              </w:rPr>
              <w:t>/</w:t>
            </w:r>
          </w:p>
        </w:tc>
      </w:tr>
    </w:tbl>
    <w:p>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供应商编制响应文件（商务技术文件部分）时，建议按此目录（序号和内容）提供评审标准相应的商务技术资料。 </w:t>
      </w:r>
    </w:p>
    <w:p>
      <w:pPr>
        <w:jc w:val="left"/>
        <w:rPr>
          <w:rFonts w:ascii="宋体" w:hAnsi="宋体" w:cs="宋体"/>
          <w:b/>
          <w:sz w:val="32"/>
          <w:highlight w:val="none"/>
        </w:rPr>
      </w:pPr>
      <w:r>
        <w:rPr>
          <w:rFonts w:hint="eastAsia" w:ascii="宋体" w:hAnsi="宋体" w:cs="宋体"/>
          <w:b/>
          <w:sz w:val="32"/>
          <w:highlight w:val="none"/>
        </w:rPr>
        <w:br w:type="page"/>
      </w:r>
    </w:p>
    <w:p>
      <w:pPr>
        <w:snapToGrid w:val="0"/>
        <w:spacing w:line="360" w:lineRule="auto"/>
        <w:jc w:val="center"/>
        <w:outlineLvl w:val="1"/>
        <w:rPr>
          <w:rFonts w:ascii="宋体" w:hAnsi="宋体" w:cs="宋体"/>
          <w:b/>
          <w:sz w:val="28"/>
          <w:szCs w:val="28"/>
          <w:highlight w:val="none"/>
        </w:rPr>
      </w:pPr>
      <w:bookmarkStart w:id="442" w:name="_Toc2164"/>
      <w:r>
        <w:rPr>
          <w:rFonts w:hint="eastAsia" w:ascii="宋体" w:hAnsi="宋体" w:cs="宋体"/>
          <w:b/>
          <w:sz w:val="32"/>
          <w:highlight w:val="none"/>
        </w:rPr>
        <w:t>一、评审方法</w:t>
      </w:r>
      <w:bookmarkEnd w:id="442"/>
    </w:p>
    <w:p>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综合评分法，是指响应文件满足磋商文件全部实质性要求且按评审因素的量化指标评审得分最高的供应商为成交候选供应商的评审方法。</w:t>
      </w:r>
    </w:p>
    <w:p>
      <w:pPr>
        <w:snapToGrid w:val="0"/>
        <w:spacing w:line="360" w:lineRule="auto"/>
        <w:jc w:val="center"/>
        <w:outlineLvl w:val="1"/>
        <w:rPr>
          <w:rFonts w:ascii="宋体" w:hAnsi="宋体" w:cs="宋体"/>
          <w:b/>
          <w:sz w:val="32"/>
          <w:highlight w:val="none"/>
        </w:rPr>
      </w:pPr>
      <w:bookmarkStart w:id="443" w:name="_Toc30167"/>
      <w:r>
        <w:rPr>
          <w:rFonts w:hint="eastAsia" w:ascii="宋体" w:hAnsi="宋体" w:cs="宋体"/>
          <w:b/>
          <w:sz w:val="32"/>
          <w:highlight w:val="none"/>
        </w:rPr>
        <w:t>二、评审标准</w:t>
      </w:r>
      <w:bookmarkEnd w:id="443"/>
    </w:p>
    <w:p>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评审标准：</w:t>
      </w:r>
      <w:r>
        <w:rPr>
          <w:rFonts w:hint="eastAsia" w:ascii="宋体" w:hAnsi="宋体" w:cs="宋体"/>
          <w:kern w:val="0"/>
          <w:sz w:val="24"/>
          <w:highlight w:val="none"/>
        </w:rPr>
        <w:t>见评审办法前附表。</w:t>
      </w:r>
    </w:p>
    <w:p>
      <w:pPr>
        <w:snapToGrid w:val="0"/>
        <w:spacing w:line="360" w:lineRule="auto"/>
        <w:jc w:val="center"/>
        <w:outlineLvl w:val="1"/>
        <w:rPr>
          <w:rFonts w:ascii="宋体" w:hAnsi="宋体" w:cs="宋体"/>
          <w:b/>
          <w:sz w:val="32"/>
          <w:highlight w:val="none"/>
        </w:rPr>
      </w:pPr>
      <w:bookmarkStart w:id="444" w:name="_Toc25086"/>
      <w:r>
        <w:rPr>
          <w:rFonts w:hint="eastAsia" w:ascii="宋体" w:hAnsi="宋体" w:cs="宋体"/>
          <w:b/>
          <w:sz w:val="32"/>
          <w:highlight w:val="none"/>
        </w:rPr>
        <w:t>三、评审程序</w:t>
      </w:r>
      <w:bookmarkEnd w:id="444"/>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sz w:val="24"/>
          <w:highlight w:val="none"/>
        </w:rPr>
      </w:pPr>
      <w:r>
        <w:rPr>
          <w:rFonts w:hint="eastAsia" w:ascii="宋体" w:hAnsi="宋体" w:cs="宋体"/>
          <w:b/>
          <w:kern w:val="0"/>
          <w:sz w:val="24"/>
          <w:highlight w:val="none"/>
        </w:rPr>
        <w:t>3.2 磋商。</w:t>
      </w:r>
      <w:r>
        <w:rPr>
          <w:rFonts w:hint="eastAsia" w:ascii="宋体" w:hAnsi="宋体" w:cs="宋体"/>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highlight w:val="none"/>
        </w:rPr>
        <w:t>符合性审查合格的</w:t>
      </w:r>
      <w:r>
        <w:rPr>
          <w:rFonts w:hint="eastAsia" w:ascii="宋体" w:hAnsi="宋体" w:cs="宋体"/>
          <w:sz w:val="24"/>
          <w:highlight w:val="none"/>
        </w:rPr>
        <w:t>供应商逐一进行磋商。</w:t>
      </w:r>
    </w:p>
    <w:p>
      <w:pPr>
        <w:spacing w:line="360" w:lineRule="auto"/>
        <w:ind w:firstLine="470" w:firstLineChars="196"/>
        <w:rPr>
          <w:rFonts w:ascii="宋体" w:hAnsi="宋体" w:cs="宋体"/>
          <w:b/>
          <w:sz w:val="24"/>
          <w:highlight w:val="none"/>
        </w:rPr>
      </w:pPr>
      <w:r>
        <w:rPr>
          <w:rFonts w:hint="eastAsia" w:ascii="宋体" w:hAnsi="宋体" w:cs="宋体"/>
          <w:bCs/>
          <w:sz w:val="24"/>
          <w:highlight w:val="none"/>
        </w:rPr>
        <w:t xml:space="preserve">3.2.1 </w:t>
      </w:r>
      <w:r>
        <w:rPr>
          <w:rFonts w:hint="eastAsia" w:ascii="宋体" w:hAnsi="宋体" w:cs="宋体"/>
          <w:sz w:val="24"/>
          <w:highlight w:val="none"/>
        </w:rPr>
        <w:t>供应商逐家回答磋商小组的提问；</w:t>
      </w:r>
      <w:r>
        <w:rPr>
          <w:rFonts w:hint="eastAsia" w:ascii="宋体" w:hAnsi="宋体" w:cs="宋体"/>
          <w:b/>
          <w:sz w:val="24"/>
          <w:highlight w:val="none"/>
        </w:rPr>
        <w:t>逐家磋商一次为一个轮次，磋商轮次根据实际情况进行。</w:t>
      </w:r>
    </w:p>
    <w:p>
      <w:pPr>
        <w:spacing w:line="360" w:lineRule="auto"/>
        <w:ind w:firstLine="470" w:firstLineChars="196"/>
        <w:rPr>
          <w:rFonts w:ascii="宋体" w:hAnsi="宋体" w:cs="宋体"/>
          <w:sz w:val="24"/>
          <w:highlight w:val="none"/>
        </w:rPr>
      </w:pPr>
      <w:r>
        <w:rPr>
          <w:rFonts w:hint="eastAsia" w:ascii="宋体" w:hAnsi="宋体" w:cs="宋体"/>
          <w:bCs/>
          <w:sz w:val="24"/>
          <w:highlight w:val="none"/>
        </w:rPr>
        <w:t xml:space="preserve">3.2.2 </w:t>
      </w:r>
      <w:r>
        <w:rPr>
          <w:rFonts w:hint="eastAsia" w:ascii="宋体" w:hAnsi="宋体" w:cs="宋体"/>
          <w:sz w:val="24"/>
          <w:highlight w:val="none"/>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kern w:val="0"/>
          <w:sz w:val="24"/>
          <w:highlight w:val="none"/>
        </w:rPr>
      </w:pPr>
      <w:r>
        <w:rPr>
          <w:rFonts w:hint="eastAsia" w:ascii="宋体" w:hAnsi="宋体" w:cs="宋体"/>
          <w:sz w:val="24"/>
          <w:highlight w:val="none"/>
        </w:rPr>
        <w:t xml:space="preserve">3.2.3 </w:t>
      </w:r>
      <w:r>
        <w:rPr>
          <w:rFonts w:hint="eastAsia" w:ascii="宋体" w:hAnsi="宋体" w:cs="宋体"/>
          <w:b/>
          <w:bCs/>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highlight w:val="none"/>
        </w:rPr>
        <w:t>实质性变动的内容，须经采购人代表确认。磋商文件有实质性变动的，磋商小组将以书面形式通知所有</w:t>
      </w:r>
      <w:r>
        <w:rPr>
          <w:rFonts w:hint="eastAsia" w:ascii="宋体" w:hAnsi="宋体" w:cs="宋体"/>
          <w:kern w:val="0"/>
          <w:sz w:val="24"/>
          <w:highlight w:val="none"/>
        </w:rPr>
        <w:t>符合性审查合格的</w:t>
      </w:r>
      <w:r>
        <w:rPr>
          <w:rFonts w:hint="eastAsia" w:ascii="宋体" w:hAnsi="宋体" w:cs="宋体"/>
          <w:sz w:val="24"/>
          <w:highlight w:val="none"/>
        </w:rPr>
        <w:t xml:space="preserve">供应商。 </w:t>
      </w:r>
    </w:p>
    <w:p>
      <w:pPr>
        <w:spacing w:line="360" w:lineRule="auto"/>
        <w:ind w:firstLine="472" w:firstLineChars="196"/>
        <w:rPr>
          <w:rFonts w:ascii="宋体" w:hAnsi="宋体" w:cs="宋体"/>
          <w:b/>
          <w:bCs/>
          <w:kern w:val="0"/>
          <w:sz w:val="24"/>
          <w:highlight w:val="none"/>
        </w:rPr>
      </w:pPr>
      <w:r>
        <w:rPr>
          <w:rFonts w:hint="eastAsia" w:ascii="宋体" w:hAnsi="宋体" w:cs="宋体"/>
          <w:b/>
          <w:bCs/>
          <w:kern w:val="0"/>
          <w:sz w:val="24"/>
          <w:highlight w:val="none"/>
        </w:rPr>
        <w:t>3.3最后报价</w:t>
      </w:r>
    </w:p>
    <w:p>
      <w:pPr>
        <w:spacing w:line="360" w:lineRule="auto"/>
        <w:ind w:firstLine="470" w:firstLineChars="196"/>
        <w:rPr>
          <w:rFonts w:ascii="宋体" w:hAnsi="宋体" w:cs="宋体"/>
          <w:kern w:val="0"/>
          <w:sz w:val="24"/>
          <w:highlight w:val="none"/>
        </w:rPr>
      </w:pPr>
      <w:r>
        <w:rPr>
          <w:rFonts w:hint="eastAsia" w:ascii="宋体" w:hAnsi="宋体" w:cs="宋体"/>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kern w:val="0"/>
          <w:sz w:val="24"/>
          <w:highlight w:val="none"/>
        </w:rPr>
      </w:pPr>
      <w:r>
        <w:rPr>
          <w:rFonts w:hint="eastAsia" w:ascii="宋体" w:hAnsi="宋体" w:cs="宋体"/>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kern w:val="0"/>
          <w:sz w:val="24"/>
          <w:highlight w:val="none"/>
        </w:rPr>
      </w:pPr>
      <w:r>
        <w:rPr>
          <w:rFonts w:hint="eastAsia" w:ascii="宋体" w:hAnsi="宋体" w:cs="宋体"/>
          <w:kern w:val="0"/>
          <w:sz w:val="24"/>
          <w:highlight w:val="none"/>
        </w:rPr>
        <w:t>3.3.3 已提交响应文件的供应商，在提交最后报价之前，可以根据磋商情况退出磋商</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3.4 综合评分。</w:t>
      </w:r>
      <w:r>
        <w:rPr>
          <w:rFonts w:hint="eastAsia" w:ascii="宋体" w:hAnsi="宋体" w:cs="宋体"/>
          <w:bCs/>
          <w:kern w:val="0"/>
          <w:sz w:val="24"/>
          <w:highlight w:val="none"/>
        </w:rPr>
        <w:t>经磋商确定最终采购需求和提交最后报价的供应商后，</w:t>
      </w:r>
      <w:r>
        <w:rPr>
          <w:rFonts w:hint="eastAsia" w:ascii="宋体" w:hAnsi="宋体" w:cs="宋体"/>
          <w:kern w:val="0"/>
          <w:sz w:val="24"/>
          <w:highlight w:val="none"/>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auto"/>
          <w:kern w:val="0"/>
          <w:sz w:val="24"/>
          <w:highlight w:val="none"/>
        </w:rPr>
      </w:pPr>
      <w:r>
        <w:rPr>
          <w:rFonts w:hint="eastAsia" w:ascii="宋体" w:hAnsi="宋体" w:cs="宋体"/>
          <w:b/>
          <w:kern w:val="0"/>
          <w:sz w:val="24"/>
          <w:highlight w:val="none"/>
        </w:rPr>
        <w:t>3.5汇总商务技术得分。</w:t>
      </w:r>
      <w:r>
        <w:rPr>
          <w:rFonts w:hint="eastAsia" w:ascii="宋体" w:hAnsi="宋体" w:cs="宋体"/>
          <w:kern w:val="0"/>
          <w:sz w:val="24"/>
          <w:highlight w:val="none"/>
        </w:rPr>
        <w:t>磋商小组各成员应当独立对每个供应商的商务和技术文件进行评价，并汇总商务技术得分情况。</w:t>
      </w:r>
      <w:r>
        <w:rPr>
          <w:rFonts w:hint="eastAsia" w:ascii="宋体" w:hAnsi="宋体" w:cs="宋体"/>
          <w:color w:val="auto"/>
          <w:kern w:val="0"/>
          <w:sz w:val="24"/>
          <w:highlight w:val="none"/>
        </w:rPr>
        <w:t>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3.6报价评审。</w:t>
      </w:r>
    </w:p>
    <w:p>
      <w:pPr>
        <w:pStyle w:val="128"/>
        <w:spacing w:before="0"/>
        <w:ind w:firstLine="508" w:firstLineChars="212"/>
        <w:rPr>
          <w:rFonts w:ascii="宋体" w:hAnsi="宋体" w:cs="宋体"/>
          <w:kern w:val="0"/>
          <w:highlight w:val="none"/>
        </w:rPr>
      </w:pPr>
      <w:r>
        <w:rPr>
          <w:rFonts w:hint="eastAsia" w:ascii="宋体" w:hAnsi="宋体" w:cs="宋体"/>
          <w:kern w:val="0"/>
          <w:highlight w:val="none"/>
        </w:rPr>
        <w:t>3.6.1响应文件报价出现前后不一致的，按照下列规定修正：</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3.6.1.1响应文件中已标价工程量清单内容与响应文件中相应内容不一致的，以已标价工程量清单为准;</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3.6.1.2大写金额和小写金额不一致的，以大写金额为准;</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3.6.1.3单价金额小数点或者百分比有明显错位的，以已标价工程量清单的总价为准，并修改单价;</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3.6.1.4总价金额与按单价汇总金额不一致的，以单价金额计算结果为准。</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3.6.2响应文件出现不是唯一的、有选择性最后报价的，响应文件无效。</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3.6.3最后报价超过采购文件中规定的预算金额或者最高限价的，响应文件无效。</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3.7排序与推荐。</w:t>
      </w:r>
      <w:r>
        <w:rPr>
          <w:rFonts w:hint="eastAsia" w:ascii="宋体" w:hAnsi="宋体" w:cs="宋体"/>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3.8编写评审报告。</w:t>
      </w:r>
      <w:r>
        <w:rPr>
          <w:rFonts w:hint="eastAsia" w:ascii="宋体" w:hAnsi="宋体" w:cs="宋体"/>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outlineLvl w:val="1"/>
        <w:rPr>
          <w:rFonts w:ascii="宋体" w:hAnsi="宋体" w:cs="宋体"/>
          <w:b/>
          <w:sz w:val="32"/>
          <w:highlight w:val="none"/>
        </w:rPr>
      </w:pPr>
      <w:bookmarkStart w:id="445" w:name="_Toc25226"/>
      <w:r>
        <w:rPr>
          <w:rFonts w:hint="eastAsia" w:ascii="宋体" w:hAnsi="宋体" w:cs="宋体"/>
          <w:b/>
          <w:sz w:val="32"/>
          <w:highlight w:val="none"/>
        </w:rPr>
        <w:t>四、评审中的其他事项</w:t>
      </w:r>
      <w:bookmarkEnd w:id="445"/>
    </w:p>
    <w:p>
      <w:pPr>
        <w:pStyle w:val="128"/>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4.1供应商澄清、说明或者补正。</w:t>
      </w:r>
      <w:r>
        <w:rPr>
          <w:rFonts w:hint="eastAsia" w:ascii="宋体" w:hAnsi="宋体" w:cs="宋体"/>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spacing w:line="360" w:lineRule="auto"/>
        <w:ind w:left="954" w:leftChars="226" w:hanging="479" w:firstLineChars="0"/>
        <w:rPr>
          <w:rFonts w:cs="宋体"/>
          <w:szCs w:val="21"/>
          <w:highlight w:val="none"/>
        </w:rPr>
      </w:pPr>
      <w:r>
        <w:rPr>
          <w:rFonts w:hint="eastAsia" w:cs="宋体"/>
          <w:b/>
          <w:kern w:val="0"/>
          <w:highlight w:val="none"/>
        </w:rPr>
        <w:t>4.2响应文件无效。</w:t>
      </w:r>
      <w:r>
        <w:rPr>
          <w:rFonts w:hint="eastAsia" w:cs="宋体"/>
          <w:szCs w:val="21"/>
          <w:highlight w:val="none"/>
        </w:rPr>
        <w:t>有下列情形之一的，响应文件无效：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4.2.2响应文件未按照采购文件要求签署、盖章的；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4.2.4响应文件含有采购人不能接受的附加条件的；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4.2.5响应文件中承诺的响应文件有效期少于采购文件中载明的响应文件有效期的；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4.2.6响应文件出现不是唯一的、有选择性最后报价的;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4.2.7最后报价超过采购文件中规定的预算金额或者最高限价的;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4.2.9供应商对根据修正原则修正后的报价不确认的；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4.2.10供应商提供虚假材料响应的；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4.2.11供应商有恶意串通、妨碍其他供应商的竞争行为、损害采购人或者其他供应商的合法权益情形的；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4.2.12供应商仅提交备份响应文件，未在电子交易平台传输递交响应文件的，响应文件无效；</w:t>
      </w:r>
    </w:p>
    <w:p>
      <w:pPr>
        <w:spacing w:line="360" w:lineRule="auto"/>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4.2.13未按要求列入暂列金或暂列金金额与要求不一致的</w:t>
      </w:r>
      <w:r>
        <w:rPr>
          <w:rFonts w:hint="eastAsia" w:ascii="宋体" w:hAnsi="宋体" w:cs="宋体"/>
          <w:kern w:val="0"/>
          <w:sz w:val="24"/>
          <w:highlight w:val="none"/>
          <w:lang w:eastAsia="zh-CN"/>
        </w:rPr>
        <w:t>；</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 xml:space="preserve">4.2.14 </w:t>
      </w:r>
      <w:r>
        <w:rPr>
          <w:rFonts w:hint="eastAsia" w:ascii="宋体" w:hAnsi="宋体" w:cs="宋体"/>
          <w:kern w:val="0"/>
          <w:sz w:val="24"/>
          <w:highlight w:val="none"/>
        </w:rPr>
        <w:t>响应文件不满足采购文件的其它实质性要求的；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w:t>
      </w:r>
      <w:r>
        <w:rPr>
          <w:rFonts w:hint="eastAsia" w:ascii="宋体" w:hAnsi="宋体" w:cs="宋体"/>
          <w:kern w:val="0"/>
          <w:sz w:val="24"/>
          <w:highlight w:val="none"/>
          <w:lang w:val="en-US" w:eastAsia="zh-CN"/>
        </w:rPr>
        <w:t>5</w:t>
      </w:r>
      <w:r>
        <w:rPr>
          <w:rFonts w:hint="eastAsia" w:ascii="宋体" w:hAnsi="宋体" w:cs="宋体"/>
          <w:kern w:val="0"/>
          <w:sz w:val="24"/>
          <w:highlight w:val="none"/>
        </w:rPr>
        <w:t>法律、法规、规章（适用本市的）及省级以上规范性文件（适用本市的）规定的其他无效情形。</w:t>
      </w:r>
    </w:p>
    <w:p>
      <w:pPr>
        <w:pStyle w:val="25"/>
        <w:snapToGrid w:val="0"/>
        <w:spacing w:line="360" w:lineRule="auto"/>
        <w:ind w:firstLine="472" w:firstLineChars="196"/>
        <w:rPr>
          <w:rFonts w:cs="宋体"/>
          <w:highlight w:val="none"/>
        </w:rPr>
      </w:pPr>
      <w:r>
        <w:rPr>
          <w:rFonts w:hint="eastAsia" w:cs="宋体"/>
          <w:b/>
          <w:highlight w:val="none"/>
        </w:rPr>
        <w:t>5.终止竞争性磋商采购活动。</w:t>
      </w:r>
      <w:r>
        <w:rPr>
          <w:rFonts w:hint="eastAsia" w:cs="宋体"/>
          <w:highlight w:val="none"/>
        </w:rPr>
        <w:t>出现下列情形之一的，采购人或者采购代理机构应当终止竞争性磋商采购活动，发布项目终止公告并说明原因，重新开展采购活动：</w:t>
      </w:r>
    </w:p>
    <w:p>
      <w:pPr>
        <w:pStyle w:val="25"/>
        <w:snapToGrid w:val="0"/>
        <w:spacing w:line="360" w:lineRule="auto"/>
        <w:rPr>
          <w:rFonts w:cs="宋体"/>
          <w:highlight w:val="none"/>
        </w:rPr>
      </w:pPr>
      <w:r>
        <w:rPr>
          <w:rFonts w:hint="eastAsia" w:cs="宋体"/>
          <w:highlight w:val="none"/>
        </w:rPr>
        <w:t>5.1因情况变化，不再符合规定的竞争性磋商采购方式适用情形的；</w:t>
      </w:r>
    </w:p>
    <w:p>
      <w:pPr>
        <w:pStyle w:val="25"/>
        <w:snapToGrid w:val="0"/>
        <w:spacing w:line="360" w:lineRule="auto"/>
        <w:rPr>
          <w:rFonts w:cs="宋体"/>
          <w:highlight w:val="none"/>
        </w:rPr>
      </w:pPr>
      <w:r>
        <w:rPr>
          <w:rFonts w:hint="eastAsia" w:cs="宋体"/>
          <w:highlight w:val="none"/>
        </w:rPr>
        <w:t>5.2出现影响采购公正的违法、违规行为的；</w:t>
      </w:r>
    </w:p>
    <w:p>
      <w:pPr>
        <w:pStyle w:val="25"/>
        <w:snapToGrid w:val="0"/>
        <w:spacing w:line="360" w:lineRule="auto"/>
        <w:rPr>
          <w:rFonts w:cs="宋体"/>
          <w:highlight w:val="none"/>
        </w:rPr>
      </w:pPr>
      <w:r>
        <w:rPr>
          <w:rFonts w:hint="eastAsia" w:cs="宋体"/>
          <w:highlight w:val="none"/>
        </w:rPr>
        <w:t>5.3除本办法第二十一条第三款规定的情形外，在采购过程中符合要求的供应商或者报价未超过采购预算的供应商不足3家的。</w:t>
      </w:r>
    </w:p>
    <w:p>
      <w:pPr>
        <w:pStyle w:val="25"/>
        <w:snapToGrid w:val="0"/>
        <w:spacing w:line="360" w:lineRule="auto"/>
        <w:rPr>
          <w:rFonts w:cs="宋体"/>
          <w:highlight w:val="none"/>
        </w:rPr>
      </w:pPr>
      <w:r>
        <w:rPr>
          <w:rFonts w:hint="eastAsia" w:cs="宋体"/>
          <w:highlight w:val="none"/>
        </w:rPr>
        <w:t>5.4在采购活动中因重大变故，采购任务取消的，采购人或者采购代理机构应当终止采购活动，通知所有参加采购活动的供应商，并将项目实施情况和采购任务取消原因报送本级财政部门。</w:t>
      </w:r>
    </w:p>
    <w:p>
      <w:pPr>
        <w:pStyle w:val="25"/>
        <w:snapToGrid w:val="0"/>
        <w:spacing w:line="360" w:lineRule="auto"/>
        <w:ind w:firstLine="482"/>
        <w:rPr>
          <w:rFonts w:cs="宋体"/>
          <w:highlight w:val="none"/>
        </w:rPr>
      </w:pPr>
      <w:r>
        <w:rPr>
          <w:rFonts w:hint="eastAsia" w:cs="宋体"/>
          <w:b/>
          <w:kern w:val="0"/>
          <w:highlight w:val="none"/>
        </w:rPr>
        <w:t>6.重新开展采购。</w:t>
      </w:r>
      <w:r>
        <w:rPr>
          <w:rFonts w:hint="eastAsia" w:cs="宋体"/>
          <w:highlight w:val="none"/>
        </w:rPr>
        <w:t>有政府采购法第七十一条、第七十二条规定的违法行为之一，影响或者可能影响成交结果的，依照下列规定处理：</w:t>
      </w:r>
    </w:p>
    <w:p>
      <w:pPr>
        <w:pStyle w:val="25"/>
        <w:snapToGrid w:val="0"/>
        <w:spacing w:line="360" w:lineRule="auto"/>
        <w:rPr>
          <w:rFonts w:cs="宋体"/>
          <w:highlight w:val="none"/>
        </w:rPr>
      </w:pPr>
      <w:r>
        <w:rPr>
          <w:rFonts w:hint="eastAsia" w:cs="宋体"/>
          <w:highlight w:val="none"/>
        </w:rPr>
        <w:t>6.1未确定成交供应商的，终止本次政府采购活动，重新开展政府采购活动。</w:t>
      </w:r>
    </w:p>
    <w:p>
      <w:pPr>
        <w:pStyle w:val="25"/>
        <w:snapToGrid w:val="0"/>
        <w:spacing w:line="360" w:lineRule="auto"/>
        <w:rPr>
          <w:rFonts w:cs="宋体"/>
          <w:highlight w:val="none"/>
        </w:rPr>
      </w:pPr>
      <w:r>
        <w:rPr>
          <w:rFonts w:hint="eastAsia" w:cs="宋体"/>
          <w:highlight w:val="none"/>
        </w:rPr>
        <w:t>6.2已确定成交供应商但尚未签订政府采购合同的，成交结果无效，从合格的成交候选供应商中另行确定成交供应商；没有合格的成交候选供应商的，重新开展政府采购活动。</w:t>
      </w:r>
    </w:p>
    <w:p>
      <w:pPr>
        <w:pStyle w:val="25"/>
        <w:snapToGrid w:val="0"/>
        <w:spacing w:line="360" w:lineRule="auto"/>
        <w:rPr>
          <w:rFonts w:cs="宋体"/>
          <w:highlight w:val="none"/>
        </w:rPr>
      </w:pPr>
      <w:r>
        <w:rPr>
          <w:rFonts w:hint="eastAsia" w:cs="宋体"/>
          <w:highlight w:val="none"/>
        </w:rPr>
        <w:t>6.3政府采购合同已签订但尚未履行的，撤销合同，从合格的成交候选供应商中另行确定成交供应商；没有合格的成交候选供应商的，重新开展政府采购活动。</w:t>
      </w:r>
    </w:p>
    <w:p>
      <w:pPr>
        <w:pStyle w:val="25"/>
        <w:snapToGrid w:val="0"/>
        <w:spacing w:line="360" w:lineRule="auto"/>
        <w:rPr>
          <w:rFonts w:cs="宋体"/>
          <w:highlight w:val="none"/>
        </w:rPr>
      </w:pPr>
      <w:r>
        <w:rPr>
          <w:rFonts w:hint="eastAsia" w:cs="宋体"/>
          <w:highlight w:val="none"/>
        </w:rPr>
        <w:t>6.4政府采购合同已经履行，给采购人、供应商造成损失的，由责任人承担赔偿责任。</w:t>
      </w:r>
    </w:p>
    <w:p>
      <w:pPr>
        <w:pStyle w:val="25"/>
        <w:snapToGrid w:val="0"/>
        <w:spacing w:line="360" w:lineRule="auto"/>
        <w:rPr>
          <w:rFonts w:cs="宋体"/>
          <w:highlight w:val="none"/>
        </w:rPr>
      </w:pPr>
      <w:r>
        <w:rPr>
          <w:rFonts w:hint="eastAsia" w:cs="宋体"/>
          <w:highlight w:val="none"/>
        </w:rPr>
        <w:t>6.5政府采购当事人有其他违反政府采购法或者政府采购法实施条例等法律法规规定的行为，经改正后仍然影响或者可能影响成交结果或者依法被认定为成交无效的，依照</w:t>
      </w:r>
      <w:r>
        <w:rPr>
          <w:rFonts w:hint="eastAsia" w:cs="宋体"/>
          <w:highlight w:val="none"/>
          <w:lang w:val="en-US" w:eastAsia="zh-CN"/>
        </w:rPr>
        <w:t>4.2</w:t>
      </w:r>
      <w:r>
        <w:rPr>
          <w:rFonts w:hint="eastAsia" w:cs="宋体"/>
          <w:highlight w:val="none"/>
        </w:rPr>
        <w:t>规定处理。</w:t>
      </w:r>
    </w:p>
    <w:p>
      <w:pPr>
        <w:pStyle w:val="25"/>
        <w:snapToGrid w:val="0"/>
        <w:spacing w:line="360" w:lineRule="auto"/>
        <w:ind w:firstLine="0" w:firstLineChars="0"/>
        <w:rPr>
          <w:rFonts w:cs="宋体"/>
          <w:highlight w:val="none"/>
        </w:rPr>
        <w:sectPr>
          <w:headerReference r:id="rId7" w:type="default"/>
          <w:footerReference r:id="rId8" w:type="default"/>
          <w:pgSz w:w="11907" w:h="16840"/>
          <w:pgMar w:top="1440" w:right="1080" w:bottom="1440" w:left="1080" w:header="851" w:footer="851" w:gutter="0"/>
          <w:cols w:space="720" w:num="1"/>
        </w:sectPr>
      </w:pPr>
    </w:p>
    <w:bookmarkEnd w:id="59"/>
    <w:p>
      <w:pPr>
        <w:spacing w:line="360" w:lineRule="auto"/>
        <w:jc w:val="center"/>
        <w:outlineLvl w:val="0"/>
        <w:rPr>
          <w:rFonts w:ascii="宋体" w:hAnsi="宋体" w:cs="宋体"/>
          <w:b/>
          <w:sz w:val="36"/>
          <w:szCs w:val="36"/>
          <w:highlight w:val="none"/>
        </w:rPr>
      </w:pPr>
      <w:bookmarkStart w:id="446" w:name="_Toc11282"/>
      <w:bookmarkStart w:id="447" w:name="第五部分"/>
      <w:bookmarkStart w:id="448" w:name="_Toc86217003"/>
      <w:r>
        <w:rPr>
          <w:rFonts w:hint="eastAsia" w:ascii="宋体" w:hAnsi="宋体" w:cs="宋体"/>
          <w:b/>
          <w:sz w:val="36"/>
          <w:szCs w:val="36"/>
          <w:highlight w:val="none"/>
        </w:rPr>
        <w:t>第五部分 拟签订的合同文本</w:t>
      </w:r>
      <w:bookmarkEnd w:id="446"/>
    </w:p>
    <w:p>
      <w:pPr>
        <w:snapToGrid w:val="0"/>
        <w:ind w:firstLine="0" w:firstLineChars="0"/>
        <w:rPr>
          <w:rFonts w:hint="eastAsia" w:ascii="宋体" w:hAnsi="宋体" w:cs="宋体"/>
          <w:b/>
          <w:kern w:val="0"/>
          <w:highlight w:val="none"/>
        </w:rPr>
      </w:pPr>
      <w:r>
        <w:rPr>
          <w:rFonts w:hint="eastAsia" w:ascii="宋体" w:hAnsi="宋体" w:cs="宋体"/>
          <w:b/>
          <w:kern w:val="0"/>
          <w:highlight w:val="none"/>
        </w:rPr>
        <w:t>备注：</w:t>
      </w:r>
    </w:p>
    <w:p>
      <w:pPr>
        <w:snapToGrid w:val="0"/>
        <w:ind w:left="482" w:firstLine="0" w:firstLineChars="0"/>
        <w:rPr>
          <w:rFonts w:hint="eastAsia" w:ascii="宋体" w:hAnsi="宋体" w:cs="宋体"/>
          <w:b/>
          <w:kern w:val="0"/>
          <w:highlight w:val="none"/>
        </w:rPr>
      </w:pPr>
      <w:r>
        <w:rPr>
          <w:rFonts w:hint="eastAsia" w:ascii="宋体" w:hAnsi="宋体" w:cs="宋体"/>
          <w:b/>
          <w:kern w:val="0"/>
          <w:highlight w:val="none"/>
        </w:rPr>
        <w:t>采购文件中仅提供合同主要条款，最终合同以双方签章的书面文本为准。</w:t>
      </w:r>
    </w:p>
    <w:p>
      <w:pPr>
        <w:snapToGrid w:val="0"/>
        <w:ind w:left="482" w:firstLine="0" w:firstLineChars="0"/>
        <w:rPr>
          <w:rFonts w:hint="eastAsia" w:ascii="宋体" w:hAnsi="宋体" w:cs="宋体"/>
          <w:b/>
          <w:kern w:val="0"/>
          <w:highlight w:val="none"/>
        </w:rPr>
      </w:pPr>
      <w:r>
        <w:rPr>
          <w:rFonts w:hint="eastAsia" w:ascii="宋体" w:hAnsi="宋体"/>
          <w:b/>
          <w:kern w:val="0"/>
          <w:highlight w:val="none"/>
        </w:rPr>
        <w:t>竞</w:t>
      </w:r>
      <w:r>
        <w:rPr>
          <w:rFonts w:hint="eastAsia" w:ascii="宋体" w:hAnsi="宋体" w:cs="宋体"/>
          <w:b/>
          <w:kern w:val="0"/>
          <w:highlight w:val="none"/>
        </w:rPr>
        <w:t>争性磋商文件中仅提供合同主要条款，最终合同以双方签章的书面文本为准；竞争性磋商文件中的任一部分和条款均可视采购人的需要在签订合同时列入合同文本内。</w:t>
      </w:r>
    </w:p>
    <w:p>
      <w:pPr>
        <w:snapToGrid w:val="0"/>
        <w:ind w:left="482" w:firstLine="0" w:firstLineChars="0"/>
        <w:rPr>
          <w:rFonts w:hint="eastAsia" w:ascii="宋体" w:hAnsi="宋体"/>
          <w:b/>
          <w:kern w:val="0"/>
          <w:highlight w:val="none"/>
        </w:rPr>
      </w:pPr>
      <w:r>
        <w:rPr>
          <w:rFonts w:hint="eastAsia" w:ascii="宋体" w:hAnsi="宋体" w:cs="宋体"/>
          <w:b/>
          <w:kern w:val="0"/>
          <w:highlight w:val="none"/>
        </w:rPr>
        <w:t>如本项目</w:t>
      </w:r>
      <w:r>
        <w:rPr>
          <w:rFonts w:hint="eastAsia" w:ascii="宋体" w:hAnsi="宋体"/>
          <w:b/>
          <w:kern w:val="0"/>
          <w:highlight w:val="none"/>
        </w:rPr>
        <w:t>无委托监理，则下列格式文本中涉及监理人的有关工作由发包人自行安排。</w:t>
      </w:r>
    </w:p>
    <w:p>
      <w:pPr>
        <w:snapToGrid w:val="0"/>
        <w:ind w:left="482" w:firstLine="0" w:firstLineChars="0"/>
        <w:rPr>
          <w:rFonts w:hint="eastAsia" w:ascii="宋体" w:hAnsi="宋体" w:cs="宋体"/>
          <w:b/>
          <w:kern w:val="0"/>
          <w:highlight w:val="none"/>
        </w:rPr>
      </w:pPr>
      <w:r>
        <w:rPr>
          <w:rFonts w:hint="eastAsia" w:ascii="宋体" w:hAnsi="宋体" w:cs="宋体"/>
          <w:b/>
          <w:kern w:val="0"/>
          <w:highlight w:val="none"/>
        </w:rPr>
        <w:t>合同发包人指采购人，承包人指成交供应商。</w:t>
      </w:r>
    </w:p>
    <w:p>
      <w:pPr>
        <w:keepNext/>
        <w:keepLines/>
        <w:numPr>
          <w:ilvl w:val="1"/>
          <w:numId w:val="0"/>
        </w:numPr>
        <w:snapToGrid w:val="0"/>
        <w:spacing w:before="100" w:line="360" w:lineRule="auto"/>
        <w:jc w:val="center"/>
        <w:outlineLvl w:val="0"/>
        <w:rPr>
          <w:rFonts w:ascii="宋体" w:hAnsi="宋体" w:cs="宋体"/>
          <w:snapToGrid w:val="0"/>
          <w:kern w:val="44"/>
          <w:sz w:val="28"/>
          <w:szCs w:val="20"/>
          <w:highlight w:val="none"/>
        </w:rPr>
      </w:pPr>
      <w:r>
        <w:rPr>
          <w:rFonts w:hint="eastAsia" w:ascii="宋体" w:hAnsi="宋体" w:cs="宋体"/>
          <w:snapToGrid w:val="0"/>
          <w:kern w:val="44"/>
          <w:sz w:val="24"/>
          <w:szCs w:val="20"/>
          <w:highlight w:val="none"/>
        </w:rPr>
        <w:br w:type="page"/>
      </w:r>
      <w:bookmarkStart w:id="449" w:name="_Toc97299497"/>
      <w:bookmarkStart w:id="450" w:name="_Toc24416"/>
      <w:bookmarkStart w:id="451" w:name="_Toc32130"/>
      <w:r>
        <w:rPr>
          <w:rFonts w:hint="eastAsia" w:ascii="宋体" w:hAnsi="宋体" w:cs="宋体"/>
          <w:snapToGrid w:val="0"/>
          <w:kern w:val="44"/>
          <w:sz w:val="28"/>
          <w:szCs w:val="20"/>
          <w:highlight w:val="none"/>
        </w:rPr>
        <w:t>第一部分  合同协议书</w:t>
      </w:r>
      <w:bookmarkEnd w:id="449"/>
      <w:bookmarkEnd w:id="450"/>
      <w:bookmarkEnd w:id="451"/>
    </w:p>
    <w:p>
      <w:pPr>
        <w:snapToGrid w:val="0"/>
        <w:spacing w:line="360" w:lineRule="auto"/>
        <w:ind w:firstLine="470" w:firstLineChars="196"/>
        <w:rPr>
          <w:rFonts w:ascii="宋体" w:hAnsi="宋体" w:cs="宋体"/>
          <w:snapToGrid w:val="0"/>
          <w:kern w:val="0"/>
          <w:sz w:val="24"/>
          <w:highlight w:val="none"/>
          <w:u w:val="single"/>
        </w:rPr>
      </w:pPr>
      <w:r>
        <w:rPr>
          <w:rFonts w:hint="eastAsia" w:ascii="宋体" w:hAnsi="宋体" w:cs="宋体"/>
          <w:snapToGrid w:val="0"/>
          <w:kern w:val="0"/>
          <w:sz w:val="24"/>
          <w:highlight w:val="none"/>
        </w:rPr>
        <w:t>发包人（全称）：</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u w:val="single"/>
          <w:lang w:val="en-US" w:eastAsia="zh-CN"/>
        </w:rPr>
        <w:t xml:space="preserve">        中国美术学院</w:t>
      </w:r>
      <w:r>
        <w:rPr>
          <w:rFonts w:hint="eastAsia" w:ascii="宋体" w:hAnsi="宋体" w:cs="宋体"/>
          <w:snapToGrid w:val="0"/>
          <w:kern w:val="0"/>
          <w:sz w:val="24"/>
          <w:highlight w:val="none"/>
          <w:u w:val="single"/>
        </w:rPr>
        <w:t xml:space="preserve"> </w:t>
      </w:r>
      <w:bookmarkStart w:id="452" w:name="SOA_hhxys_fbr"/>
      <w:r>
        <w:rPr>
          <w:rFonts w:hint="eastAsia" w:ascii="宋体" w:hAnsi="宋体" w:cs="宋体"/>
          <w:snapToGrid w:val="0"/>
          <w:kern w:val="0"/>
          <w:sz w:val="24"/>
          <w:highlight w:val="none"/>
          <w:u w:val="single"/>
        </w:rPr>
        <w:t xml:space="preserve">              </w:t>
      </w:r>
      <w:bookmarkEnd w:id="452"/>
    </w:p>
    <w:p>
      <w:pPr>
        <w:snapToGrid w:val="0"/>
        <w:spacing w:line="360" w:lineRule="auto"/>
        <w:ind w:firstLine="470" w:firstLineChars="196"/>
        <w:rPr>
          <w:rFonts w:ascii="宋体" w:hAnsi="宋体" w:cs="宋体"/>
          <w:b/>
          <w:snapToGrid w:val="0"/>
          <w:kern w:val="0"/>
          <w:sz w:val="24"/>
          <w:highlight w:val="none"/>
          <w:u w:val="single"/>
        </w:rPr>
      </w:pPr>
      <w:r>
        <w:rPr>
          <w:rFonts w:hint="eastAsia" w:ascii="宋体" w:hAnsi="宋体" w:cs="宋体"/>
          <w:snapToGrid w:val="0"/>
          <w:kern w:val="0"/>
          <w:sz w:val="24"/>
          <w:highlight w:val="none"/>
        </w:rPr>
        <w:t>承包人（全称）：</w:t>
      </w:r>
      <w:r>
        <w:rPr>
          <w:rFonts w:hint="eastAsia" w:ascii="宋体" w:hAnsi="宋体" w:cs="宋体"/>
          <w:snapToGrid w:val="0"/>
          <w:kern w:val="0"/>
          <w:sz w:val="24"/>
          <w:highlight w:val="none"/>
          <w:u w:val="single"/>
        </w:rPr>
        <w:t xml:space="preserve">                  </w:t>
      </w:r>
      <w:bookmarkStart w:id="453" w:name="SOA_hhxys_cbr"/>
      <w:r>
        <w:rPr>
          <w:rFonts w:hint="eastAsia" w:ascii="宋体" w:hAnsi="宋体" w:cs="宋体"/>
          <w:snapToGrid w:val="0"/>
          <w:kern w:val="0"/>
          <w:sz w:val="24"/>
          <w:highlight w:val="none"/>
          <w:u w:val="single"/>
        </w:rPr>
        <w:t xml:space="preserve">  </w:t>
      </w:r>
      <w:r>
        <w:rPr>
          <w:rFonts w:hint="eastAsia" w:ascii="宋体" w:hAnsi="宋体" w:cs="宋体"/>
          <w:b/>
          <w:snapToGrid w:val="0"/>
          <w:kern w:val="0"/>
          <w:sz w:val="24"/>
          <w:highlight w:val="none"/>
          <w:u w:val="single"/>
        </w:rPr>
        <w:t xml:space="preserve">           </w:t>
      </w:r>
      <w:r>
        <w:rPr>
          <w:rFonts w:hint="eastAsia" w:ascii="宋体" w:hAnsi="宋体" w:cs="宋体"/>
          <w:snapToGrid w:val="0"/>
          <w:kern w:val="0"/>
          <w:sz w:val="24"/>
          <w:highlight w:val="none"/>
          <w:u w:val="single"/>
        </w:rPr>
        <w:t xml:space="preserve">    </w:t>
      </w:r>
      <w:bookmarkEnd w:id="453"/>
      <w:r>
        <w:rPr>
          <w:rFonts w:hint="eastAsia" w:ascii="宋体" w:hAnsi="宋体" w:cs="宋体"/>
          <w:snapToGrid w:val="0"/>
          <w:kern w:val="0"/>
          <w:sz w:val="24"/>
          <w:highlight w:val="none"/>
          <w:u w:val="single"/>
        </w:rPr>
        <w:t xml:space="preserve">   </w:t>
      </w:r>
    </w:p>
    <w:p>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工程施工及有关事项协商一致，共同达成如下协议：</w:t>
      </w:r>
    </w:p>
    <w:p>
      <w:pPr>
        <w:snapToGrid w:val="0"/>
        <w:spacing w:before="24" w:beforeLines="10" w:after="24" w:afterLines="10" w:line="360" w:lineRule="auto"/>
        <w:outlineLvl w:val="1"/>
        <w:rPr>
          <w:rFonts w:ascii="宋体" w:hAnsi="宋体" w:cs="宋体"/>
          <w:b/>
          <w:bCs/>
          <w:snapToGrid w:val="0"/>
          <w:kern w:val="0"/>
          <w:sz w:val="24"/>
          <w:highlight w:val="none"/>
        </w:rPr>
      </w:pPr>
      <w:bookmarkStart w:id="454" w:name="_Toc370"/>
      <w:bookmarkStart w:id="455" w:name="_Toc361220410"/>
      <w:bookmarkStart w:id="456" w:name="_Toc97299498"/>
      <w:r>
        <w:rPr>
          <w:rFonts w:hint="eastAsia" w:ascii="宋体" w:hAnsi="宋体" w:cs="宋体"/>
          <w:b/>
          <w:bCs/>
          <w:snapToGrid w:val="0"/>
          <w:kern w:val="0"/>
          <w:sz w:val="24"/>
          <w:highlight w:val="none"/>
        </w:rPr>
        <w:t>一、工程概况</w:t>
      </w:r>
      <w:bookmarkEnd w:id="454"/>
      <w:bookmarkEnd w:id="455"/>
      <w:bookmarkEnd w:id="456"/>
    </w:p>
    <w:p>
      <w:pPr>
        <w:snapToGrid w:val="0"/>
        <w:spacing w:line="360" w:lineRule="auto"/>
        <w:ind w:firstLine="470" w:firstLineChars="196"/>
        <w:rPr>
          <w:rFonts w:ascii="宋体" w:hAnsi="宋体" w:cs="宋体"/>
          <w:snapToGrid w:val="0"/>
          <w:kern w:val="0"/>
          <w:sz w:val="24"/>
          <w:highlight w:val="none"/>
          <w:u w:val="single"/>
        </w:rPr>
      </w:pPr>
      <w:r>
        <w:rPr>
          <w:rFonts w:hint="eastAsia" w:ascii="宋体" w:hAnsi="宋体" w:cs="宋体"/>
          <w:bCs/>
          <w:snapToGrid w:val="0"/>
          <w:kern w:val="0"/>
          <w:sz w:val="24"/>
          <w:highlight w:val="none"/>
        </w:rPr>
        <w:t>1.工程名称</w:t>
      </w:r>
      <w:r>
        <w:rPr>
          <w:rFonts w:hint="eastAsia" w:ascii="宋体" w:hAnsi="宋体" w:cs="宋体"/>
          <w:snapToGrid w:val="0"/>
          <w:kern w:val="0"/>
          <w:sz w:val="24"/>
          <w:highlight w:val="none"/>
        </w:rPr>
        <w:t>：</w:t>
      </w:r>
      <w:r>
        <w:rPr>
          <w:rFonts w:hint="eastAsia" w:ascii="宋体" w:hAnsi="宋体" w:cs="宋体"/>
          <w:snapToGrid w:val="0"/>
          <w:kern w:val="0"/>
          <w:sz w:val="24"/>
          <w:highlight w:val="none"/>
          <w:u w:val="single"/>
        </w:rPr>
        <w:t xml:space="preserve"> 中国美术学院国际设计博物馆室内吊顶提升工程项目  </w:t>
      </w:r>
      <w:r>
        <w:rPr>
          <w:rFonts w:hint="eastAsia" w:ascii="宋体" w:hAnsi="宋体" w:cs="宋体"/>
          <w:snapToGrid w:val="0"/>
          <w:kern w:val="0"/>
          <w:sz w:val="24"/>
          <w:highlight w:val="none"/>
        </w:rPr>
        <w:t>。</w:t>
      </w:r>
    </w:p>
    <w:p>
      <w:pPr>
        <w:snapToGrid w:val="0"/>
        <w:spacing w:line="360" w:lineRule="auto"/>
        <w:ind w:firstLine="470" w:firstLineChars="196"/>
        <w:rPr>
          <w:rFonts w:ascii="宋体" w:hAnsi="宋体" w:cs="宋体"/>
          <w:bCs/>
          <w:snapToGrid w:val="0"/>
          <w:kern w:val="0"/>
          <w:sz w:val="24"/>
          <w:highlight w:val="none"/>
        </w:rPr>
      </w:pPr>
      <w:r>
        <w:rPr>
          <w:rFonts w:hint="eastAsia" w:ascii="宋体" w:hAnsi="宋体" w:cs="宋体"/>
          <w:bCs/>
          <w:snapToGrid w:val="0"/>
          <w:kern w:val="0"/>
          <w:sz w:val="24"/>
          <w:highlight w:val="none"/>
        </w:rPr>
        <w:t>2.工程地点：</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w:t>
      </w:r>
    </w:p>
    <w:p>
      <w:pPr>
        <w:snapToGrid w:val="0"/>
        <w:spacing w:line="360" w:lineRule="auto"/>
        <w:ind w:firstLine="470" w:firstLineChars="196"/>
        <w:rPr>
          <w:rFonts w:ascii="宋体" w:hAnsi="宋体" w:cs="宋体"/>
          <w:bCs/>
          <w:snapToGrid w:val="0"/>
          <w:kern w:val="0"/>
          <w:sz w:val="24"/>
          <w:highlight w:val="none"/>
        </w:rPr>
      </w:pPr>
      <w:r>
        <w:rPr>
          <w:rFonts w:hint="eastAsia" w:ascii="宋体" w:hAnsi="宋体" w:cs="宋体"/>
          <w:bCs/>
          <w:snapToGrid w:val="0"/>
          <w:kern w:val="0"/>
          <w:sz w:val="24"/>
          <w:highlight w:val="none"/>
        </w:rPr>
        <w:t>3.工程立项批准文号：</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u w:val="single"/>
          <w:lang w:val="en-US" w:eastAsia="zh-CN"/>
        </w:rPr>
        <w:t>/</w:t>
      </w:r>
      <w:r>
        <w:rPr>
          <w:rFonts w:hint="eastAsia" w:ascii="宋体" w:hAnsi="宋体" w:cs="宋体"/>
          <w:snapToGrid w:val="0"/>
          <w:kern w:val="0"/>
          <w:sz w:val="24"/>
          <w:highlight w:val="none"/>
          <w:u w:val="single"/>
        </w:rPr>
        <w:t xml:space="preserve">    </w:t>
      </w:r>
      <w:r>
        <w:rPr>
          <w:rFonts w:hint="eastAsia" w:ascii="宋体" w:hAnsi="宋体" w:cs="宋体"/>
          <w:bCs/>
          <w:snapToGrid w:val="0"/>
          <w:kern w:val="0"/>
          <w:sz w:val="24"/>
          <w:highlight w:val="none"/>
        </w:rPr>
        <w:t>。</w:t>
      </w:r>
    </w:p>
    <w:p>
      <w:pPr>
        <w:snapToGrid w:val="0"/>
        <w:spacing w:line="360" w:lineRule="auto"/>
        <w:ind w:firstLine="470" w:firstLineChars="196"/>
        <w:rPr>
          <w:rFonts w:ascii="宋体" w:hAnsi="宋体" w:cs="宋体"/>
          <w:bCs/>
          <w:snapToGrid w:val="0"/>
          <w:kern w:val="0"/>
          <w:sz w:val="24"/>
          <w:highlight w:val="none"/>
        </w:rPr>
      </w:pPr>
      <w:r>
        <w:rPr>
          <w:rFonts w:hint="eastAsia" w:ascii="宋体" w:hAnsi="宋体" w:cs="宋体"/>
          <w:bCs/>
          <w:snapToGrid w:val="0"/>
          <w:kern w:val="0"/>
          <w:sz w:val="24"/>
          <w:highlight w:val="none"/>
        </w:rPr>
        <w:t>4.资金来源：</w:t>
      </w:r>
      <w:r>
        <w:rPr>
          <w:rFonts w:hint="eastAsia" w:ascii="宋体" w:hAnsi="宋体" w:cs="宋体"/>
          <w:snapToGrid w:val="0"/>
          <w:kern w:val="0"/>
          <w:sz w:val="24"/>
          <w:highlight w:val="none"/>
          <w:u w:val="single"/>
        </w:rPr>
        <w:t>        </w:t>
      </w:r>
      <w:r>
        <w:rPr>
          <w:rFonts w:hint="eastAsia" w:ascii="宋体" w:hAnsi="宋体" w:cs="宋体"/>
          <w:bCs/>
          <w:snapToGrid w:val="0"/>
          <w:kern w:val="0"/>
          <w:sz w:val="24"/>
          <w:highlight w:val="none"/>
        </w:rPr>
        <w:t>。</w:t>
      </w:r>
    </w:p>
    <w:p>
      <w:pPr>
        <w:snapToGrid w:val="0"/>
        <w:spacing w:line="360" w:lineRule="auto"/>
        <w:ind w:firstLine="463" w:firstLineChars="193"/>
        <w:rPr>
          <w:rFonts w:ascii="宋体" w:hAnsi="宋体" w:cs="宋体"/>
          <w:snapToGrid w:val="0"/>
          <w:kern w:val="0"/>
          <w:sz w:val="24"/>
          <w:highlight w:val="none"/>
        </w:rPr>
      </w:pPr>
      <w:r>
        <w:rPr>
          <w:rFonts w:hint="eastAsia" w:ascii="宋体" w:hAnsi="宋体" w:cs="宋体"/>
          <w:bCs/>
          <w:snapToGrid w:val="0"/>
          <w:kern w:val="0"/>
          <w:sz w:val="24"/>
          <w:highlight w:val="none"/>
        </w:rPr>
        <w:t xml:space="preserve">5.工程内容：                           </w:t>
      </w:r>
      <w:r>
        <w:rPr>
          <w:rFonts w:hint="eastAsia" w:ascii="宋体" w:hAnsi="宋体" w:cs="宋体"/>
          <w:snapToGrid w:val="0"/>
          <w:kern w:val="0"/>
          <w:sz w:val="24"/>
          <w:highlight w:val="none"/>
        </w:rPr>
        <w:t xml:space="preserve"> </w:t>
      </w:r>
    </w:p>
    <w:p>
      <w:pPr>
        <w:snapToGrid w:val="0"/>
        <w:spacing w:line="360" w:lineRule="auto"/>
        <w:ind w:firstLine="470" w:firstLineChars="196"/>
        <w:rPr>
          <w:rFonts w:ascii="宋体" w:hAnsi="宋体" w:cs="宋体"/>
          <w:bCs/>
          <w:snapToGrid w:val="0"/>
          <w:kern w:val="0"/>
          <w:sz w:val="24"/>
          <w:highlight w:val="none"/>
        </w:rPr>
      </w:pPr>
      <w:r>
        <w:rPr>
          <w:rFonts w:hint="eastAsia" w:ascii="宋体" w:hAnsi="宋体" w:cs="宋体"/>
          <w:bCs/>
          <w:snapToGrid w:val="0"/>
          <w:kern w:val="0"/>
          <w:sz w:val="24"/>
          <w:highlight w:val="none"/>
        </w:rPr>
        <w:t>6.工程承包范围：</w:t>
      </w:r>
    </w:p>
    <w:p>
      <w:pPr>
        <w:snapToGrid w:val="0"/>
        <w:spacing w:line="360" w:lineRule="auto"/>
        <w:ind w:firstLine="463" w:firstLineChars="193"/>
        <w:rPr>
          <w:rFonts w:ascii="宋体" w:hAnsi="宋体" w:cs="宋体"/>
          <w:bCs/>
          <w:snapToGrid w:val="0"/>
          <w:kern w:val="0"/>
          <w:sz w:val="24"/>
          <w:highlight w:val="none"/>
        </w:rPr>
      </w:pPr>
      <w:bookmarkStart w:id="457" w:name="_Toc361220411"/>
      <w:r>
        <w:rPr>
          <w:rFonts w:hint="eastAsia" w:ascii="宋体" w:hAnsi="宋体" w:cs="宋体"/>
          <w:bCs/>
          <w:snapToGrid w:val="0"/>
          <w:kern w:val="0"/>
          <w:sz w:val="24"/>
          <w:highlight w:val="none"/>
        </w:rPr>
        <w:t>本项目为</w:t>
      </w:r>
      <w:r>
        <w:rPr>
          <w:rFonts w:hint="eastAsia" w:ascii="宋体" w:hAnsi="宋体" w:cs="宋体"/>
          <w:bCs/>
          <w:snapToGrid w:val="0"/>
          <w:kern w:val="0"/>
          <w:sz w:val="24"/>
          <w:highlight w:val="none"/>
          <w:lang w:eastAsia="zh-CN"/>
        </w:rPr>
        <w:t>中国美术学院国际设计博物馆室内吊顶提升工程项目</w:t>
      </w:r>
      <w:r>
        <w:rPr>
          <w:rFonts w:hint="eastAsia" w:ascii="宋体" w:hAnsi="宋体" w:cs="宋体"/>
          <w:bCs/>
          <w:snapToGrid w:val="0"/>
          <w:kern w:val="0"/>
          <w:sz w:val="24"/>
          <w:highlight w:val="none"/>
        </w:rPr>
        <w:t>，详见图纸、工程量清单以及采购文件要求</w:t>
      </w:r>
    </w:p>
    <w:p>
      <w:pPr>
        <w:snapToGrid w:val="0"/>
        <w:spacing w:line="360" w:lineRule="auto"/>
        <w:outlineLvl w:val="1"/>
        <w:rPr>
          <w:rFonts w:ascii="宋体" w:hAnsi="宋体" w:cs="宋体"/>
          <w:b/>
          <w:bCs/>
          <w:snapToGrid w:val="0"/>
          <w:kern w:val="0"/>
          <w:sz w:val="24"/>
          <w:highlight w:val="none"/>
        </w:rPr>
      </w:pPr>
      <w:bookmarkStart w:id="458" w:name="_Toc97299499"/>
      <w:bookmarkStart w:id="459" w:name="_Toc25660"/>
      <w:r>
        <w:rPr>
          <w:rFonts w:hint="eastAsia" w:ascii="宋体" w:hAnsi="宋体" w:cs="宋体"/>
          <w:b/>
          <w:bCs/>
          <w:snapToGrid w:val="0"/>
          <w:kern w:val="0"/>
          <w:sz w:val="24"/>
          <w:highlight w:val="none"/>
        </w:rPr>
        <w:t>二、合同工期</w:t>
      </w:r>
      <w:bookmarkEnd w:id="457"/>
      <w:bookmarkEnd w:id="458"/>
      <w:bookmarkEnd w:id="459"/>
    </w:p>
    <w:p>
      <w:pPr>
        <w:snapToGrid w:val="0"/>
        <w:spacing w:line="360" w:lineRule="auto"/>
        <w:ind w:firstLine="459"/>
        <w:rPr>
          <w:rFonts w:ascii="宋体" w:hAnsi="宋体" w:cs="宋体"/>
          <w:snapToGrid w:val="0"/>
          <w:kern w:val="0"/>
          <w:sz w:val="24"/>
          <w:highlight w:val="none"/>
        </w:rPr>
      </w:pPr>
      <w:r>
        <w:rPr>
          <w:rFonts w:hint="eastAsia" w:ascii="宋体" w:hAnsi="宋体" w:cs="宋体"/>
          <w:snapToGrid w:val="0"/>
          <w:kern w:val="0"/>
          <w:sz w:val="24"/>
          <w:highlight w:val="none"/>
        </w:rPr>
        <w:t>计划开工日期：</w:t>
      </w:r>
      <w:r>
        <w:rPr>
          <w:rFonts w:hint="eastAsia" w:ascii="宋体" w:hAnsi="宋体" w:cs="宋体"/>
          <w:snapToGrid w:val="0"/>
          <w:kern w:val="0"/>
          <w:sz w:val="24"/>
          <w:highlight w:val="none"/>
          <w:u w:val="single"/>
        </w:rPr>
        <w:t>20</w:t>
      </w:r>
      <w:r>
        <w:rPr>
          <w:rFonts w:hint="eastAsia" w:ascii="宋体" w:hAnsi="宋体" w:cs="宋体"/>
          <w:snapToGrid w:val="0"/>
          <w:kern w:val="0"/>
          <w:sz w:val="24"/>
          <w:highlight w:val="none"/>
          <w:u w:val="single"/>
          <w:lang w:val="en-US" w:eastAsia="zh-CN"/>
        </w:rPr>
        <w:t>24</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年</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月</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日；</w:t>
      </w:r>
    </w:p>
    <w:p>
      <w:pPr>
        <w:snapToGrid w:val="0"/>
        <w:spacing w:line="360" w:lineRule="auto"/>
        <w:ind w:firstLine="459"/>
        <w:rPr>
          <w:rFonts w:ascii="宋体" w:hAnsi="宋体" w:cs="宋体"/>
          <w:snapToGrid w:val="0"/>
          <w:kern w:val="0"/>
          <w:sz w:val="24"/>
          <w:highlight w:val="none"/>
        </w:rPr>
      </w:pPr>
      <w:bookmarkStart w:id="460" w:name="SOA_hhxys_jgn"/>
      <w:r>
        <w:rPr>
          <w:rFonts w:hint="eastAsia" w:ascii="宋体" w:hAnsi="宋体" w:cs="宋体"/>
          <w:snapToGrid w:val="0"/>
          <w:kern w:val="0"/>
          <w:sz w:val="24"/>
          <w:highlight w:val="none"/>
        </w:rPr>
        <w:t>计划竣工日期：</w:t>
      </w:r>
      <w:r>
        <w:rPr>
          <w:rFonts w:hint="eastAsia" w:ascii="宋体" w:hAnsi="宋体" w:cs="宋体"/>
          <w:snapToGrid w:val="0"/>
          <w:kern w:val="0"/>
          <w:sz w:val="24"/>
          <w:highlight w:val="none"/>
          <w:u w:val="single"/>
        </w:rPr>
        <w:t>20</w:t>
      </w:r>
      <w:r>
        <w:rPr>
          <w:rFonts w:hint="eastAsia" w:ascii="宋体" w:hAnsi="宋体" w:cs="宋体"/>
          <w:snapToGrid w:val="0"/>
          <w:kern w:val="0"/>
          <w:sz w:val="24"/>
          <w:highlight w:val="none"/>
          <w:u w:val="single"/>
          <w:lang w:val="en-US" w:eastAsia="zh-CN"/>
        </w:rPr>
        <w:t>24</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年</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月</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日；</w:t>
      </w:r>
      <w:bookmarkEnd w:id="460"/>
    </w:p>
    <w:p>
      <w:pPr>
        <w:snapToGrid w:val="0"/>
        <w:spacing w:line="360" w:lineRule="auto"/>
        <w:ind w:firstLine="459"/>
        <w:rPr>
          <w:rFonts w:ascii="宋体" w:hAnsi="宋体" w:cs="宋体"/>
          <w:snapToGrid w:val="0"/>
          <w:kern w:val="0"/>
          <w:sz w:val="24"/>
          <w:highlight w:val="none"/>
        </w:rPr>
      </w:pPr>
      <w:r>
        <w:rPr>
          <w:rFonts w:hint="eastAsia" w:ascii="宋体" w:hAnsi="宋体" w:cs="宋体"/>
          <w:snapToGrid w:val="0"/>
          <w:kern w:val="0"/>
          <w:sz w:val="24"/>
          <w:highlight w:val="none"/>
        </w:rPr>
        <w:t>工期总日历天数：</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u w:val="single"/>
          <w:lang w:val="en-US" w:eastAsia="zh-CN"/>
        </w:rPr>
        <w:t>60</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天。工期总日历天数与根据前述计划开竣工日期计算的工期天数不一致的，以工期总日历天数为准。</w:t>
      </w:r>
    </w:p>
    <w:p>
      <w:pPr>
        <w:snapToGrid w:val="0"/>
        <w:spacing w:line="360" w:lineRule="auto"/>
        <w:outlineLvl w:val="1"/>
        <w:rPr>
          <w:rFonts w:ascii="宋体" w:hAnsi="宋体" w:cs="宋体"/>
          <w:b/>
          <w:bCs/>
          <w:snapToGrid w:val="0"/>
          <w:kern w:val="0"/>
          <w:sz w:val="24"/>
          <w:highlight w:val="none"/>
        </w:rPr>
      </w:pPr>
      <w:bookmarkStart w:id="461" w:name="_Toc361220412"/>
      <w:bookmarkStart w:id="462" w:name="_Toc10765"/>
      <w:bookmarkStart w:id="463" w:name="_Toc97299500"/>
      <w:r>
        <w:rPr>
          <w:rFonts w:hint="eastAsia" w:ascii="宋体" w:hAnsi="宋体" w:cs="宋体"/>
          <w:b/>
          <w:bCs/>
          <w:snapToGrid w:val="0"/>
          <w:kern w:val="0"/>
          <w:sz w:val="24"/>
          <w:highlight w:val="none"/>
        </w:rPr>
        <w:t>三、质量标准</w:t>
      </w:r>
      <w:bookmarkEnd w:id="461"/>
      <w:bookmarkEnd w:id="462"/>
      <w:bookmarkEnd w:id="463"/>
    </w:p>
    <w:p>
      <w:pPr>
        <w:snapToGrid w:val="0"/>
        <w:spacing w:line="360" w:lineRule="auto"/>
        <w:ind w:firstLine="459"/>
        <w:rPr>
          <w:rFonts w:ascii="宋体" w:hAnsi="宋体" w:cs="宋体"/>
          <w:snapToGrid w:val="0"/>
          <w:kern w:val="0"/>
          <w:sz w:val="24"/>
          <w:highlight w:val="none"/>
        </w:rPr>
      </w:pPr>
      <w:r>
        <w:rPr>
          <w:rFonts w:hint="eastAsia" w:ascii="宋体" w:hAnsi="宋体" w:cs="宋体"/>
          <w:snapToGrid w:val="0"/>
          <w:kern w:val="0"/>
          <w:sz w:val="24"/>
          <w:highlight w:val="none"/>
        </w:rPr>
        <w:t>工程质量符合</w:t>
      </w:r>
      <w:r>
        <w:rPr>
          <w:rFonts w:hint="eastAsia" w:ascii="宋体" w:hAnsi="宋体" w:cs="宋体"/>
          <w:snapToGrid w:val="0"/>
          <w:kern w:val="0"/>
          <w:sz w:val="24"/>
          <w:highlight w:val="none"/>
          <w:u w:val="single"/>
        </w:rPr>
        <w:t></w:t>
      </w:r>
      <w:bookmarkStart w:id="464" w:name="SOA_hhxys_zlbz"/>
      <w:r>
        <w:rPr>
          <w:rFonts w:hint="eastAsia" w:ascii="宋体" w:hAnsi="宋体" w:cs="宋体"/>
          <w:snapToGrid w:val="0"/>
          <w:kern w:val="0"/>
          <w:sz w:val="24"/>
          <w:highlight w:val="none"/>
          <w:u w:val="single"/>
        </w:rPr>
        <w:t xml:space="preserve">       </w:t>
      </w:r>
      <w:bookmarkEnd w:id="464"/>
      <w:r>
        <w:rPr>
          <w:rFonts w:hint="eastAsia" w:ascii="宋体" w:hAnsi="宋体" w:cs="宋体"/>
          <w:snapToGrid w:val="0"/>
          <w:kern w:val="0"/>
          <w:sz w:val="24"/>
          <w:highlight w:val="none"/>
          <w:u w:val="single"/>
        </w:rPr>
        <w:t></w:t>
      </w:r>
      <w:r>
        <w:rPr>
          <w:rFonts w:hint="eastAsia" w:ascii="宋体" w:hAnsi="宋体" w:cs="宋体"/>
          <w:snapToGrid w:val="0"/>
          <w:kern w:val="0"/>
          <w:sz w:val="24"/>
          <w:highlight w:val="none"/>
        </w:rPr>
        <w:t>标准。</w:t>
      </w:r>
    </w:p>
    <w:p>
      <w:pPr>
        <w:snapToGrid w:val="0"/>
        <w:spacing w:line="360" w:lineRule="auto"/>
        <w:outlineLvl w:val="1"/>
        <w:rPr>
          <w:rFonts w:ascii="宋体" w:hAnsi="宋体" w:cs="宋体"/>
          <w:b/>
          <w:bCs/>
          <w:snapToGrid w:val="0"/>
          <w:kern w:val="0"/>
          <w:sz w:val="24"/>
          <w:highlight w:val="none"/>
        </w:rPr>
      </w:pPr>
      <w:bookmarkStart w:id="465" w:name="_Toc29310"/>
      <w:bookmarkStart w:id="466" w:name="_Toc361220413"/>
      <w:bookmarkStart w:id="467" w:name="_Toc97299501"/>
      <w:r>
        <w:rPr>
          <w:rFonts w:hint="eastAsia" w:ascii="宋体" w:hAnsi="宋体" w:cs="宋体"/>
          <w:b/>
          <w:bCs/>
          <w:snapToGrid w:val="0"/>
          <w:kern w:val="0"/>
          <w:sz w:val="24"/>
          <w:highlight w:val="none"/>
        </w:rPr>
        <w:t>四、签约合同价与合同价格形式</w:t>
      </w:r>
      <w:bookmarkEnd w:id="465"/>
      <w:bookmarkEnd w:id="466"/>
      <w:bookmarkEnd w:id="467"/>
    </w:p>
    <w:p>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1.签约合同价为：</w:t>
      </w:r>
    </w:p>
    <w:p>
      <w:pPr>
        <w:snapToGrid w:val="0"/>
        <w:spacing w:line="360" w:lineRule="auto"/>
        <w:ind w:firstLine="600" w:firstLineChars="250"/>
        <w:rPr>
          <w:rFonts w:ascii="宋体" w:hAnsi="宋体" w:cs="宋体"/>
          <w:snapToGrid w:val="0"/>
          <w:kern w:val="0"/>
          <w:sz w:val="24"/>
          <w:highlight w:val="none"/>
        </w:rPr>
      </w:pPr>
      <w:r>
        <w:rPr>
          <w:rFonts w:hint="eastAsia" w:ascii="宋体" w:hAnsi="宋体" w:cs="宋体"/>
          <w:snapToGrid w:val="0"/>
          <w:kern w:val="0"/>
          <w:sz w:val="24"/>
          <w:highlight w:val="none"/>
        </w:rPr>
        <w:t>人民币（大写）</w:t>
      </w:r>
      <w:bookmarkStart w:id="468" w:name="SOA_hhxys_htjdx"/>
      <w:r>
        <w:rPr>
          <w:rFonts w:hint="eastAsia" w:ascii="宋体" w:hAnsi="宋体" w:cs="宋体"/>
          <w:snapToGrid w:val="0"/>
          <w:kern w:val="0"/>
          <w:sz w:val="24"/>
          <w:highlight w:val="none"/>
          <w:u w:val="single"/>
        </w:rPr>
        <w:t xml:space="preserve">                   </w:t>
      </w:r>
      <w:bookmarkEnd w:id="468"/>
      <w:r>
        <w:rPr>
          <w:rFonts w:hint="eastAsia" w:ascii="宋体" w:hAnsi="宋体" w:cs="宋体"/>
          <w:snapToGrid w:val="0"/>
          <w:kern w:val="0"/>
          <w:sz w:val="24"/>
          <w:highlight w:val="none"/>
        </w:rPr>
        <w:t>(¥</w:t>
      </w:r>
      <w:r>
        <w:rPr>
          <w:rFonts w:hint="eastAsia" w:ascii="宋体" w:hAnsi="宋体" w:cs="宋体"/>
          <w:snapToGrid w:val="0"/>
          <w:kern w:val="0"/>
          <w:sz w:val="24"/>
          <w:highlight w:val="none"/>
          <w:u w:val="single"/>
        </w:rPr>
        <w:t xml:space="preserve"> </w:t>
      </w:r>
      <w:bookmarkStart w:id="469" w:name="SOA_hhxys_htjxx"/>
      <w:r>
        <w:rPr>
          <w:rFonts w:hint="eastAsia" w:ascii="宋体" w:hAnsi="宋体" w:cs="宋体"/>
          <w:snapToGrid w:val="0"/>
          <w:kern w:val="0"/>
          <w:sz w:val="24"/>
          <w:highlight w:val="none"/>
          <w:u w:val="single"/>
        </w:rPr>
        <w:t xml:space="preserve">            </w:t>
      </w:r>
      <w:bookmarkEnd w:id="469"/>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元)；</w:t>
      </w:r>
    </w:p>
    <w:p>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其中：</w:t>
      </w:r>
    </w:p>
    <w:p>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（1）安全文明施工费：</w:t>
      </w:r>
    </w:p>
    <w:p>
      <w:pPr>
        <w:snapToGrid w:val="0"/>
        <w:spacing w:line="360" w:lineRule="auto"/>
        <w:rPr>
          <w:rFonts w:ascii="宋体" w:hAnsi="宋体" w:cs="宋体"/>
          <w:snapToGrid w:val="0"/>
          <w:kern w:val="0"/>
          <w:sz w:val="24"/>
          <w:highlight w:val="none"/>
        </w:rPr>
      </w:pPr>
      <w:r>
        <w:rPr>
          <w:rFonts w:hint="eastAsia" w:ascii="宋体" w:hAnsi="宋体" w:cs="宋体"/>
          <w:snapToGrid w:val="0"/>
          <w:kern w:val="0"/>
          <w:sz w:val="24"/>
          <w:highlight w:val="none"/>
        </w:rPr>
        <w:t xml:space="preserve">     人民币（大写）</w:t>
      </w:r>
      <w:bookmarkStart w:id="470" w:name="SOA_hhxys_wmsgfdx"/>
      <w:r>
        <w:rPr>
          <w:rFonts w:hint="eastAsia" w:ascii="宋体" w:hAnsi="宋体" w:cs="宋体"/>
          <w:snapToGrid w:val="0"/>
          <w:kern w:val="0"/>
          <w:sz w:val="24"/>
          <w:highlight w:val="none"/>
          <w:u w:val="single"/>
        </w:rPr>
        <w:t xml:space="preserve">                </w:t>
      </w:r>
      <w:bookmarkEnd w:id="470"/>
      <w:r>
        <w:rPr>
          <w:rFonts w:hint="eastAsia" w:ascii="宋体" w:hAnsi="宋体" w:cs="宋体"/>
          <w:snapToGrid w:val="0"/>
          <w:kern w:val="0"/>
          <w:sz w:val="24"/>
          <w:highlight w:val="none"/>
        </w:rPr>
        <w:t>(¥</w:t>
      </w:r>
      <w:bookmarkStart w:id="471" w:name="SOA_hhxys_wmsgfxx"/>
      <w:r>
        <w:rPr>
          <w:rFonts w:hint="eastAsia" w:ascii="宋体" w:hAnsi="宋体" w:cs="宋体"/>
          <w:snapToGrid w:val="0"/>
          <w:kern w:val="0"/>
          <w:sz w:val="24"/>
          <w:highlight w:val="none"/>
          <w:u w:val="single"/>
        </w:rPr>
        <w:t xml:space="preserve">                  </w:t>
      </w:r>
      <w:bookmarkEnd w:id="471"/>
      <w:r>
        <w:rPr>
          <w:rFonts w:hint="eastAsia" w:ascii="宋体" w:hAnsi="宋体" w:cs="宋体"/>
          <w:snapToGrid w:val="0"/>
          <w:kern w:val="0"/>
          <w:sz w:val="24"/>
          <w:highlight w:val="none"/>
        </w:rPr>
        <w:t>元)；</w:t>
      </w:r>
    </w:p>
    <w:p>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（2）材料和工程设备暂估价金额：</w:t>
      </w:r>
    </w:p>
    <w:p>
      <w:pPr>
        <w:snapToGrid w:val="0"/>
        <w:spacing w:line="360" w:lineRule="auto"/>
        <w:rPr>
          <w:rFonts w:ascii="宋体" w:hAnsi="宋体" w:cs="宋体"/>
          <w:snapToGrid w:val="0"/>
          <w:kern w:val="0"/>
          <w:sz w:val="24"/>
          <w:highlight w:val="none"/>
        </w:rPr>
      </w:pPr>
      <w:r>
        <w:rPr>
          <w:rFonts w:hint="eastAsia" w:ascii="宋体" w:hAnsi="宋体" w:cs="宋体"/>
          <w:snapToGrid w:val="0"/>
          <w:kern w:val="0"/>
          <w:sz w:val="24"/>
          <w:highlight w:val="none"/>
        </w:rPr>
        <w:t xml:space="preserve">     人民币（大写）</w:t>
      </w:r>
      <w:bookmarkStart w:id="472" w:name="SOA_hhxys_sbzgjdx"/>
      <w:r>
        <w:rPr>
          <w:rFonts w:hint="eastAsia" w:ascii="宋体" w:hAnsi="宋体" w:cs="宋体"/>
          <w:snapToGrid w:val="0"/>
          <w:kern w:val="0"/>
          <w:sz w:val="24"/>
          <w:highlight w:val="none"/>
          <w:u w:val="single"/>
        </w:rPr>
        <w:t xml:space="preserve">       </w:t>
      </w:r>
      <w:bookmarkEnd w:id="472"/>
      <w:r>
        <w:rPr>
          <w:rFonts w:hint="eastAsia" w:ascii="宋体" w:hAnsi="宋体" w:cs="宋体"/>
          <w:snapToGrid w:val="0"/>
          <w:kern w:val="0"/>
          <w:sz w:val="24"/>
          <w:highlight w:val="none"/>
        </w:rPr>
        <w:t>(¥</w:t>
      </w:r>
      <w:bookmarkStart w:id="473" w:name="SOA_hhxys_sbzgjxx"/>
      <w:r>
        <w:rPr>
          <w:rFonts w:hint="eastAsia" w:ascii="宋体" w:hAnsi="宋体" w:cs="宋体"/>
          <w:snapToGrid w:val="0"/>
          <w:kern w:val="0"/>
          <w:sz w:val="24"/>
          <w:highlight w:val="none"/>
          <w:u w:val="single"/>
        </w:rPr>
        <w:t xml:space="preserve">      </w:t>
      </w:r>
      <w:bookmarkEnd w:id="473"/>
      <w:r>
        <w:rPr>
          <w:rFonts w:hint="eastAsia" w:ascii="宋体" w:hAnsi="宋体" w:cs="宋体"/>
          <w:snapToGrid w:val="0"/>
          <w:kern w:val="0"/>
          <w:sz w:val="24"/>
          <w:highlight w:val="none"/>
        </w:rPr>
        <w:t>元)；</w:t>
      </w:r>
    </w:p>
    <w:p>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（3）专业工程暂估价金额：</w:t>
      </w:r>
    </w:p>
    <w:p>
      <w:pPr>
        <w:snapToGrid w:val="0"/>
        <w:spacing w:line="360" w:lineRule="auto"/>
        <w:rPr>
          <w:rFonts w:ascii="宋体" w:hAnsi="宋体" w:cs="宋体"/>
          <w:snapToGrid w:val="0"/>
          <w:kern w:val="0"/>
          <w:sz w:val="24"/>
          <w:highlight w:val="none"/>
        </w:rPr>
      </w:pPr>
      <w:r>
        <w:rPr>
          <w:rFonts w:hint="eastAsia" w:ascii="宋体" w:hAnsi="宋体" w:cs="宋体"/>
          <w:snapToGrid w:val="0"/>
          <w:kern w:val="0"/>
          <w:sz w:val="24"/>
          <w:highlight w:val="none"/>
        </w:rPr>
        <w:t xml:space="preserve">     人民币（大写）</w:t>
      </w:r>
      <w:bookmarkStart w:id="474" w:name="SOA_hhxys_gczgjdx"/>
      <w:r>
        <w:rPr>
          <w:rFonts w:hint="eastAsia" w:ascii="宋体" w:hAnsi="宋体" w:cs="宋体"/>
          <w:snapToGrid w:val="0"/>
          <w:kern w:val="0"/>
          <w:sz w:val="24"/>
          <w:highlight w:val="none"/>
          <w:u w:val="single"/>
        </w:rPr>
        <w:t xml:space="preserve">       </w:t>
      </w:r>
      <w:bookmarkEnd w:id="474"/>
      <w:r>
        <w:rPr>
          <w:rFonts w:hint="eastAsia" w:ascii="宋体" w:hAnsi="宋体" w:cs="宋体"/>
          <w:snapToGrid w:val="0"/>
          <w:kern w:val="0"/>
          <w:sz w:val="24"/>
          <w:highlight w:val="none"/>
        </w:rPr>
        <w:t>(¥</w:t>
      </w:r>
      <w:bookmarkStart w:id="475" w:name="SOA_hhxys_gczgjxx"/>
      <w:r>
        <w:rPr>
          <w:rFonts w:hint="eastAsia" w:ascii="宋体" w:hAnsi="宋体" w:cs="宋体"/>
          <w:snapToGrid w:val="0"/>
          <w:kern w:val="0"/>
          <w:sz w:val="24"/>
          <w:highlight w:val="none"/>
          <w:u w:val="single"/>
        </w:rPr>
        <w:t xml:space="preserve">       </w:t>
      </w:r>
      <w:bookmarkEnd w:id="475"/>
      <w:r>
        <w:rPr>
          <w:rFonts w:hint="eastAsia" w:ascii="宋体" w:hAnsi="宋体" w:cs="宋体"/>
          <w:snapToGrid w:val="0"/>
          <w:kern w:val="0"/>
          <w:sz w:val="24"/>
          <w:highlight w:val="none"/>
        </w:rPr>
        <w:t>元)；</w:t>
      </w:r>
    </w:p>
    <w:p>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（4）暂列金额：</w:t>
      </w:r>
    </w:p>
    <w:p>
      <w:pPr>
        <w:snapToGrid w:val="0"/>
        <w:spacing w:line="360" w:lineRule="auto"/>
        <w:rPr>
          <w:rFonts w:ascii="宋体" w:hAnsi="宋体" w:cs="宋体"/>
          <w:snapToGrid w:val="0"/>
          <w:kern w:val="0"/>
          <w:sz w:val="24"/>
          <w:highlight w:val="none"/>
        </w:rPr>
      </w:pPr>
      <w:r>
        <w:rPr>
          <w:rFonts w:hint="eastAsia" w:ascii="宋体" w:hAnsi="宋体" w:cs="宋体"/>
          <w:snapToGrid w:val="0"/>
          <w:kern w:val="0"/>
          <w:sz w:val="24"/>
          <w:highlight w:val="none"/>
        </w:rPr>
        <w:t xml:space="preserve">     人民币（大写）</w:t>
      </w:r>
      <w:bookmarkStart w:id="476" w:name="SOA_hhxys_zljedx"/>
      <w:r>
        <w:rPr>
          <w:rFonts w:hint="eastAsia" w:ascii="宋体" w:hAnsi="宋体" w:cs="宋体"/>
          <w:snapToGrid w:val="0"/>
          <w:kern w:val="0"/>
          <w:sz w:val="24"/>
          <w:highlight w:val="none"/>
          <w:u w:val="single"/>
        </w:rPr>
        <w:t xml:space="preserve">       </w:t>
      </w:r>
      <w:bookmarkEnd w:id="476"/>
      <w:r>
        <w:rPr>
          <w:rFonts w:hint="eastAsia" w:ascii="宋体" w:hAnsi="宋体" w:cs="宋体"/>
          <w:snapToGrid w:val="0"/>
          <w:kern w:val="0"/>
          <w:sz w:val="24"/>
          <w:highlight w:val="none"/>
        </w:rPr>
        <w:t>(¥</w:t>
      </w:r>
      <w:bookmarkStart w:id="477" w:name="SOA_hhxys_zljexx"/>
      <w:r>
        <w:rPr>
          <w:rFonts w:hint="eastAsia" w:ascii="宋体" w:hAnsi="宋体" w:cs="宋体"/>
          <w:snapToGrid w:val="0"/>
          <w:kern w:val="0"/>
          <w:sz w:val="24"/>
          <w:highlight w:val="none"/>
          <w:u w:val="single"/>
        </w:rPr>
        <w:t xml:space="preserve">        </w:t>
      </w:r>
      <w:bookmarkEnd w:id="477"/>
      <w:r>
        <w:rPr>
          <w:rFonts w:hint="eastAsia" w:ascii="宋体" w:hAnsi="宋体" w:cs="宋体"/>
          <w:snapToGrid w:val="0"/>
          <w:kern w:val="0"/>
          <w:sz w:val="24"/>
          <w:highlight w:val="none"/>
        </w:rPr>
        <w:t>元)。</w:t>
      </w:r>
    </w:p>
    <w:p>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2.合同价格形式：</w:t>
      </w:r>
      <w:r>
        <w:rPr>
          <w:rFonts w:hint="eastAsia" w:ascii="宋体" w:hAnsi="宋体" w:cs="宋体"/>
          <w:snapToGrid w:val="0"/>
          <w:kern w:val="0"/>
          <w:sz w:val="24"/>
          <w:highlight w:val="none"/>
          <w:u w:val="single"/>
        </w:rPr>
        <w:t></w:t>
      </w:r>
      <w:bookmarkStart w:id="478" w:name="SOA_hhxys_htjgxs"/>
      <w:r>
        <w:rPr>
          <w:rFonts w:hint="eastAsia" w:ascii="宋体" w:hAnsi="宋体" w:cs="宋体"/>
          <w:snapToGrid w:val="0"/>
          <w:kern w:val="0"/>
          <w:sz w:val="24"/>
          <w:highlight w:val="none"/>
          <w:u w:val="single"/>
          <w:lang w:val="en-US" w:eastAsia="zh-CN"/>
        </w:rPr>
        <w:t xml:space="preserve">  固定综合单价</w:t>
      </w:r>
      <w:r>
        <w:rPr>
          <w:rFonts w:hint="eastAsia" w:ascii="宋体" w:hAnsi="宋体" w:cs="宋体"/>
          <w:snapToGrid w:val="0"/>
          <w:kern w:val="0"/>
          <w:sz w:val="24"/>
          <w:highlight w:val="none"/>
          <w:u w:val="single"/>
        </w:rPr>
        <w:t xml:space="preserve">  </w:t>
      </w:r>
      <w:bookmarkEnd w:id="478"/>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w:t>
      </w:r>
    </w:p>
    <w:p>
      <w:pPr>
        <w:snapToGrid w:val="0"/>
        <w:spacing w:line="360" w:lineRule="auto"/>
        <w:outlineLvl w:val="1"/>
        <w:rPr>
          <w:rFonts w:ascii="宋体" w:hAnsi="宋体" w:cs="宋体"/>
          <w:b/>
          <w:bCs/>
          <w:snapToGrid w:val="0"/>
          <w:kern w:val="0"/>
          <w:sz w:val="24"/>
          <w:highlight w:val="none"/>
        </w:rPr>
      </w:pPr>
      <w:bookmarkStart w:id="479" w:name="_Toc97299502"/>
      <w:bookmarkStart w:id="480" w:name="_Toc24110"/>
      <w:bookmarkStart w:id="481" w:name="_Toc361220414"/>
      <w:r>
        <w:rPr>
          <w:rFonts w:hint="eastAsia" w:ascii="宋体" w:hAnsi="宋体" w:cs="宋体"/>
          <w:b/>
          <w:bCs/>
          <w:snapToGrid w:val="0"/>
          <w:kern w:val="0"/>
          <w:sz w:val="24"/>
          <w:highlight w:val="none"/>
        </w:rPr>
        <w:t>五、项目经理</w:t>
      </w:r>
      <w:bookmarkEnd w:id="479"/>
      <w:bookmarkEnd w:id="480"/>
      <w:bookmarkEnd w:id="481"/>
    </w:p>
    <w:p>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承包人项目经理：</w:t>
      </w:r>
      <w:r>
        <w:rPr>
          <w:rFonts w:hint="eastAsia" w:ascii="宋体" w:hAnsi="宋体" w:cs="宋体"/>
          <w:snapToGrid w:val="0"/>
          <w:kern w:val="0"/>
          <w:sz w:val="24"/>
          <w:highlight w:val="none"/>
          <w:u w:val="single"/>
        </w:rPr>
        <w:t></w:t>
      </w:r>
      <w:bookmarkStart w:id="482" w:name="SOA_hhxys_cbrxmjl"/>
      <w:r>
        <w:rPr>
          <w:rFonts w:hint="eastAsia" w:ascii="宋体" w:hAnsi="宋体" w:cs="宋体"/>
          <w:snapToGrid w:val="0"/>
          <w:kern w:val="0"/>
          <w:sz w:val="24"/>
          <w:highlight w:val="none"/>
          <w:u w:val="single"/>
        </w:rPr>
        <w:t xml:space="preserve">        </w:t>
      </w:r>
      <w:bookmarkEnd w:id="482"/>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w:t>
      </w:r>
    </w:p>
    <w:p>
      <w:pPr>
        <w:snapToGrid w:val="0"/>
        <w:spacing w:line="360" w:lineRule="auto"/>
        <w:outlineLvl w:val="1"/>
        <w:rPr>
          <w:rFonts w:ascii="宋体" w:hAnsi="宋体" w:cs="宋体"/>
          <w:b/>
          <w:bCs/>
          <w:snapToGrid w:val="0"/>
          <w:kern w:val="0"/>
          <w:sz w:val="24"/>
          <w:highlight w:val="none"/>
        </w:rPr>
      </w:pPr>
      <w:bookmarkStart w:id="483" w:name="_Toc21514"/>
      <w:bookmarkStart w:id="484" w:name="_Toc97299503"/>
      <w:bookmarkStart w:id="485" w:name="_Toc361220415"/>
      <w:r>
        <w:rPr>
          <w:rFonts w:hint="eastAsia" w:ascii="宋体" w:hAnsi="宋体" w:cs="宋体"/>
          <w:b/>
          <w:bCs/>
          <w:snapToGrid w:val="0"/>
          <w:kern w:val="0"/>
          <w:sz w:val="24"/>
          <w:highlight w:val="none"/>
        </w:rPr>
        <w:t>六、合同文件构成</w:t>
      </w:r>
      <w:bookmarkEnd w:id="483"/>
      <w:bookmarkEnd w:id="484"/>
      <w:bookmarkEnd w:id="485"/>
    </w:p>
    <w:p>
      <w:pPr>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本协议书与下列文件一起构成合同文件：</w:t>
      </w:r>
    </w:p>
    <w:p>
      <w:pPr>
        <w:autoSpaceDE w:val="0"/>
        <w:autoSpaceDN w:val="0"/>
        <w:snapToGrid w:val="0"/>
        <w:spacing w:line="360" w:lineRule="auto"/>
        <w:ind w:firstLine="480" w:firstLineChars="200"/>
        <w:jc w:val="left"/>
        <w:rPr>
          <w:rFonts w:ascii="宋体" w:hAnsi="宋体" w:cs="宋体"/>
          <w:snapToGrid w:val="0"/>
          <w:kern w:val="0"/>
          <w:sz w:val="24"/>
          <w:highlight w:val="none"/>
        </w:rPr>
      </w:pPr>
      <w:r>
        <w:rPr>
          <w:rFonts w:hint="eastAsia" w:ascii="宋体" w:hAnsi="宋体" w:cs="宋体"/>
          <w:snapToGrid w:val="0"/>
          <w:kern w:val="0"/>
          <w:sz w:val="24"/>
          <w:highlight w:val="none"/>
        </w:rPr>
        <w:t>（1）成交通知书（如果有）；</w:t>
      </w:r>
    </w:p>
    <w:p>
      <w:pPr>
        <w:autoSpaceDE w:val="0"/>
        <w:autoSpaceDN w:val="0"/>
        <w:snapToGrid w:val="0"/>
        <w:spacing w:line="360" w:lineRule="auto"/>
        <w:ind w:firstLine="480" w:firstLineChars="200"/>
        <w:jc w:val="left"/>
        <w:rPr>
          <w:rFonts w:ascii="宋体" w:hAnsi="宋体" w:cs="宋体"/>
          <w:snapToGrid w:val="0"/>
          <w:kern w:val="0"/>
          <w:sz w:val="24"/>
          <w:highlight w:val="none"/>
        </w:rPr>
      </w:pPr>
      <w:r>
        <w:rPr>
          <w:rFonts w:hint="eastAsia" w:ascii="宋体" w:hAnsi="宋体" w:cs="宋体"/>
          <w:snapToGrid w:val="0"/>
          <w:kern w:val="0"/>
          <w:sz w:val="24"/>
          <w:highlight w:val="none"/>
        </w:rPr>
        <w:t xml:space="preserve">（2）响应函及其附录（如果有）； </w:t>
      </w:r>
    </w:p>
    <w:p>
      <w:pPr>
        <w:autoSpaceDE w:val="0"/>
        <w:autoSpaceDN w:val="0"/>
        <w:snapToGrid w:val="0"/>
        <w:spacing w:line="360" w:lineRule="auto"/>
        <w:ind w:firstLine="480" w:firstLineChars="200"/>
        <w:jc w:val="left"/>
        <w:rPr>
          <w:rFonts w:ascii="宋体" w:hAnsi="宋体" w:cs="宋体"/>
          <w:snapToGrid w:val="0"/>
          <w:kern w:val="0"/>
          <w:sz w:val="24"/>
          <w:highlight w:val="none"/>
        </w:rPr>
      </w:pPr>
      <w:r>
        <w:rPr>
          <w:rFonts w:hint="eastAsia" w:ascii="宋体" w:hAnsi="宋体" w:cs="宋体"/>
          <w:snapToGrid w:val="0"/>
          <w:kern w:val="0"/>
          <w:sz w:val="24"/>
          <w:highlight w:val="none"/>
        </w:rPr>
        <w:t>（3）专用合同条款及其附件；</w:t>
      </w:r>
    </w:p>
    <w:p>
      <w:pPr>
        <w:autoSpaceDE w:val="0"/>
        <w:autoSpaceDN w:val="0"/>
        <w:snapToGrid w:val="0"/>
        <w:spacing w:line="360" w:lineRule="auto"/>
        <w:ind w:firstLine="480" w:firstLineChars="200"/>
        <w:jc w:val="left"/>
        <w:rPr>
          <w:rFonts w:ascii="宋体" w:hAnsi="宋体" w:cs="宋体"/>
          <w:snapToGrid w:val="0"/>
          <w:kern w:val="0"/>
          <w:sz w:val="24"/>
          <w:highlight w:val="none"/>
        </w:rPr>
      </w:pPr>
      <w:r>
        <w:rPr>
          <w:rFonts w:hint="eastAsia" w:ascii="宋体" w:hAnsi="宋体" w:cs="宋体"/>
          <w:snapToGrid w:val="0"/>
          <w:kern w:val="0"/>
          <w:sz w:val="24"/>
          <w:highlight w:val="none"/>
        </w:rPr>
        <w:t>（4）通用合同条款；</w:t>
      </w:r>
    </w:p>
    <w:p>
      <w:pPr>
        <w:autoSpaceDE w:val="0"/>
        <w:autoSpaceDN w:val="0"/>
        <w:snapToGrid w:val="0"/>
        <w:spacing w:line="360" w:lineRule="auto"/>
        <w:ind w:firstLine="480" w:firstLineChars="200"/>
        <w:jc w:val="left"/>
        <w:rPr>
          <w:rFonts w:ascii="宋体" w:hAnsi="宋体" w:cs="宋体"/>
          <w:snapToGrid w:val="0"/>
          <w:kern w:val="0"/>
          <w:sz w:val="24"/>
          <w:highlight w:val="none"/>
        </w:rPr>
      </w:pPr>
      <w:r>
        <w:rPr>
          <w:rFonts w:hint="eastAsia" w:ascii="宋体" w:hAnsi="宋体" w:cs="宋体"/>
          <w:snapToGrid w:val="0"/>
          <w:kern w:val="0"/>
          <w:sz w:val="24"/>
          <w:highlight w:val="none"/>
        </w:rPr>
        <w:t>（5）技术标准和要求；</w:t>
      </w:r>
    </w:p>
    <w:p>
      <w:pPr>
        <w:autoSpaceDE w:val="0"/>
        <w:autoSpaceDN w:val="0"/>
        <w:snapToGrid w:val="0"/>
        <w:spacing w:line="360" w:lineRule="auto"/>
        <w:ind w:firstLine="480" w:firstLineChars="200"/>
        <w:jc w:val="left"/>
        <w:rPr>
          <w:rFonts w:ascii="宋体" w:hAnsi="宋体" w:cs="宋体"/>
          <w:snapToGrid w:val="0"/>
          <w:kern w:val="0"/>
          <w:sz w:val="24"/>
          <w:highlight w:val="none"/>
        </w:rPr>
      </w:pPr>
      <w:r>
        <w:rPr>
          <w:rFonts w:hint="eastAsia" w:ascii="宋体" w:hAnsi="宋体" w:cs="宋体"/>
          <w:snapToGrid w:val="0"/>
          <w:kern w:val="0"/>
          <w:sz w:val="24"/>
          <w:highlight w:val="none"/>
        </w:rPr>
        <w:t>（6）图纸；</w:t>
      </w:r>
    </w:p>
    <w:p>
      <w:pPr>
        <w:autoSpaceDE w:val="0"/>
        <w:autoSpaceDN w:val="0"/>
        <w:snapToGrid w:val="0"/>
        <w:spacing w:line="360" w:lineRule="auto"/>
        <w:ind w:firstLine="480" w:firstLineChars="200"/>
        <w:jc w:val="left"/>
        <w:rPr>
          <w:rFonts w:ascii="宋体" w:hAnsi="宋体" w:cs="宋体"/>
          <w:snapToGrid w:val="0"/>
          <w:kern w:val="0"/>
          <w:sz w:val="24"/>
          <w:highlight w:val="none"/>
        </w:rPr>
      </w:pPr>
      <w:r>
        <w:rPr>
          <w:rFonts w:hint="eastAsia" w:ascii="宋体" w:hAnsi="宋体" w:cs="宋体"/>
          <w:snapToGrid w:val="0"/>
          <w:kern w:val="0"/>
          <w:sz w:val="24"/>
          <w:highlight w:val="none"/>
        </w:rPr>
        <w:t>（7）已标价工程量清单或预算书；</w:t>
      </w:r>
    </w:p>
    <w:p>
      <w:pPr>
        <w:autoSpaceDE w:val="0"/>
        <w:autoSpaceDN w:val="0"/>
        <w:snapToGrid w:val="0"/>
        <w:spacing w:line="360" w:lineRule="auto"/>
        <w:ind w:firstLine="480" w:firstLineChars="200"/>
        <w:jc w:val="left"/>
        <w:rPr>
          <w:rFonts w:ascii="宋体" w:hAnsi="宋体" w:cs="宋体"/>
          <w:snapToGrid w:val="0"/>
          <w:kern w:val="0"/>
          <w:sz w:val="24"/>
          <w:highlight w:val="none"/>
        </w:rPr>
      </w:pPr>
      <w:r>
        <w:rPr>
          <w:rFonts w:hint="eastAsia" w:ascii="宋体" w:hAnsi="宋体" w:cs="宋体"/>
          <w:snapToGrid w:val="0"/>
          <w:kern w:val="0"/>
          <w:sz w:val="24"/>
          <w:highlight w:val="none"/>
        </w:rPr>
        <w:t>（8）其他合同文件。</w:t>
      </w:r>
    </w:p>
    <w:p>
      <w:pPr>
        <w:autoSpaceDE w:val="0"/>
        <w:autoSpaceDN w:val="0"/>
        <w:snapToGrid w:val="0"/>
        <w:spacing w:line="360" w:lineRule="auto"/>
        <w:ind w:firstLine="480" w:firstLineChars="200"/>
        <w:jc w:val="left"/>
        <w:rPr>
          <w:rFonts w:ascii="宋体" w:hAnsi="宋体" w:cs="宋体"/>
          <w:snapToGrid w:val="0"/>
          <w:kern w:val="0"/>
          <w:sz w:val="24"/>
          <w:highlight w:val="none"/>
        </w:rPr>
      </w:pPr>
      <w:r>
        <w:rPr>
          <w:rFonts w:hint="eastAsia" w:ascii="宋体" w:hAnsi="宋体" w:cs="宋体"/>
          <w:snapToGrid w:val="0"/>
          <w:kern w:val="0"/>
          <w:sz w:val="24"/>
          <w:highlight w:val="none"/>
        </w:rPr>
        <w:t>在合同订立及履行过程中形成的与合同有关的文件均构成合同文件组成部分。</w:t>
      </w:r>
    </w:p>
    <w:p>
      <w:pPr>
        <w:autoSpaceDE w:val="0"/>
        <w:autoSpaceDN w:val="0"/>
        <w:snapToGrid w:val="0"/>
        <w:spacing w:line="360" w:lineRule="auto"/>
        <w:ind w:firstLine="480" w:firstLineChars="200"/>
        <w:jc w:val="left"/>
        <w:rPr>
          <w:rFonts w:ascii="宋体" w:hAnsi="宋体" w:cs="宋体"/>
          <w:snapToGrid w:val="0"/>
          <w:kern w:val="0"/>
          <w:sz w:val="24"/>
          <w:highlight w:val="none"/>
        </w:rPr>
      </w:pPr>
      <w:r>
        <w:rPr>
          <w:rFonts w:hint="eastAsia" w:ascii="宋体" w:hAnsi="宋体" w:cs="宋体"/>
          <w:snapToGrid w:val="0"/>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outlineLvl w:val="1"/>
        <w:rPr>
          <w:rFonts w:ascii="宋体" w:hAnsi="宋体" w:cs="宋体"/>
          <w:b/>
          <w:bCs/>
          <w:snapToGrid w:val="0"/>
          <w:kern w:val="0"/>
          <w:sz w:val="24"/>
          <w:highlight w:val="none"/>
        </w:rPr>
      </w:pPr>
      <w:bookmarkStart w:id="486" w:name="_Toc361220416"/>
      <w:bookmarkStart w:id="487" w:name="_Toc97299504"/>
      <w:bookmarkStart w:id="488" w:name="_Toc28639"/>
      <w:r>
        <w:rPr>
          <w:rFonts w:hint="eastAsia" w:ascii="宋体" w:hAnsi="宋体" w:cs="宋体"/>
          <w:b/>
          <w:bCs/>
          <w:snapToGrid w:val="0"/>
          <w:kern w:val="0"/>
          <w:sz w:val="24"/>
          <w:highlight w:val="none"/>
        </w:rPr>
        <w:t>七、承诺</w:t>
      </w:r>
      <w:bookmarkEnd w:id="486"/>
      <w:bookmarkEnd w:id="487"/>
      <w:bookmarkEnd w:id="488"/>
    </w:p>
    <w:p>
      <w:pPr>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1.发包人承诺按照法律规定履行项目审批手续、筹集工程建设资金并按照合同约定的期限和方式支付合同价款。</w:t>
      </w:r>
    </w:p>
    <w:p>
      <w:pPr>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3.发包人和承包人通过</w:t>
      </w:r>
      <w:r>
        <w:rPr>
          <w:rFonts w:hint="eastAsia"/>
          <w:highlight w:val="none"/>
        </w:rPr>
        <w:t>政府采购</w:t>
      </w:r>
      <w:r>
        <w:rPr>
          <w:rFonts w:hint="eastAsia" w:ascii="宋体" w:hAnsi="宋体" w:cs="宋体"/>
          <w:bCs/>
          <w:snapToGrid w:val="0"/>
          <w:kern w:val="0"/>
          <w:sz w:val="24"/>
          <w:highlight w:val="none"/>
        </w:rPr>
        <w:t>形式签订合同的，双方理解并承诺不再就同一工程另行签订与合同实质性内容相背离的协议。</w:t>
      </w:r>
    </w:p>
    <w:p>
      <w:pPr>
        <w:snapToGrid w:val="0"/>
        <w:spacing w:line="360" w:lineRule="auto"/>
        <w:outlineLvl w:val="1"/>
        <w:rPr>
          <w:rFonts w:ascii="宋体" w:hAnsi="宋体" w:cs="宋体"/>
          <w:b/>
          <w:bCs/>
          <w:snapToGrid w:val="0"/>
          <w:kern w:val="0"/>
          <w:sz w:val="24"/>
          <w:highlight w:val="none"/>
        </w:rPr>
      </w:pPr>
      <w:bookmarkStart w:id="489" w:name="_Toc97299505"/>
      <w:bookmarkStart w:id="490" w:name="_Toc361220417"/>
      <w:bookmarkStart w:id="491" w:name="_Toc27535"/>
      <w:r>
        <w:rPr>
          <w:rFonts w:hint="eastAsia" w:ascii="宋体" w:hAnsi="宋体" w:cs="宋体"/>
          <w:b/>
          <w:bCs/>
          <w:snapToGrid w:val="0"/>
          <w:kern w:val="0"/>
          <w:sz w:val="24"/>
          <w:highlight w:val="none"/>
        </w:rPr>
        <w:t>八、词语含义</w:t>
      </w:r>
      <w:bookmarkEnd w:id="489"/>
      <w:bookmarkEnd w:id="490"/>
      <w:bookmarkEnd w:id="491"/>
    </w:p>
    <w:p>
      <w:pPr>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本协议书中词语含义与第二部分通用合同条款中赋予的含义相同。</w:t>
      </w:r>
    </w:p>
    <w:p>
      <w:pPr>
        <w:snapToGrid w:val="0"/>
        <w:spacing w:line="360" w:lineRule="auto"/>
        <w:outlineLvl w:val="1"/>
        <w:rPr>
          <w:rFonts w:ascii="宋体" w:hAnsi="宋体" w:cs="宋体"/>
          <w:b/>
          <w:bCs/>
          <w:snapToGrid w:val="0"/>
          <w:kern w:val="0"/>
          <w:sz w:val="24"/>
          <w:highlight w:val="none"/>
        </w:rPr>
      </w:pPr>
      <w:bookmarkStart w:id="492" w:name="_Toc361220418"/>
      <w:bookmarkStart w:id="493" w:name="_Toc97299506"/>
      <w:bookmarkStart w:id="494" w:name="_Toc29858"/>
      <w:r>
        <w:rPr>
          <w:rFonts w:hint="eastAsia" w:ascii="宋体" w:hAnsi="宋体" w:cs="宋体"/>
          <w:b/>
          <w:bCs/>
          <w:snapToGrid w:val="0"/>
          <w:kern w:val="0"/>
          <w:sz w:val="24"/>
          <w:highlight w:val="none"/>
        </w:rPr>
        <w:t>九、签订时间</w:t>
      </w:r>
      <w:bookmarkEnd w:id="492"/>
      <w:bookmarkEnd w:id="493"/>
      <w:bookmarkEnd w:id="494"/>
    </w:p>
    <w:p>
      <w:pPr>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本合同于</w:t>
      </w:r>
      <w:bookmarkStart w:id="495" w:name="SOA_hhxys_htqdn"/>
      <w:r>
        <w:rPr>
          <w:rFonts w:hint="eastAsia" w:ascii="宋体" w:hAnsi="宋体" w:cs="宋体"/>
          <w:bCs/>
          <w:snapToGrid w:val="0"/>
          <w:kern w:val="0"/>
          <w:sz w:val="24"/>
          <w:highlight w:val="none"/>
          <w:u w:val="single"/>
        </w:rPr>
        <w:t xml:space="preserve">      </w:t>
      </w:r>
      <w:bookmarkEnd w:id="495"/>
      <w:r>
        <w:rPr>
          <w:rFonts w:hint="eastAsia" w:ascii="宋体" w:hAnsi="宋体" w:cs="宋体"/>
          <w:bCs/>
          <w:snapToGrid w:val="0"/>
          <w:kern w:val="0"/>
          <w:sz w:val="24"/>
          <w:highlight w:val="none"/>
        </w:rPr>
        <w:t>年</w:t>
      </w:r>
      <w:bookmarkStart w:id="496" w:name="SOA_hhxys_htqdy"/>
      <w:r>
        <w:rPr>
          <w:rFonts w:hint="eastAsia" w:ascii="宋体" w:hAnsi="宋体" w:cs="宋体"/>
          <w:bCs/>
          <w:snapToGrid w:val="0"/>
          <w:kern w:val="0"/>
          <w:sz w:val="24"/>
          <w:highlight w:val="none"/>
          <w:u w:val="single"/>
        </w:rPr>
        <w:t xml:space="preserve">      </w:t>
      </w:r>
      <w:bookmarkEnd w:id="496"/>
      <w:r>
        <w:rPr>
          <w:rFonts w:hint="eastAsia" w:ascii="宋体" w:hAnsi="宋体" w:cs="宋体"/>
          <w:bCs/>
          <w:snapToGrid w:val="0"/>
          <w:kern w:val="0"/>
          <w:sz w:val="24"/>
          <w:highlight w:val="none"/>
        </w:rPr>
        <w:t>月</w:t>
      </w:r>
      <w:bookmarkStart w:id="497" w:name="SOA_hhxys_htqdr"/>
      <w:r>
        <w:rPr>
          <w:rFonts w:hint="eastAsia" w:ascii="宋体" w:hAnsi="宋体" w:cs="宋体"/>
          <w:bCs/>
          <w:snapToGrid w:val="0"/>
          <w:kern w:val="0"/>
          <w:sz w:val="24"/>
          <w:highlight w:val="none"/>
          <w:u w:val="single"/>
        </w:rPr>
        <w:t xml:space="preserve">      </w:t>
      </w:r>
      <w:bookmarkEnd w:id="497"/>
      <w:r>
        <w:rPr>
          <w:rFonts w:hint="eastAsia" w:ascii="宋体" w:hAnsi="宋体" w:cs="宋体"/>
          <w:bCs/>
          <w:snapToGrid w:val="0"/>
          <w:kern w:val="0"/>
          <w:sz w:val="24"/>
          <w:highlight w:val="none"/>
        </w:rPr>
        <w:t>日签订。</w:t>
      </w:r>
    </w:p>
    <w:p>
      <w:pPr>
        <w:snapToGrid w:val="0"/>
        <w:spacing w:line="360" w:lineRule="auto"/>
        <w:outlineLvl w:val="1"/>
        <w:rPr>
          <w:rFonts w:ascii="宋体" w:hAnsi="宋体" w:cs="宋体"/>
          <w:b/>
          <w:bCs/>
          <w:snapToGrid w:val="0"/>
          <w:kern w:val="0"/>
          <w:sz w:val="24"/>
          <w:highlight w:val="none"/>
        </w:rPr>
      </w:pPr>
      <w:bookmarkStart w:id="498" w:name="_Toc26606"/>
      <w:bookmarkStart w:id="499" w:name="_Toc97299507"/>
      <w:bookmarkStart w:id="500" w:name="_Toc361220419"/>
      <w:r>
        <w:rPr>
          <w:rFonts w:hint="eastAsia" w:ascii="宋体" w:hAnsi="宋体" w:cs="宋体"/>
          <w:b/>
          <w:bCs/>
          <w:snapToGrid w:val="0"/>
          <w:kern w:val="0"/>
          <w:sz w:val="24"/>
          <w:highlight w:val="none"/>
        </w:rPr>
        <w:t>十、签订地点</w:t>
      </w:r>
      <w:bookmarkEnd w:id="498"/>
      <w:bookmarkEnd w:id="499"/>
      <w:bookmarkEnd w:id="500"/>
    </w:p>
    <w:p>
      <w:pPr>
        <w:snapToGrid w:val="0"/>
        <w:spacing w:line="360" w:lineRule="auto"/>
        <w:rPr>
          <w:rFonts w:ascii="宋体" w:hAnsi="宋体" w:cs="宋体"/>
          <w:bCs/>
          <w:snapToGrid w:val="0"/>
          <w:kern w:val="0"/>
          <w:sz w:val="24"/>
          <w:highlight w:val="none"/>
        </w:rPr>
      </w:pPr>
      <w:r>
        <w:rPr>
          <w:rFonts w:hint="eastAsia" w:ascii="宋体" w:hAnsi="宋体" w:cs="宋体"/>
          <w:bCs/>
          <w:snapToGrid w:val="0"/>
          <w:kern w:val="0"/>
          <w:sz w:val="24"/>
          <w:highlight w:val="none"/>
        </w:rPr>
        <w:t xml:space="preserve">    本合同在</w:t>
      </w:r>
      <w:r>
        <w:rPr>
          <w:rFonts w:hint="eastAsia" w:ascii="宋体" w:hAnsi="宋体" w:cs="宋体"/>
          <w:bCs/>
          <w:snapToGrid w:val="0"/>
          <w:kern w:val="0"/>
          <w:sz w:val="24"/>
          <w:highlight w:val="none"/>
          <w:u w:val="single"/>
        </w:rPr>
        <w:t xml:space="preserve">   </w:t>
      </w:r>
      <w:bookmarkStart w:id="501" w:name="SOA_zyht_htqddd"/>
      <w:r>
        <w:rPr>
          <w:rFonts w:hint="eastAsia" w:ascii="宋体" w:hAnsi="宋体" w:cs="宋体"/>
          <w:bCs/>
          <w:snapToGrid w:val="0"/>
          <w:kern w:val="0"/>
          <w:sz w:val="24"/>
          <w:highlight w:val="none"/>
          <w:u w:val="single"/>
        </w:rPr>
        <w:t xml:space="preserve">  杭州   </w:t>
      </w:r>
      <w:bookmarkEnd w:id="501"/>
      <w:r>
        <w:rPr>
          <w:rFonts w:hint="eastAsia" w:ascii="宋体" w:hAnsi="宋体" w:cs="宋体"/>
          <w:bCs/>
          <w:snapToGrid w:val="0"/>
          <w:kern w:val="0"/>
          <w:sz w:val="24"/>
          <w:highlight w:val="none"/>
          <w:u w:val="single"/>
        </w:rPr>
        <w:t xml:space="preserve">  </w:t>
      </w:r>
      <w:r>
        <w:rPr>
          <w:rFonts w:hint="eastAsia" w:ascii="宋体" w:hAnsi="宋体" w:cs="宋体"/>
          <w:bCs/>
          <w:snapToGrid w:val="0"/>
          <w:kern w:val="0"/>
          <w:sz w:val="24"/>
          <w:highlight w:val="none"/>
        </w:rPr>
        <w:t>签订。</w:t>
      </w:r>
    </w:p>
    <w:p>
      <w:pPr>
        <w:snapToGrid w:val="0"/>
        <w:spacing w:line="360" w:lineRule="auto"/>
        <w:outlineLvl w:val="1"/>
        <w:rPr>
          <w:rFonts w:ascii="宋体" w:hAnsi="宋体" w:cs="宋体"/>
          <w:b/>
          <w:bCs/>
          <w:snapToGrid w:val="0"/>
          <w:kern w:val="0"/>
          <w:sz w:val="24"/>
          <w:highlight w:val="none"/>
        </w:rPr>
      </w:pPr>
      <w:bookmarkStart w:id="502" w:name="_Toc361220420"/>
      <w:bookmarkStart w:id="503" w:name="_Toc6575"/>
      <w:bookmarkStart w:id="504" w:name="_Toc97299508"/>
      <w:r>
        <w:rPr>
          <w:rFonts w:hint="eastAsia" w:ascii="宋体" w:hAnsi="宋体" w:cs="宋体"/>
          <w:b/>
          <w:bCs/>
          <w:snapToGrid w:val="0"/>
          <w:kern w:val="0"/>
          <w:sz w:val="24"/>
          <w:highlight w:val="none"/>
        </w:rPr>
        <w:t>十一、补充协议</w:t>
      </w:r>
      <w:bookmarkEnd w:id="502"/>
      <w:bookmarkEnd w:id="503"/>
      <w:bookmarkEnd w:id="504"/>
    </w:p>
    <w:p>
      <w:pPr>
        <w:snapToGrid w:val="0"/>
        <w:spacing w:line="360" w:lineRule="auto"/>
        <w:ind w:firstLine="480" w:firstLineChars="200"/>
        <w:rPr>
          <w:rFonts w:ascii="宋体" w:hAnsi="宋体" w:cs="宋体"/>
          <w:b/>
          <w:bCs/>
          <w:snapToGrid w:val="0"/>
          <w:kern w:val="0"/>
          <w:sz w:val="24"/>
          <w:highlight w:val="none"/>
        </w:rPr>
      </w:pPr>
      <w:r>
        <w:rPr>
          <w:rFonts w:hint="eastAsia" w:ascii="宋体" w:hAnsi="宋体" w:cs="宋体"/>
          <w:bCs/>
          <w:snapToGrid w:val="0"/>
          <w:kern w:val="0"/>
          <w:sz w:val="24"/>
          <w:highlight w:val="none"/>
        </w:rPr>
        <w:t>合同未尽事宜，合同当事人另行签订补充协议，补充协议是合同的组成部分。</w:t>
      </w:r>
    </w:p>
    <w:p>
      <w:pPr>
        <w:snapToGrid w:val="0"/>
        <w:spacing w:line="360" w:lineRule="auto"/>
        <w:outlineLvl w:val="1"/>
        <w:rPr>
          <w:rFonts w:ascii="宋体" w:hAnsi="宋体" w:cs="宋体"/>
          <w:b/>
          <w:bCs/>
          <w:snapToGrid w:val="0"/>
          <w:kern w:val="0"/>
          <w:sz w:val="24"/>
          <w:highlight w:val="none"/>
        </w:rPr>
      </w:pPr>
      <w:bookmarkStart w:id="505" w:name="_Toc31728"/>
      <w:bookmarkStart w:id="506" w:name="_Toc97299509"/>
      <w:bookmarkStart w:id="507" w:name="_Toc361220421"/>
      <w:r>
        <w:rPr>
          <w:rFonts w:hint="eastAsia" w:ascii="宋体" w:hAnsi="宋体" w:cs="宋体"/>
          <w:b/>
          <w:bCs/>
          <w:snapToGrid w:val="0"/>
          <w:kern w:val="0"/>
          <w:sz w:val="24"/>
          <w:highlight w:val="none"/>
        </w:rPr>
        <w:t>十二、合同生效</w:t>
      </w:r>
      <w:bookmarkEnd w:id="505"/>
      <w:bookmarkEnd w:id="506"/>
      <w:bookmarkEnd w:id="507"/>
    </w:p>
    <w:p>
      <w:pPr>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本合同自</w:t>
      </w:r>
      <w:r>
        <w:rPr>
          <w:rFonts w:hint="eastAsia" w:ascii="宋体" w:hAnsi="宋体" w:cs="宋体"/>
          <w:bCs/>
          <w:snapToGrid w:val="0"/>
          <w:kern w:val="0"/>
          <w:sz w:val="24"/>
          <w:highlight w:val="none"/>
          <w:u w:val="single"/>
        </w:rPr>
        <w:t xml:space="preserve">  </w:t>
      </w:r>
      <w:bookmarkStart w:id="508" w:name="SOA_hhxys_htsx"/>
      <w:r>
        <w:rPr>
          <w:rFonts w:hint="eastAsia" w:ascii="宋体" w:hAnsi="宋体" w:cs="宋体"/>
          <w:bCs/>
          <w:snapToGrid w:val="0"/>
          <w:kern w:val="0"/>
          <w:sz w:val="24"/>
          <w:highlight w:val="none"/>
          <w:u w:val="single"/>
        </w:rPr>
        <w:t xml:space="preserve">  </w:t>
      </w:r>
      <w:r>
        <w:rPr>
          <w:rFonts w:hint="eastAsia" w:ascii="宋体" w:hAnsi="宋体" w:cs="宋体"/>
          <w:b/>
          <w:bCs/>
          <w:snapToGrid w:val="0"/>
          <w:kern w:val="0"/>
          <w:sz w:val="24"/>
          <w:highlight w:val="none"/>
          <w:u w:val="single"/>
        </w:rPr>
        <w:t xml:space="preserve">   </w:t>
      </w:r>
      <w:r>
        <w:rPr>
          <w:rFonts w:hint="eastAsia" w:ascii="宋体" w:hAnsi="宋体" w:cs="宋体"/>
          <w:bCs/>
          <w:snapToGrid w:val="0"/>
          <w:kern w:val="0"/>
          <w:sz w:val="24"/>
          <w:highlight w:val="none"/>
          <w:u w:val="single"/>
        </w:rPr>
        <w:t xml:space="preserve">   </w:t>
      </w:r>
      <w:bookmarkEnd w:id="508"/>
      <w:r>
        <w:rPr>
          <w:rFonts w:hint="eastAsia" w:ascii="宋体" w:hAnsi="宋体" w:cs="宋体"/>
          <w:bCs/>
          <w:snapToGrid w:val="0"/>
          <w:kern w:val="0"/>
          <w:sz w:val="24"/>
          <w:highlight w:val="none"/>
          <w:u w:val="single"/>
        </w:rPr>
        <w:t xml:space="preserve">  </w:t>
      </w:r>
      <w:r>
        <w:rPr>
          <w:rFonts w:hint="eastAsia" w:ascii="宋体" w:hAnsi="宋体" w:cs="宋体"/>
          <w:bCs/>
          <w:snapToGrid w:val="0"/>
          <w:kern w:val="0"/>
          <w:sz w:val="24"/>
          <w:highlight w:val="none"/>
        </w:rPr>
        <w:t>生效。</w:t>
      </w:r>
    </w:p>
    <w:p>
      <w:pPr>
        <w:snapToGrid w:val="0"/>
        <w:spacing w:line="360" w:lineRule="auto"/>
        <w:outlineLvl w:val="1"/>
        <w:rPr>
          <w:rFonts w:ascii="宋体" w:hAnsi="宋体" w:cs="宋体"/>
          <w:b/>
          <w:bCs/>
          <w:snapToGrid w:val="0"/>
          <w:kern w:val="0"/>
          <w:sz w:val="24"/>
          <w:highlight w:val="none"/>
        </w:rPr>
      </w:pPr>
      <w:bookmarkStart w:id="509" w:name="_Toc361220422"/>
      <w:bookmarkStart w:id="510" w:name="_Toc24401"/>
      <w:bookmarkStart w:id="511" w:name="_Toc97299510"/>
      <w:r>
        <w:rPr>
          <w:rFonts w:hint="eastAsia" w:ascii="宋体" w:hAnsi="宋体" w:cs="宋体"/>
          <w:b/>
          <w:bCs/>
          <w:snapToGrid w:val="0"/>
          <w:kern w:val="0"/>
          <w:sz w:val="24"/>
          <w:highlight w:val="none"/>
        </w:rPr>
        <w:t>十三、合同份数</w:t>
      </w:r>
      <w:bookmarkEnd w:id="509"/>
      <w:bookmarkEnd w:id="510"/>
      <w:bookmarkEnd w:id="511"/>
    </w:p>
    <w:p>
      <w:pPr>
        <w:snapToGrid w:val="0"/>
        <w:spacing w:line="360" w:lineRule="auto"/>
        <w:ind w:left="210" w:leftChars="100" w:firstLine="240" w:firstLineChars="100"/>
        <w:rPr>
          <w:rFonts w:ascii="宋体" w:hAnsi="宋体" w:cs="宋体"/>
          <w:bCs/>
          <w:snapToGrid w:val="0"/>
          <w:kern w:val="0"/>
          <w:sz w:val="24"/>
          <w:highlight w:val="none"/>
        </w:rPr>
      </w:pPr>
      <w:r>
        <w:rPr>
          <w:rFonts w:hint="eastAsia" w:ascii="宋体" w:hAnsi="宋体" w:cs="宋体"/>
          <w:bCs/>
          <w:snapToGrid w:val="0"/>
          <w:kern w:val="0"/>
          <w:sz w:val="24"/>
          <w:highlight w:val="none"/>
        </w:rPr>
        <w:t>本合同一式</w:t>
      </w:r>
      <w:r>
        <w:rPr>
          <w:rFonts w:hint="eastAsia" w:ascii="宋体" w:hAnsi="宋体" w:cs="宋体"/>
          <w:b/>
          <w:bCs/>
          <w:snapToGrid w:val="0"/>
          <w:kern w:val="0"/>
          <w:sz w:val="24"/>
          <w:highlight w:val="none"/>
          <w:u w:val="single"/>
          <w:lang w:val="en-US" w:eastAsia="zh-CN"/>
        </w:rPr>
        <w:t xml:space="preserve"> 柒 </w:t>
      </w:r>
      <w:r>
        <w:rPr>
          <w:rFonts w:hint="eastAsia" w:ascii="宋体" w:hAnsi="宋体" w:cs="宋体"/>
          <w:bCs/>
          <w:snapToGrid w:val="0"/>
          <w:kern w:val="0"/>
          <w:sz w:val="24"/>
          <w:highlight w:val="none"/>
        </w:rPr>
        <w:t>份，均具有同等法律效力，发包人执</w:t>
      </w:r>
      <w:r>
        <w:rPr>
          <w:rFonts w:hint="eastAsia" w:ascii="宋体" w:hAnsi="宋体" w:cs="宋体"/>
          <w:bCs/>
          <w:snapToGrid w:val="0"/>
          <w:kern w:val="0"/>
          <w:sz w:val="24"/>
          <w:highlight w:val="none"/>
          <w:u w:val="single"/>
        </w:rPr>
        <w:t xml:space="preserve"> </w:t>
      </w:r>
      <w:r>
        <w:rPr>
          <w:rFonts w:hint="eastAsia" w:ascii="宋体" w:hAnsi="宋体" w:cs="宋体"/>
          <w:bCs/>
          <w:snapToGrid w:val="0"/>
          <w:kern w:val="0"/>
          <w:sz w:val="24"/>
          <w:highlight w:val="none"/>
          <w:u w:val="single"/>
          <w:lang w:val="en-US" w:eastAsia="zh-CN"/>
        </w:rPr>
        <w:t>叁</w:t>
      </w:r>
      <w:r>
        <w:rPr>
          <w:rFonts w:hint="eastAsia" w:ascii="宋体" w:hAnsi="宋体" w:cs="宋体"/>
          <w:bCs/>
          <w:snapToGrid w:val="0"/>
          <w:kern w:val="0"/>
          <w:sz w:val="24"/>
          <w:highlight w:val="none"/>
          <w:u w:val="single"/>
        </w:rPr>
        <w:t xml:space="preserve"> </w:t>
      </w:r>
      <w:r>
        <w:rPr>
          <w:rFonts w:hint="eastAsia" w:ascii="宋体" w:hAnsi="宋体" w:cs="宋体"/>
          <w:bCs/>
          <w:snapToGrid w:val="0"/>
          <w:kern w:val="0"/>
          <w:sz w:val="24"/>
          <w:highlight w:val="none"/>
        </w:rPr>
        <w:t>份，承包人执</w:t>
      </w:r>
      <w:r>
        <w:rPr>
          <w:rFonts w:hint="eastAsia" w:ascii="宋体" w:hAnsi="宋体" w:cs="宋体"/>
          <w:b/>
          <w:snapToGrid w:val="0"/>
          <w:kern w:val="0"/>
          <w:sz w:val="24"/>
          <w:highlight w:val="none"/>
          <w:u w:val="single"/>
        </w:rPr>
        <w:t xml:space="preserve"> </w:t>
      </w:r>
      <w:r>
        <w:rPr>
          <w:rFonts w:hint="eastAsia" w:ascii="宋体" w:hAnsi="宋体" w:cs="宋体"/>
          <w:b/>
          <w:snapToGrid w:val="0"/>
          <w:kern w:val="0"/>
          <w:sz w:val="24"/>
          <w:highlight w:val="none"/>
          <w:u w:val="single"/>
          <w:lang w:val="en-US" w:eastAsia="zh-CN"/>
        </w:rPr>
        <w:t>叁</w:t>
      </w:r>
      <w:r>
        <w:rPr>
          <w:rFonts w:hint="eastAsia" w:ascii="宋体" w:hAnsi="宋体" w:cs="宋体"/>
          <w:b/>
          <w:snapToGrid w:val="0"/>
          <w:kern w:val="0"/>
          <w:sz w:val="24"/>
          <w:highlight w:val="none"/>
          <w:u w:val="single"/>
        </w:rPr>
        <w:t xml:space="preserve"> </w:t>
      </w:r>
      <w:r>
        <w:rPr>
          <w:rFonts w:hint="eastAsia" w:ascii="宋体" w:hAnsi="宋体" w:cs="宋体"/>
          <w:bCs/>
          <w:snapToGrid w:val="0"/>
          <w:kern w:val="0"/>
          <w:sz w:val="24"/>
          <w:highlight w:val="none"/>
        </w:rPr>
        <w:t>份</w:t>
      </w:r>
      <w:r>
        <w:rPr>
          <w:rFonts w:hint="eastAsia" w:ascii="宋体" w:hAnsi="宋体" w:cs="宋体"/>
          <w:bCs/>
          <w:snapToGrid w:val="0"/>
          <w:kern w:val="0"/>
          <w:sz w:val="24"/>
          <w:highlight w:val="none"/>
          <w:lang w:eastAsia="zh-CN"/>
        </w:rPr>
        <w:t>，</w:t>
      </w:r>
      <w:r>
        <w:rPr>
          <w:rFonts w:hint="eastAsia" w:ascii="宋体" w:hAnsi="宋体" w:eastAsia="宋体" w:cs="宋体"/>
          <w:color w:val="000000" w:themeColor="text1"/>
          <w:spacing w:val="0"/>
          <w:highlight w:val="none"/>
          <w14:textFill>
            <w14:solidFill>
              <w14:schemeClr w14:val="tx1"/>
            </w14:solidFill>
          </w14:textFill>
        </w:rPr>
        <w:t>采购代理机构</w:t>
      </w:r>
      <w:r>
        <w:rPr>
          <w:rFonts w:hint="eastAsia" w:ascii="宋体" w:hAnsi="宋体" w:cs="宋体"/>
          <w:bCs/>
          <w:snapToGrid w:val="0"/>
          <w:kern w:val="0"/>
          <w:sz w:val="24"/>
          <w:highlight w:val="none"/>
        </w:rPr>
        <w:t>执</w:t>
      </w:r>
      <w:r>
        <w:rPr>
          <w:rFonts w:hint="eastAsia" w:ascii="宋体" w:hAnsi="宋体" w:cs="宋体"/>
          <w:bCs/>
          <w:snapToGrid w:val="0"/>
          <w:kern w:val="0"/>
          <w:sz w:val="24"/>
          <w:highlight w:val="none"/>
          <w:u w:val="single"/>
          <w:lang w:val="en-US" w:eastAsia="zh-CN"/>
        </w:rPr>
        <w:t xml:space="preserve"> 壹 </w:t>
      </w:r>
      <w:r>
        <w:rPr>
          <w:rFonts w:hint="eastAsia" w:ascii="宋体" w:hAnsi="宋体" w:cs="宋体"/>
          <w:bCs/>
          <w:snapToGrid w:val="0"/>
          <w:kern w:val="0"/>
          <w:sz w:val="24"/>
          <w:highlight w:val="none"/>
        </w:rPr>
        <w:t>份。</w:t>
      </w:r>
    </w:p>
    <w:p>
      <w:pPr>
        <w:snapToGrid w:val="0"/>
        <w:spacing w:line="360" w:lineRule="auto"/>
        <w:ind w:firstLine="480" w:firstLineChars="200"/>
        <w:rPr>
          <w:rFonts w:ascii="宋体" w:hAnsi="宋体" w:cs="宋体"/>
          <w:snapToGrid w:val="0"/>
          <w:kern w:val="0"/>
          <w:sz w:val="24"/>
          <w:highlight w:val="none"/>
        </w:rPr>
      </w:pPr>
    </w:p>
    <w:p>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发包人：</w:t>
      </w:r>
      <w:r>
        <w:rPr>
          <w:rFonts w:hint="eastAsia" w:ascii="宋体" w:hAnsi="宋体" w:cs="宋体"/>
          <w:snapToGrid w:val="0"/>
          <w:kern w:val="0"/>
          <w:sz w:val="24"/>
          <w:highlight w:val="none"/>
          <w:lang w:val="en-US" w:eastAsia="zh-CN"/>
        </w:rPr>
        <w:t>中国美术学院</w:t>
      </w:r>
      <w:r>
        <w:rPr>
          <w:rFonts w:hint="eastAsia" w:ascii="宋体" w:hAnsi="宋体" w:cs="宋体"/>
          <w:snapToGrid w:val="0"/>
          <w:kern w:val="0"/>
          <w:sz w:val="24"/>
          <w:highlight w:val="none"/>
        </w:rPr>
        <w:t xml:space="preserve">  (</w:t>
      </w:r>
      <w:r>
        <w:rPr>
          <w:rFonts w:hint="eastAsia" w:ascii="宋体" w:hAnsi="宋体" w:cs="宋体"/>
          <w:snapToGrid w:val="0"/>
          <w:kern w:val="0"/>
          <w:sz w:val="24"/>
          <w:highlight w:val="none"/>
          <w:lang w:val="en-US" w:eastAsia="zh-CN"/>
        </w:rPr>
        <w:t>盖章</w:t>
      </w:r>
      <w:r>
        <w:rPr>
          <w:rFonts w:hint="eastAsia" w:ascii="宋体" w:hAnsi="宋体" w:cs="宋体"/>
          <w:snapToGrid w:val="0"/>
          <w:kern w:val="0"/>
          <w:sz w:val="24"/>
          <w:highlight w:val="none"/>
        </w:rPr>
        <w:t>)</w:t>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承包人：  (</w:t>
      </w:r>
      <w:r>
        <w:rPr>
          <w:rFonts w:hint="eastAsia" w:ascii="宋体" w:hAnsi="宋体" w:cs="宋体"/>
          <w:snapToGrid w:val="0"/>
          <w:kern w:val="0"/>
          <w:sz w:val="24"/>
          <w:highlight w:val="none"/>
          <w:lang w:val="en-US" w:eastAsia="zh-CN"/>
        </w:rPr>
        <w:t>盖章</w:t>
      </w:r>
      <w:r>
        <w:rPr>
          <w:rFonts w:hint="eastAsia" w:ascii="宋体" w:hAnsi="宋体" w:cs="宋体"/>
          <w:snapToGrid w:val="0"/>
          <w:kern w:val="0"/>
          <w:sz w:val="24"/>
          <w:highlight w:val="none"/>
        </w:rPr>
        <w:t>)</w:t>
      </w:r>
    </w:p>
    <w:p>
      <w:pPr>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snapToGrid w:val="0"/>
          <w:kern w:val="0"/>
          <w:sz w:val="24"/>
          <w:highlight w:val="none"/>
        </w:rPr>
        <w:t>法定代表人或其委托代理人：</w:t>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法定代表人或其委托代理人：</w:t>
      </w:r>
    </w:p>
    <w:p>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（签字</w:t>
      </w:r>
      <w:r>
        <w:rPr>
          <w:rFonts w:hint="eastAsia" w:ascii="宋体" w:hAnsi="宋体" w:cs="宋体"/>
          <w:snapToGrid w:val="0"/>
          <w:kern w:val="0"/>
          <w:sz w:val="24"/>
          <w:highlight w:val="none"/>
          <w:lang w:val="en-US" w:eastAsia="zh-CN"/>
        </w:rPr>
        <w:t>或盖章</w:t>
      </w:r>
      <w:r>
        <w:rPr>
          <w:rFonts w:hint="eastAsia" w:ascii="宋体" w:hAnsi="宋体" w:cs="宋体"/>
          <w:snapToGrid w:val="0"/>
          <w:kern w:val="0"/>
          <w:sz w:val="24"/>
          <w:highlight w:val="none"/>
        </w:rPr>
        <w:t>）</w:t>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（签字</w:t>
      </w:r>
      <w:r>
        <w:rPr>
          <w:rFonts w:hint="eastAsia" w:ascii="宋体" w:hAnsi="宋体" w:cs="宋体"/>
          <w:snapToGrid w:val="0"/>
          <w:kern w:val="0"/>
          <w:sz w:val="24"/>
          <w:highlight w:val="none"/>
          <w:lang w:val="en-US" w:eastAsia="zh-CN"/>
        </w:rPr>
        <w:t>或盖章</w:t>
      </w:r>
      <w:r>
        <w:rPr>
          <w:rFonts w:hint="eastAsia" w:ascii="宋体" w:hAnsi="宋体" w:cs="宋体"/>
          <w:snapToGrid w:val="0"/>
          <w:kern w:val="0"/>
          <w:sz w:val="24"/>
          <w:highlight w:val="none"/>
        </w:rPr>
        <w:t>）</w:t>
      </w:r>
    </w:p>
    <w:p>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组织机构代码：</w:t>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lang w:val="en-US" w:eastAsia="zh-CN"/>
        </w:rPr>
        <w:t xml:space="preserve">       </w:t>
      </w:r>
      <w:r>
        <w:rPr>
          <w:rFonts w:hint="eastAsia" w:ascii="宋体" w:hAnsi="宋体" w:cs="宋体"/>
          <w:snapToGrid w:val="0"/>
          <w:kern w:val="0"/>
          <w:sz w:val="24"/>
          <w:highlight w:val="none"/>
        </w:rPr>
        <w:t>组织机构代码：</w:t>
      </w:r>
      <w:bookmarkStart w:id="512" w:name="SOA_hhxys_zjjgdm1"/>
      <w:r>
        <w:rPr>
          <w:rFonts w:hint="eastAsia" w:ascii="宋体" w:hAnsi="宋体" w:cs="宋体"/>
          <w:snapToGrid w:val="0"/>
          <w:kern w:val="0"/>
          <w:sz w:val="24"/>
          <w:highlight w:val="none"/>
          <w:u w:val="single"/>
        </w:rPr>
        <w:t xml:space="preserve">      </w:t>
      </w:r>
      <w:bookmarkEnd w:id="512"/>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 xml:space="preserve">  </w:t>
      </w:r>
    </w:p>
    <w:p>
      <w:pPr>
        <w:snapToGrid w:val="0"/>
        <w:spacing w:line="360" w:lineRule="auto"/>
        <w:ind w:firstLine="480" w:firstLineChars="200"/>
        <w:rPr>
          <w:rFonts w:ascii="宋体" w:hAnsi="宋体" w:cs="宋体"/>
          <w:snapToGrid w:val="0"/>
          <w:kern w:val="0"/>
          <w:sz w:val="24"/>
          <w:highlight w:val="none"/>
          <w:u w:val="single"/>
        </w:rPr>
      </w:pPr>
      <w:r>
        <w:rPr>
          <w:rFonts w:hint="eastAsia" w:ascii="宋体" w:hAnsi="宋体" w:cs="宋体"/>
          <w:snapToGrid w:val="0"/>
          <w:kern w:val="0"/>
          <w:sz w:val="24"/>
          <w:highlight w:val="none"/>
        </w:rPr>
        <w:t>地  址：</w:t>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lang w:val="en-US" w:eastAsia="zh-CN"/>
        </w:rPr>
        <w:t xml:space="preserve">       </w:t>
      </w:r>
      <w:r>
        <w:rPr>
          <w:rFonts w:hint="eastAsia" w:ascii="宋体" w:hAnsi="宋体" w:cs="宋体"/>
          <w:snapToGrid w:val="0"/>
          <w:kern w:val="0"/>
          <w:sz w:val="24"/>
          <w:highlight w:val="none"/>
        </w:rPr>
        <w:t>地  址：</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 xml:space="preserve">     </w:t>
      </w:r>
    </w:p>
    <w:p>
      <w:pPr>
        <w:snapToGrid w:val="0"/>
        <w:spacing w:line="360" w:lineRule="auto"/>
        <w:ind w:firstLine="480" w:firstLineChars="200"/>
        <w:rPr>
          <w:rFonts w:ascii="宋体" w:hAnsi="宋体" w:cs="宋体"/>
          <w:snapToGrid w:val="0"/>
          <w:kern w:val="0"/>
          <w:sz w:val="24"/>
          <w:highlight w:val="none"/>
          <w:u w:val="single"/>
        </w:rPr>
      </w:pPr>
      <w:r>
        <w:rPr>
          <w:rFonts w:hint="eastAsia" w:ascii="宋体" w:hAnsi="宋体" w:cs="宋体"/>
          <w:snapToGrid w:val="0"/>
          <w:kern w:val="0"/>
          <w:sz w:val="24"/>
          <w:highlight w:val="none"/>
        </w:rPr>
        <w:t>邮政编码：</w:t>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lang w:val="en-US" w:eastAsia="zh-CN"/>
        </w:rPr>
        <w:t xml:space="preserve">       </w:t>
      </w:r>
      <w:r>
        <w:rPr>
          <w:rFonts w:hint="eastAsia" w:ascii="宋体" w:hAnsi="宋体" w:cs="宋体"/>
          <w:snapToGrid w:val="0"/>
          <w:kern w:val="0"/>
          <w:sz w:val="24"/>
          <w:highlight w:val="none"/>
        </w:rPr>
        <w:t>邮政编码：</w:t>
      </w:r>
      <w:bookmarkStart w:id="513" w:name="SOA_hhxys_cbryb"/>
      <w:r>
        <w:rPr>
          <w:rFonts w:hint="eastAsia" w:ascii="宋体" w:hAnsi="宋体" w:cs="宋体"/>
          <w:snapToGrid w:val="0"/>
          <w:kern w:val="0"/>
          <w:sz w:val="24"/>
          <w:highlight w:val="none"/>
          <w:u w:val="single"/>
        </w:rPr>
        <w:t xml:space="preserve">             </w:t>
      </w:r>
      <w:bookmarkEnd w:id="513"/>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 xml:space="preserve">    </w:t>
      </w:r>
    </w:p>
    <w:p>
      <w:pPr>
        <w:snapToGrid w:val="0"/>
        <w:spacing w:line="360" w:lineRule="auto"/>
        <w:ind w:firstLine="480" w:firstLineChars="200"/>
        <w:rPr>
          <w:rFonts w:ascii="宋体" w:hAnsi="宋体" w:cs="宋体"/>
          <w:snapToGrid w:val="0"/>
          <w:kern w:val="0"/>
          <w:sz w:val="24"/>
          <w:highlight w:val="none"/>
          <w:u w:val="single"/>
        </w:rPr>
      </w:pPr>
      <w:r>
        <w:rPr>
          <w:rFonts w:hint="eastAsia" w:ascii="宋体" w:hAnsi="宋体" w:cs="宋体"/>
          <w:snapToGrid w:val="0"/>
          <w:kern w:val="0"/>
          <w:sz w:val="24"/>
          <w:highlight w:val="none"/>
        </w:rPr>
        <w:t>法定代表人：</w:t>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lang w:val="en-US" w:eastAsia="zh-CN"/>
        </w:rPr>
        <w:t xml:space="preserve">       </w:t>
      </w:r>
      <w:r>
        <w:rPr>
          <w:rFonts w:hint="eastAsia" w:ascii="宋体" w:hAnsi="宋体" w:cs="宋体"/>
          <w:snapToGrid w:val="0"/>
          <w:kern w:val="0"/>
          <w:sz w:val="24"/>
          <w:highlight w:val="none"/>
        </w:rPr>
        <w:t>法定代表人：</w:t>
      </w:r>
      <w:bookmarkStart w:id="514" w:name="SOA_hhxys_fddbr1"/>
      <w:r>
        <w:rPr>
          <w:rFonts w:hint="eastAsia" w:ascii="宋体" w:hAnsi="宋体" w:cs="宋体"/>
          <w:snapToGrid w:val="0"/>
          <w:kern w:val="0"/>
          <w:sz w:val="24"/>
          <w:highlight w:val="none"/>
          <w:u w:val="single"/>
        </w:rPr>
        <w:t xml:space="preserve">     </w:t>
      </w:r>
      <w:bookmarkEnd w:id="514"/>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 xml:space="preserve">  </w:t>
      </w:r>
    </w:p>
    <w:p>
      <w:pPr>
        <w:snapToGrid w:val="0"/>
        <w:spacing w:line="360" w:lineRule="auto"/>
        <w:ind w:firstLine="480" w:firstLineChars="200"/>
        <w:rPr>
          <w:rFonts w:ascii="宋体" w:hAnsi="宋体" w:cs="宋体"/>
          <w:snapToGrid w:val="0"/>
          <w:kern w:val="0"/>
          <w:sz w:val="24"/>
          <w:highlight w:val="none"/>
          <w:u w:val="single"/>
        </w:rPr>
      </w:pPr>
      <w:r>
        <w:rPr>
          <w:rFonts w:hint="eastAsia" w:ascii="宋体" w:hAnsi="宋体" w:cs="宋体"/>
          <w:snapToGrid w:val="0"/>
          <w:kern w:val="0"/>
          <w:sz w:val="24"/>
          <w:highlight w:val="none"/>
        </w:rPr>
        <w:t>委托代理人：</w:t>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lang w:val="en-US" w:eastAsia="zh-CN"/>
        </w:rPr>
        <w:t xml:space="preserve">       </w:t>
      </w:r>
      <w:r>
        <w:rPr>
          <w:rFonts w:hint="eastAsia" w:ascii="宋体" w:hAnsi="宋体" w:cs="宋体"/>
          <w:snapToGrid w:val="0"/>
          <w:kern w:val="0"/>
          <w:sz w:val="24"/>
          <w:highlight w:val="none"/>
        </w:rPr>
        <w:t>委托代理人：</w:t>
      </w:r>
      <w:bookmarkStart w:id="515" w:name="SOA_hhxys_wtdlr1"/>
      <w:r>
        <w:rPr>
          <w:rFonts w:hint="eastAsia" w:ascii="宋体" w:hAnsi="宋体" w:cs="宋体"/>
          <w:snapToGrid w:val="0"/>
          <w:kern w:val="0"/>
          <w:sz w:val="24"/>
          <w:highlight w:val="none"/>
          <w:u w:val="single"/>
        </w:rPr>
        <w:t xml:space="preserve">    </w:t>
      </w:r>
      <w:bookmarkEnd w:id="515"/>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 xml:space="preserve">  </w:t>
      </w:r>
    </w:p>
    <w:p>
      <w:pPr>
        <w:snapToGrid w:val="0"/>
        <w:spacing w:line="360" w:lineRule="auto"/>
        <w:ind w:firstLine="480" w:firstLineChars="200"/>
        <w:rPr>
          <w:rFonts w:ascii="宋体" w:hAnsi="宋体" w:cs="宋体"/>
          <w:snapToGrid w:val="0"/>
          <w:kern w:val="0"/>
          <w:sz w:val="24"/>
          <w:highlight w:val="none"/>
          <w:u w:val="single"/>
        </w:rPr>
      </w:pPr>
      <w:r>
        <w:rPr>
          <w:rFonts w:hint="eastAsia" w:ascii="宋体" w:hAnsi="宋体" w:cs="宋体"/>
          <w:snapToGrid w:val="0"/>
          <w:kern w:val="0"/>
          <w:sz w:val="24"/>
          <w:highlight w:val="none"/>
        </w:rPr>
        <w:t>电  话：</w:t>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lang w:val="en-US" w:eastAsia="zh-CN"/>
        </w:rPr>
        <w:t xml:space="preserve">       </w:t>
      </w:r>
      <w:r>
        <w:rPr>
          <w:rFonts w:hint="eastAsia" w:ascii="宋体" w:hAnsi="宋体" w:cs="宋体"/>
          <w:snapToGrid w:val="0"/>
          <w:kern w:val="0"/>
          <w:sz w:val="24"/>
          <w:highlight w:val="none"/>
        </w:rPr>
        <w:t>电  话：</w:t>
      </w:r>
      <w:bookmarkStart w:id="516" w:name="SOA_hhxys_cbrdh"/>
      <w:r>
        <w:rPr>
          <w:rFonts w:hint="eastAsia" w:ascii="宋体" w:hAnsi="宋体" w:cs="宋体"/>
          <w:snapToGrid w:val="0"/>
          <w:kern w:val="0"/>
          <w:sz w:val="24"/>
          <w:highlight w:val="none"/>
          <w:u w:val="single"/>
        </w:rPr>
        <w:t xml:space="preserve">            </w:t>
      </w:r>
      <w:bookmarkEnd w:id="516"/>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 xml:space="preserve">     </w:t>
      </w:r>
    </w:p>
    <w:p>
      <w:pPr>
        <w:snapToGrid w:val="0"/>
        <w:spacing w:line="360" w:lineRule="auto"/>
        <w:ind w:firstLine="480" w:firstLineChars="200"/>
        <w:rPr>
          <w:rFonts w:ascii="宋体" w:hAnsi="宋体" w:cs="宋体"/>
          <w:snapToGrid w:val="0"/>
          <w:kern w:val="0"/>
          <w:sz w:val="24"/>
          <w:highlight w:val="none"/>
          <w:u w:val="single"/>
        </w:rPr>
      </w:pPr>
      <w:r>
        <w:rPr>
          <w:rFonts w:hint="eastAsia" w:ascii="宋体" w:hAnsi="宋体" w:cs="宋体"/>
          <w:snapToGrid w:val="0"/>
          <w:kern w:val="0"/>
          <w:sz w:val="24"/>
          <w:highlight w:val="none"/>
        </w:rPr>
        <w:t>开户银行：</w:t>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lang w:val="en-US" w:eastAsia="zh-CN"/>
        </w:rPr>
        <w:t xml:space="preserve">       </w:t>
      </w:r>
      <w:r>
        <w:rPr>
          <w:rFonts w:hint="eastAsia" w:ascii="宋体" w:hAnsi="宋体" w:cs="宋体"/>
          <w:snapToGrid w:val="0"/>
          <w:kern w:val="0"/>
          <w:sz w:val="24"/>
          <w:highlight w:val="none"/>
        </w:rPr>
        <w:t>开户银行：</w:t>
      </w:r>
      <w:r>
        <w:rPr>
          <w:rFonts w:hint="eastAsia" w:ascii="宋体" w:hAnsi="宋体" w:cs="宋体"/>
          <w:snapToGrid w:val="0"/>
          <w:kern w:val="0"/>
          <w:sz w:val="24"/>
          <w:highlight w:val="none"/>
          <w:u w:val="single"/>
        </w:rPr>
        <w:t xml:space="preserve">                 </w:t>
      </w:r>
    </w:p>
    <w:p>
      <w:pPr>
        <w:snapToGrid w:val="0"/>
        <w:spacing w:line="360" w:lineRule="auto"/>
        <w:ind w:firstLine="480" w:firstLineChars="200"/>
        <w:rPr>
          <w:rFonts w:ascii="宋体" w:hAnsi="宋体" w:cs="宋体"/>
          <w:snapToGrid w:val="0"/>
          <w:kern w:val="0"/>
          <w:sz w:val="24"/>
          <w:highlight w:val="none"/>
          <w:u w:val="single"/>
        </w:rPr>
      </w:pPr>
      <w:r>
        <w:rPr>
          <w:rFonts w:hint="eastAsia" w:ascii="宋体" w:hAnsi="宋体" w:cs="宋体"/>
          <w:snapToGrid w:val="0"/>
          <w:kern w:val="0"/>
          <w:sz w:val="24"/>
          <w:highlight w:val="none"/>
        </w:rPr>
        <w:t>账  号：</w:t>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lang w:val="en-US" w:eastAsia="zh-CN"/>
        </w:rPr>
        <w:t xml:space="preserve">       </w:t>
      </w:r>
      <w:r>
        <w:rPr>
          <w:rFonts w:hint="eastAsia" w:ascii="宋体" w:hAnsi="宋体" w:cs="宋体"/>
          <w:snapToGrid w:val="0"/>
          <w:kern w:val="0"/>
          <w:sz w:val="24"/>
          <w:highlight w:val="none"/>
        </w:rPr>
        <w:t>账  号：</w:t>
      </w:r>
      <w:r>
        <w:rPr>
          <w:rFonts w:hint="eastAsia" w:ascii="宋体" w:hAnsi="宋体" w:cs="宋体"/>
          <w:snapToGrid w:val="0"/>
          <w:kern w:val="0"/>
          <w:sz w:val="24"/>
          <w:highlight w:val="none"/>
          <w:u w:val="single"/>
        </w:rPr>
        <w:t></w:t>
      </w:r>
      <w:bookmarkStart w:id="517" w:name="SOA_hhxys_cbrzh"/>
      <w:r>
        <w:rPr>
          <w:rFonts w:hint="eastAsia" w:ascii="宋体" w:hAnsi="宋体" w:cs="宋体"/>
          <w:snapToGrid w:val="0"/>
          <w:kern w:val="0"/>
          <w:sz w:val="24"/>
          <w:highlight w:val="none"/>
          <w:u w:val="single"/>
        </w:rPr>
        <w:t xml:space="preserve"> </w:t>
      </w:r>
      <w:bookmarkEnd w:id="517"/>
      <w:r>
        <w:rPr>
          <w:rFonts w:hint="eastAsia" w:ascii="宋体" w:hAnsi="宋体" w:cs="宋体"/>
          <w:snapToGrid w:val="0"/>
          <w:kern w:val="0"/>
          <w:sz w:val="24"/>
          <w:highlight w:val="none"/>
          <w:u w:val="single"/>
        </w:rPr>
        <w:t xml:space="preserve">        </w:t>
      </w:r>
    </w:p>
    <w:p>
      <w:pPr>
        <w:adjustRightInd/>
        <w:spacing w:line="360" w:lineRule="auto"/>
        <w:ind w:firstLine="480" w:firstLineChars="200"/>
        <w:rPr>
          <w:rFonts w:hint="eastAsia" w:ascii="宋体" w:hAnsi="宋体" w:cs="宋体"/>
          <w:bCs/>
          <w:kern w:val="0"/>
          <w:sz w:val="24"/>
          <w:highlight w:val="none"/>
        </w:rPr>
      </w:pP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采购代理机构：</w:t>
      </w:r>
      <w:r>
        <w:rPr>
          <w:rFonts w:hint="eastAsia" w:ascii="宋体" w:hAnsi="宋体" w:cs="宋体"/>
          <w:bCs/>
          <w:kern w:val="0"/>
          <w:sz w:val="24"/>
          <w:highlight w:val="none"/>
          <w:lang w:val="en-US" w:eastAsia="zh-CN"/>
        </w:rPr>
        <w:t xml:space="preserve">           </w:t>
      </w:r>
      <w:r>
        <w:rPr>
          <w:rFonts w:hint="eastAsia" w:ascii="宋体" w:hAnsi="宋体" w:cs="宋体"/>
          <w:bCs/>
          <w:kern w:val="0"/>
          <w:sz w:val="24"/>
          <w:highlight w:val="none"/>
        </w:rPr>
        <w:t>（</w:t>
      </w:r>
      <w:r>
        <w:rPr>
          <w:rFonts w:hint="eastAsia" w:ascii="宋体" w:hAnsi="宋体" w:cs="宋体"/>
          <w:bCs/>
          <w:kern w:val="0"/>
          <w:sz w:val="24"/>
          <w:highlight w:val="none"/>
          <w:lang w:val="en-US" w:eastAsia="zh-CN"/>
        </w:rPr>
        <w:t>盖章</w:t>
      </w:r>
      <w:r>
        <w:rPr>
          <w:rFonts w:hint="eastAsia" w:ascii="宋体" w:hAnsi="宋体" w:cs="宋体"/>
          <w:bCs/>
          <w:kern w:val="0"/>
          <w:sz w:val="24"/>
          <w:highlight w:val="none"/>
        </w:rPr>
        <w:t>）</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采购代理机构代表：（签字）</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地址：</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电话：</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鉴证时间：    年   月   日 </w:t>
      </w:r>
    </w:p>
    <w:p>
      <w:pPr>
        <w:keepNext/>
        <w:keepLines/>
        <w:numPr>
          <w:ilvl w:val="1"/>
          <w:numId w:val="0"/>
        </w:numPr>
        <w:spacing w:before="100" w:line="400" w:lineRule="exact"/>
        <w:jc w:val="center"/>
        <w:outlineLvl w:val="0"/>
        <w:rPr>
          <w:rFonts w:ascii="宋体" w:hAnsi="宋体" w:cs="宋体"/>
          <w:snapToGrid w:val="0"/>
          <w:kern w:val="44"/>
          <w:sz w:val="28"/>
          <w:szCs w:val="20"/>
          <w:highlight w:val="none"/>
        </w:rPr>
      </w:pPr>
      <w:bookmarkStart w:id="518" w:name="_Toc69485879"/>
      <w:bookmarkStart w:id="519" w:name="_Toc31640"/>
      <w:bookmarkStart w:id="520" w:name="_Toc1204"/>
      <w:bookmarkStart w:id="521" w:name="_Toc97299511"/>
      <w:r>
        <w:rPr>
          <w:rFonts w:hint="eastAsia" w:ascii="宋体" w:hAnsi="宋体" w:cs="宋体"/>
          <w:snapToGrid w:val="0"/>
          <w:kern w:val="44"/>
          <w:sz w:val="28"/>
          <w:szCs w:val="20"/>
          <w:highlight w:val="none"/>
        </w:rPr>
        <w:t>第二部分  通用条款（略）</w:t>
      </w:r>
      <w:bookmarkEnd w:id="518"/>
      <w:bookmarkEnd w:id="519"/>
      <w:bookmarkEnd w:id="520"/>
      <w:bookmarkEnd w:id="521"/>
    </w:p>
    <w:p>
      <w:pPr>
        <w:keepNext/>
        <w:keepLines/>
        <w:numPr>
          <w:ilvl w:val="1"/>
          <w:numId w:val="0"/>
        </w:numPr>
        <w:spacing w:before="100" w:line="400" w:lineRule="exact"/>
        <w:jc w:val="center"/>
        <w:outlineLvl w:val="0"/>
        <w:rPr>
          <w:rFonts w:ascii="宋体" w:hAnsi="宋体" w:cs="宋体"/>
          <w:snapToGrid w:val="0"/>
          <w:kern w:val="44"/>
          <w:sz w:val="28"/>
          <w:szCs w:val="20"/>
          <w:highlight w:val="none"/>
        </w:rPr>
      </w:pPr>
      <w:bookmarkStart w:id="522" w:name="_Toc7205"/>
      <w:bookmarkStart w:id="523" w:name="_Toc97299512"/>
      <w:bookmarkStart w:id="524" w:name="_Toc69485880"/>
      <w:bookmarkStart w:id="525" w:name="_Toc8278"/>
      <w:r>
        <w:rPr>
          <w:rFonts w:hint="eastAsia" w:ascii="宋体" w:hAnsi="宋体" w:cs="宋体"/>
          <w:snapToGrid w:val="0"/>
          <w:kern w:val="44"/>
          <w:sz w:val="28"/>
          <w:szCs w:val="20"/>
          <w:highlight w:val="none"/>
        </w:rPr>
        <w:t>第三部分  专用条款</w:t>
      </w:r>
      <w:bookmarkEnd w:id="522"/>
      <w:bookmarkEnd w:id="523"/>
      <w:bookmarkEnd w:id="524"/>
      <w:bookmarkEnd w:id="525"/>
    </w:p>
    <w:p>
      <w:pPr>
        <w:adjustRightInd/>
        <w:spacing w:line="360" w:lineRule="auto"/>
        <w:ind w:firstLine="480" w:firstLineChars="200"/>
        <w:outlineLvl w:val="1"/>
        <w:rPr>
          <w:rFonts w:hint="eastAsia" w:ascii="宋体" w:hAnsi="宋体" w:cs="宋体"/>
          <w:bCs/>
          <w:kern w:val="0"/>
          <w:sz w:val="24"/>
          <w:highlight w:val="none"/>
        </w:rPr>
      </w:pPr>
      <w:bookmarkStart w:id="526" w:name="_Toc7287"/>
      <w:r>
        <w:rPr>
          <w:rFonts w:hint="eastAsia" w:ascii="宋体" w:hAnsi="宋体" w:cs="宋体"/>
          <w:bCs/>
          <w:kern w:val="0"/>
          <w:sz w:val="24"/>
          <w:highlight w:val="none"/>
        </w:rPr>
        <w:t>1. 一般约定</w:t>
      </w:r>
      <w:bookmarkEnd w:id="526"/>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1.1 词语定义</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1.1.1合同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1.1.1.10其他合同文件包括：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1.1.2 合同当事人及其他相关方</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1.1.2.4监理人：</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名    称：；</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资质类别和等级：；</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联系电话：；</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电子信箱：；</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通信地址：。</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1.1.2.5 设计人：</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名    称：；</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资质类别和等级：；</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联系电话：；</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电子信箱：；</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通信地址：。</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1.1.3 工程和设备</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1.1.3.7 作为施工现场组成部分的其他场所包括：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1.1.3.9 永久占地包括：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1.1.3.10 临时占地包括：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1.3法律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适用于合同的其他规范性文件：《中华人民共和国建筑法》、《中华人民共和国民法典》、《中华人民共和国政府采购法》及国家、浙江省、杭州市现行的其它法律、行政法规、地方性法规。</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1.4 标准和规范</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1.4.1适用于工程的标准规范包括：按最新国家标准，地方规范执行。如遇设计或施工规范和标准对同一问题的处理出现矛盾的情况时，承包方应及时通知监理工程师，并提出解决办法，征得监理工程师的同意后实施。</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1.4.2 发包人提供国外标准、规范的名称：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发包人提供国外标准、规范的份数：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发包人提供国外标准、规范的名称：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1.4.3发包人对工程的技术标准和功能要求的特殊要求：按磋商文件相关条款的约定。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1.5 合同文件的优先顺序</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合同文件组成及优先顺序为：</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1、本合同专用条款；2、本合同协议书；3、成交通知书；4、询标纪要；5、磋商文件及磋商补充文件；6、响应文件及其附件（含已标价工程量清单）；7、图纸；8、本合同通用条款； 9、标准、规范及有关技术文件；10、其他合同文件。</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双方有关工程的洽商、变更等书面协议或文件视为本合同的组成部分。除上述合同顺序外，合同文件之间有矛盾的，以时间较晚者为准，任何不在上列的其他文件，皆不影响合同文件，除非双方另签补充合同。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1.6 图纸和承包人文件</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1.6.1 图纸的提供</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发包人向承包人提供图纸的期限：合同签定后7天内；</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发包人向承包人提供图纸的数量：提供施工图纸</w:t>
      </w:r>
      <w:r>
        <w:rPr>
          <w:rFonts w:hint="eastAsia" w:ascii="宋体" w:hAnsi="宋体" w:cs="宋体"/>
          <w:bCs/>
          <w:kern w:val="0"/>
          <w:sz w:val="24"/>
          <w:highlight w:val="none"/>
          <w:lang w:val="en-US" w:eastAsia="zh-CN"/>
        </w:rPr>
        <w:t>___</w:t>
      </w:r>
      <w:r>
        <w:rPr>
          <w:rFonts w:hint="eastAsia" w:ascii="宋体" w:hAnsi="宋体" w:cs="宋体"/>
          <w:bCs/>
          <w:kern w:val="0"/>
          <w:sz w:val="24"/>
          <w:highlight w:val="none"/>
        </w:rPr>
        <w:t>套，如承包人额外需要提供施工图纸的，则额外增加的施工图纸的制作费由承包人承担；</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发包人向承包人提供图纸的内容：不得向他人提供本工程的图纸或将图纸用于其他工程，否则发包人有权解除合同并要求承包人支付【</w:t>
      </w:r>
      <w:r>
        <w:rPr>
          <w:rFonts w:ascii="宋体" w:hAnsi="宋体" w:cs="宋体"/>
          <w:bCs/>
          <w:kern w:val="0"/>
          <w:sz w:val="24"/>
          <w:highlight w:val="none"/>
        </w:rPr>
        <w:t>80</w:t>
      </w:r>
      <w:r>
        <w:rPr>
          <w:rFonts w:hint="eastAsia" w:ascii="宋体" w:hAnsi="宋体" w:cs="宋体"/>
          <w:bCs/>
          <w:kern w:val="0"/>
          <w:sz w:val="24"/>
          <w:highlight w:val="none"/>
        </w:rPr>
        <w:t>00】元违约金。</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1.6.4 承包人文件</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需要由承包人提供的文件，包括：施工组织设计（施工方案）和进度计划；</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承包人提供的文件的期限为：合同签订后叁天内提供，承包人逾期提供施工组织设计（施工方案）和进度计划的，每逾期一天应向发包人支付【1000】元违约金；逾期超过【3】天的，发包人有权解除合同；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承包人提供的文件的数量为：</w:t>
      </w:r>
      <w:r>
        <w:rPr>
          <w:rFonts w:hint="eastAsia" w:ascii="宋体" w:hAnsi="宋体" w:cs="宋体"/>
          <w:bCs/>
          <w:kern w:val="0"/>
          <w:sz w:val="24"/>
          <w:highlight w:val="none"/>
          <w:lang w:val="en-US" w:eastAsia="zh-CN"/>
        </w:rPr>
        <w:t>____</w:t>
      </w:r>
      <w:r>
        <w:rPr>
          <w:rFonts w:hint="eastAsia" w:ascii="宋体" w:hAnsi="宋体" w:cs="宋体"/>
          <w:bCs/>
          <w:kern w:val="0"/>
          <w:sz w:val="24"/>
          <w:highlight w:val="none"/>
        </w:rPr>
        <w:t>套；</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承包人提供的文件的形式为：</w:t>
      </w:r>
      <w:r>
        <w:rPr>
          <w:rFonts w:hint="eastAsia" w:ascii="宋体" w:hAnsi="宋体" w:cs="宋体"/>
          <w:bCs/>
          <w:kern w:val="0"/>
          <w:sz w:val="24"/>
          <w:highlight w:val="none"/>
          <w:lang w:val="en-US" w:eastAsia="zh-CN"/>
        </w:rPr>
        <w:t>___________</w:t>
      </w:r>
      <w:r>
        <w:rPr>
          <w:rFonts w:hint="eastAsia" w:ascii="宋体" w:hAnsi="宋体" w:cs="宋体"/>
          <w:bCs/>
          <w:kern w:val="0"/>
          <w:sz w:val="24"/>
          <w:highlight w:val="none"/>
        </w:rPr>
        <w:t>；</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发包人审批承包人文件的期限：双方协商确定。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1.6.5 现场图纸准备</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关于现场图纸准备的约定：按通用合同条款第1.6.5条规定执行。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1.7 联络</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1.7.1发包人和承包人应当在七天内将与合同有关的通知、批准、证明、证书、指示、指令、要求、请求、同意、意见、确定和决定等书面函件送达对方当事人。</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1.7.2 发包人接收文件的地点：施工现场；</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发包人指定的接收人为：。</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承包人接收文件的地点：施工现场；</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承包人指定的接收人为：，接收人联系方式：。</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监理人接收文件的地点：施工现场；</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监理人指定的接收人为：总监。</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1.10 交通运输</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1.10.1 出入现场的权利</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关于出入现场的权利的约定：按通用合同条款第1.10.1条规定执行。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1.10.3 场内交通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关于场外交通和场内交通的边界的约定：/。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关于发包人向承包人免费提供满足工程施工需要的场内道路和交通设施的约定：利用现有的场内道路和交通设施，如需新建，承包人需在征得发包人同意后自行建设，并承担费用。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1.10.4超大件和超重件的运输</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运输超大件或超重件所需的道路和桥梁临时加固改造费用和其他有关费用由承包人承担。</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本工程的超大件：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本工程的超重件：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1.11 知识产权</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1.11.1关于发包人提供给承包人的图纸、发包人为实施工程自行编制或委托编制的技术规范以及反映发包人关于合同要求或其他类似性质的文件的著作权的归属：著作权属于发包人。</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关于发包人提供的上述文件的使用限制的要求：永久性限制 ，未经发包人事前书面同意，承包人不得以任何形式用于与本合同无关的其他用途，工程竣工后，除为履行保修义务而允许承包人保留一套竣工图外，承包人应在竣工后【15】日内将图纸返还发包人。</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1.11.2 关于承包人为实施工程所编制文件的著作权的归属：除署名权以外的著作权归发包人享有。</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关于承包人提供的上述文件的使用限制的要求：本工程实施过程中，经发包人事前书面同意，在不泄露发包人商业秘密或技术信息的情况下使用。</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1.11.4 承包人在施工过程中所采用的专利、专有技术、技术秘密的使用费的承担方式：承包人自行承担；（除发包人指明外）承包人在施工过程中所采用的专利、专有技术、技术秘密的使用费用均已包含在本合同价款内，发包人不再另行支付。</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1.13工程量清单错误的修正</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出现工程量清单错误时，是否调整合同价格：参照本合同专用条款12.1执行。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允许调整合同价格的工程量偏差范围：    /    。</w:t>
      </w:r>
    </w:p>
    <w:p>
      <w:pPr>
        <w:adjustRightInd/>
        <w:spacing w:line="360" w:lineRule="auto"/>
        <w:ind w:firstLine="480" w:firstLineChars="200"/>
        <w:outlineLvl w:val="1"/>
        <w:rPr>
          <w:rFonts w:hint="eastAsia" w:ascii="宋体" w:hAnsi="宋体" w:cs="宋体"/>
          <w:bCs/>
          <w:kern w:val="0"/>
          <w:sz w:val="24"/>
          <w:highlight w:val="none"/>
        </w:rPr>
      </w:pPr>
      <w:bookmarkStart w:id="527" w:name="_Toc28478"/>
      <w:r>
        <w:rPr>
          <w:rFonts w:hint="eastAsia" w:ascii="宋体" w:hAnsi="宋体" w:cs="宋体"/>
          <w:bCs/>
          <w:kern w:val="0"/>
          <w:sz w:val="24"/>
          <w:highlight w:val="none"/>
        </w:rPr>
        <w:t>2. 发包人</w:t>
      </w:r>
      <w:bookmarkEnd w:id="527"/>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2.2 发包人代表</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发包人代表：</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姓    名：；</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身份证号：；</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职    务：；</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联系电话：；</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电子信箱：；</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通信地址：。</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发包人对发包人代表的授权范围如下：对质量、成本、安全、进度进行全面管理，涉及合同文件签订、合同价格变更、安全事故、质量事故等重大事项的处理须经发包人领导班子签字、发包人盖章同意。</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2.4 施工现场、施工条件和基础资料的提供</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2.4.1 提供施工现场</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关于发包人移交施工现场的期限要求：/。</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2.4.2 提供施工条件</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关于发包人应负责提供施工所需要的条件，包括：</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（1）除选用通用合同条款第2.4.2条规定外，开工前七天，由发包人协助承包人办理好施工所需证件、批件；开工前七天，完成水准点与坐标点双方在施工现场的校验；开工前七天，完成图纸会审和设计交底。</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（2）施工所需的水、电、电讯线路接至施工场地的时间、地点和供应要求：</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①所需正常施工的电源、水源已由发包方在开工前安装至施工现场边缘。</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②施工用电：施工场内临时低压接电及线缆铺设费用要求承包人自理并包括在磋商响应总价内。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③施工用水：施工场内临时用水接水管铺设费用由承包人自理并包括在磋商响应总价内。</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④施工用水、用电费用由承包人承担，费用包含在总价中，工程结算时扣除。</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⑤用电与用水高峰期时供应不足由承包人自行设法解决，费用由承包人综合考虑在报价中，发包人不另支付相关费用。</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协调处理施工场地周围地下管线和邻近建筑物、构筑物（含文物保护建筑）、古树名木的保护工作：发包人在磋商前提供已知原有地下管线资料，承包人在施工前对地下管线提出保护方案，发包人等有关部门及时审核后，费用由承包人承担；发包人未提供且磋商文件未明确需承包人承担的保护工作，承包人需向发包人及时报告施工现场内须保护的新发现的地下管线、邻近建筑物、构筑物（含文物保护建筑）、古树名木。未知地下管线由承包人负责开挖样洞并及时报告工程监理单位及发包人，承包人提出保护方案，发包人等有关部门及时审核后，费用由发包人承担；邻近建筑物、构筑物（含文物保护建筑）、古树名木，承包人严格按照施工图及相关规范规定施工后还须另行保护措施的，由承包人提出保护方案，发包人等有关部门及时审核后，费用协商解决。因承包人施工不当造成的损失，其费用由承包人承担。</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2.5 资金来源证明及支付担保</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发包人提供资金来源证明的期限要求：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发包人是否提供支付担保：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发包人提供支付担保的形式：     /        。</w:t>
      </w:r>
    </w:p>
    <w:p>
      <w:pPr>
        <w:adjustRightInd/>
        <w:spacing w:line="360" w:lineRule="auto"/>
        <w:ind w:firstLine="480" w:firstLineChars="200"/>
        <w:outlineLvl w:val="1"/>
        <w:rPr>
          <w:rFonts w:hint="eastAsia" w:ascii="宋体" w:hAnsi="宋体" w:cs="宋体"/>
          <w:bCs/>
          <w:kern w:val="0"/>
          <w:sz w:val="24"/>
          <w:highlight w:val="none"/>
        </w:rPr>
      </w:pPr>
      <w:bookmarkStart w:id="528" w:name="_Toc17571"/>
      <w:r>
        <w:rPr>
          <w:rFonts w:hint="eastAsia" w:ascii="宋体" w:hAnsi="宋体" w:cs="宋体"/>
          <w:bCs/>
          <w:kern w:val="0"/>
          <w:sz w:val="24"/>
          <w:highlight w:val="none"/>
        </w:rPr>
        <w:t>3. 承包人</w:t>
      </w:r>
      <w:bookmarkEnd w:id="528"/>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3.1 承包人的一般义务</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应提供计划、报表的名称及完成时间：承包人须制定充分、完整、详细的施工组织方案和计划，报监理、学院相关职能部门审核后开工，并编制应急预案一套。每月25日向发包人、监理单位提交当月完成工程量、本月工程产值报表及下月工程进度计划和主要材料使用计划及计划完成产值，一式三份，如不按期提供的，发包人有权拒付工程款。每周一报告本周作业计划，上周实施情况一式二份。（当月已完合格工程量：指上月25日至当月24日的工程量）。</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承担施工安全保卫工作及非夜间施工照明的责任和要求：承办施工暂住人口证手续以及计划生育手续，施工现场的夜间照明线路必须单独敷设，否则应向发包人支付【2000】元违约金。承担施工现场的安全保卫责任以及引起的所有经济和法律责任；承担各级政府管理部门所要求的一切责任以及引起的所有经济和法律责任。</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需承包人办理的有关施工场地交通、环卫和施工噪音管理等手续：遵照政府有关部门对施工场地交通、环卫和施工噪音的管理规定，按规定办理相关手续，费用由承包人负责，发包人给予配合。如承包人违反施工场地交通、环卫和施工噪音的管理规定或未及时办理有关手续的，应向发包人支付【5000】元违约金，由此造成的罚款由承包人承担。</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（4）完工工程成品保护的特殊要求及费用承担：按发包人的要求进行保护，所有费用承包人已在磋商响应报价中包干。</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5）施工现场清洁卫生的要求：承包人结合《浙江省建设工程现场安全文明施工标准化工地管理办法》等省市相关规定，制定相应文明施工措施方案，保证施工现场清洁卫生。如承包人未按文明施工方案实施的，发包人有权责令承包人立即整改，对承包人拒不整改或未按规定期限完成整改的，发包人有权对承包人处以罚款、暂停施工等处罚。本工程承包人搭设的所有临时设施、施工便道等（包括借地范围内），在本工程交工验收合格后3日内自行拆除清运完毕，达到监理和发包人认为合格的使用状态，否则将不予结算。</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（6）承包人提交的竣工资料的内容：向发包方提供竣工图（肆套）、竣工资料及竣工验收报告，并附光盘（含影像资料、图片等）。</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承包人需要提交的竣工资料套数：满足工程所在地建设行政主管部门和城市建设档案管理机构有关施工资料的要求。</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承包人提交的竣工资料的费用承担：承包人承担。</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承包人提交的竣工资料移交时间：竣工验收前十天。</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提交的竣工资料形式要求：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或不完全符合主管部门要求的，工程竣工验收通过后，承包人仍应按要求在收到发包人通知后【7】日内提交完整的符合要求的竣工资料，同时应在发包人指定的时间内向发包人提供符合存档备案要求的竣工图、竣工资料及竣工验收报告等，并有义务配合发包人将该些资料存档备案，否则，每逾期一天，承包人应按照人民币贰仟元向发包人支付违约金，且发包人有权拒付工程款。</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（7）承包人应履行的其他义务：</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a、承包人在工程实施期间应对发包人提供的各项水电设施</w:t>
      </w:r>
      <w:r>
        <w:rPr>
          <w:rFonts w:hint="eastAsia" w:ascii="宋体" w:hAnsi="宋体" w:cs="宋体"/>
          <w:bCs/>
          <w:kern w:val="0"/>
          <w:sz w:val="24"/>
          <w:highlight w:val="none"/>
          <w:lang w:eastAsia="zh-CN"/>
        </w:rPr>
        <w:t>、</w:t>
      </w:r>
      <w:r>
        <w:rPr>
          <w:rFonts w:hint="eastAsia" w:ascii="宋体" w:hAnsi="宋体" w:cs="宋体"/>
          <w:bCs/>
          <w:kern w:val="0"/>
          <w:sz w:val="24"/>
          <w:highlight w:val="none"/>
        </w:rPr>
        <w:t>现场的展具以及吊顶内设备、周边墙地面进行必要的保护，相关费用在磋商响应报价中综合考虑。若由于承包人未能妥善保护</w:t>
      </w:r>
      <w:r>
        <w:rPr>
          <w:rFonts w:hint="eastAsia" w:ascii="宋体" w:hAnsi="宋体" w:cs="宋体"/>
          <w:bCs/>
          <w:kern w:val="0"/>
          <w:sz w:val="24"/>
          <w:highlight w:val="none"/>
          <w:lang w:val="en-US" w:eastAsia="zh-CN"/>
        </w:rPr>
        <w:t>而造成</w:t>
      </w:r>
      <w:r>
        <w:rPr>
          <w:rFonts w:hint="eastAsia" w:ascii="宋体" w:hAnsi="宋体" w:cs="宋体"/>
          <w:bCs/>
          <w:kern w:val="0"/>
          <w:sz w:val="24"/>
          <w:highlight w:val="none"/>
          <w:lang w:eastAsia="zh-CN"/>
        </w:rPr>
        <w:t>展具</w:t>
      </w:r>
      <w:r>
        <w:rPr>
          <w:rFonts w:hint="eastAsia" w:ascii="宋体" w:hAnsi="宋体" w:cs="宋体"/>
          <w:bCs/>
          <w:kern w:val="0"/>
          <w:sz w:val="24"/>
          <w:highlight w:val="none"/>
          <w:lang w:val="en-US" w:eastAsia="zh-CN"/>
        </w:rPr>
        <w:t>损坏</w:t>
      </w:r>
      <w:r>
        <w:rPr>
          <w:rFonts w:hint="eastAsia" w:ascii="宋体" w:hAnsi="宋体" w:cs="宋体"/>
          <w:bCs/>
          <w:kern w:val="0"/>
          <w:sz w:val="24"/>
          <w:highlight w:val="none"/>
        </w:rPr>
        <w:t>，承包人应向发包人支付【</w:t>
      </w:r>
      <w:r>
        <w:rPr>
          <w:rFonts w:hint="eastAsia" w:ascii="宋体" w:hAnsi="宋体" w:cs="宋体"/>
          <w:bCs/>
          <w:kern w:val="0"/>
          <w:sz w:val="24"/>
          <w:highlight w:val="none"/>
          <w:lang w:val="en-US" w:eastAsia="zh-CN"/>
        </w:rPr>
        <w:t>3</w:t>
      </w:r>
      <w:r>
        <w:rPr>
          <w:rFonts w:hint="eastAsia" w:ascii="宋体" w:hAnsi="宋体" w:cs="宋体"/>
          <w:bCs/>
          <w:kern w:val="0"/>
          <w:sz w:val="24"/>
          <w:highlight w:val="none"/>
        </w:rPr>
        <w:t>00</w:t>
      </w:r>
      <w:r>
        <w:rPr>
          <w:rFonts w:hint="eastAsia" w:ascii="宋体" w:hAnsi="宋体" w:cs="宋体"/>
          <w:bCs/>
          <w:kern w:val="0"/>
          <w:sz w:val="24"/>
          <w:highlight w:val="none"/>
          <w:lang w:val="en-US" w:eastAsia="zh-CN"/>
        </w:rPr>
        <w:t>0</w:t>
      </w:r>
      <w:r>
        <w:rPr>
          <w:rFonts w:hint="eastAsia" w:ascii="宋体" w:hAnsi="宋体" w:cs="宋体"/>
          <w:bCs/>
          <w:kern w:val="0"/>
          <w:sz w:val="24"/>
          <w:highlight w:val="none"/>
        </w:rPr>
        <w:t>0】元违约金，</w:t>
      </w:r>
      <w:r>
        <w:rPr>
          <w:rFonts w:hint="eastAsia" w:ascii="宋体" w:hAnsi="宋体" w:cs="宋体"/>
          <w:bCs/>
          <w:kern w:val="0"/>
          <w:sz w:val="24"/>
          <w:highlight w:val="none"/>
          <w:lang w:val="en-US" w:eastAsia="zh-CN"/>
        </w:rPr>
        <w:t>并</w:t>
      </w:r>
      <w:r>
        <w:rPr>
          <w:rFonts w:hint="eastAsia" w:ascii="宋体" w:hAnsi="宋体" w:cs="宋体"/>
          <w:bCs/>
          <w:kern w:val="0"/>
          <w:sz w:val="24"/>
          <w:highlight w:val="none"/>
        </w:rPr>
        <w:t>承担</w:t>
      </w:r>
      <w:r>
        <w:rPr>
          <w:rFonts w:hint="eastAsia" w:ascii="宋体" w:hAnsi="宋体" w:cs="宋体"/>
          <w:bCs/>
          <w:kern w:val="0"/>
          <w:sz w:val="24"/>
          <w:highlight w:val="none"/>
          <w:lang w:val="en-US" w:eastAsia="zh-CN"/>
        </w:rPr>
        <w:t>相应</w:t>
      </w:r>
      <w:r>
        <w:rPr>
          <w:rFonts w:hint="eastAsia" w:ascii="宋体" w:hAnsi="宋体" w:cs="宋体"/>
          <w:bCs/>
          <w:kern w:val="0"/>
          <w:sz w:val="24"/>
          <w:highlight w:val="none"/>
        </w:rPr>
        <w:t>损失</w:t>
      </w:r>
      <w:r>
        <w:rPr>
          <w:rFonts w:hint="eastAsia" w:ascii="宋体" w:hAnsi="宋体" w:cs="宋体"/>
          <w:bCs/>
          <w:kern w:val="0"/>
          <w:sz w:val="24"/>
          <w:highlight w:val="none"/>
          <w:lang w:eastAsia="zh-CN"/>
        </w:rPr>
        <w:t>；</w:t>
      </w:r>
      <w:r>
        <w:rPr>
          <w:rFonts w:hint="eastAsia" w:ascii="宋体" w:hAnsi="宋体" w:cs="宋体"/>
          <w:bCs/>
          <w:kern w:val="0"/>
          <w:sz w:val="24"/>
          <w:highlight w:val="none"/>
        </w:rPr>
        <w:t>若由于承包人未能妥善保护</w:t>
      </w:r>
      <w:r>
        <w:rPr>
          <w:rFonts w:hint="eastAsia" w:ascii="宋体" w:hAnsi="宋体" w:cs="宋体"/>
          <w:bCs/>
          <w:kern w:val="0"/>
          <w:sz w:val="24"/>
          <w:highlight w:val="none"/>
          <w:lang w:val="en-US" w:eastAsia="zh-CN"/>
        </w:rPr>
        <w:t>而造成</w:t>
      </w:r>
      <w:r>
        <w:rPr>
          <w:rFonts w:hint="eastAsia" w:ascii="宋体" w:hAnsi="宋体" w:cs="宋体"/>
          <w:bCs/>
          <w:kern w:val="0"/>
          <w:sz w:val="24"/>
          <w:highlight w:val="none"/>
          <w:lang w:eastAsia="zh-CN"/>
        </w:rPr>
        <w:t>其他设施（不含展具）</w:t>
      </w:r>
      <w:r>
        <w:rPr>
          <w:rFonts w:hint="eastAsia" w:ascii="宋体" w:hAnsi="宋体" w:cs="宋体"/>
          <w:bCs/>
          <w:kern w:val="0"/>
          <w:sz w:val="24"/>
          <w:highlight w:val="none"/>
          <w:lang w:val="en-US" w:eastAsia="zh-CN"/>
        </w:rPr>
        <w:t>损坏</w:t>
      </w:r>
      <w:r>
        <w:rPr>
          <w:rFonts w:hint="eastAsia" w:ascii="宋体" w:hAnsi="宋体" w:cs="宋体"/>
          <w:bCs/>
          <w:kern w:val="0"/>
          <w:sz w:val="24"/>
          <w:highlight w:val="none"/>
        </w:rPr>
        <w:t>，承包人应向发包人支付【500</w:t>
      </w:r>
      <w:r>
        <w:rPr>
          <w:rFonts w:hint="eastAsia" w:ascii="宋体" w:hAnsi="宋体" w:cs="宋体"/>
          <w:bCs/>
          <w:kern w:val="0"/>
          <w:sz w:val="24"/>
          <w:highlight w:val="none"/>
          <w:lang w:val="en-US" w:eastAsia="zh-CN"/>
        </w:rPr>
        <w:t>0</w:t>
      </w:r>
      <w:r>
        <w:rPr>
          <w:rFonts w:hint="eastAsia" w:ascii="宋体" w:hAnsi="宋体" w:cs="宋体"/>
          <w:bCs/>
          <w:kern w:val="0"/>
          <w:sz w:val="24"/>
          <w:highlight w:val="none"/>
        </w:rPr>
        <w:t>】元违约金</w:t>
      </w:r>
      <w:r>
        <w:rPr>
          <w:rFonts w:hint="eastAsia" w:ascii="宋体" w:hAnsi="宋体" w:cs="宋体"/>
          <w:bCs/>
          <w:kern w:val="0"/>
          <w:sz w:val="24"/>
          <w:highlight w:val="none"/>
          <w:lang w:eastAsia="zh-CN"/>
        </w:rPr>
        <w:t>，</w:t>
      </w:r>
      <w:r>
        <w:rPr>
          <w:rFonts w:hint="eastAsia" w:ascii="宋体" w:hAnsi="宋体" w:cs="宋体"/>
          <w:bCs/>
          <w:kern w:val="0"/>
          <w:sz w:val="24"/>
          <w:highlight w:val="none"/>
          <w:lang w:val="en-US" w:eastAsia="zh-CN"/>
        </w:rPr>
        <w:t>并</w:t>
      </w:r>
      <w:r>
        <w:rPr>
          <w:rFonts w:hint="eastAsia" w:ascii="宋体" w:hAnsi="宋体" w:cs="宋体"/>
          <w:bCs/>
          <w:kern w:val="0"/>
          <w:sz w:val="24"/>
          <w:highlight w:val="none"/>
        </w:rPr>
        <w:t>承担</w:t>
      </w:r>
      <w:r>
        <w:rPr>
          <w:rFonts w:hint="eastAsia" w:ascii="宋体" w:hAnsi="宋体" w:cs="宋体"/>
          <w:bCs/>
          <w:kern w:val="0"/>
          <w:sz w:val="24"/>
          <w:highlight w:val="none"/>
          <w:lang w:val="en-US" w:eastAsia="zh-CN"/>
        </w:rPr>
        <w:t>相应</w:t>
      </w:r>
      <w:r>
        <w:rPr>
          <w:rFonts w:hint="eastAsia" w:ascii="宋体" w:hAnsi="宋体" w:cs="宋体"/>
          <w:bCs/>
          <w:kern w:val="0"/>
          <w:sz w:val="24"/>
          <w:highlight w:val="none"/>
        </w:rPr>
        <w:t>损失。</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b、协助发包人和监理工程师避免合同文件之间的差异给工程带来任何损失是承包人的义务，承包人故意隐瞒或不及时向监理工程师通报合同文件中较为明显的差异，承包人应自费纠正或消除此类差异给工程带来的影响。</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c、承包人在施工中，有责任配合发包人或发包人委托的科研单位进行本工程有关的科研监测、测试和检测工作，并不得提出任何费用要求。</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d、承包人在使用地方道路过程中，必须采取一切措施确保车辆正常通行，做到施工、通车两不误，承包人未采取相关措施或采取措施不力的，应向发包人支付【1000】元违约金。由此导致堵车和事故频发或损坏地方道路引起索赔的，相关赔偿、诉讼费用及工程拖延或增加的施工费用等一切费用，由承包人承担。</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e、承包人有责任按发包人、监理人的指令协调、配合工程范围的管线的搬迁（含管线回搬）</w:t>
      </w:r>
      <w:r>
        <w:rPr>
          <w:rFonts w:hint="eastAsia" w:ascii="宋体" w:hAnsi="宋体" w:cs="宋体"/>
          <w:bCs/>
          <w:kern w:val="0"/>
          <w:sz w:val="24"/>
          <w:highlight w:val="none"/>
          <w:lang w:eastAsia="zh-CN"/>
        </w:rPr>
        <w:t>（</w:t>
      </w:r>
      <w:r>
        <w:rPr>
          <w:rFonts w:hint="eastAsia" w:ascii="宋体" w:hAnsi="宋体" w:cs="宋体"/>
          <w:bCs/>
          <w:kern w:val="0"/>
          <w:sz w:val="24"/>
          <w:highlight w:val="none"/>
          <w:lang w:val="en-US" w:eastAsia="zh-CN"/>
        </w:rPr>
        <w:t>0</w:t>
      </w:r>
      <w:r>
        <w:rPr>
          <w:rFonts w:hint="eastAsia" w:ascii="宋体" w:hAnsi="宋体" w:cs="宋体"/>
          <w:bCs/>
          <w:kern w:val="0"/>
          <w:sz w:val="24"/>
          <w:highlight w:val="none"/>
        </w:rPr>
        <w:t>及交通组织（含路面恢复）、绿化迁移、三通一平工作，负责办理市政设施养护管理交接手续，负责对工程范围内已废弃的管线（必要的需经管线单位确认）以及其他障碍物的拆除和处理</w:t>
      </w:r>
      <w:r>
        <w:rPr>
          <w:rFonts w:hint="eastAsia" w:ascii="宋体" w:hAnsi="宋体" w:cs="宋体"/>
          <w:bCs/>
          <w:kern w:val="0"/>
          <w:sz w:val="24"/>
          <w:highlight w:val="none"/>
          <w:lang w:eastAsia="zh-CN"/>
        </w:rPr>
        <w:t>（若涉及）</w:t>
      </w:r>
      <w:r>
        <w:rPr>
          <w:rFonts w:hint="eastAsia" w:ascii="宋体" w:hAnsi="宋体" w:cs="宋体"/>
          <w:bCs/>
          <w:kern w:val="0"/>
          <w:sz w:val="24"/>
          <w:highlight w:val="none"/>
        </w:rPr>
        <w:t>。负责组织各类施工协调、交通配合例会，做好施工现场的交通管理工作。实施上述项目所需时间包含在总工期内。承包人亦必须服从发包人和监理单位的同意协调、指令与要求，做好与其他多家单位的施工配合。</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f、承包人的项目部、临时加工场地、项目参与人员的临时宿舍等临时设施的借地由承包人负责，并承担一切费用。因条件有限，发包人概不负责相关场地宿舍等。</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g、承包人有责任维护发包人形象，若由于承包人的安全、文明施工问题而造成发包人被他人索赔的，承包人应向发包人支付【5000】元违约金。</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h、接受发包人委托，负责办理施工期间的掘路执照、临时占路证、交通施工许可证、管线监护卡、质监和安监的报监手续。</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I、作为一名有经验的承包人，对于图纸设计中不满足现行验收规范要求的部分及时提出合理化的建议，若未及时发现并提出不利于今后施工及验收的问题，所有的责任应由承包人承担。</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3.2 项目经理</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3.2.1 项目经理：</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姓    名：；</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身份证号：；</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建造师执业资格等级：；</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建造师注册证书号：；</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建造师执业印章号：；</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安全生产考核合格证书号：；</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联系电话：；</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电子信箱：；</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通信地址：；</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承包人对项目经理的授权范围如下：授予项目经理在紧急情况下的临时处置权，但应受到以下四个方面的限制。</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（1）只有在涉及工程及工程有关的人身和财产安全的情况下项目经理才能行使该项权力；</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（2）项目经理只有在同时无法联系到发包人代表或总监理工程师的情况下才能行使该项权力；</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项目经理行使该项权力所采取的措施必要合理得当，而不能随意采取不必要的措施，如遭遇大风天气影响室外作业安全的，项目经理可以采取必要的安全防护措施或暂停室外作业，但不能以此为由暂停室内工作；</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4）项目经理在采取措施后及时向监理人和发包人代表报告全部情况。如果项目经理行使临时处置权不符合四项中的任何一项，发包人可以主张由承包人承担因项目经理行使临时处置权而增加的费用或延误的工期责任。</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关于项目经理每月在施工现场的时间要求：出勤率按照为每月25天，每日工作时间8小时考勤。重要施工工序或环节时项目经理、技术负责人等必须到场。</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承包人未提交劳动合同，以及没有为项目经理缴纳社会保险证明的违约责任：应向发包人支付【】元违约金。</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项目经理未经批准，擅自离开施工现场的违约责任：按不到位违约处理， 项目经理每月在施工现场的时间未达到要求的，每日应承担违约金 1000 元，并承担由此增加的费用和延误的工期。</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3.2.3 承包人擅自更换项目经理的违约责任：在施工期间不准更换，特殊情况要求更换的项目经理的，须经发包人书面同意，同时发包人有权从工程款中按以下标准扣除违约金：更换项目经理，处以违约金2万元人民币/次，涉及的工程损失超过违约金部分由承包人承担。</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3.2.4 承包人无正当理由拒绝更换项目经理的违约责任：承包人在发包人发出更换项目经理的通知后28天内仍未更换的，发包人有权指示承包人暂停施工，承包人须支付违约金2万元，并承担由此增加的费用和延误的工期；在发包人发出更换项目经理的通知后【7】天内仍未更换项目经理的，发包人有权解除合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3.3 承包人人员</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3.3.1 承包人提交项目管理机构及施工现场管理人员安排报告的期限：合同签订前。</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3.3.3 承包人无正当理由拒绝撤换主要施工管理人员的违约责任：技术负责人、施工员，处以违约金1万元人民币/次/人；安全员、质检员、材料员，处以违约金伍仟元人民币/次/人。</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3.3.4 承包人主要施工管理人员离开施工现场的批准要求：   按通用合同条款第3.3.4条规定执行。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3.3.5承包人擅自更换主要施工管理人员的违约责任：若更换技术负责人、施工员，处以违约金1万元人民币/次/人；若更换安全员、质检员、材料员，处以违约金伍仟元人民币/次/人。除上述违约责任外，同时扣除履约担保中的项目班子到位保证金。</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承包人主要施工管理人员在工地施工期间擅自离开施工现场的违约责任：发包人有权要求更换管理人员并要求承包人支付【5000】元违约金。</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3.5 分包</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3.5.1 分包的一般约定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禁止分包的工程包括：未经发包人同意一律不得分包。</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主体结构、关键性工作的范围：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3.5.2分包的确定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允许分包的专业工程包括：不允许分包。</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其他关于分包的约定：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3.5.4 分包合同价款</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关于分包合同价款支付的约定：。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3.6 工程照管与成品、半成品保护</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承包人负责照管工程及工程相关的材料、工程设备的起始时间：按通用合同条款第3.6条规定执行。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3.7 履约担保</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承包人是否提供履约担保：</w:t>
      </w:r>
      <w:r>
        <w:rPr>
          <w:rFonts w:hint="eastAsia" w:ascii="宋体" w:hAnsi="宋体" w:cs="宋体"/>
          <w:bCs/>
          <w:kern w:val="0"/>
          <w:sz w:val="24"/>
          <w:highlight w:val="none"/>
          <w:u w:val="single"/>
        </w:rPr>
        <w:t xml:space="preserve">     是   </w:t>
      </w:r>
      <w:r>
        <w:rPr>
          <w:rFonts w:hint="eastAsia" w:ascii="宋体" w:hAnsi="宋体" w:cs="宋体"/>
          <w:bCs/>
          <w:kern w:val="0"/>
          <w:sz w:val="24"/>
          <w:highlight w:val="none"/>
        </w:rPr>
        <w:t>。</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承包人提供履约担保的形式、金额及期限的：</w:t>
      </w:r>
      <w:r>
        <w:rPr>
          <w:rFonts w:hint="eastAsia" w:asciiTheme="minorEastAsia" w:hAnsiTheme="minorEastAsia" w:eastAsiaTheme="minorEastAsia" w:cstheme="minorEastAsia"/>
          <w:sz w:val="24"/>
          <w:szCs w:val="24"/>
          <w:highlight w:val="none"/>
          <w:u w:val="single"/>
        </w:rPr>
        <w:t>合同签订后</w:t>
      </w:r>
      <w:r>
        <w:rPr>
          <w:rFonts w:hint="eastAsia" w:asciiTheme="minorEastAsia" w:hAnsiTheme="minorEastAsia" w:eastAsiaTheme="minorEastAsia" w:cstheme="minorEastAsia"/>
          <w:sz w:val="24"/>
          <w:szCs w:val="24"/>
          <w:highlight w:val="none"/>
          <w:u w:val="single"/>
          <w:lang w:eastAsia="zh-CN"/>
        </w:rPr>
        <w:t>5</w:t>
      </w:r>
      <w:r>
        <w:rPr>
          <w:rFonts w:hint="eastAsia" w:asciiTheme="minorEastAsia" w:hAnsiTheme="minorEastAsia" w:eastAsiaTheme="minorEastAsia" w:cstheme="minorEastAsia"/>
          <w:sz w:val="24"/>
          <w:szCs w:val="24"/>
          <w:highlight w:val="none"/>
          <w:u w:val="single"/>
        </w:rPr>
        <w:t>个工作日内</w:t>
      </w:r>
      <w:r>
        <w:rPr>
          <w:rFonts w:hint="eastAsia" w:asciiTheme="minorEastAsia" w:hAnsiTheme="minorEastAsia" w:eastAsiaTheme="minorEastAsia" w:cstheme="minorEastAsia"/>
          <w:sz w:val="24"/>
          <w:szCs w:val="24"/>
          <w:highlight w:val="none"/>
          <w:u w:val="single"/>
          <w:lang w:eastAsia="zh-CN"/>
        </w:rPr>
        <w:t>，</w:t>
      </w:r>
      <w:r>
        <w:rPr>
          <w:rFonts w:hint="eastAsia" w:asciiTheme="minorEastAsia" w:hAnsiTheme="minorEastAsia" w:eastAsiaTheme="minorEastAsia" w:cstheme="minorEastAsia"/>
          <w:sz w:val="24"/>
          <w:szCs w:val="24"/>
          <w:highlight w:val="none"/>
          <w:u w:val="single"/>
        </w:rPr>
        <w:t>承包人提交合同价</w:t>
      </w:r>
      <w:r>
        <w:rPr>
          <w:rFonts w:hint="eastAsia" w:asciiTheme="minorEastAsia" w:hAnsiTheme="minorEastAsia" w:eastAsiaTheme="minorEastAsia" w:cstheme="minorEastAsia"/>
          <w:sz w:val="24"/>
          <w:szCs w:val="24"/>
          <w:highlight w:val="none"/>
          <w:u w:val="single"/>
          <w:lang w:eastAsia="zh-CN"/>
        </w:rPr>
        <w:t>2</w:t>
      </w:r>
      <w:r>
        <w:rPr>
          <w:rFonts w:hint="eastAsia" w:asciiTheme="minorEastAsia" w:hAnsiTheme="minorEastAsia" w:eastAsiaTheme="minorEastAsia" w:cstheme="minorEastAsia"/>
          <w:sz w:val="24"/>
          <w:szCs w:val="24"/>
          <w:highlight w:val="none"/>
          <w:u w:val="single"/>
        </w:rPr>
        <w:t>％的履约保证金至发包人账户，以电汇、汇票、支票形式或银行、保险公司出具的保函形式递交。</w:t>
      </w:r>
      <w:r>
        <w:rPr>
          <w:rFonts w:hint="eastAsia" w:asciiTheme="minorEastAsia" w:hAnsiTheme="minorEastAsia" w:eastAsiaTheme="minorEastAsia" w:cstheme="minorEastAsia"/>
          <w:bCs/>
          <w:sz w:val="24"/>
          <w:highlight w:val="none"/>
          <w:u w:val="single"/>
        </w:rPr>
        <w:t>联合体投标的，履约保证金由牵头人缴纳给发包人</w:t>
      </w:r>
      <w:r>
        <w:rPr>
          <w:rFonts w:hint="eastAsia" w:asciiTheme="minorEastAsia" w:hAnsiTheme="minorEastAsia" w:eastAsiaTheme="minorEastAsia" w:cstheme="minorEastAsia"/>
          <w:b/>
          <w:sz w:val="24"/>
          <w:highlight w:val="none"/>
          <w:u w:val="single"/>
        </w:rPr>
        <w:t>。</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a)质量保证金占履约保证金的40%，视发生质量事故的严重程度处罚。若验收不合格或未达到合同约定质量目标，则按磋商文件和合同中相关条款办理。</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b)工期保证金占履约保证金的30%，工期以合同工期和经批准的顺延工期为准，若不能按期竣工，则按磋商文件和合同中相关条款办理。</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c)项目经理及项目班子到位率保证金占履约保证金的20%。项目经理或项目班子若不能按要求到位，则按磋商文件和合同中相关条款办理。</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d)文明安全生产保证金占履约保证金的10%，发生重大人身安全事故，罚没全部保证金。</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说明：承包人提供履约担保的形式、上述履约保证金的内容构成系对履约保证金组成的说明，但不得构成对发包人处置履约保证金的限制，即对于上述任何一项违约情形，发包人均有权在履约保证金总额范围内处分保证金，而不受上述比例限制。</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履约保证金的补足：发包人根据本合同约定行使处分履约保证金权利后应当及时书面通知承包人，承包人应当接到通知后5个工作日补足，以使整个合同期内的履约保证金始终维持在成交金额</w:t>
      </w:r>
      <w:r>
        <w:rPr>
          <w:rFonts w:ascii="宋体" w:hAnsi="宋体" w:cs="宋体"/>
          <w:bCs/>
          <w:kern w:val="0"/>
          <w:sz w:val="24"/>
          <w:highlight w:val="none"/>
        </w:rPr>
        <w:t>1</w:t>
      </w:r>
      <w:r>
        <w:rPr>
          <w:rFonts w:hint="eastAsia" w:ascii="宋体" w:hAnsi="宋体" w:cs="宋体"/>
          <w:bCs/>
          <w:kern w:val="0"/>
          <w:sz w:val="24"/>
          <w:highlight w:val="none"/>
        </w:rPr>
        <w:t>%的数额。逾期未能补足的，每日按应补而未补金额的万分之五支付逾期补交违约金。</w:t>
      </w:r>
    </w:p>
    <w:p>
      <w:pPr>
        <w:adjustRightInd/>
        <w:spacing w:line="360" w:lineRule="auto"/>
        <w:ind w:firstLine="480" w:firstLineChars="200"/>
        <w:outlineLvl w:val="1"/>
        <w:rPr>
          <w:rFonts w:hint="eastAsia" w:ascii="宋体" w:hAnsi="宋体" w:cs="宋体"/>
          <w:bCs/>
          <w:kern w:val="0"/>
          <w:sz w:val="24"/>
          <w:highlight w:val="none"/>
        </w:rPr>
      </w:pPr>
      <w:bookmarkStart w:id="529" w:name="_Toc16508"/>
      <w:r>
        <w:rPr>
          <w:rFonts w:hint="eastAsia" w:ascii="宋体" w:hAnsi="宋体" w:cs="宋体"/>
          <w:bCs/>
          <w:kern w:val="0"/>
          <w:sz w:val="24"/>
          <w:highlight w:val="none"/>
        </w:rPr>
        <w:t>4. 监理人</w:t>
      </w:r>
      <w:bookmarkEnd w:id="529"/>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4.1监理人的一般规定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关于监理人的监理内容：现场全过程协调，负责质量、安全、进度监督，签证及技术服务。</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关于监理人的监理权限：按监理合同约定实行。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关于监理人在施工现场的办公场所、生活场所的提供和费用承担的约定：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4.2 监理人员</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总监理工程师：</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姓    名：；</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职    务：；</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监理工程师执业资格证书号：；</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联系电话：；</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电子信箱：；</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通信地址：；</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关于监理人的其他约定：。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4.4 商定或确定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在发包人和承包人不能通过协商达成一致意见时，发包人授权监理人对以下事项进行确定：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w:t>
      </w:r>
    </w:p>
    <w:p>
      <w:pPr>
        <w:adjustRightInd/>
        <w:spacing w:line="360" w:lineRule="auto"/>
        <w:ind w:firstLine="480" w:firstLineChars="200"/>
        <w:outlineLvl w:val="1"/>
        <w:rPr>
          <w:rFonts w:hint="eastAsia" w:ascii="宋体" w:hAnsi="宋体" w:cs="宋体"/>
          <w:bCs/>
          <w:kern w:val="0"/>
          <w:sz w:val="24"/>
          <w:highlight w:val="none"/>
        </w:rPr>
      </w:pPr>
      <w:bookmarkStart w:id="530" w:name="_Toc26948"/>
      <w:r>
        <w:rPr>
          <w:rFonts w:hint="eastAsia" w:ascii="宋体" w:hAnsi="宋体" w:cs="宋体"/>
          <w:bCs/>
          <w:kern w:val="0"/>
          <w:sz w:val="24"/>
          <w:highlight w:val="none"/>
        </w:rPr>
        <w:t>5. 工程质量</w:t>
      </w:r>
      <w:bookmarkEnd w:id="530"/>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5.1 质量要求</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5.1.1 特殊质量标准和要求：合格。</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关于工程奖项的约定：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5.3 隐蔽工程检查</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5.3.2承包人提前通知监理人隐蔽工程检查的期限的约定：承包人应在共同检查前48小时书面通知监理人检查，通知中应载明隐蔽检查的内容、时间和地点，并应附有自检记录和必要的检查资料。</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监理人不能按时进行检查时，应提前24小时提交书面延期要求。</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关于延期最长不得超过：48小时。</w:t>
      </w:r>
    </w:p>
    <w:p>
      <w:pPr>
        <w:adjustRightInd/>
        <w:spacing w:line="360" w:lineRule="auto"/>
        <w:ind w:firstLine="480" w:firstLineChars="200"/>
        <w:outlineLvl w:val="1"/>
        <w:rPr>
          <w:rFonts w:hint="eastAsia" w:ascii="宋体" w:hAnsi="宋体" w:cs="宋体"/>
          <w:bCs/>
          <w:kern w:val="0"/>
          <w:sz w:val="24"/>
          <w:highlight w:val="none"/>
        </w:rPr>
      </w:pPr>
      <w:bookmarkStart w:id="531" w:name="_Toc10400"/>
      <w:r>
        <w:rPr>
          <w:rFonts w:hint="eastAsia" w:ascii="宋体" w:hAnsi="宋体" w:cs="宋体"/>
          <w:bCs/>
          <w:kern w:val="0"/>
          <w:sz w:val="24"/>
          <w:highlight w:val="none"/>
        </w:rPr>
        <w:t>6. 安全文明施工与环境保护</w:t>
      </w:r>
      <w:bookmarkEnd w:id="531"/>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6.1安全文明施工</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6.1.1 项目安全生产的达标目标及相应事项的约定：按通用合同条款第6.1.1条规定执行。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6.1.4 关于治安保卫的特别约定：按通用合同条款第6.1.4条规定执行。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关于编制施工场地治安管理计划的约定：按通用合同条款第6.1.4条规定执行。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6.1.5 文明施工</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合同当事人对文明施工的要求：</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发现承包人应立即整改并向发包人支付贰万元人民币的违约金。三次及以上或被上级主管部门通报批评，承包人按人民币贰万元/次向发包人支付违约金，同时发包人有权解除合同；被媒体曝光，视情节向发包人支付人民币贰至伍万元违约金，同时发包人有权解除合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（2）承包人应对进度施工现场的施工人员进行安全文明施工教育，持证上岗，配备必要的劳动保护用具，保证工程的施工安全和人身安全。</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承包人应强化安全意识，抓好安全生产，消除安全隐患，杜绝事故发生，施工中若发生安全及人身事故的，均由承包人自行负责处理，承担全部费用，同时发包人有权解除合同。发现有违反安全生产操作规范的，发包人有权提出整改，承包人必须整改到位，否则发包人有权解除合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4）安全施工所发生的费用承包人已在磋商响应报价中包干，发生重大伤亡事故或其他事故，承包人应及时上报发包人，并承担全部赔偿责任（非承包人原因除外）。施工过程中若发生死亡事故，由承包人承担全部责任并支付全部费用，且必须在事发后立即启动应急预案，并在24小时内按事故等级通报上级，并做好事故处理和善后等各类事宜，同时发包人有权解除合同。发包人直接处理的，相关费用在履约担保（或工程款）中直接扣除。</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5）承包人按规定自行向建设行政各主管部门、城市行政主管部门等相关职能部门办理相关手续，施工组织须符合管理部门的要求，发包人给予协调，费用不予增加。承包人必须做好安全文明施工、环境保护（扬尘、排污、泥浆外运等）工作。</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6.1.6 关于安全文明施工费支付比例和支付期限的约定：按通用合同条款第6.1.6条规定执行。</w:t>
      </w:r>
    </w:p>
    <w:p>
      <w:pPr>
        <w:adjustRightInd/>
        <w:spacing w:line="360" w:lineRule="auto"/>
        <w:ind w:firstLine="480" w:firstLineChars="200"/>
        <w:outlineLvl w:val="1"/>
        <w:rPr>
          <w:rFonts w:hint="eastAsia" w:ascii="宋体" w:hAnsi="宋体" w:cs="宋体"/>
          <w:bCs/>
          <w:kern w:val="0"/>
          <w:sz w:val="24"/>
          <w:highlight w:val="none"/>
        </w:rPr>
      </w:pPr>
      <w:bookmarkStart w:id="532" w:name="_Toc20831"/>
      <w:r>
        <w:rPr>
          <w:rFonts w:hint="eastAsia" w:ascii="宋体" w:hAnsi="宋体" w:cs="宋体"/>
          <w:bCs/>
          <w:kern w:val="0"/>
          <w:sz w:val="24"/>
          <w:highlight w:val="none"/>
        </w:rPr>
        <w:t>7. 工期和进度</w:t>
      </w:r>
      <w:bookmarkEnd w:id="532"/>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7.1 施工组织设计</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7.1.1 合同当事人约定的施工组织设计应包括的其他内容：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7.1.2 施工组织设计的提交和修改</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承包人提交详细施工组织设计的期限的约定：合同签订后叁天提供，逾期提供的，每逾期一天，应向发包人支付【1000】元违约金。</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和监理人在收到详细的施工组织设计后确认或提出修改意见的期限：接到报告后7天内予以批复。（发包人、监理单位对施工组织设计方案的确认只是对施工组织设计方案可行性的确认，并不是对所涉费用的确认，也不免除承包人对施工组织设计方案应承担的全部责任）。</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7.2 施工进度计划</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7.2.2 施工进度计划的修订</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发包人和监理人在收到修订的施工进度计划后确认或提出修改意见的期限：接到报告后7天内予以批复。</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7.3 开工</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7.3.1 开工准备</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关于承包人提交工程开工报审表的期限：开工前七天。</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关于发包人应完成的其他开工准备工作及期限：开工前七天。</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关于承包人应完成的其他开工准备工作及期限：开工前七天。</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7.3.2开工通知</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因发包人原因造成监理人未能在计划开工日期之日起 90 天内发出开工通知的，承包人有权提出价格调整要求，或者解除合同。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7.4 测量放线</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7.4.1发包人通过监理人向承包人提供测量基准点、基准线和水准点及其书面资料的期限：开工前七天。</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7.5 工期延误</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7.5.1 因发包人原因导致工期延误</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（7）因发包人原因导致工期延误的其他情形：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8）双方约定工期顺延的其他情况：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响应时已充分考虑各项因素（包括但不限于周边环境、停电停水、物价波动、气候因素等）影响，保证工程连续施工，以上费用已含在承包人合同价款中。凡由于承包人造成的工期延误，则工期不能顺延，由此引起的赶工措施等费用增加均由承包人自行承担。因非承包人原因导致的工期延误，经发包人书面确认，工期相应顺延，但费用不予补偿。</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9）工程延期的审批：必须是非承包人自身的原因造成的工期延误，发包人才可以考虑是否受理承包人的延期申请；若只是局部工程受到影响，承包人应采取措施并合理安排施工方案予以弥补，而不能影响工程的总工期。</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7.5.2 因承包人原因导致工期延误</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因承包人原因造成工期延误，逾期竣工违约金的计算方法为：</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①因承包人原因工程不能按合同约定工期竣工，每延误一天，承包人应按人民币贰仟元向发包人支付违约金。该违约金发包人有权在承包人的工期保证金中扣除，不足部分在工程结算价款中扣除。</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②因承包人原因，承包人在施工过程中不能按施工总进度计划完成各项施工任务，实际施工进度比施工进度计划滞后超过60天（含60天）的，发包人有权解除合同，也有权仍选择由承包人继续履行合同，如发包人选择由承包人继续履行合同的，竣工工期每延误一天，承包人应按人民币贰仟元向发包人支付违约金。发包人选择解除合同的，承包人应退还已收取的全部费用，并支付【10000】元违约金。</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因承包人原因造成工期延误，逾期竣工违约金的上限：/。</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7.6 不利物质条件</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不利物质条件的其他情形和有关约定：按通用合同条款第7.6条规定执行。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7.7异常恶劣的气候条件</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发包人和承包人同意以下情形视为异常恶劣的气候条件：</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7.9 提前竣工的奖励</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7.9.2提前竣工的奖励：      /       。</w:t>
      </w:r>
    </w:p>
    <w:p>
      <w:pPr>
        <w:adjustRightInd/>
        <w:spacing w:line="360" w:lineRule="auto"/>
        <w:ind w:firstLine="480" w:firstLineChars="200"/>
        <w:outlineLvl w:val="1"/>
        <w:rPr>
          <w:rFonts w:hint="eastAsia" w:ascii="宋体" w:hAnsi="宋体" w:cs="宋体"/>
          <w:bCs/>
          <w:kern w:val="0"/>
          <w:sz w:val="24"/>
          <w:highlight w:val="none"/>
        </w:rPr>
      </w:pPr>
      <w:bookmarkStart w:id="533" w:name="_Toc9945"/>
      <w:r>
        <w:rPr>
          <w:rFonts w:hint="eastAsia" w:ascii="宋体" w:hAnsi="宋体" w:cs="宋体"/>
          <w:bCs/>
          <w:kern w:val="0"/>
          <w:sz w:val="24"/>
          <w:highlight w:val="none"/>
        </w:rPr>
        <w:t>8. 材料与设备</w:t>
      </w:r>
      <w:bookmarkEnd w:id="533"/>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8.4材料与工程设备的保管与使用</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8.4.1发包人供应的材料设备的保管费用的承担：</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（1）采购时已明确由发包人供应的材料设备保管费用、安装过程中的二次搬运和设备就位费、检验试验费由承包人磋商响应时报价包干；</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（2）因承包人原因发生材料丢失损坏，由承包人负责赔偿。</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8.6 样品</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8.6.1 样品的报送与封存</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需要承包人报送样品的材料或工程设备，样品的种类、名称、规格、数量要求：按通用合同条款第8.6.1条规定执行。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8.8 施工设备和临时设施</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8.8.1 承包人提供的施工设备和临时设施</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关于修建临时设施费用承担的约定：按通用合同条款第8.8.1条规定执行。</w:t>
      </w:r>
    </w:p>
    <w:p>
      <w:pPr>
        <w:adjustRightInd/>
        <w:spacing w:line="360" w:lineRule="auto"/>
        <w:ind w:firstLine="480" w:firstLineChars="200"/>
        <w:outlineLvl w:val="1"/>
        <w:rPr>
          <w:rFonts w:hint="eastAsia" w:ascii="宋体" w:hAnsi="宋体" w:cs="宋体"/>
          <w:bCs/>
          <w:kern w:val="0"/>
          <w:sz w:val="24"/>
          <w:highlight w:val="none"/>
        </w:rPr>
      </w:pPr>
      <w:bookmarkStart w:id="534" w:name="_Toc27322"/>
      <w:r>
        <w:rPr>
          <w:rFonts w:hint="eastAsia" w:ascii="宋体" w:hAnsi="宋体" w:cs="宋体"/>
          <w:bCs/>
          <w:kern w:val="0"/>
          <w:sz w:val="24"/>
          <w:highlight w:val="none"/>
        </w:rPr>
        <w:t>9. 试验与检验</w:t>
      </w:r>
      <w:bookmarkEnd w:id="534"/>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9.1试验设备与试验人员</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9.1.2 试验设备</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施工现场需要配置的试验场所：    /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施工现场需要配备的试验设备：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施工现场需要具备的其他试验条件：所有检测费用承包人已在磋商响应报价中包干。</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9.4 现场工艺试验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现场工艺试验的有关约定：按通用合同条款第9.4条规定执行。</w:t>
      </w:r>
    </w:p>
    <w:p>
      <w:pPr>
        <w:adjustRightInd/>
        <w:spacing w:line="360" w:lineRule="auto"/>
        <w:ind w:firstLine="480" w:firstLineChars="200"/>
        <w:outlineLvl w:val="1"/>
        <w:rPr>
          <w:rFonts w:hint="eastAsia" w:ascii="宋体" w:hAnsi="宋体" w:cs="宋体"/>
          <w:bCs/>
          <w:kern w:val="0"/>
          <w:sz w:val="24"/>
          <w:highlight w:val="none"/>
        </w:rPr>
      </w:pPr>
      <w:bookmarkStart w:id="535" w:name="_Toc30685"/>
      <w:r>
        <w:rPr>
          <w:rFonts w:hint="eastAsia" w:ascii="宋体" w:hAnsi="宋体" w:cs="宋体"/>
          <w:bCs/>
          <w:kern w:val="0"/>
          <w:sz w:val="24"/>
          <w:highlight w:val="none"/>
        </w:rPr>
        <w:t>10. 变更</w:t>
      </w:r>
      <w:bookmarkEnd w:id="535"/>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10.1变更的范围</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关于变更的范围的约定：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发包人发出的变更通知及有关要求进行变更。</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（2）施工中承包人不得对原工程设计进行变更。承包人擅自变更的，应向发包人支付【10000】元违约金。因承包人擅自变更设计发生的费用和由此导致发包人的直接损失，由承包人承担，延误的工期不予顺延。</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承包人在施工中提出的合理化建议涉及到对设计图纸或施工组织设计的更改及对材料、设备的换用，须经发包人同意。未经同意擅自更改或换用时，承包人承担由此发生的费用，并赔偿发包人的有关损失，延误的工期不予顺延。采购人同意采用承包人合理化建议，所发生的费用和获得的收益，发包人承包人另行约定分担或分享。</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10.4 变更估价</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10.4.1 变更估价原则</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关于变更估价的约定: 发包人有可能根据工程需要修改施工图或发出指令增加或减少工程量，工程量不论增减多少，承包人均应无条件服从，对因变更增加或减少的工程量，其结算口径按本合同相应条款执行。对变更单项材料累计金额达到规定标准时，发包人有权通过招标确定材料价格及供货单位。</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10.5承包人的合理化建议</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监理人审查承包人合理化建议的期限：按通用合同条款第10.5条规定执行。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发包人审批承包人合理化建议的期限：按通用合同条款第10.5条规定执行。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承包人提出的合理化建议降低了合同价格或者提高了工程经济效益的奖励的方法和金额为：   另行协商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10.7 暂估价</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10.7.1 依法必须招标的暂估价项目</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对于依法必须招标的暂估价项目的确认和批准采取第  /  种方式确定。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10.7.2 不属于依法必须招标的暂估价项目</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对于不属于依法必须招标的暂估价项目的确认和批准采取第  /  种方式确定。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第3种方式：承包人直接实施的暂估价项目</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承包人直接实施的暂估价项目的约定：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10.8 暂列金额</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合同当事人关于暂列金额使用的约定：</w:t>
      </w:r>
      <w:r>
        <w:rPr>
          <w:rFonts w:hint="eastAsia" w:ascii="宋体" w:hAnsi="宋体" w:cs="宋体"/>
          <w:bCs/>
          <w:kern w:val="0"/>
          <w:sz w:val="24"/>
          <w:highlight w:val="none"/>
          <w:u w:val="single"/>
        </w:rPr>
        <w:t>由</w:t>
      </w:r>
      <w:r>
        <w:rPr>
          <w:rFonts w:hint="eastAsia" w:ascii="宋体" w:hAnsi="宋体" w:cs="宋体"/>
          <w:bCs/>
          <w:kern w:val="0"/>
          <w:sz w:val="24"/>
          <w:highlight w:val="none"/>
          <w:u w:val="single"/>
          <w:lang w:val="en-US" w:eastAsia="zh-CN"/>
        </w:rPr>
        <w:t>采购人</w:t>
      </w:r>
      <w:r>
        <w:rPr>
          <w:rFonts w:hint="eastAsia" w:ascii="宋体" w:hAnsi="宋体" w:cs="宋体"/>
          <w:bCs/>
          <w:kern w:val="0"/>
          <w:sz w:val="24"/>
          <w:highlight w:val="none"/>
          <w:u w:val="single"/>
        </w:rPr>
        <w:t>根据工程项目情况分配使用。</w:t>
      </w:r>
    </w:p>
    <w:p>
      <w:pPr>
        <w:adjustRightInd/>
        <w:spacing w:line="360" w:lineRule="auto"/>
        <w:ind w:firstLine="480" w:firstLineChars="200"/>
        <w:outlineLvl w:val="1"/>
        <w:rPr>
          <w:rFonts w:hint="eastAsia" w:ascii="宋体" w:hAnsi="宋体" w:cs="宋体"/>
          <w:bCs/>
          <w:kern w:val="0"/>
          <w:sz w:val="24"/>
          <w:highlight w:val="none"/>
        </w:rPr>
      </w:pPr>
      <w:bookmarkStart w:id="536" w:name="_Toc5390"/>
      <w:r>
        <w:rPr>
          <w:rFonts w:hint="eastAsia" w:ascii="宋体" w:hAnsi="宋体" w:cs="宋体"/>
          <w:bCs/>
          <w:kern w:val="0"/>
          <w:sz w:val="24"/>
          <w:highlight w:val="none"/>
        </w:rPr>
        <w:t>11. 价格调整</w:t>
      </w:r>
      <w:bookmarkEnd w:id="536"/>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      /    。</w:t>
      </w:r>
    </w:p>
    <w:p>
      <w:pPr>
        <w:adjustRightInd/>
        <w:spacing w:line="360" w:lineRule="auto"/>
        <w:ind w:firstLine="480" w:firstLineChars="200"/>
        <w:outlineLvl w:val="1"/>
        <w:rPr>
          <w:rFonts w:hint="eastAsia" w:ascii="宋体" w:hAnsi="宋体" w:cs="宋体"/>
          <w:bCs/>
          <w:kern w:val="0"/>
          <w:sz w:val="24"/>
          <w:highlight w:val="none"/>
        </w:rPr>
      </w:pPr>
      <w:bookmarkStart w:id="537" w:name="_Toc17115"/>
      <w:r>
        <w:rPr>
          <w:rFonts w:hint="eastAsia" w:ascii="宋体" w:hAnsi="宋体" w:cs="宋体"/>
          <w:bCs/>
          <w:kern w:val="0"/>
          <w:sz w:val="24"/>
          <w:highlight w:val="none"/>
        </w:rPr>
        <w:t>12. 合同价格、计量与支付</w:t>
      </w:r>
      <w:bookmarkEnd w:id="537"/>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12.1 合同价格形式</w:t>
      </w:r>
    </w:p>
    <w:p>
      <w:pPr>
        <w:adjustRightInd/>
        <w:spacing w:line="360" w:lineRule="auto"/>
        <w:ind w:firstLine="480" w:firstLineChars="200"/>
        <w:outlineLvl w:val="1"/>
        <w:rPr>
          <w:rFonts w:hint="eastAsia" w:ascii="宋体" w:hAnsi="宋体" w:cs="宋体"/>
          <w:bCs/>
          <w:kern w:val="0"/>
          <w:sz w:val="24"/>
          <w:highlight w:val="none"/>
        </w:rPr>
      </w:pPr>
      <w:bookmarkStart w:id="538" w:name="_Toc28616"/>
      <w:r>
        <w:rPr>
          <w:rFonts w:hint="eastAsia" w:ascii="宋体" w:hAnsi="宋体" w:cs="宋体"/>
          <w:bCs/>
          <w:kern w:val="0"/>
          <w:sz w:val="24"/>
          <w:highlight w:val="none"/>
        </w:rPr>
        <w:t>1、本合同为</w:t>
      </w:r>
      <w:r>
        <w:rPr>
          <w:rFonts w:hint="eastAsia" w:ascii="宋体" w:hAnsi="宋体" w:cs="宋体"/>
          <w:bCs/>
          <w:kern w:val="0"/>
          <w:sz w:val="24"/>
          <w:highlight w:val="none"/>
          <w:u w:val="single"/>
        </w:rPr>
        <w:t>固定综合单价</w:t>
      </w:r>
      <w:r>
        <w:rPr>
          <w:rFonts w:hint="eastAsia" w:ascii="宋体" w:hAnsi="宋体" w:cs="宋体"/>
          <w:bCs/>
          <w:kern w:val="0"/>
          <w:sz w:val="24"/>
          <w:highlight w:val="none"/>
        </w:rPr>
        <w:t>合同。</w:t>
      </w:r>
      <w:bookmarkEnd w:id="538"/>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综合单价包含的风险范围：</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a、除不可抗力外的各种自然灾害；</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b、安全生产文明施工不当引起的责任；</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c、所有磋商文件或工程量清单明示要求报价的内容而承包人未予报价的，将被认为包含在合同总价中，结算时合同价款不再增加；</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d、工程要素（含人工、材料（设备）、机械台班）价格的涨跌风险；</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e、承包人对工程现场环境以及发包人提供的磋商文件、图纸等资料作出错误的推论、理解而导致的报价失误；</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f、磋商文件约定的工程量清单数量误差引起的综合单价成本差异（风险范围及范围外调整方法见本条款第2）条的规定）；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g、施工组织措施费和技术措施费在成交以后，在合同施工范围内，无论现场施工条件如何变化、设计如何变更、也无论工程量增减的幅度如何，均不再调整；</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h、施工期间停水、停电引起的费用增加；</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i、清单描述中有按图集或规范施工的，综合单价必须满足规范和图集要求，综合单价不作调整；</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j、本工程垃圾外运费用一次性包干，包括所有垃圾清理、搬运、外运与消纳所产生的费用，施工过程及结算时不予增加。</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k、所有磋商文件或工程量清单明示要求报价包干或费率包干（指规费、税金、意外伤害保险费、总承包服务费）的内容；</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l、除本条明确允许调整内容以外的其他风险因素；</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m、若同一工程中出现清单项目相同而报价或取费不一致者，按最低者执行。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风险费用的计算方法：风险因素范围内的费用由承包人自行考虑计列，不再另行计列、调整。</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风险范围以外合同价格的调整方法：</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工程量：以施工图及有效变更为依据按照工程量清单计算规则进行计算；单价：①投标书中有相同子目的，按投标价；②投标书中有相似子目的，按相似子目组价计算；③没有相同及相似的，按2018版定额相应子目组价计算，费率及规费按投标口径组价计算;④部分内容进行调整的，则原投标单价为基础，仅就调整部分进行调整，仅调整主要材料的，则仅调整材料之间的当期信息价（无信息价时按市场价）差价。</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1）综合单价确定方式：</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①合同中已有适用的综合单价的，按合同中已有的综合单价确定；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②合同中有类似工程项目单价的，可以参照合同中类似项目的单价计算确定；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③合同中没有类似工程项目单价的，按以下口径重新组价并下浮后的综合单价确定【下浮率=（1-成交价/最高限价）*100%】：套用浙江省建设工程预算定额（2018版）及计价规则；按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2）工程结算时当单项清单工程数量的变化幅度在</w:t>
      </w:r>
      <w:r>
        <w:rPr>
          <w:rFonts w:hint="eastAsia" w:ascii="宋体" w:hAnsi="宋体" w:cs="宋体"/>
          <w:bCs/>
          <w:kern w:val="0"/>
          <w:sz w:val="24"/>
          <w:highlight w:val="none"/>
          <w:lang w:val="en-US" w:eastAsia="zh-CN"/>
        </w:rPr>
        <w:t>2</w:t>
      </w:r>
      <w:r>
        <w:rPr>
          <w:rFonts w:hint="eastAsia" w:ascii="宋体" w:hAnsi="宋体" w:cs="宋体"/>
          <w:bCs/>
          <w:kern w:val="0"/>
          <w:sz w:val="24"/>
          <w:highlight w:val="none"/>
        </w:rPr>
        <w:t>0%以外，且其影响分部分项工程费用总额超过</w:t>
      </w:r>
      <w:r>
        <w:rPr>
          <w:rFonts w:hint="eastAsia" w:ascii="宋体" w:hAnsi="宋体" w:cs="宋体"/>
          <w:bCs/>
          <w:kern w:val="0"/>
          <w:sz w:val="24"/>
          <w:highlight w:val="none"/>
          <w:lang w:val="en-US" w:eastAsia="zh-CN"/>
        </w:rPr>
        <w:t>0.5</w:t>
      </w:r>
      <w:r>
        <w:rPr>
          <w:rFonts w:hint="eastAsia" w:ascii="宋体" w:hAnsi="宋体" w:cs="宋体"/>
          <w:bCs/>
          <w:kern w:val="0"/>
          <w:sz w:val="24"/>
          <w:highlight w:val="none"/>
        </w:rPr>
        <w:t>%时，其增加的工程量和减少后剩余的工程量的综合单价按以下口径重新组价并下浮后的综合单价确定【下浮率=（1-成交价/最高限价）*100%】：套用浙江省建设工程预算定额（2018版）及计价规则；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p>
    <w:p>
      <w:pPr>
        <w:adjustRightInd/>
        <w:spacing w:line="360" w:lineRule="auto"/>
        <w:ind w:firstLine="480" w:firstLineChars="200"/>
        <w:outlineLvl w:val="1"/>
        <w:rPr>
          <w:rFonts w:hint="eastAsia" w:ascii="宋体" w:hAnsi="宋体" w:cs="宋体"/>
          <w:bCs/>
          <w:kern w:val="0"/>
          <w:sz w:val="24"/>
          <w:highlight w:val="none"/>
        </w:rPr>
      </w:pPr>
      <w:bookmarkStart w:id="539" w:name="_Toc12982"/>
      <w:r>
        <w:rPr>
          <w:rFonts w:hint="eastAsia" w:ascii="宋体" w:hAnsi="宋体" w:cs="宋体"/>
          <w:bCs/>
          <w:kern w:val="0"/>
          <w:sz w:val="24"/>
          <w:highlight w:val="none"/>
        </w:rPr>
        <w:t>2、总价合同。</w:t>
      </w:r>
      <w:bookmarkEnd w:id="539"/>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总价包含的风险范围：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风险费用的计算方法：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风险范围以外合同价格的调整方法： / 。</w:t>
      </w:r>
    </w:p>
    <w:p>
      <w:pPr>
        <w:adjustRightInd/>
        <w:spacing w:line="360" w:lineRule="auto"/>
        <w:ind w:firstLine="480" w:firstLineChars="200"/>
        <w:outlineLvl w:val="1"/>
        <w:rPr>
          <w:rFonts w:hint="eastAsia" w:ascii="宋体" w:hAnsi="宋体" w:cs="宋体"/>
          <w:bCs/>
          <w:kern w:val="0"/>
          <w:sz w:val="24"/>
          <w:highlight w:val="none"/>
        </w:rPr>
      </w:pPr>
      <w:bookmarkStart w:id="540" w:name="_Toc1722"/>
      <w:r>
        <w:rPr>
          <w:rFonts w:hint="eastAsia" w:ascii="宋体" w:hAnsi="宋体" w:cs="宋体"/>
          <w:bCs/>
          <w:kern w:val="0"/>
          <w:sz w:val="24"/>
          <w:highlight w:val="none"/>
        </w:rPr>
        <w:t>3、其他价格方式： / 。</w:t>
      </w:r>
      <w:bookmarkEnd w:id="540"/>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12.2 预付款</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12.2.1 预付款的支付</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预付款支付比例或金额：</w:t>
      </w:r>
      <w:r>
        <w:rPr>
          <w:rFonts w:hint="eastAsia" w:ascii="宋体" w:hAnsi="宋体" w:cs="宋体"/>
          <w:bCs/>
          <w:kern w:val="0"/>
          <w:sz w:val="24"/>
          <w:highlight w:val="none"/>
          <w:u w:val="single"/>
        </w:rPr>
        <w:t>合同金额</w:t>
      </w:r>
      <w:r>
        <w:rPr>
          <w:rFonts w:ascii="宋体" w:hAnsi="宋体" w:cs="宋体"/>
          <w:bCs/>
          <w:kern w:val="0"/>
          <w:sz w:val="24"/>
          <w:highlight w:val="none"/>
          <w:u w:val="single"/>
        </w:rPr>
        <w:t>4</w:t>
      </w:r>
      <w:r>
        <w:rPr>
          <w:rFonts w:hint="eastAsia" w:ascii="宋体" w:hAnsi="宋体" w:cs="宋体"/>
          <w:bCs/>
          <w:kern w:val="0"/>
          <w:sz w:val="24"/>
          <w:highlight w:val="none"/>
          <w:u w:val="single"/>
        </w:rPr>
        <w:t>0%</w:t>
      </w:r>
      <w:r>
        <w:rPr>
          <w:rFonts w:hint="eastAsia" w:ascii="宋体" w:hAnsi="宋体" w:cs="宋体"/>
          <w:bCs/>
          <w:kern w:val="0"/>
          <w:sz w:val="24"/>
          <w:highlight w:val="none"/>
        </w:rPr>
        <w:t xml:space="preserve">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预付款支付期限：合同签订、承包人递交履约保证金且发包人收到符合要求的发票后，发包人向承包人预付签约合同价的</w:t>
      </w:r>
      <w:r>
        <w:rPr>
          <w:rFonts w:ascii="宋体" w:hAnsi="宋体" w:cs="宋体"/>
          <w:bCs/>
          <w:kern w:val="0"/>
          <w:sz w:val="24"/>
          <w:highlight w:val="none"/>
        </w:rPr>
        <w:t>4</w:t>
      </w:r>
      <w:r>
        <w:rPr>
          <w:rFonts w:hint="eastAsia" w:ascii="宋体" w:hAnsi="宋体" w:cs="宋体"/>
          <w:bCs/>
          <w:kern w:val="0"/>
          <w:sz w:val="24"/>
          <w:highlight w:val="none"/>
        </w:rPr>
        <w:t>0%的工程预付款。</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预付款扣回的方式：/。</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12.2.2 预付款担保</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承包人提交预付款担保的期限：/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预付款担保的形式为：/。</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12.3 计量</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12.3.1 计量原则</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工程量计算规则：</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 实行工程量清单计价的工程项目，其工程量的计算规则应按国家标准工程量计算规范及省级行业主管部门颁布的补充规定执行。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（2）不实行工程量清单计价的工程项目，工程量的计算规则应按省、市行业主管部门颁布的各专业工程定额的工程量计算规则执行。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12.3.2 计量周期</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关于计量周期的约定：工程量的计量按月进行。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12.3.3 单价合同的计量</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关于单价合同计量的约定：按通用合同条款规定执行。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12.3.4 总价合同的计量</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关于总价合同计量的约定：/。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12.3.5总价合同采用支付分解表计量支付的，是否适用第12.3.4 项〔总价合同的计量〕约定进行计量：/。</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12.3.6 其他价格形式合同的计量</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其他价格形式的计量方式和程序：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12.4 工程进度款支付</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12.4.1 付款周期</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关于付款周期的约定：</w:t>
      </w:r>
    </w:p>
    <w:p>
      <w:pPr>
        <w:adjustRightInd/>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1、合同签订后五个工作日内</w:t>
      </w:r>
      <w:r>
        <w:rPr>
          <w:rFonts w:hint="eastAsia" w:ascii="宋体" w:hAnsi="宋体" w:cs="宋体"/>
          <w:bCs/>
          <w:sz w:val="24"/>
          <w:highlight w:val="none"/>
          <w:lang w:eastAsia="zh-CN"/>
        </w:rPr>
        <w:t>，</w:t>
      </w:r>
      <w:r>
        <w:rPr>
          <w:rFonts w:hint="eastAsia" w:ascii="宋体" w:hAnsi="宋体" w:cs="宋体"/>
          <w:bCs/>
          <w:sz w:val="24"/>
          <w:highlight w:val="none"/>
          <w:lang w:val="en-US" w:eastAsia="zh-CN"/>
        </w:rPr>
        <w:t>承包人</w:t>
      </w:r>
      <w:r>
        <w:rPr>
          <w:rFonts w:hint="eastAsia" w:ascii="宋体" w:hAnsi="宋体" w:cs="宋体"/>
          <w:bCs/>
          <w:sz w:val="24"/>
          <w:highlight w:val="none"/>
        </w:rPr>
        <w:t>向</w:t>
      </w:r>
      <w:r>
        <w:rPr>
          <w:rFonts w:hint="eastAsia" w:ascii="宋体" w:hAnsi="宋体" w:cs="宋体"/>
          <w:bCs/>
          <w:sz w:val="24"/>
          <w:highlight w:val="none"/>
          <w:lang w:val="en-US" w:eastAsia="zh-CN"/>
        </w:rPr>
        <w:t>发包人</w:t>
      </w:r>
      <w:r>
        <w:rPr>
          <w:rFonts w:hint="eastAsia" w:ascii="宋体" w:hAnsi="宋体" w:cs="宋体"/>
          <w:bCs/>
          <w:sz w:val="24"/>
          <w:highlight w:val="none"/>
        </w:rPr>
        <w:t>缴纳</w:t>
      </w:r>
      <w:r>
        <w:rPr>
          <w:rFonts w:hint="eastAsia" w:ascii="宋体" w:hAnsi="宋体" w:cs="宋体"/>
          <w:bCs/>
          <w:sz w:val="24"/>
          <w:highlight w:val="none"/>
          <w:lang w:val="en-US" w:eastAsia="zh-CN"/>
        </w:rPr>
        <w:t>履约保证金</w:t>
      </w:r>
      <w:r>
        <w:rPr>
          <w:rFonts w:hint="eastAsia" w:ascii="宋体" w:hAnsi="宋体" w:cs="宋体"/>
          <w:bCs/>
          <w:sz w:val="24"/>
          <w:highlight w:val="none"/>
        </w:rPr>
        <w:t>，在</w:t>
      </w:r>
      <w:r>
        <w:rPr>
          <w:rFonts w:hint="eastAsia" w:ascii="宋体" w:hAnsi="宋体" w:cs="宋体"/>
          <w:bCs/>
          <w:sz w:val="24"/>
          <w:highlight w:val="none"/>
          <w:lang w:val="en-US" w:eastAsia="zh-CN"/>
        </w:rPr>
        <w:t>工程竣工</w:t>
      </w:r>
      <w:r>
        <w:rPr>
          <w:rFonts w:hint="eastAsia" w:ascii="宋体" w:hAnsi="宋体" w:cs="宋体"/>
          <w:bCs/>
          <w:sz w:val="24"/>
          <w:highlight w:val="none"/>
        </w:rPr>
        <w:t>验收合格、确认</w:t>
      </w:r>
      <w:r>
        <w:rPr>
          <w:rFonts w:hint="eastAsia" w:ascii="宋体" w:hAnsi="宋体" w:cs="宋体"/>
          <w:bCs/>
          <w:sz w:val="24"/>
          <w:highlight w:val="none"/>
          <w:lang w:val="en-US" w:eastAsia="zh-CN"/>
        </w:rPr>
        <w:t>承包人</w:t>
      </w:r>
      <w:r>
        <w:rPr>
          <w:rFonts w:hint="eastAsia" w:ascii="宋体" w:hAnsi="宋体" w:cs="宋体"/>
          <w:bCs/>
          <w:sz w:val="24"/>
          <w:highlight w:val="none"/>
        </w:rPr>
        <w:t>无违约行为后无息返还给</w:t>
      </w:r>
      <w:r>
        <w:rPr>
          <w:rFonts w:hint="eastAsia" w:ascii="宋体" w:hAnsi="宋体" w:cs="宋体"/>
          <w:bCs/>
          <w:sz w:val="24"/>
          <w:highlight w:val="none"/>
          <w:lang w:val="en-US" w:eastAsia="zh-CN"/>
        </w:rPr>
        <w:t>承包人</w:t>
      </w:r>
      <w:r>
        <w:rPr>
          <w:rFonts w:hint="eastAsia" w:ascii="宋体" w:hAnsi="宋体" w:cs="宋体"/>
          <w:bCs/>
          <w:sz w:val="24"/>
          <w:highlight w:val="none"/>
        </w:rPr>
        <w:t>。</w:t>
      </w:r>
    </w:p>
    <w:p>
      <w:pPr>
        <w:adjustRightInd/>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kern w:val="0"/>
          <w:sz w:val="24"/>
          <w:highlight w:val="none"/>
        </w:rPr>
        <w:t>合同签订、承包人递交履约保证金且发包人收到符合要求的发票后</w:t>
      </w:r>
      <w:r>
        <w:rPr>
          <w:rFonts w:hint="eastAsia" w:ascii="宋体" w:hAnsi="宋体" w:cs="宋体"/>
          <w:bCs/>
          <w:sz w:val="24"/>
          <w:highlight w:val="none"/>
        </w:rPr>
        <w:t>7个工作日内</w:t>
      </w:r>
      <w:r>
        <w:rPr>
          <w:rFonts w:hint="eastAsia" w:ascii="宋体" w:hAnsi="宋体" w:cs="宋体"/>
          <w:bCs/>
          <w:sz w:val="24"/>
          <w:highlight w:val="none"/>
          <w:lang w:eastAsia="zh-CN"/>
        </w:rPr>
        <w:t>，</w:t>
      </w:r>
      <w:r>
        <w:rPr>
          <w:rFonts w:hint="eastAsia" w:ascii="宋体" w:hAnsi="宋体" w:cs="宋体"/>
          <w:bCs/>
          <w:sz w:val="24"/>
          <w:highlight w:val="none"/>
          <w:lang w:val="en-US" w:eastAsia="zh-CN"/>
        </w:rPr>
        <w:t>发包人</w:t>
      </w:r>
      <w:r>
        <w:rPr>
          <w:rFonts w:hint="eastAsia" w:ascii="宋体" w:hAnsi="宋体" w:cs="宋体"/>
          <w:bCs/>
          <w:sz w:val="24"/>
          <w:highlight w:val="none"/>
        </w:rPr>
        <w:t>支付</w:t>
      </w:r>
      <w:r>
        <w:rPr>
          <w:rFonts w:hint="eastAsia" w:ascii="宋体" w:hAnsi="宋体" w:cs="宋体"/>
          <w:bCs/>
          <w:sz w:val="24"/>
          <w:highlight w:val="none"/>
          <w:lang w:val="en-US" w:eastAsia="zh-CN"/>
        </w:rPr>
        <w:t>合同总价的</w:t>
      </w:r>
      <w:r>
        <w:rPr>
          <w:rFonts w:hint="eastAsia" w:ascii="宋体" w:hAnsi="宋体" w:cs="宋体"/>
          <w:bCs/>
          <w:sz w:val="24"/>
          <w:highlight w:val="none"/>
        </w:rPr>
        <w:t>40%预付款。</w:t>
      </w:r>
    </w:p>
    <w:p>
      <w:pPr>
        <w:adjustRightInd/>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3、工程竣工后，由</w:t>
      </w:r>
      <w:r>
        <w:rPr>
          <w:rFonts w:hint="eastAsia" w:ascii="宋体" w:hAnsi="宋体" w:cs="宋体"/>
          <w:bCs/>
          <w:sz w:val="24"/>
          <w:highlight w:val="none"/>
          <w:lang w:val="en-US" w:eastAsia="zh-CN"/>
        </w:rPr>
        <w:t>发包人</w:t>
      </w:r>
      <w:r>
        <w:rPr>
          <w:rFonts w:hint="eastAsia" w:ascii="宋体" w:hAnsi="宋体" w:cs="宋体"/>
          <w:bCs/>
          <w:sz w:val="24"/>
          <w:highlight w:val="none"/>
        </w:rPr>
        <w:t>进行初步验收。验收合格后，工程移交</w:t>
      </w:r>
      <w:r>
        <w:rPr>
          <w:rFonts w:hint="eastAsia" w:ascii="宋体" w:hAnsi="宋体" w:cs="宋体"/>
          <w:bCs/>
          <w:sz w:val="24"/>
          <w:highlight w:val="none"/>
          <w:lang w:val="en-US" w:eastAsia="zh-CN"/>
        </w:rPr>
        <w:t>发包人</w:t>
      </w:r>
      <w:r>
        <w:rPr>
          <w:rFonts w:hint="eastAsia" w:ascii="宋体" w:hAnsi="宋体" w:cs="宋体"/>
          <w:bCs/>
          <w:sz w:val="24"/>
          <w:highlight w:val="none"/>
        </w:rPr>
        <w:t>管理，支付至合同总价</w:t>
      </w:r>
      <w:r>
        <w:rPr>
          <w:rFonts w:hint="eastAsia" w:ascii="宋体" w:hAnsi="宋体" w:cs="宋体"/>
          <w:bCs/>
          <w:sz w:val="24"/>
          <w:highlight w:val="none"/>
          <w:lang w:val="en-US" w:eastAsia="zh-CN"/>
        </w:rPr>
        <w:t>扣除暂列金后</w:t>
      </w:r>
      <w:r>
        <w:rPr>
          <w:rFonts w:hint="eastAsia" w:ascii="宋体" w:hAnsi="宋体" w:cs="宋体"/>
          <w:bCs/>
          <w:sz w:val="24"/>
          <w:highlight w:val="none"/>
        </w:rPr>
        <w:t>的</w:t>
      </w:r>
      <w:r>
        <w:rPr>
          <w:rFonts w:hint="eastAsia" w:ascii="宋体" w:hAnsi="宋体" w:cs="宋体"/>
          <w:bCs/>
          <w:sz w:val="24"/>
          <w:highlight w:val="none"/>
          <w:lang w:val="en-US" w:eastAsia="zh-CN"/>
        </w:rPr>
        <w:t>85</w:t>
      </w:r>
      <w:r>
        <w:rPr>
          <w:rFonts w:hint="eastAsia" w:ascii="宋体" w:hAnsi="宋体" w:cs="宋体"/>
          <w:bCs/>
          <w:sz w:val="24"/>
          <w:highlight w:val="none"/>
        </w:rPr>
        <w:t>%（含预付款）。履约保证金无息退还。</w:t>
      </w:r>
    </w:p>
    <w:p>
      <w:pPr>
        <w:adjustRightInd/>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4、工程竣工结算经审计，</w:t>
      </w:r>
      <w:r>
        <w:rPr>
          <w:rFonts w:hint="eastAsia" w:ascii="宋体" w:hAnsi="宋体" w:cs="宋体"/>
          <w:bCs/>
          <w:sz w:val="24"/>
          <w:highlight w:val="none"/>
          <w:lang w:val="en-US" w:eastAsia="zh-CN"/>
        </w:rPr>
        <w:t>发包人</w:t>
      </w:r>
      <w:r>
        <w:rPr>
          <w:rFonts w:hint="eastAsia" w:ascii="宋体" w:hAnsi="宋体" w:cs="宋体"/>
          <w:bCs/>
          <w:sz w:val="24"/>
          <w:highlight w:val="none"/>
        </w:rPr>
        <w:t>和</w:t>
      </w:r>
      <w:r>
        <w:rPr>
          <w:rFonts w:hint="eastAsia" w:ascii="宋体" w:hAnsi="宋体" w:cs="宋体"/>
          <w:bCs/>
          <w:sz w:val="24"/>
          <w:highlight w:val="none"/>
          <w:lang w:val="en-US" w:eastAsia="zh-CN"/>
        </w:rPr>
        <w:t>承包人</w:t>
      </w:r>
      <w:r>
        <w:rPr>
          <w:rFonts w:hint="eastAsia" w:ascii="宋体" w:hAnsi="宋体" w:cs="宋体"/>
          <w:bCs/>
          <w:sz w:val="24"/>
          <w:highlight w:val="none"/>
        </w:rPr>
        <w:t>双方签字确认，且</w:t>
      </w:r>
      <w:r>
        <w:rPr>
          <w:rFonts w:hint="eastAsia" w:ascii="宋体" w:hAnsi="宋体" w:cs="宋体"/>
          <w:bCs/>
          <w:sz w:val="24"/>
          <w:highlight w:val="none"/>
          <w:lang w:val="en-US" w:eastAsia="zh-CN"/>
        </w:rPr>
        <w:t>承包人</w:t>
      </w:r>
      <w:r>
        <w:rPr>
          <w:rFonts w:hint="eastAsia" w:ascii="宋体" w:hAnsi="宋体" w:cs="宋体"/>
          <w:bCs/>
          <w:sz w:val="24"/>
          <w:highlight w:val="none"/>
        </w:rPr>
        <w:t>缴纳质量保证金（结算审定价的1.5%）后，</w:t>
      </w:r>
      <w:r>
        <w:rPr>
          <w:rFonts w:hint="eastAsia" w:ascii="宋体" w:hAnsi="宋体" w:cs="宋体"/>
          <w:bCs/>
          <w:sz w:val="24"/>
          <w:highlight w:val="none"/>
          <w:lang w:val="en-US" w:eastAsia="zh-CN"/>
        </w:rPr>
        <w:t>发包人</w:t>
      </w:r>
      <w:r>
        <w:rPr>
          <w:rFonts w:hint="eastAsia" w:ascii="宋体" w:hAnsi="宋体" w:cs="宋体"/>
          <w:bCs/>
          <w:sz w:val="24"/>
          <w:highlight w:val="none"/>
        </w:rPr>
        <w:t>支付至结算审定价的100%</w:t>
      </w:r>
      <w:r>
        <w:rPr>
          <w:rFonts w:hint="eastAsia" w:ascii="宋体" w:hAnsi="宋体" w:cs="宋体"/>
          <w:bCs/>
          <w:sz w:val="24"/>
          <w:highlight w:val="none"/>
          <w:lang w:eastAsia="zh-CN"/>
        </w:rPr>
        <w:t>。</w:t>
      </w:r>
      <w:r>
        <w:rPr>
          <w:rFonts w:hint="eastAsia" w:ascii="宋体" w:hAnsi="宋体" w:cs="宋体"/>
          <w:bCs/>
          <w:sz w:val="24"/>
          <w:highlight w:val="none"/>
        </w:rPr>
        <w:t>质量保证金按《工程质量保修书》的有关规定退还。</w:t>
      </w:r>
    </w:p>
    <w:p>
      <w:pPr>
        <w:adjustRightInd/>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5、施工水电费按工程竣工结算审定价的0.7％计算，在结算审定款中直接扣除。</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sz w:val="24"/>
          <w:highlight w:val="none"/>
        </w:rPr>
        <w:t>6、以上款项均不计息。在</w:t>
      </w:r>
      <w:r>
        <w:rPr>
          <w:rFonts w:hint="eastAsia" w:ascii="宋体" w:hAnsi="宋体" w:cs="宋体"/>
          <w:bCs/>
          <w:sz w:val="24"/>
          <w:highlight w:val="none"/>
          <w:lang w:val="en-US" w:eastAsia="zh-CN"/>
        </w:rPr>
        <w:t>发包人</w:t>
      </w:r>
      <w:r>
        <w:rPr>
          <w:rFonts w:hint="eastAsia" w:ascii="宋体" w:hAnsi="宋体" w:cs="宋体"/>
          <w:bCs/>
          <w:sz w:val="24"/>
          <w:highlight w:val="none"/>
        </w:rPr>
        <w:t>支付上述款项前，</w:t>
      </w:r>
      <w:r>
        <w:rPr>
          <w:rFonts w:hint="eastAsia" w:ascii="宋体" w:hAnsi="宋体" w:cs="宋体"/>
          <w:bCs/>
          <w:sz w:val="24"/>
          <w:highlight w:val="none"/>
          <w:lang w:val="en-US" w:eastAsia="zh-CN"/>
        </w:rPr>
        <w:t>承包人</w:t>
      </w:r>
      <w:r>
        <w:rPr>
          <w:rFonts w:hint="eastAsia" w:ascii="宋体" w:hAnsi="宋体" w:cs="宋体"/>
          <w:bCs/>
          <w:sz w:val="24"/>
          <w:highlight w:val="none"/>
        </w:rPr>
        <w:t>必须开具同等数额的正规税务发票，否则</w:t>
      </w:r>
      <w:r>
        <w:rPr>
          <w:rFonts w:hint="eastAsia" w:ascii="宋体" w:hAnsi="宋体" w:cs="宋体"/>
          <w:bCs/>
          <w:sz w:val="24"/>
          <w:highlight w:val="none"/>
          <w:lang w:val="en-US" w:eastAsia="zh-CN"/>
        </w:rPr>
        <w:t>发包人</w:t>
      </w:r>
      <w:r>
        <w:rPr>
          <w:rFonts w:hint="eastAsia" w:ascii="宋体" w:hAnsi="宋体" w:cs="宋体"/>
          <w:bCs/>
          <w:sz w:val="24"/>
          <w:highlight w:val="none"/>
        </w:rPr>
        <w:t>有权拒绝支付。</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12.4.2 进度付款申请单的编制</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关于进度付款申请单编制的约定：按通用合同条款第12.4.2条规定执行。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12.4.3 进度付款申请单的提交</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（1）单价合同进度付款申请单提交的约定：按通用合同条款第12.4.3条第（1）项规定执行。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（2）总价合同进度付款申请单提交的约定：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（3）其他价格形式合同进度付款申请单提交的约定：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12.4.4 进度款审核和支付</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（1）监理人审查并报送发包人的期限：7天内完成审查。</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发包人完成审批并签发进度款支付证书的期限：收到监理人报送的进度付款申请单及相关资料后7天内。</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（2）发包人支付进度款的期限：在进度款支付证书或临时进度款支付证书签发且收到符合要求的发票后</w:t>
      </w:r>
      <w:r>
        <w:rPr>
          <w:rFonts w:hint="eastAsia" w:ascii="宋体" w:hAnsi="宋体" w:cs="宋体"/>
          <w:bCs/>
          <w:kern w:val="0"/>
          <w:sz w:val="24"/>
          <w:highlight w:val="none"/>
          <w:lang w:val="en-US" w:eastAsia="zh-CN"/>
        </w:rPr>
        <w:t>7个工作日</w:t>
      </w:r>
      <w:r>
        <w:rPr>
          <w:rFonts w:hint="eastAsia" w:ascii="宋体" w:hAnsi="宋体" w:cs="宋体"/>
          <w:bCs/>
          <w:kern w:val="0"/>
          <w:sz w:val="24"/>
          <w:highlight w:val="none"/>
        </w:rPr>
        <w:t>内完成支付。</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逾期支付进度款的违约金的计算方式：承担违约责任，在催告后仍未支付的，自催告期满次日起每延期一天，按当期应付工程进度款金额的的万分之五向承包人支付违约金，但因存在承包人施工工程质量不合格、工期延误等任何违约行为的除外。</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12.4.6 支付分解表的编制</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2、总价合同支付分解表的编制与审批：按通用合同条款第12.4.6条第2项规定执行。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3、单价合同的总价项目支付分解表的编制与审批：按通用合同条款第12.4.6条第3项规定执行。</w:t>
      </w:r>
    </w:p>
    <w:p>
      <w:pPr>
        <w:adjustRightInd/>
        <w:spacing w:line="360" w:lineRule="auto"/>
        <w:ind w:firstLine="480" w:firstLineChars="200"/>
        <w:outlineLvl w:val="1"/>
        <w:rPr>
          <w:rFonts w:hint="eastAsia" w:ascii="宋体" w:hAnsi="宋体" w:cs="宋体"/>
          <w:bCs/>
          <w:kern w:val="0"/>
          <w:sz w:val="24"/>
          <w:highlight w:val="none"/>
        </w:rPr>
      </w:pPr>
      <w:bookmarkStart w:id="541" w:name="_Toc1651"/>
      <w:r>
        <w:rPr>
          <w:rFonts w:hint="eastAsia" w:ascii="宋体" w:hAnsi="宋体" w:cs="宋体"/>
          <w:bCs/>
          <w:kern w:val="0"/>
          <w:sz w:val="24"/>
          <w:highlight w:val="none"/>
        </w:rPr>
        <w:t>13. 验收和工程试车</w:t>
      </w:r>
      <w:bookmarkEnd w:id="541"/>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13.1 分部分项工程验收</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13.1.2监理人不能按时进行验收时，应提前24小时提交书面延期要求。</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关于延期最长不得超过：48小时。</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13.2 竣工验收</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13.2.2竣工验收程序</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关于竣工验收程序的约定：按通用合同条款第13.2.2条规定执行。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不按照本项约定组织竣工验收、颁发工程接收证书的违约金的计算方法：承担违约责任，经催告后仍未组织竣工验收或颁发工程接收证书的，自催告期满次日起，每延期一天按LPR标准支付违约金，但因存在承包人施工工程质量不合格、工期延误等任何违约行为的除外。</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13.2.5移交、接收全部与部分工程</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承包人向发包人移交工程的期限：颁发工程接收证书后7天内完成工程的移交。</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承包人未按时移交工程的，违约金的计算方法为：承担违约责任，每延期一天按人民币贰仟元向发包人支付违约金。</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13.3 工程试车</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13.3.1 试车程序</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工程试车内容：试车内容应与承包人承包范围相一致，试车费用由承包人承担。</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（1）单机无负荷试车费用由承包人承担；</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（2）无负荷联动试车费用由承包人承担。</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13.3.3 投料试车</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关于投料试车相关事项的约定：按通用合同条款第13.3.3条规定执行。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13.6 竣工退场</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13.6.1 竣工退场</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承包人完成竣工退场的期限：。</w:t>
      </w:r>
    </w:p>
    <w:p>
      <w:pPr>
        <w:adjustRightInd/>
        <w:spacing w:line="360" w:lineRule="auto"/>
        <w:ind w:firstLine="480" w:firstLineChars="200"/>
        <w:outlineLvl w:val="1"/>
        <w:rPr>
          <w:rFonts w:hint="eastAsia" w:ascii="宋体" w:hAnsi="宋体" w:cs="宋体"/>
          <w:bCs/>
          <w:kern w:val="0"/>
          <w:sz w:val="24"/>
          <w:highlight w:val="none"/>
        </w:rPr>
      </w:pPr>
      <w:bookmarkStart w:id="542" w:name="_Toc23917"/>
      <w:r>
        <w:rPr>
          <w:rFonts w:hint="eastAsia" w:ascii="宋体" w:hAnsi="宋体" w:cs="宋体"/>
          <w:bCs/>
          <w:kern w:val="0"/>
          <w:sz w:val="24"/>
          <w:highlight w:val="none"/>
        </w:rPr>
        <w:t>14. 竣工结算</w:t>
      </w:r>
      <w:bookmarkEnd w:id="542"/>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14.1 竣工结算申请</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承包人提交竣工结算申请单的期限：在工程竣工验收合格后28天内。</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竣工结算申请单应包括的内容：</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（1）竣工结算合同价格；</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（2）发包人已支付承包人的款项；</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（3）应扣留的质量保证金等；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（4）发包人应支付承包人的合同价款。</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5）本工程结算造价以审计部门的最终审计结果为准，发包人根据国家造价管理的有关规定以及审计部门审定的价款进行结算，与承包人办理最终价款结算手续。发包人、审计部门应在竣工验收合格、承包人提供完整结算资料以及具备其它结算条件后及时按有关规定核实承包人递交的结算报告及结算资料，但并不受通用条款所述的时间约束。结算审核费用按发包人与结算审核单位的合同约定支付，其中核增额和超过5%以外的核减额的审计费用由承包人按浙价服[2009]84号文件规定的收费标准支付。</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14.2 竣工结算审核</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发包人审批竣工付款申请单的期限：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发包人完成竣工付款的期限：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关于竣工付款证书异议部分复核的方式和程序：按通用合同条款第14.2条第（3）项规定执行。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14.4 最终结清</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14.4.1 最终结清申请单</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承包人提交最终结清申请单的份数：  /  份。</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承包人提交最终结算申请单的期限：  /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14.4.2 最终结清证书和支付</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（1）发包人完成最终结清申请单的审批并颁发最终结清证书的期限：</w:t>
      </w:r>
      <w:r>
        <w:rPr>
          <w:rFonts w:hint="eastAsia" w:ascii="宋体" w:hAnsi="宋体" w:eastAsia="宋体" w:cs="宋体"/>
          <w:bCs/>
          <w:kern w:val="0"/>
          <w:sz w:val="24"/>
          <w:szCs w:val="24"/>
          <w:highlight w:val="none"/>
          <w:u w:val="none"/>
        </w:rPr>
        <w:t xml:space="preserve"> 按发包人实际审计完成时间 </w:t>
      </w:r>
      <w:r>
        <w:rPr>
          <w:rFonts w:hint="eastAsia" w:ascii="宋体" w:hAnsi="宋体" w:cs="宋体"/>
          <w:bCs/>
          <w:kern w:val="0"/>
          <w:sz w:val="24"/>
          <w:highlight w:val="none"/>
        </w:rPr>
        <w:t>。</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（2）发包人完成支付的期限：    /    。</w:t>
      </w:r>
    </w:p>
    <w:p>
      <w:pPr>
        <w:adjustRightInd/>
        <w:spacing w:line="360" w:lineRule="auto"/>
        <w:ind w:firstLine="480" w:firstLineChars="200"/>
        <w:outlineLvl w:val="1"/>
        <w:rPr>
          <w:rFonts w:hint="eastAsia" w:ascii="宋体" w:hAnsi="宋体" w:cs="宋体"/>
          <w:bCs/>
          <w:kern w:val="0"/>
          <w:sz w:val="24"/>
          <w:highlight w:val="none"/>
        </w:rPr>
      </w:pPr>
      <w:bookmarkStart w:id="543" w:name="_Toc14783"/>
      <w:r>
        <w:rPr>
          <w:rFonts w:hint="eastAsia" w:ascii="宋体" w:hAnsi="宋体" w:cs="宋体"/>
          <w:bCs/>
          <w:kern w:val="0"/>
          <w:sz w:val="24"/>
          <w:highlight w:val="none"/>
        </w:rPr>
        <w:t>15. 缺陷责任期与保修</w:t>
      </w:r>
      <w:bookmarkEnd w:id="543"/>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15.2缺陷责任期</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缺陷责任期的具体期限：</w:t>
      </w:r>
      <w:r>
        <w:rPr>
          <w:rFonts w:hint="eastAsia" w:ascii="宋体" w:hAnsi="宋体" w:cs="宋体"/>
          <w:bCs/>
          <w:kern w:val="0"/>
          <w:sz w:val="24"/>
          <w:highlight w:val="none"/>
          <w:u w:val="single"/>
        </w:rPr>
        <w:t>24个月</w:t>
      </w:r>
      <w:r>
        <w:rPr>
          <w:rFonts w:hint="eastAsia" w:ascii="宋体" w:hAnsi="宋体" w:cs="宋体"/>
          <w:bCs/>
          <w:kern w:val="0"/>
          <w:sz w:val="24"/>
          <w:highlight w:val="none"/>
        </w:rPr>
        <w:t>，自工程竣工验收合格（指验收时发现的所有质量缺陷均整改完毕并经验收合格）之日起计算，法律法规规定的缺陷责任期超过两年的，执行法律法规的规定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15.3 质量保证金</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关于是否扣留质量保证金的约定：   是  。在工程项目竣工前，承包人按专用合同条款第3.7条提供履约担保的，发包人不得同时预留工程质量保证金。</w:t>
      </w:r>
    </w:p>
    <w:p>
      <w:pPr>
        <w:adjustRightInd/>
        <w:spacing w:line="360" w:lineRule="auto"/>
        <w:ind w:firstLine="480" w:firstLineChars="200"/>
        <w:rPr>
          <w:rFonts w:ascii="宋体" w:hAnsi="宋体" w:cs="宋体"/>
          <w:bCs/>
          <w:kern w:val="0"/>
          <w:sz w:val="24"/>
          <w:highlight w:val="none"/>
        </w:rPr>
      </w:pP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15.3.1 承包人提供质量保证金的方式</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质量保证金采用以下第  （2）  种方式：</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（1）质量保证金保函，保证金额为：    /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（2）1.5 %的</w:t>
      </w:r>
      <w:r>
        <w:rPr>
          <w:rFonts w:hint="eastAsia" w:ascii="宋体" w:hAnsi="宋体" w:cs="宋体"/>
          <w:kern w:val="0"/>
          <w:sz w:val="24"/>
          <w:szCs w:val="21"/>
          <w:highlight w:val="none"/>
        </w:rPr>
        <w:t>工程结算审定价；</w:t>
      </w:r>
      <w:r>
        <w:rPr>
          <w:rFonts w:hint="eastAsia" w:ascii="宋体" w:hAnsi="宋体" w:cs="宋体"/>
          <w:bCs/>
          <w:kern w:val="0"/>
          <w:sz w:val="24"/>
          <w:highlight w:val="none"/>
        </w:rPr>
        <w:t>；</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（3）其他方式: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15.3.2 质量保证金的扣留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质量保证金的扣留采取以下第  （3）  种方式：</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（1）在支付工程进度款时逐次扣留，在此情形下，质量保证金的计算基数不包括预付款的支付、扣回以及价格调整的金额；</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（2）工程竣工结算时一次性扣留质量保证金；</w:t>
      </w:r>
    </w:p>
    <w:p>
      <w:pPr>
        <w:adjustRightInd/>
        <w:spacing w:line="360" w:lineRule="auto"/>
        <w:ind w:firstLine="480" w:firstLineChars="200"/>
        <w:rPr>
          <w:rFonts w:hint="eastAsia" w:ascii="宋体" w:hAnsi="宋体" w:cs="宋体"/>
          <w:b/>
          <w:bCs/>
          <w:kern w:val="0"/>
          <w:sz w:val="24"/>
          <w:highlight w:val="none"/>
        </w:rPr>
      </w:pPr>
      <w:r>
        <w:rPr>
          <w:rFonts w:hint="eastAsia" w:ascii="宋体" w:hAnsi="宋体" w:cs="宋体"/>
          <w:bCs/>
          <w:kern w:val="0"/>
          <w:sz w:val="24"/>
          <w:highlight w:val="none"/>
        </w:rPr>
        <w:t xml:space="preserve">（3）其他扣留方式: </w:t>
      </w:r>
      <w:r>
        <w:rPr>
          <w:rFonts w:hint="eastAsia" w:ascii="宋体" w:hAnsi="宋体" w:cs="宋体"/>
          <w:bCs/>
          <w:kern w:val="0"/>
          <w:sz w:val="24"/>
          <w:highlight w:val="none"/>
          <w:u w:val="single"/>
        </w:rPr>
        <w:t>待审计完成后承包人向发包人缴纳工程审定金额的1.5%作为质量保证金</w:t>
      </w:r>
      <w:r>
        <w:rPr>
          <w:rFonts w:hint="eastAsia" w:ascii="宋体" w:hAnsi="宋体" w:cs="宋体"/>
          <w:bCs/>
          <w:kern w:val="0"/>
          <w:sz w:val="24"/>
          <w:highlight w:val="none"/>
        </w:rPr>
        <w:t>。</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关于质量保证金的补充约定：审定价的1.5%作为工程质量保证金，质保金在质保期满经验收无质量问题后扣除相应的违约金、损害赔偿金等费用后（如有）后60天内全部结清（不计利息）。</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15.4保修</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15.4.1 保修责任</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工程保修期为：按工程质量保修书规定执行。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15.4.3 修复通知</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承包人收到保修通知并到达工程现场的合理时间：</w:t>
      </w:r>
      <w:r>
        <w:rPr>
          <w:rFonts w:hint="eastAsia" w:ascii="宋体" w:hAnsi="宋体" w:cs="宋体"/>
          <w:bCs/>
          <w:kern w:val="0"/>
          <w:sz w:val="24"/>
          <w:highlight w:val="none"/>
          <w:lang w:val="en-US" w:eastAsia="zh-CN"/>
        </w:rPr>
        <w:t>24小时</w:t>
      </w:r>
      <w:r>
        <w:rPr>
          <w:rFonts w:hint="eastAsia" w:ascii="宋体" w:hAnsi="宋体" w:cs="宋体"/>
          <w:bCs/>
          <w:kern w:val="0"/>
          <w:sz w:val="24"/>
          <w:highlight w:val="none"/>
        </w:rPr>
        <w:t>内，承包人逾期未响应或未完成维修的，发包人有权自行或另行委托第三方负责，相关费用由承包人承担，发包人有权从应支付给承包人的费用中扣除。</w:t>
      </w:r>
    </w:p>
    <w:p>
      <w:pPr>
        <w:adjustRightInd/>
        <w:spacing w:line="360" w:lineRule="auto"/>
        <w:ind w:firstLine="480" w:firstLineChars="200"/>
        <w:outlineLvl w:val="1"/>
        <w:rPr>
          <w:rFonts w:hint="eastAsia" w:ascii="宋体" w:hAnsi="宋体" w:cs="宋体"/>
          <w:bCs/>
          <w:kern w:val="0"/>
          <w:sz w:val="24"/>
          <w:highlight w:val="none"/>
        </w:rPr>
      </w:pPr>
      <w:bookmarkStart w:id="544" w:name="_Toc5622"/>
      <w:r>
        <w:rPr>
          <w:rFonts w:hint="eastAsia" w:ascii="宋体" w:hAnsi="宋体" w:cs="宋体"/>
          <w:bCs/>
          <w:kern w:val="0"/>
          <w:sz w:val="24"/>
          <w:highlight w:val="none"/>
        </w:rPr>
        <w:t>16. 违约</w:t>
      </w:r>
      <w:bookmarkEnd w:id="544"/>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16.1 发包人违约</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16.1.1发包人违约的情形</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发包人违约的其他情形：按通用合同条款第16.1.1条第（3）项规定执行。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16.1.2 发包人违约的责任</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发包人违约责任的承担方式和计算方法：</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（1）因发包人原因未能在计划开工日期前7天内下达开工通知的违约责任：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（2）因发包人原因未能按合同约定支付合同价款的违约责任：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（3）发包人违反第10.1款〔变更的范围〕第（2）项约定，自行实施被取消的工作或转由他人实施的违约责任：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（4）发包人提供的材料、工程设备的规格、数量或质量不符合合同约定，或因发包人原因导致交货日期延误或交货地点变更等情况的违约责任：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（5）因发包人违反合同约定造成暂停施工的违约责任：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（6）发包人无正当理由没有在约定期限内发出复工指示，导致承包人无法复工的违约责任：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（7）其他：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16.1.3 因发包人违约解除合同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承包人按16.1.1项〔发包人违约的情形〕约定暂停施工满天后发包人仍不纠正其违约行为并致使合同目的不能实现的，承包人有权解除合同。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16.2 承包人违约</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16.2.1 承包人违约的情形</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承包人违约的其他情形：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16.2.2承包人违约的责任</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承包人违约责任的承担方式和计算方法：  发包人有权解除合同，要求承包人退还已收取的全部费用，并支付【9800】元违约金，违约金不足以弥补发包人损失的，承包人应予补足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16.2.3 因承包人违约解除合同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关于承包人违约解除合同的特别约定：  退还应已收取的全部费用，并支付【</w:t>
      </w:r>
      <w:r>
        <w:rPr>
          <w:rFonts w:ascii="宋体" w:hAnsi="宋体" w:cs="宋体"/>
          <w:bCs/>
          <w:kern w:val="0"/>
          <w:sz w:val="24"/>
          <w:highlight w:val="none"/>
        </w:rPr>
        <w:t>800</w:t>
      </w:r>
      <w:r>
        <w:rPr>
          <w:rFonts w:hint="eastAsia" w:ascii="宋体" w:hAnsi="宋体" w:cs="宋体"/>
          <w:bCs/>
          <w:kern w:val="0"/>
          <w:sz w:val="24"/>
          <w:highlight w:val="none"/>
        </w:rPr>
        <w:t>0】元违约金，违约金不足以弥补发包人损失的，承包人应予补足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发包人继续使用承包人在施工现场的材料、设备、临时工程、承包人文件和由承包人或以其名义编制的其他文件的费用承担方式： 执行通用条款 。</w:t>
      </w:r>
    </w:p>
    <w:p>
      <w:pPr>
        <w:adjustRightInd/>
        <w:spacing w:line="360" w:lineRule="auto"/>
        <w:ind w:firstLine="480" w:firstLineChars="200"/>
        <w:outlineLvl w:val="1"/>
        <w:rPr>
          <w:rFonts w:hint="eastAsia" w:ascii="宋体" w:hAnsi="宋体" w:cs="宋体"/>
          <w:bCs/>
          <w:kern w:val="0"/>
          <w:sz w:val="24"/>
          <w:highlight w:val="none"/>
        </w:rPr>
      </w:pPr>
      <w:bookmarkStart w:id="545" w:name="_Toc12022"/>
      <w:r>
        <w:rPr>
          <w:rFonts w:hint="eastAsia" w:ascii="宋体" w:hAnsi="宋体" w:cs="宋体"/>
          <w:bCs/>
          <w:kern w:val="0"/>
          <w:sz w:val="24"/>
          <w:highlight w:val="none"/>
        </w:rPr>
        <w:t>17. 不可抗力</w:t>
      </w:r>
      <w:bookmarkEnd w:id="545"/>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17.1 不可抗力的确认</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除通用合同条款约定的不可抗力事件之外，视为不可抗力的其他情形：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17.4 因不可抗力解除合同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合同解除后，发包人应在商定或确定发包人应支付款项后天内完成款项的支付。</w:t>
      </w:r>
    </w:p>
    <w:p>
      <w:pPr>
        <w:adjustRightInd/>
        <w:spacing w:line="360" w:lineRule="auto"/>
        <w:ind w:firstLine="480" w:firstLineChars="200"/>
        <w:outlineLvl w:val="1"/>
        <w:rPr>
          <w:rFonts w:hint="eastAsia" w:ascii="宋体" w:hAnsi="宋体" w:cs="宋体"/>
          <w:bCs/>
          <w:kern w:val="0"/>
          <w:sz w:val="24"/>
          <w:highlight w:val="none"/>
        </w:rPr>
      </w:pPr>
      <w:bookmarkStart w:id="546" w:name="_Toc6011"/>
      <w:r>
        <w:rPr>
          <w:rFonts w:hint="eastAsia" w:ascii="宋体" w:hAnsi="宋体" w:cs="宋体"/>
          <w:bCs/>
          <w:kern w:val="0"/>
          <w:sz w:val="24"/>
          <w:highlight w:val="none"/>
        </w:rPr>
        <w:t>18. 保险</w:t>
      </w:r>
      <w:bookmarkEnd w:id="546"/>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18.1 工程保险</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关于工程保险的特别约定：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18.3 其他保险</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关于其他保险的约定：承包人投保建筑工人及管理人员意外伤害保险。</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承包人是否应为其施工设备等办理财产保险：是。</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18.7 通知义务</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关于变更保险合同时的通知义务的约定：按通用合同条款第18.7条项规定执行。</w:t>
      </w:r>
    </w:p>
    <w:p>
      <w:pPr>
        <w:adjustRightInd/>
        <w:spacing w:line="360" w:lineRule="auto"/>
        <w:ind w:firstLine="480" w:firstLineChars="200"/>
        <w:outlineLvl w:val="1"/>
        <w:rPr>
          <w:rFonts w:hint="eastAsia" w:ascii="宋体" w:hAnsi="宋体" w:cs="宋体"/>
          <w:bCs/>
          <w:kern w:val="0"/>
          <w:sz w:val="24"/>
          <w:highlight w:val="none"/>
        </w:rPr>
      </w:pPr>
      <w:bookmarkStart w:id="547" w:name="_Toc19987"/>
      <w:r>
        <w:rPr>
          <w:rFonts w:hint="eastAsia" w:ascii="宋体" w:hAnsi="宋体" w:cs="宋体"/>
          <w:bCs/>
          <w:kern w:val="0"/>
          <w:sz w:val="24"/>
          <w:highlight w:val="none"/>
        </w:rPr>
        <w:t>20. 争议解决</w:t>
      </w:r>
      <w:bookmarkEnd w:id="547"/>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20.3 争议评审</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合同当事人是否同意将工程争议提交争议评审小组决定：  /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20.3.1 争议评审小组的确定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争议评审小组成员的确定：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选定争议评审员的期限：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争议评审小组成员的报酬承担方式：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其他事项的约定：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20.3.2 争议评审小组的决定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合同当事人关于本项的约定：    /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20.4仲裁或诉讼</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因合同及合同有关事项发生的争议，按下列第种方式解决：</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（1）向    /    仲裁委员会申请仲裁；</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（2）向工程所在地人民法院起诉。</w:t>
      </w:r>
    </w:p>
    <w:p>
      <w:pPr>
        <w:adjustRightInd/>
        <w:spacing w:line="360" w:lineRule="auto"/>
        <w:ind w:firstLine="480" w:firstLineChars="200"/>
        <w:outlineLvl w:val="1"/>
        <w:rPr>
          <w:rFonts w:hint="eastAsia" w:ascii="宋体" w:hAnsi="宋体" w:cs="宋体"/>
          <w:bCs/>
          <w:kern w:val="0"/>
          <w:sz w:val="24"/>
          <w:highlight w:val="none"/>
        </w:rPr>
      </w:pPr>
      <w:bookmarkStart w:id="548" w:name="_Toc31173"/>
      <w:r>
        <w:rPr>
          <w:rFonts w:hint="eastAsia" w:ascii="宋体" w:hAnsi="宋体" w:cs="宋体"/>
          <w:bCs/>
          <w:kern w:val="0"/>
          <w:sz w:val="24"/>
          <w:highlight w:val="none"/>
        </w:rPr>
        <w:t>21.补充条款</w:t>
      </w:r>
      <w:bookmarkEnd w:id="548"/>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21.1工程质量要求的其他约定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21.1.1承包人必须严格按合同条款、施工图纸及设计说明文件、施工验收规范、国家和省市的有关质量验收标准，精心组织施工，确保工程质量达到国家合格验收标准。承包人应详细编制施工方案，详细叙述关键部位的质量保证措施，并在响应文件中对质量目标进行承诺。</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工程总造价的5%向发包人支付违约金，该违约金从工程款中扣除。若承包人不按发包人要求整改或整改后仍不合格的，发包人有权解除合同或委托第三方进行整改。发包人解除合同的，承包人退还应已收取的全部费用，并支付【</w:t>
      </w:r>
      <w:r>
        <w:rPr>
          <w:rFonts w:ascii="宋体" w:hAnsi="宋体" w:cs="宋体"/>
          <w:bCs/>
          <w:kern w:val="0"/>
          <w:sz w:val="24"/>
          <w:highlight w:val="none"/>
        </w:rPr>
        <w:t>80</w:t>
      </w:r>
      <w:r>
        <w:rPr>
          <w:rFonts w:hint="eastAsia" w:ascii="宋体" w:hAnsi="宋体" w:cs="宋体"/>
          <w:bCs/>
          <w:kern w:val="0"/>
          <w:sz w:val="24"/>
          <w:highlight w:val="none"/>
        </w:rPr>
        <w:t>00】元违约金，违约金不足以弥补发包人损失的，承包人应予补足。发包人委托第三方整改的，整改费用由承包人承担，在工程款中扣除。发包人委托第三方整改不能免除承包人根据合同约定应当承担的工程保维修责任。</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21.1.2因工程施工交叉进行，承包人应积极配合，并无条件服从发包人或监理工程师的合理安排。</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21.2工期要求的其他约定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21.2.1承包人应详细踏勘、了解现场实际情况，在磋商中应充分考虑现场情况对施工工期的影响，该部分内容在施工工期中包干，成交后不予调整。</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21.2.2合同工期为进场施工开始至竣工验收时止，承包人必须做好配合协调工作，因协调配合不当引起的工期等所有损失均由承包人承担。</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21.2.3如承包人认为发生了可顺延工期情形的，承包人必须于工期延误情形发生后14天内向发包人提出顺延工期申请，经发包人签证后按发包人签证的工期顺延。承包人逾期未申请顺延工期的，工期不予以顺延。</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21.3安全文明施工要求的其他约定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21.3.1承包人与发包人必须签定《安全生产责任协议书》和《文明施工责任协议书》（见附件），且必须按照浙江省及发包人安全生产、文明施工标准化工地要求，做好安全生产、文明施工。 </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安全生产、文明施工相关费用在工程实施过程中必须足额投入，否则发包人有权拒绝支付该项费用。</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安全生产、文明施工维护及宣传方案需征得发包人同意方可实施。</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21.4人员到位要求的其他约定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21.4.1承包人在响应文件中承诺的管理人员（项目经理、技术负责人、施工员、安全员、质检员、材料员）配备数量应满足本工程管理的需要和相应规范、文件要求。</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本项目采用指纹考勤，在响应文件中需对管理人员的出勤率作出承诺。若项目经理、技术负责人出勤率不足磋商响应承诺，处罚1000元人民币/天；施工员、安全员、质检员、材料员出勤率不足磋商响应承诺，处罚500元人民币/天/人（出勤率按照为每月25天，每日工作时间8小时考勤）。重要施工工序或环节时项目经理、技术负责人等必须到场，否则处罚5000元人民币/每次。</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21.5合同价款的其他约定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21.5.1在工程通过竣工验收前，对已完成工程成品的保护工作由承包人负责，费用在磋商响应报价中包干。</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21.5.2本工程工期较紧，相应赶工措施费用包含在磋商响应报价中。</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21.5.3承包人所报的费用中必须包含危险作业意外伤害保险费用，否则视同承包人优惠。</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21.5.4施工组织措施费和技术措施费在成交以后，在合同施工范围内，无论现场施工条件如何变化、设计如何变更、也无论工程量增减的幅度如何，均不再调整；</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21.5.5磋商响应报价必须与施工组织设计相一致，对施工组织设计的内容未在磋商响应报价中体现的均视同承包人优惠。施工期间由于承包人原因造成施工方案的更改，所增加的工程费用及工期一概不予调整，属施工技术组织措施失误造成的费用及延误工期均由承包人承担。</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21.6其他方面的约定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21.6.1承包人的响应文件必须完全响应磋商文件的要求，磋商响应文件中一切有悖于磋商文件的条款均视作无效条款；承包人在响应文件中单方面设置限制发包人的条款和内容均将被视作无效内容，并且出现上述现象时，承包人应自行承担被否决风险。响应文件中所有在磋商文件约定内容之外的与费用、进度、质量、索赔等有关的制约性内容在承包人成交后，经发包人作出书面确认之前，均视作无效。</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21.6.2如承包人在磋商响应时选择的备选材料设备品牌不在发包人推荐范围内，其材料设备进场前必须报发包人、监理审核，经审核如存在材料不满足发包人要求的，则发包人有权在发包人推荐的范围内任意选择或社会上相关产品进行指定，且价格不予调整。</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21.6.3承包人应充分响应杭州市委、市政府及当地政府关于工程运输车安全整治有关问题的相关意见，落实好工程安全运输责任制。</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21.6.4当承包人未按合同约定履行义务，造成质量低下、进度迟缓、管理混乱或将成交项目转让（转包给他人），发包方有权解除合同，要求承包人退还已收取的全部费用，并没收履约担保，如给发包人造成的损失超过保证金数额的还应当对超过部份予以赔偿，并依法承担相应的法律责任；</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21.6.5承包人应确保民工工资的及时支付，如不及时支付，视作违约，承包人应按合同价款的1%向发包人支付违约金且由此造成的后果与损失应由承包人承担，同时，发包人有权在工程款中扣除相应费用代为支付民工工资。</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21.6.6承包人需加强维修服务意识，信守维修服务承诺书中的各项承诺，维修服务承诺书作为合同附件。</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21.6.7工程实施期间，承包人必须确保本工程项目进度款专款专用，发包人（或发包人委托的中介机构）随时有权到承包人处核查工程进度款使用情况，承包人须全力配合不得以任何理由拒绝。</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21.6.8承包人应提供所有分部分项工程量清单和技术措施清单项目的综合单价分析表和工料机分析表（工料机分析表由承包人在收到成交通知书两天内提供（须与电子文本完全一致），但电子文本需与响应文件同时提交）。</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21.6.9承包人应在响应文件中列出所有承包人认为需提供的工日、材料（设备）、机械台班价格，若承包人未列出，在施工期间可由发包人根据响应文件及其它的合同文件确定价格。</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21.6.10承包人应在响应文件中列出所有承包人认为需列出的材料（设备）的规格、型号、品牌、档次等，若承包人未列出，在施工期间发包人可根据工程需要提出要求，承包人必须按照发包人的要求提供材料（设备）。</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21.6.11如果承包人提供的工日、材料（设备）、机械台班价格及综合单价分析表和工料机分析表与综合单价有矛盾，结算时应以综合单价为准。</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21.6.12承包人应服从发包人的协调组织安排，不得因交叉交错施工影响本工程总体进度。</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21.6.13本工程在实施过程中，如承包人的施工队伍素质、力量、现场管理班子、施工设备、不能很好满足实际施工的需要，现场文明安全施工不符合磋商响应文件的承诺，造成现场管理混乱、工程质量和进度达不到磋商响应所承诺的要求时，发包人有权要求其调整充实施工力量，承包人必须接受，如措施不力，将视作承包人违约处理直至终止合同,并按本合同的约定追究违约责任。</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21.6.14中介机构（审计部门）对承包人提交的竣工结算报告进行审核（计）时，承包人必须根据发包人及中介机构（审计部门）的要求履行配合义务，因承包人不配合中介机构（审计部门），导致中介机构（审计部门）无法及时完成造价审核（审计）的，责任由承包人承担，承包人不得以此要求发包人承担逾期付款违约责任。</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21.6.15本合同所涉及的所有处罚违约金将以现金形式缴纳，月罚月交，如未按时递交违约金，本月工程款暂停支付。</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21.6.16本项目涉及到的检测、监测、质检费用由承包人在磋商响应报价中综合考虑。</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21.6.17合同双方确认，本合同及本合同约定的其它文件组成部分中的各项约定都是通过法定采购过程形成的合法成果，不存在与磋商文件和承包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合同履行过程中，经双方协商一致变更、补充本合同内容的，不受本条款限制，补充合同或工程联系单等内容与本合同内容不一致的，以补充合同内容为准。</w:t>
      </w:r>
    </w:p>
    <w:p>
      <w:pPr>
        <w:adjustRightInd/>
        <w:spacing w:line="360" w:lineRule="auto"/>
        <w:ind w:firstLine="482" w:firstLineChars="200"/>
        <w:rPr>
          <w:rFonts w:ascii="宋体" w:hAnsi="宋体" w:cs="宋体"/>
          <w:b/>
          <w:kern w:val="0"/>
          <w:sz w:val="24"/>
          <w:highlight w:val="none"/>
        </w:rPr>
      </w:pPr>
    </w:p>
    <w:p>
      <w:pPr>
        <w:adjustRightInd/>
        <w:spacing w:line="360" w:lineRule="auto"/>
        <w:ind w:firstLine="480" w:firstLineChars="200"/>
        <w:rPr>
          <w:rFonts w:hint="eastAsia" w:ascii="宋体" w:hAnsi="宋体" w:cs="宋体"/>
          <w:b w:val="0"/>
          <w:bCs/>
          <w:kern w:val="0"/>
          <w:sz w:val="24"/>
          <w:highlight w:val="none"/>
        </w:rPr>
      </w:pPr>
      <w:r>
        <w:rPr>
          <w:rFonts w:hint="eastAsia" w:ascii="宋体" w:hAnsi="宋体" w:cs="宋体"/>
          <w:b w:val="0"/>
          <w:bCs/>
          <w:kern w:val="0"/>
          <w:sz w:val="24"/>
          <w:highlight w:val="none"/>
        </w:rPr>
        <w:t>附件：</w:t>
      </w:r>
    </w:p>
    <w:p>
      <w:pPr>
        <w:adjustRightInd/>
        <w:spacing w:line="360" w:lineRule="auto"/>
        <w:ind w:firstLine="480" w:firstLineChars="200"/>
        <w:rPr>
          <w:rFonts w:hint="eastAsia" w:ascii="宋体" w:hAnsi="宋体" w:cs="宋体"/>
          <w:b w:val="0"/>
          <w:bCs/>
          <w:kern w:val="0"/>
          <w:sz w:val="24"/>
          <w:highlight w:val="none"/>
        </w:rPr>
      </w:pPr>
      <w:r>
        <w:rPr>
          <w:rFonts w:hint="eastAsia" w:ascii="宋体" w:hAnsi="宋体" w:cs="宋体"/>
          <w:b w:val="0"/>
          <w:bCs/>
          <w:kern w:val="0"/>
          <w:sz w:val="24"/>
          <w:highlight w:val="none"/>
        </w:rPr>
        <w:t>附件 1：工程质量保修书</w:t>
      </w:r>
    </w:p>
    <w:p>
      <w:pPr>
        <w:adjustRightInd/>
        <w:spacing w:line="360" w:lineRule="auto"/>
        <w:ind w:firstLine="480" w:firstLineChars="200"/>
        <w:rPr>
          <w:rFonts w:hint="eastAsia" w:ascii="宋体" w:hAnsi="宋体" w:cs="宋体"/>
          <w:b w:val="0"/>
          <w:bCs/>
          <w:kern w:val="0"/>
          <w:sz w:val="24"/>
          <w:highlight w:val="none"/>
        </w:rPr>
      </w:pPr>
      <w:r>
        <w:rPr>
          <w:rFonts w:hint="eastAsia" w:ascii="宋体" w:hAnsi="宋体" w:cs="宋体"/>
          <w:b w:val="0"/>
          <w:bCs/>
          <w:kern w:val="0"/>
          <w:sz w:val="24"/>
          <w:highlight w:val="none"/>
        </w:rPr>
        <w:t>附件 2：建设工程廉政合同</w:t>
      </w:r>
    </w:p>
    <w:p>
      <w:pPr>
        <w:adjustRightInd/>
        <w:spacing w:line="360" w:lineRule="auto"/>
        <w:ind w:firstLine="480" w:firstLineChars="200"/>
        <w:rPr>
          <w:rFonts w:hint="eastAsia" w:ascii="宋体" w:hAnsi="宋体" w:cs="宋体"/>
          <w:b w:val="0"/>
          <w:bCs/>
          <w:kern w:val="0"/>
          <w:sz w:val="24"/>
          <w:highlight w:val="none"/>
        </w:rPr>
      </w:pPr>
      <w:r>
        <w:rPr>
          <w:rFonts w:hint="eastAsia" w:ascii="宋体" w:hAnsi="宋体" w:cs="宋体"/>
          <w:b w:val="0"/>
          <w:bCs/>
          <w:kern w:val="0"/>
          <w:sz w:val="24"/>
          <w:highlight w:val="none"/>
        </w:rPr>
        <w:t>附件 3：建筑施工安全责任书</w:t>
      </w:r>
    </w:p>
    <w:p>
      <w:pPr>
        <w:adjustRightInd/>
        <w:spacing w:line="360" w:lineRule="auto"/>
        <w:ind w:firstLine="482" w:firstLineChars="200"/>
        <w:rPr>
          <w:rFonts w:hint="eastAsia" w:ascii="宋体" w:hAnsi="宋体" w:cs="宋体"/>
          <w:b/>
          <w:kern w:val="0"/>
          <w:sz w:val="24"/>
          <w:highlight w:val="none"/>
        </w:rPr>
      </w:pPr>
      <w:r>
        <w:rPr>
          <w:rFonts w:ascii="宋体" w:hAnsi="宋体" w:cs="宋体"/>
          <w:b/>
          <w:kern w:val="0"/>
          <w:sz w:val="24"/>
          <w:highlight w:val="none"/>
        </w:rPr>
        <w:br w:type="page"/>
      </w:r>
      <w:r>
        <w:rPr>
          <w:rFonts w:hint="eastAsia" w:ascii="宋体" w:hAnsi="宋体" w:cs="宋体"/>
          <w:b/>
          <w:kern w:val="0"/>
          <w:sz w:val="24"/>
          <w:highlight w:val="none"/>
        </w:rPr>
        <w:t>附件一：工程质量保修书格式</w:t>
      </w:r>
    </w:p>
    <w:p>
      <w:pPr>
        <w:adjustRightInd/>
        <w:spacing w:line="360" w:lineRule="auto"/>
        <w:ind w:firstLine="482" w:firstLineChars="200"/>
        <w:jc w:val="center"/>
        <w:rPr>
          <w:rFonts w:hint="eastAsia" w:ascii="宋体" w:hAnsi="宋体" w:cs="宋体"/>
          <w:b/>
          <w:kern w:val="0"/>
          <w:sz w:val="24"/>
          <w:highlight w:val="none"/>
        </w:rPr>
      </w:pPr>
      <w:r>
        <w:rPr>
          <w:rFonts w:hint="eastAsia" w:ascii="宋体" w:hAnsi="宋体" w:cs="宋体"/>
          <w:b/>
          <w:kern w:val="0"/>
          <w:sz w:val="24"/>
          <w:highlight w:val="none"/>
        </w:rPr>
        <w:t>工程质量保修书</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发包人（全称）：中国美术学院</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承包人（全称）：</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发包人和承包人根据《中华人民共和国建筑法》和《建设工程质量管理条例》，经协商一致就（工程全称）签订工程质量保修书。</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一、工程质量保修范围和内容</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承包人在质量保修期内，按照有关法律规定和合同约定，承担工程质量保修责任。</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w:t>
      </w:r>
      <w:r>
        <w:rPr>
          <w:rFonts w:hint="eastAsia" w:ascii="宋体" w:hAnsi="宋体" w:cs="宋体"/>
          <w:bCs/>
          <w:kern w:val="0"/>
          <w:sz w:val="24"/>
          <w:highlight w:val="none"/>
          <w:u w:val="single"/>
        </w:rPr>
        <w:t>　本合同承包范围内的全部工程内容</w:t>
      </w:r>
      <w:r>
        <w:rPr>
          <w:rFonts w:hint="eastAsia" w:ascii="宋体" w:hAnsi="宋体" w:cs="宋体"/>
          <w:bCs/>
          <w:kern w:val="0"/>
          <w:sz w:val="24"/>
          <w:highlight w:val="none"/>
        </w:rPr>
        <w:t>。</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二、质量保修期</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质量保修期从工程实际竣工之日算起。</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双方根据《建设工程质量管理条例》及国家有关规定，结合具体工程情况约定质量保修期如下：</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1、地基基础工程和主体结构工程为设计文件规定的该工程合理使用年限；</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2、屋面防水工程、有防水要求的墙面、地面的防渗漏为捌年；</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3、装修工程为</w:t>
      </w:r>
      <w:r>
        <w:rPr>
          <w:rFonts w:hint="eastAsia" w:ascii="宋体" w:hAnsi="宋体" w:cs="宋体"/>
          <w:bCs/>
          <w:kern w:val="0"/>
          <w:sz w:val="24"/>
          <w:highlight w:val="none"/>
          <w:u w:val="single"/>
        </w:rPr>
        <w:t>贰</w:t>
      </w:r>
      <w:r>
        <w:rPr>
          <w:rFonts w:hint="eastAsia" w:ascii="宋体" w:hAnsi="宋体" w:cs="宋体"/>
          <w:bCs/>
          <w:kern w:val="0"/>
          <w:sz w:val="24"/>
          <w:highlight w:val="none"/>
        </w:rPr>
        <w:t>年；</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4、电气管线、给排水管道、设备安装工程为贰年；</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5、供热与供冷系统为贰个采暖期、供冷期；</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6、其他约定：</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w:t>
      </w:r>
      <w:r>
        <w:rPr>
          <w:rFonts w:hint="eastAsia" w:ascii="宋体" w:hAnsi="宋体" w:cs="宋体"/>
          <w:bCs/>
          <w:kern w:val="0"/>
          <w:sz w:val="24"/>
          <w:highlight w:val="none"/>
          <w:u w:val="single"/>
        </w:rPr>
        <w:t>质量保修期自工程竣工验收合格之日起计算。</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三、缺陷责任期</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工程缺陷责任期及设备质保期为</w:t>
      </w:r>
      <w:r>
        <w:rPr>
          <w:rFonts w:hint="eastAsia" w:ascii="宋体" w:hAnsi="宋体" w:cs="宋体"/>
          <w:bCs/>
          <w:kern w:val="0"/>
          <w:sz w:val="24"/>
          <w:highlight w:val="none"/>
          <w:u w:val="single"/>
        </w:rPr>
        <w:t xml:space="preserve"> 24 个月</w:t>
      </w:r>
      <w:r>
        <w:rPr>
          <w:rFonts w:hint="eastAsia" w:ascii="宋体" w:hAnsi="宋体" w:cs="宋体"/>
          <w:bCs/>
          <w:kern w:val="0"/>
          <w:sz w:val="24"/>
          <w:highlight w:val="none"/>
        </w:rPr>
        <w:t>，缺陷责任期自工程通过竣工验收之日起计算。单位工程先于全部工程进行验收，单位工程缺陷责任期自单位工程验收合格之日起算。</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缺陷责任期终止后，发包人在扣除承包人应承担的违约金、损害赔偿金、维修费等费用后无息退还剩余的质量保证金。</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四、质量保修责任</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1．属于保修范围、内容的项目，承包人应当在接到保修通知之日起48小时内派人保修。承包人不在约定期限内派人保修或未完成维修的的，发包人可以委托他人修理，相关费用由承包人承担。</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2．发生紧急事故需抢修的，承包人在接到事故通知后，应当立即到达事故现场抢修，否则承包人有限自行或另行委托第三方维修，相关费用由承包人承担。</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spacing w:line="360" w:lineRule="auto"/>
        <w:ind w:firstLine="480" w:firstLineChars="200"/>
        <w:outlineLvl w:val="1"/>
        <w:rPr>
          <w:rFonts w:hint="eastAsia" w:ascii="宋体" w:hAnsi="宋体" w:cs="宋体"/>
          <w:bCs/>
          <w:kern w:val="0"/>
          <w:sz w:val="24"/>
          <w:highlight w:val="none"/>
        </w:rPr>
      </w:pPr>
      <w:bookmarkStart w:id="549" w:name="_Toc26736"/>
      <w:r>
        <w:rPr>
          <w:rFonts w:hint="eastAsia" w:ascii="宋体" w:hAnsi="宋体" w:cs="宋体"/>
          <w:bCs/>
          <w:kern w:val="0"/>
          <w:sz w:val="24"/>
          <w:highlight w:val="none"/>
        </w:rPr>
        <w:t>4．质量保修完成后，由发包人组织验收。</w:t>
      </w:r>
      <w:bookmarkEnd w:id="549"/>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五、保修费用</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u w:val="single"/>
        </w:rPr>
        <w:t>　 保修费用由造成质量缺陷的责任方承担</w:t>
      </w:r>
      <w:r>
        <w:rPr>
          <w:rFonts w:hint="eastAsia" w:ascii="宋体" w:hAnsi="宋体" w:cs="宋体"/>
          <w:bCs/>
          <w:kern w:val="0"/>
          <w:sz w:val="24"/>
          <w:highlight w:val="none"/>
        </w:rPr>
        <w:t>。</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六、双方约定的其他工程质量保修事项： </w:t>
      </w:r>
      <w:r>
        <w:rPr>
          <w:rFonts w:hint="eastAsia" w:ascii="宋体" w:hAnsi="宋体" w:cs="宋体"/>
          <w:bCs/>
          <w:kern w:val="0"/>
          <w:sz w:val="24"/>
          <w:highlight w:val="none"/>
          <w:u w:val="single"/>
        </w:rPr>
        <w:t xml:space="preserve">  /   </w:t>
      </w:r>
      <w:r>
        <w:rPr>
          <w:rFonts w:hint="eastAsia" w:ascii="宋体" w:hAnsi="宋体" w:cs="宋体"/>
          <w:bCs/>
          <w:kern w:val="0"/>
          <w:sz w:val="24"/>
          <w:highlight w:val="none"/>
        </w:rPr>
        <w:t>。</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工程质量保修书由发包人、承包人在工程竣工验收前共同签署，作为施工合同附件，其有效期限至保修期满。</w:t>
      </w:r>
    </w:p>
    <w:p>
      <w:pPr>
        <w:adjustRightInd/>
        <w:spacing w:line="360" w:lineRule="auto"/>
        <w:ind w:firstLine="480" w:firstLineChars="200"/>
        <w:rPr>
          <w:rFonts w:ascii="宋体" w:hAnsi="宋体" w:cs="宋体"/>
          <w:bCs/>
          <w:kern w:val="0"/>
          <w:sz w:val="24"/>
          <w:highlight w:val="none"/>
        </w:rPr>
      </w:pP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发包人(</w:t>
      </w:r>
      <w:r>
        <w:rPr>
          <w:rFonts w:hint="eastAsia" w:ascii="宋体" w:hAnsi="宋体" w:cs="宋体"/>
          <w:bCs/>
          <w:kern w:val="0"/>
          <w:sz w:val="24"/>
          <w:highlight w:val="none"/>
          <w:lang w:val="en-US" w:eastAsia="zh-CN"/>
        </w:rPr>
        <w:t>盖章</w:t>
      </w:r>
      <w:r>
        <w:rPr>
          <w:rFonts w:hint="eastAsia" w:ascii="宋体" w:hAnsi="宋体" w:cs="宋体"/>
          <w:bCs/>
          <w:kern w:val="0"/>
          <w:sz w:val="24"/>
          <w:highlight w:val="none"/>
        </w:rPr>
        <w:t>)：       承包人(</w:t>
      </w:r>
      <w:r>
        <w:rPr>
          <w:rFonts w:hint="eastAsia" w:ascii="宋体" w:hAnsi="宋体" w:cs="宋体"/>
          <w:bCs/>
          <w:kern w:val="0"/>
          <w:sz w:val="24"/>
          <w:highlight w:val="none"/>
          <w:lang w:val="en-US" w:eastAsia="zh-CN"/>
        </w:rPr>
        <w:t>盖章</w:t>
      </w:r>
      <w:r>
        <w:rPr>
          <w:rFonts w:hint="eastAsia" w:ascii="宋体" w:hAnsi="宋体" w:cs="宋体"/>
          <w:bCs/>
          <w:kern w:val="0"/>
          <w:sz w:val="24"/>
          <w:highlight w:val="none"/>
        </w:rPr>
        <w:t>)：</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地  址：      </w:t>
      </w:r>
      <w:r>
        <w:rPr>
          <w:rFonts w:ascii="宋体" w:hAnsi="宋体" w:cs="宋体"/>
          <w:bCs/>
          <w:kern w:val="0"/>
          <w:sz w:val="24"/>
          <w:highlight w:val="none"/>
        </w:rPr>
        <w:t xml:space="preserve">      </w:t>
      </w:r>
      <w:r>
        <w:rPr>
          <w:rFonts w:hint="eastAsia" w:ascii="宋体" w:hAnsi="宋体" w:cs="宋体"/>
          <w:bCs/>
          <w:kern w:val="0"/>
          <w:sz w:val="24"/>
          <w:highlight w:val="none"/>
        </w:rPr>
        <w:t xml:space="preserve"> 地  址：</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法定代表人(签字)：   法定代表人(签字)：</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委托代理人(签字)：   委托代理人(签字)：</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电  话：       </w:t>
      </w:r>
      <w:r>
        <w:rPr>
          <w:rFonts w:ascii="宋体" w:hAnsi="宋体" w:cs="宋体"/>
          <w:bCs/>
          <w:kern w:val="0"/>
          <w:sz w:val="24"/>
          <w:highlight w:val="none"/>
        </w:rPr>
        <w:t xml:space="preserve">    </w:t>
      </w:r>
      <w:r>
        <w:rPr>
          <w:rFonts w:hint="eastAsia" w:ascii="宋体" w:hAnsi="宋体" w:cs="宋体"/>
          <w:bCs/>
          <w:kern w:val="0"/>
          <w:sz w:val="24"/>
          <w:highlight w:val="none"/>
        </w:rPr>
        <w:t xml:space="preserve"> </w:t>
      </w:r>
      <w:r>
        <w:rPr>
          <w:rFonts w:ascii="宋体" w:hAnsi="宋体" w:cs="宋体"/>
          <w:bCs/>
          <w:kern w:val="0"/>
          <w:sz w:val="24"/>
          <w:highlight w:val="none"/>
        </w:rPr>
        <w:t xml:space="preserve"> </w:t>
      </w:r>
      <w:r>
        <w:rPr>
          <w:rFonts w:hint="eastAsia" w:ascii="宋体" w:hAnsi="宋体" w:cs="宋体"/>
          <w:bCs/>
          <w:kern w:val="0"/>
          <w:sz w:val="24"/>
          <w:highlight w:val="none"/>
        </w:rPr>
        <w:t>电  话：</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传  真：       </w:t>
      </w:r>
      <w:r>
        <w:rPr>
          <w:rFonts w:ascii="宋体" w:hAnsi="宋体" w:cs="宋体"/>
          <w:bCs/>
          <w:kern w:val="0"/>
          <w:sz w:val="24"/>
          <w:highlight w:val="none"/>
        </w:rPr>
        <w:t xml:space="preserve">   </w:t>
      </w:r>
      <w:r>
        <w:rPr>
          <w:rFonts w:hint="eastAsia" w:ascii="宋体" w:hAnsi="宋体" w:cs="宋体"/>
          <w:bCs/>
          <w:kern w:val="0"/>
          <w:sz w:val="24"/>
          <w:highlight w:val="none"/>
        </w:rPr>
        <w:t xml:space="preserve"> </w:t>
      </w:r>
      <w:r>
        <w:rPr>
          <w:rFonts w:ascii="宋体" w:hAnsi="宋体" w:cs="宋体"/>
          <w:bCs/>
          <w:kern w:val="0"/>
          <w:sz w:val="24"/>
          <w:highlight w:val="none"/>
        </w:rPr>
        <w:t xml:space="preserve">  </w:t>
      </w:r>
      <w:r>
        <w:rPr>
          <w:rFonts w:hint="eastAsia" w:ascii="宋体" w:hAnsi="宋体" w:cs="宋体"/>
          <w:bCs/>
          <w:kern w:val="0"/>
          <w:sz w:val="24"/>
          <w:highlight w:val="none"/>
        </w:rPr>
        <w:t>传  真：</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开户银行：      </w:t>
      </w:r>
      <w:r>
        <w:rPr>
          <w:rFonts w:ascii="宋体" w:hAnsi="宋体" w:cs="宋体"/>
          <w:bCs/>
          <w:kern w:val="0"/>
          <w:sz w:val="24"/>
          <w:highlight w:val="none"/>
        </w:rPr>
        <w:t xml:space="preserve">   </w:t>
      </w:r>
      <w:r>
        <w:rPr>
          <w:rFonts w:hint="eastAsia" w:ascii="宋体" w:hAnsi="宋体" w:cs="宋体"/>
          <w:bCs/>
          <w:kern w:val="0"/>
          <w:sz w:val="24"/>
          <w:highlight w:val="none"/>
        </w:rPr>
        <w:t xml:space="preserve">  开户银行：</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账  号：       </w:t>
      </w:r>
      <w:r>
        <w:rPr>
          <w:rFonts w:ascii="宋体" w:hAnsi="宋体" w:cs="宋体"/>
          <w:bCs/>
          <w:kern w:val="0"/>
          <w:sz w:val="24"/>
          <w:highlight w:val="none"/>
        </w:rPr>
        <w:t xml:space="preserve">    </w:t>
      </w:r>
      <w:r>
        <w:rPr>
          <w:rFonts w:hint="eastAsia" w:ascii="宋体" w:hAnsi="宋体" w:cs="宋体"/>
          <w:bCs/>
          <w:kern w:val="0"/>
          <w:sz w:val="24"/>
          <w:highlight w:val="none"/>
        </w:rPr>
        <w:t xml:space="preserve"> </w:t>
      </w:r>
      <w:r>
        <w:rPr>
          <w:rFonts w:ascii="宋体" w:hAnsi="宋体" w:cs="宋体"/>
          <w:bCs/>
          <w:kern w:val="0"/>
          <w:sz w:val="24"/>
          <w:highlight w:val="none"/>
        </w:rPr>
        <w:t xml:space="preserve"> </w:t>
      </w:r>
      <w:r>
        <w:rPr>
          <w:rFonts w:hint="eastAsia" w:ascii="宋体" w:hAnsi="宋体" w:cs="宋体"/>
          <w:bCs/>
          <w:kern w:val="0"/>
          <w:sz w:val="24"/>
          <w:highlight w:val="none"/>
        </w:rPr>
        <w:t>账  号：</w:t>
      </w:r>
    </w:p>
    <w:p>
      <w:pPr>
        <w:adjustRightInd/>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 xml:space="preserve">邮政编码：         </w:t>
      </w:r>
      <w:r>
        <w:rPr>
          <w:rFonts w:ascii="宋体" w:hAnsi="宋体" w:cs="宋体"/>
          <w:bCs/>
          <w:kern w:val="0"/>
          <w:sz w:val="24"/>
          <w:highlight w:val="none"/>
        </w:rPr>
        <w:t xml:space="preserve">  </w:t>
      </w:r>
      <w:r>
        <w:rPr>
          <w:rFonts w:hint="eastAsia" w:ascii="宋体" w:hAnsi="宋体" w:cs="宋体"/>
          <w:bCs/>
          <w:kern w:val="0"/>
          <w:sz w:val="24"/>
          <w:highlight w:val="none"/>
        </w:rPr>
        <w:t>邮政编码：</w:t>
      </w:r>
    </w:p>
    <w:p>
      <w:pPr>
        <w:adjustRightInd/>
        <w:spacing w:line="240" w:lineRule="auto"/>
        <w:ind w:firstLine="0" w:firstLineChars="0"/>
        <w:rPr>
          <w:rFonts w:hint="eastAsia" w:ascii="宋体" w:hAnsi="宋体" w:cs="宋体"/>
          <w:bCs/>
          <w:kern w:val="0"/>
          <w:sz w:val="24"/>
          <w:highlight w:val="none"/>
        </w:rPr>
      </w:pPr>
      <w:r>
        <w:rPr>
          <w:rFonts w:hint="eastAsia" w:ascii="宋体" w:hAnsi="宋体" w:cs="宋体"/>
          <w:bCs/>
          <w:kern w:val="0"/>
          <w:sz w:val="24"/>
          <w:highlight w:val="none"/>
        </w:rPr>
        <w:br w:type="page"/>
      </w:r>
    </w:p>
    <w:p>
      <w:pPr>
        <w:adjustRightInd/>
        <w:spacing w:line="360" w:lineRule="auto"/>
        <w:ind w:firstLine="482" w:firstLineChars="200"/>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附件2：廉政协议书</w:t>
      </w:r>
      <w:r>
        <w:rPr>
          <w:rFonts w:hint="eastAsia" w:ascii="宋体" w:hAnsi="宋体" w:cs="宋体"/>
          <w:b/>
          <w:bCs w:val="0"/>
          <w:kern w:val="0"/>
          <w:sz w:val="24"/>
          <w:highlight w:val="none"/>
          <w:lang w:eastAsia="zh-CN"/>
        </w:rPr>
        <w:t>格式</w:t>
      </w:r>
      <w:r>
        <w:rPr>
          <w:rFonts w:hint="eastAsia" w:ascii="宋体" w:hAnsi="宋体" w:eastAsia="宋体" w:cs="宋体"/>
          <w:b/>
          <w:bCs w:val="0"/>
          <w:kern w:val="0"/>
          <w:sz w:val="24"/>
          <w:highlight w:val="none"/>
        </w:rPr>
        <w:t xml:space="preserve"> </w:t>
      </w:r>
    </w:p>
    <w:p>
      <w:pPr>
        <w:spacing w:line="44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廉政协议书</w:t>
      </w:r>
    </w:p>
    <w:p>
      <w:pPr>
        <w:rPr>
          <w:rFonts w:hint="eastAsia" w:ascii="宋体" w:hAnsi="宋体" w:eastAsia="宋体" w:cs="宋体"/>
          <w:kern w:val="0"/>
          <w:szCs w:val="21"/>
          <w:highlight w:val="none"/>
          <w:u w:val="single"/>
        </w:rPr>
      </w:pPr>
      <w:r>
        <w:rPr>
          <w:rFonts w:hint="eastAsia" w:ascii="宋体" w:hAnsi="宋体" w:eastAsia="宋体" w:cs="宋体"/>
          <w:kern w:val="0"/>
          <w:szCs w:val="21"/>
          <w:highlight w:val="none"/>
          <w:lang w:bidi="ar"/>
        </w:rPr>
        <w:t>建设单位（甲方）：</w:t>
      </w:r>
      <w:r>
        <w:rPr>
          <w:rFonts w:hint="eastAsia" w:ascii="宋体" w:hAnsi="宋体" w:eastAsia="宋体" w:cs="宋体"/>
          <w:kern w:val="0"/>
          <w:szCs w:val="21"/>
          <w:highlight w:val="none"/>
          <w:u w:val="single"/>
          <w:lang w:bidi="ar"/>
        </w:rPr>
        <w:t>中国美术学院</w:t>
      </w:r>
    </w:p>
    <w:p>
      <w:pPr>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施工单位（乙方）：</w:t>
      </w:r>
      <w:r>
        <w:rPr>
          <w:rFonts w:hint="eastAsia" w:ascii="宋体" w:hAnsi="宋体" w:eastAsia="宋体" w:cs="宋体"/>
          <w:kern w:val="0"/>
          <w:szCs w:val="21"/>
          <w:highlight w:val="none"/>
          <w:u w:val="single"/>
          <w:lang w:bidi="ar"/>
        </w:rPr>
        <w:t xml:space="preserve">                         </w:t>
      </w:r>
    </w:p>
    <w:p>
      <w:pPr>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 xml:space="preserve"> </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pPr>
        <w:spacing w:line="360" w:lineRule="auto"/>
        <w:rPr>
          <w:rFonts w:hint="eastAsia" w:ascii="宋体" w:hAnsi="宋体" w:eastAsia="宋体" w:cs="宋体"/>
          <w:b/>
          <w:kern w:val="0"/>
          <w:szCs w:val="21"/>
          <w:highlight w:val="none"/>
        </w:rPr>
      </w:pPr>
      <w:r>
        <w:rPr>
          <w:rFonts w:hint="eastAsia" w:ascii="宋体" w:hAnsi="宋体" w:eastAsia="宋体" w:cs="宋体"/>
          <w:b/>
          <w:kern w:val="0"/>
          <w:szCs w:val="21"/>
          <w:highlight w:val="none"/>
          <w:lang w:bidi="ar"/>
        </w:rPr>
        <w:t>第一条 甲乙双方的责任</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（一）应严格遵守国家关于市场准入、项目招标投标、工程建设、施工安装和市场活动等有关法律、法规，相关政策，以及廉政建设的各项规定。</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（二）严格执行建设工程项目施工合同文件，自觉履行合同的约定。</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（三）工程建设的业务活动必须坚持公平、公正、公开、诚信、透明的原则（除法律法规另有规定者外），不得为获取不正当的利益而损害国家、集体和对方利益；不得违反工程建设管理、施工安装的规章制度。</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（四）发现对方在工程建设业务活动中有违规、违纪、违法行为的，应及时纠正对方，情节严重的，应向其上级主管部门或院校纪检监察、司法等有关机关举报。</w:t>
      </w:r>
    </w:p>
    <w:p>
      <w:pPr>
        <w:spacing w:line="360" w:lineRule="auto"/>
        <w:rPr>
          <w:rFonts w:hint="eastAsia" w:ascii="宋体" w:hAnsi="宋体" w:eastAsia="宋体" w:cs="宋体"/>
          <w:b/>
          <w:kern w:val="0"/>
          <w:szCs w:val="21"/>
          <w:highlight w:val="none"/>
        </w:rPr>
      </w:pPr>
      <w:r>
        <w:rPr>
          <w:rFonts w:hint="eastAsia" w:ascii="宋体" w:hAnsi="宋体" w:eastAsia="宋体" w:cs="宋体"/>
          <w:b/>
          <w:kern w:val="0"/>
          <w:szCs w:val="21"/>
          <w:highlight w:val="none"/>
          <w:lang w:bidi="ar"/>
        </w:rPr>
        <w:t>第二条 甲方的责任</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甲方的领导和从事该工程建设项目的管理部门及工作人员，在工程建设业务活动的事前、事中、事后应遵守以下规定：</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（一）不准向乙方和相关单位索要或接受回扣、礼金、有价证券、贵重物品和好处费、感谢费等。</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（二）不准在乙方和相关单位报销任何应由甲方或个人支付的费用。</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（三）不准要求、暗示和接受乙方和相关单位为个人装修住房、婚丧嫁娶、配偶子女的工作安排以及出国（境）、旅游等提供方便。</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（四）不准参加有可能影响公正执行公务的乙方和相关单位的宴请和健身、娱乐等活动。</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pPr>
        <w:spacing w:line="360" w:lineRule="auto"/>
        <w:rPr>
          <w:rFonts w:hint="eastAsia" w:ascii="宋体" w:hAnsi="宋体" w:eastAsia="宋体" w:cs="宋体"/>
          <w:b/>
          <w:kern w:val="0"/>
          <w:szCs w:val="21"/>
          <w:highlight w:val="none"/>
        </w:rPr>
      </w:pPr>
      <w:r>
        <w:rPr>
          <w:rFonts w:hint="eastAsia" w:ascii="宋体" w:hAnsi="宋体" w:eastAsia="宋体" w:cs="宋体"/>
          <w:b/>
          <w:kern w:val="0"/>
          <w:szCs w:val="21"/>
          <w:highlight w:val="none"/>
          <w:lang w:bidi="ar"/>
        </w:rPr>
        <w:t>第三条 乙方的责任</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应与甲方保持正常的业务交往，按照有关法律法规和程序开展业务工作，严格执行工程建设的有关方针、政策，尤其是有关建筑施工安装的强制性标准和规范，并遵守以下规定：</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（一）不准以任何理由向甲方、相关单位及其工作人员赠送礼金、有价证券、贵重物品和回扣、好处费、感谢费等。</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（二）不准以任何理由为甲方和相关单位报销应由对方或个人支付的费用。</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（三）不准接受或暗示为甲方、相关单位或个人装修住房、婚丧嫁娶、配偶子女的工作安排以及出国（境）、旅游等提供方便。</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（四）不准以任何理由为甲方、相关单位或个人组织有可能影响公正执行公务的宴请、健身、娱乐等活动。</w:t>
      </w:r>
    </w:p>
    <w:p>
      <w:pPr>
        <w:spacing w:line="360" w:lineRule="auto"/>
        <w:rPr>
          <w:rFonts w:hint="eastAsia" w:ascii="宋体" w:hAnsi="宋体" w:eastAsia="宋体" w:cs="宋体"/>
          <w:b/>
          <w:kern w:val="0"/>
          <w:szCs w:val="21"/>
          <w:highlight w:val="none"/>
        </w:rPr>
      </w:pPr>
      <w:r>
        <w:rPr>
          <w:rFonts w:hint="eastAsia" w:ascii="宋体" w:hAnsi="宋体" w:eastAsia="宋体" w:cs="宋体"/>
          <w:b/>
          <w:kern w:val="0"/>
          <w:szCs w:val="21"/>
          <w:highlight w:val="none"/>
          <w:lang w:bidi="ar"/>
        </w:rPr>
        <w:t>第四条 违约责任</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（一）甲方及其工作人员有违反本协议书第一、二条责任行为的，按照管理权限，依据有关法律法规和规定，给予党纪、政纪处分或组织处理；涉嫌犯罪的，移交司法机关追究刑事责任。</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（二）乙方及其工作人员有违反本协议书第一、三条责任行为的，按照管理权限，依据有关法律法规和规定，给予党纪、政纪处分或组织处理；涉嫌犯罪的，移交司法机关追究刑事责任。</w:t>
      </w:r>
    </w:p>
    <w:p>
      <w:pPr>
        <w:spacing w:line="360" w:lineRule="auto"/>
        <w:rPr>
          <w:rFonts w:hint="eastAsia" w:ascii="宋体" w:hAnsi="宋体" w:eastAsia="宋体" w:cs="宋体"/>
          <w:b/>
          <w:kern w:val="0"/>
          <w:szCs w:val="21"/>
          <w:highlight w:val="none"/>
        </w:rPr>
      </w:pPr>
      <w:r>
        <w:rPr>
          <w:rFonts w:hint="eastAsia" w:ascii="宋体" w:hAnsi="宋体" w:eastAsia="宋体" w:cs="宋体"/>
          <w:b/>
          <w:kern w:val="0"/>
          <w:szCs w:val="21"/>
          <w:highlight w:val="none"/>
          <w:lang w:bidi="ar"/>
        </w:rPr>
        <w:t>第五条 本协议书作为工程建设施工合同的附件，与工程建设施工合同具有同等法律效力。经双方签署后立即生效。</w:t>
      </w:r>
    </w:p>
    <w:p>
      <w:pPr>
        <w:spacing w:line="360" w:lineRule="auto"/>
        <w:rPr>
          <w:rFonts w:hint="eastAsia" w:ascii="宋体" w:hAnsi="宋体" w:eastAsia="宋体" w:cs="宋体"/>
          <w:b/>
          <w:kern w:val="0"/>
          <w:szCs w:val="21"/>
          <w:highlight w:val="none"/>
        </w:rPr>
      </w:pPr>
      <w:r>
        <w:rPr>
          <w:rFonts w:hint="eastAsia" w:ascii="宋体" w:hAnsi="宋体" w:eastAsia="宋体" w:cs="宋体"/>
          <w:b/>
          <w:kern w:val="0"/>
          <w:szCs w:val="21"/>
          <w:highlight w:val="none"/>
          <w:lang w:bidi="ar"/>
        </w:rPr>
        <w:t>第六条 本协议书的有效期为双方签署之日起至该工程项目竣工验收合格时止。</w:t>
      </w:r>
    </w:p>
    <w:p>
      <w:pPr>
        <w:spacing w:line="360" w:lineRule="auto"/>
        <w:rPr>
          <w:rFonts w:hint="eastAsia" w:ascii="宋体" w:hAnsi="宋体" w:eastAsia="宋体" w:cs="宋体"/>
          <w:b/>
          <w:kern w:val="0"/>
          <w:szCs w:val="21"/>
          <w:highlight w:val="none"/>
        </w:rPr>
      </w:pPr>
      <w:r>
        <w:rPr>
          <w:rFonts w:hint="eastAsia" w:ascii="宋体" w:hAnsi="宋体" w:eastAsia="宋体" w:cs="宋体"/>
          <w:b/>
          <w:kern w:val="0"/>
          <w:szCs w:val="21"/>
          <w:highlight w:val="none"/>
          <w:lang w:bidi="ar"/>
        </w:rPr>
        <w:t>第七条 本协议书一式四份，由甲乙双方各执一份，送交双方监督单位各一份。</w:t>
      </w:r>
    </w:p>
    <w:p>
      <w:pPr>
        <w:spacing w:line="360" w:lineRule="auto"/>
        <w:rPr>
          <w:rFonts w:hint="eastAsia" w:ascii="宋体" w:hAnsi="宋体" w:eastAsia="宋体" w:cs="宋体"/>
          <w:b/>
          <w:kern w:val="0"/>
          <w:szCs w:val="21"/>
          <w:highlight w:val="none"/>
        </w:rPr>
      </w:pPr>
      <w:r>
        <w:rPr>
          <w:rFonts w:hint="eastAsia" w:ascii="宋体" w:hAnsi="宋体" w:eastAsia="宋体" w:cs="宋体"/>
          <w:b/>
          <w:kern w:val="0"/>
          <w:szCs w:val="21"/>
          <w:highlight w:val="none"/>
          <w:lang w:bidi="ar"/>
        </w:rPr>
        <w:t xml:space="preserve"> </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 xml:space="preserve"> </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 xml:space="preserve"> </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甲方单位：（盖章）                               乙方单位：（盖章）</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 xml:space="preserve">  </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 xml:space="preserve"> </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法定代表人或其委托代理人：                        法定代表人或其委托代理人：</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 xml:space="preserve">  </w:t>
      </w:r>
    </w:p>
    <w:p>
      <w:pPr>
        <w:widowControl/>
        <w:spacing w:line="360" w:lineRule="auto"/>
        <w:ind w:firstLine="420" w:firstLineChars="200"/>
        <w:jc w:val="left"/>
        <w:rPr>
          <w:rFonts w:hint="eastAsia" w:ascii="宋体" w:hAnsi="宋体" w:eastAsia="宋体" w:cs="宋体"/>
          <w:highlight w:val="none"/>
        </w:rPr>
      </w:pPr>
      <w:r>
        <w:rPr>
          <w:rFonts w:hint="eastAsia" w:ascii="宋体" w:hAnsi="宋体" w:eastAsia="宋体" w:cs="宋体"/>
          <w:kern w:val="0"/>
          <w:szCs w:val="21"/>
          <w:highlight w:val="none"/>
          <w:lang w:bidi="ar"/>
        </w:rPr>
        <w:t>年 月 日                                             年 月 日</w:t>
      </w:r>
    </w:p>
    <w:p>
      <w:pPr>
        <w:rPr>
          <w:rFonts w:hint="eastAsia" w:ascii="宋体" w:hAnsi="宋体" w:eastAsia="宋体" w:cs="宋体"/>
          <w:highlight w:val="none"/>
        </w:rPr>
      </w:pPr>
    </w:p>
    <w:p>
      <w:pPr>
        <w:rPr>
          <w:rFonts w:hint="eastAsia" w:ascii="宋体" w:hAnsi="宋体" w:eastAsia="宋体" w:cs="宋体"/>
          <w:highlight w:val="none"/>
        </w:rPr>
      </w:pPr>
    </w:p>
    <w:p>
      <w:pPr>
        <w:spacing w:line="440" w:lineRule="exact"/>
        <w:rPr>
          <w:rFonts w:hint="eastAsia" w:ascii="宋体" w:hAnsi="宋体" w:eastAsia="宋体" w:cs="宋体"/>
          <w:b/>
          <w:bCs/>
          <w:sz w:val="24"/>
          <w:highlight w:val="none"/>
        </w:rPr>
      </w:pPr>
      <w:r>
        <w:rPr>
          <w:rFonts w:hint="eastAsia" w:ascii="宋体" w:hAnsi="宋体" w:eastAsia="宋体" w:cs="宋体"/>
          <w:szCs w:val="20"/>
          <w:highlight w:val="none"/>
        </w:rPr>
        <w:t xml:space="preserve">                                       </w:t>
      </w:r>
      <w:r>
        <w:rPr>
          <w:rFonts w:hint="eastAsia" w:ascii="宋体" w:hAnsi="宋体" w:eastAsia="宋体" w:cs="宋体"/>
          <w:sz w:val="24"/>
          <w:szCs w:val="20"/>
          <w:highlight w:val="none"/>
          <w:u w:val="single"/>
        </w:rPr>
        <w:br w:type="page"/>
      </w:r>
      <w:r>
        <w:rPr>
          <w:rFonts w:hint="eastAsia" w:ascii="宋体" w:hAnsi="宋体" w:eastAsia="宋体" w:cs="宋体"/>
          <w:b/>
          <w:bCs w:val="0"/>
          <w:kern w:val="0"/>
          <w:sz w:val="24"/>
          <w:highlight w:val="none"/>
        </w:rPr>
        <w:t>附件3：施工现场安全生产责任书</w:t>
      </w:r>
      <w:r>
        <w:rPr>
          <w:rFonts w:hint="eastAsia" w:ascii="宋体" w:hAnsi="宋体" w:cs="宋体"/>
          <w:b/>
          <w:bCs w:val="0"/>
          <w:kern w:val="0"/>
          <w:sz w:val="24"/>
          <w:highlight w:val="none"/>
          <w:lang w:eastAsia="zh-CN"/>
        </w:rPr>
        <w:t>格式</w:t>
      </w:r>
      <w:r>
        <w:rPr>
          <w:rFonts w:hint="eastAsia" w:ascii="宋体" w:hAnsi="宋体" w:eastAsia="宋体" w:cs="宋体"/>
          <w:b/>
          <w:bCs w:val="0"/>
          <w:kern w:val="0"/>
          <w:sz w:val="24"/>
          <w:highlight w:val="none"/>
        </w:rPr>
        <w:t xml:space="preserve"> </w:t>
      </w:r>
    </w:p>
    <w:p>
      <w:pPr>
        <w:jc w:val="center"/>
        <w:rPr>
          <w:rFonts w:hint="eastAsia" w:ascii="宋体" w:hAnsi="宋体" w:eastAsia="宋体" w:cs="宋体"/>
          <w:highlight w:val="none"/>
        </w:rPr>
      </w:pPr>
      <w:r>
        <w:rPr>
          <w:rFonts w:hint="eastAsia" w:ascii="宋体" w:hAnsi="宋体" w:eastAsia="宋体" w:cs="宋体"/>
          <w:sz w:val="28"/>
          <w:szCs w:val="28"/>
          <w:highlight w:val="none"/>
        </w:rPr>
        <w:t>施工现场安全生产责任书</w:t>
      </w:r>
    </w:p>
    <w:p>
      <w:pPr>
        <w:rPr>
          <w:rFonts w:hint="eastAsia" w:ascii="宋体" w:hAnsi="宋体" w:eastAsia="宋体" w:cs="宋体"/>
          <w:highlight w:val="none"/>
        </w:rPr>
      </w:pPr>
    </w:p>
    <w:p>
      <w:pPr>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w:t>
      </w:r>
    </w:p>
    <w:p>
      <w:pPr>
        <w:numPr>
          <w:ilvl w:val="0"/>
          <w:numId w:val="4"/>
        </w:numPr>
        <w:spacing w:line="400" w:lineRule="exact"/>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施工项目</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1、项目名称：____________________________________________________</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2、项目地点: _____________________________________________________</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3、项目时间: _____________________________________________________</w:t>
      </w:r>
    </w:p>
    <w:p>
      <w:pPr>
        <w:numPr>
          <w:ilvl w:val="0"/>
          <w:numId w:val="4"/>
        </w:numPr>
        <w:spacing w:line="400" w:lineRule="exact"/>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施工单位责任管理目标及承诺</w:t>
      </w:r>
    </w:p>
    <w:p>
      <w:pPr>
        <w:spacing w:line="40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1.承诺在施工期间，严格按中国美术学院的要求，依照国家及省市安全法规定、《建筑施工安全检查标准》，明确安全责任，做好施工安全技术交底，服从中国美术学院相关部门的日常管理和检查。</w:t>
      </w:r>
    </w:p>
    <w:p>
      <w:pPr>
        <w:spacing w:line="40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2.承诺对本单位施工人员进行安全教育，有健全的安全管理制度，保证施工人员遵守相关规范，服从中国美术学院现场管理人员的管理。</w:t>
      </w:r>
    </w:p>
    <w:p>
      <w:pPr>
        <w:spacing w:line="40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3.承诺文明施工，保证现场不出现消防安全事故和工伤事故，设立现场安全负责人。中国美术学院现场监管人员若发现有重大不安全因素时，随时有权要求施工方停工整改，施工方不得继续违章操作强行施工。如因施工发生任何意外或造成人员伤亡，施工方承诺承担完全负责，与中国美术学院无关。需上报当地安监部门及有关部门的安全事故，一切手续由施工方负责处理，无需中国美术学院办理。</w:t>
      </w:r>
    </w:p>
    <w:p>
      <w:pPr>
        <w:spacing w:line="40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4.承诺施工期间不影响中国美术学院师生正常教学、工作、生活和学校卫生、环境安全，对本单位施工人员造成的一切不良影响负责。</w:t>
      </w:r>
    </w:p>
    <w:p>
      <w:pPr>
        <w:spacing w:line="40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5.在责任期内的施工过程中，各级部门安全文明检查中合格率达到100%，杜绝不良影响。</w:t>
      </w:r>
    </w:p>
    <w:p>
      <w:pPr>
        <w:spacing w:line="40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6.在责任期内，杜绝发生重大事故，包括火灾事故、现场交通事故等。</w:t>
      </w:r>
    </w:p>
    <w:p>
      <w:pPr>
        <w:spacing w:line="40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7.施工过程中有责任在施工单位区域内和作业点做好文明施工，减少施工噪音，施工污染、杜绝扬尘，控制污染源并及时处理，严禁建筑垃圾随意堆放。</w:t>
      </w:r>
    </w:p>
    <w:p>
      <w:pPr>
        <w:spacing w:line="40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8.以人为本，关心员工，努力做好各种疾病和职业病的防治工作，减少或消除各类疾病和职业病的发生。同时现场员工必须正确使用劳动保护用品，特种作业人员必须持证上岗。</w:t>
      </w:r>
    </w:p>
    <w:p>
      <w:pPr>
        <w:spacing w:line="400" w:lineRule="exact"/>
        <w:ind w:right="-607" w:rightChars="-289" w:firstLine="480"/>
        <w:outlineLvl w:val="1"/>
        <w:rPr>
          <w:rFonts w:hint="eastAsia" w:ascii="宋体" w:hAnsi="宋体" w:eastAsia="宋体" w:cs="宋体"/>
          <w:szCs w:val="21"/>
          <w:highlight w:val="none"/>
        </w:rPr>
      </w:pPr>
      <w:bookmarkStart w:id="550" w:name="_Toc26267"/>
      <w:r>
        <w:rPr>
          <w:rFonts w:hint="eastAsia" w:ascii="宋体" w:hAnsi="宋体" w:eastAsia="宋体" w:cs="宋体"/>
          <w:szCs w:val="21"/>
          <w:highlight w:val="none"/>
        </w:rPr>
        <w:t>9.在责任期限内杜绝发生火灾事故，落实各级消防制度。</w:t>
      </w:r>
      <w:bookmarkEnd w:id="550"/>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10.注意和加强内部治安宣传教育管理，杜绝重大治安事件和刑事案件的发生。</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11.如涉及高空作业，施工单位则需另外签订《高空作业安全施工承诺书》</w:t>
      </w:r>
    </w:p>
    <w:p>
      <w:pPr>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二、施工单位安全责任</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为了完成上述管理目标，施工单位必须采取有力措施，行使下列职责：</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1.施工时是安全生产的直接责任人，必须严格执行甲方的有关安全生产的规定、制度；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3.应对现场安装施工的行为完全负责，施工方安装施工人员不得违章作业，冒险作业，不能疲劳作业，并按规定做好保护工作；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4.在施工现场人员必须有配备齐全的安全防护用品，不能满足安全施工需要时，人员不得进入施工现场；</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5.高空悬空作业必须系好安全带；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6.施工前不得喝酒，在禁止吸烟的区域不得吸烟；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7.现场内不得赤脚，不得穿拖鞋、高跟鞋，高空作业不得穿皮鞋和带钉易滑鞋；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施工现场应设安全防护设施，采用护栏、挡板及警示禁行标志；如工程过程中存在洞、坑、沟等危险部位，除采用防护设施外，还应采用木板、毛竹片或钢板等对危险部位进行有效覆盖，防止跌落；未经甲方管理人员批准，不得随便拆除已架设的安全防护设施及安全装置和安全标牌；</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9.不得私自乱接乱拉电线，保护工地上临时用电电缆及配电箱的完好，不得用材料、工具等压砸电缆电线，确保用电安全；</w:t>
      </w:r>
    </w:p>
    <w:p>
      <w:pPr>
        <w:spacing w:line="400" w:lineRule="exact"/>
        <w:ind w:right="-607" w:rightChars="-289" w:firstLine="420" w:firstLineChars="200"/>
        <w:rPr>
          <w:rFonts w:hint="eastAsia" w:ascii="宋体" w:hAnsi="宋体" w:eastAsia="宋体" w:cs="宋体"/>
          <w:szCs w:val="21"/>
          <w:highlight w:val="none"/>
        </w:rPr>
      </w:pPr>
      <w:r>
        <w:rPr>
          <w:rFonts w:hint="eastAsia" w:ascii="宋体" w:hAnsi="宋体" w:eastAsia="宋体" w:cs="宋体"/>
          <w:szCs w:val="21"/>
          <w:highlight w:val="none"/>
        </w:rPr>
        <w:t>10.不得在施工现场烧火，不得违反用电、明火作业、易燃易爆物品等安全管理制度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11.不得从高处向下抛扔任何物资、材料，堆放时不得超过支撑限重的70%；</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12.不得在高处临边一米范围内堆放活动材料；</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13.不得在操作面上及高处临边竖立放置工具和线材；</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14.使用电动工具，必须按操作规程和说明书要求正确佩戴防护用品；</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15.施工过程中必须严格遵守安全操作规程；</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16.不应疲劳作业，不得在操作面上及楼层上睡觉；</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17.不得在道路广场等公共场合搅拌水泥、混凝土、制作各类预制件，如场地狭小，确需在公共场合施工，必须及时清理，恢复地面原貌。</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18.现场所有的材料应统一摆放整齐，且不得放置在道路、广场等公共场合，保证校园环境整洁。</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19.工程施工过程中所产生的建筑垃圾应采取袋装，不得放置在道路、广场等公共场合，同时建筑垃圾应及时清理，做到人走场清，建筑垃圾最长堆放时间不得超过48小时。</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保证绿植的成活率，不能擅自复原，需要另行采购绿植所产生的费用由施工单位承担。</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23.把好现场安全防护用品、设备、设施安全使用关，严禁不合格产品进入施工现场。</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24.做好本单位施工区域和作业点的安全生产、文明施工工作，并服从建设单位统一布置安排。</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25.施工方人员进入校内楼栋应服从学校相关人员（宿管员及楼宇管理员等）管理，不得随意翻阅室内任何物品，如室内发生失窃事件，应积极配合相关人员检查。</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26.施工方人员如需进入楼层作业，应事先提供当天现场作业人员相关证件（身份证复印件、劳动合同复印件等），报甲方备案，并及时办理所需相关证件。</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27.施工方人员进出校内楼栋应积极配合学校相关人员检查：如包裹口袋、工具箱（盒）、器械等。</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28.施工方人员如需进入校内楼栋施工，应提前三个工作日向建设方报备，不得擅自进入楼内施工。</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29.安全问题包括不仅限于上述情况，如有未尽详细事宜，参照国家法律法规的有关条款执行。</w:t>
      </w:r>
    </w:p>
    <w:p>
      <w:pPr>
        <w:spacing w:line="400" w:lineRule="exact"/>
        <w:rPr>
          <w:rFonts w:hint="eastAsia" w:ascii="宋体" w:hAnsi="宋体" w:eastAsia="宋体" w:cs="宋体"/>
          <w:b/>
          <w:szCs w:val="21"/>
          <w:highlight w:val="none"/>
        </w:rPr>
      </w:pPr>
      <w:r>
        <w:rPr>
          <w:rFonts w:hint="eastAsia" w:ascii="宋体" w:hAnsi="宋体" w:eastAsia="宋体" w:cs="宋体"/>
          <w:b/>
          <w:szCs w:val="21"/>
          <w:highlight w:val="none"/>
        </w:rPr>
        <w:t>三、处罚条款</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1.发生重伤和死亡事故，应由甲方主管部门牵头，双方参加，组成事故调查组，查清事故原因，分清事故责任，提出对事故的处理意见，并按有关规定及时向有上级报告；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2.由于施工方没有尽到自身安全责任，造成重大安全事故，主要和相关责任者已触及刑律的，报检察院或劳动监督部门处理；</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3.施工方安装施工人员违章违纪作业造成安全事故的，施工方负全部责任，并由施工方事故责任者承担造成的经济损失和刑事责任；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4.施工现场发生安全事故，导致重大伤亡的，相关赔偿责任全部由施工方承担。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5.如因施工方或施工方安装施工人员过错给学校造成损失，由施工方负责向校方赔偿，校方有权直接从施工方工程款中将相关损失赔偿款进行抵扣。</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6.如施工方未经建设方允许，擅自进入楼内施工，需承担因此造成的经济损失和刑事责任，且建设方保留追究责任的权利。</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7.在施工中产生严重安全问题，将被列入黑名单，禁止进入我校进行任何施工。</w:t>
      </w:r>
    </w:p>
    <w:p>
      <w:pPr>
        <w:spacing w:line="400" w:lineRule="exact"/>
        <w:ind w:firstLine="422" w:firstLineChars="200"/>
        <w:rPr>
          <w:rFonts w:hint="eastAsia" w:ascii="宋体" w:hAnsi="宋体" w:eastAsia="宋体" w:cs="宋体"/>
          <w:szCs w:val="21"/>
          <w:highlight w:val="none"/>
        </w:rPr>
      </w:pPr>
      <w:r>
        <w:rPr>
          <w:rFonts w:hint="eastAsia" w:ascii="宋体" w:hAnsi="宋体" w:eastAsia="宋体" w:cs="宋体"/>
          <w:b/>
          <w:szCs w:val="21"/>
          <w:highlight w:val="none"/>
        </w:rPr>
        <w:t>三、本承诺书是中国美术学院对外来施工安全监管的有效证明文件，是合同的附件，具有法律效力。</w:t>
      </w:r>
    </w:p>
    <w:p>
      <w:pPr>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四、本协议自签订之日起生效，一式两份，双方各执一份。</w:t>
      </w:r>
    </w:p>
    <w:p>
      <w:pPr>
        <w:spacing w:line="400" w:lineRule="exact"/>
        <w:rPr>
          <w:rFonts w:hint="eastAsia" w:ascii="宋体" w:hAnsi="宋体" w:eastAsia="宋体" w:cs="宋体"/>
          <w:b/>
          <w:sz w:val="24"/>
          <w:highlight w:val="none"/>
        </w:rPr>
      </w:pPr>
    </w:p>
    <w:p>
      <w:pPr>
        <w:ind w:firstLine="4410" w:firstLineChars="2100"/>
        <w:jc w:val="right"/>
        <w:rPr>
          <w:rFonts w:hint="eastAsia" w:ascii="宋体" w:hAnsi="宋体" w:eastAsia="宋体" w:cs="宋体"/>
          <w:szCs w:val="21"/>
          <w:highlight w:val="none"/>
        </w:rPr>
      </w:pPr>
      <w:r>
        <w:rPr>
          <w:rFonts w:hint="eastAsia" w:ascii="宋体" w:hAnsi="宋体" w:eastAsia="宋体" w:cs="宋体"/>
          <w:szCs w:val="21"/>
          <w:highlight w:val="none"/>
        </w:rPr>
        <w:t>施工单位（盖章）：</w:t>
      </w:r>
    </w:p>
    <w:p>
      <w:pPr>
        <w:rPr>
          <w:rFonts w:hint="eastAsia" w:ascii="宋体" w:hAnsi="宋体" w:eastAsia="宋体" w:cs="宋体"/>
          <w:szCs w:val="21"/>
          <w:highlight w:val="none"/>
        </w:rPr>
      </w:pPr>
    </w:p>
    <w:p>
      <w:pPr>
        <w:widowControl/>
        <w:adjustRightInd/>
        <w:spacing w:line="360" w:lineRule="auto"/>
        <w:jc w:val="right"/>
        <w:rPr>
          <w:rFonts w:hint="eastAsia" w:ascii="宋体" w:hAnsi="宋体" w:eastAsia="宋体" w:cs="宋体"/>
          <w:b/>
          <w:sz w:val="24"/>
          <w:highlight w:val="none"/>
        </w:rPr>
      </w:pPr>
      <w:r>
        <w:rPr>
          <w:rFonts w:hint="eastAsia" w:ascii="宋体" w:hAnsi="宋体" w:eastAsia="宋体" w:cs="宋体"/>
          <w:szCs w:val="21"/>
          <w:highlight w:val="none"/>
        </w:rPr>
        <w:t>负责人（签字或盖章）：________</w:t>
      </w:r>
    </w:p>
    <w:p>
      <w:pPr>
        <w:adjustRightInd/>
        <w:spacing w:line="300" w:lineRule="auto"/>
        <w:rPr>
          <w:rFonts w:ascii="宋体" w:hAnsi="宋体"/>
          <w:snapToGrid w:val="0"/>
          <w:kern w:val="0"/>
          <w:szCs w:val="21"/>
          <w:highlight w:val="none"/>
        </w:rPr>
      </w:pPr>
      <w:r>
        <w:rPr>
          <w:rFonts w:hint="eastAsia" w:ascii="宋体" w:hAnsi="宋体"/>
          <w:snapToGrid w:val="0"/>
          <w:kern w:val="0"/>
          <w:szCs w:val="21"/>
          <w:highlight w:val="none"/>
        </w:rPr>
        <w:t xml:space="preserve">              </w:t>
      </w:r>
    </w:p>
    <w:p>
      <w:pPr>
        <w:snapToGrid/>
        <w:spacing w:line="240" w:lineRule="auto"/>
        <w:jc w:val="left"/>
        <w:outlineLvl w:val="9"/>
        <w:rPr>
          <w:rFonts w:hint="eastAsia" w:ascii="宋体" w:hAnsi="宋体" w:cs="宋体"/>
          <w:b/>
          <w:sz w:val="36"/>
          <w:szCs w:val="20"/>
          <w:highlight w:val="none"/>
        </w:rPr>
      </w:pPr>
      <w:r>
        <w:rPr>
          <w:rFonts w:hint="eastAsia" w:ascii="宋体" w:hAnsi="宋体" w:cs="宋体"/>
          <w:b/>
          <w:sz w:val="36"/>
          <w:szCs w:val="20"/>
          <w:highlight w:val="none"/>
        </w:rPr>
        <w:br w:type="page"/>
      </w:r>
    </w:p>
    <w:p>
      <w:pPr>
        <w:snapToGrid w:val="0"/>
        <w:spacing w:line="360" w:lineRule="auto"/>
        <w:jc w:val="center"/>
        <w:outlineLvl w:val="0"/>
        <w:rPr>
          <w:rFonts w:ascii="宋体" w:hAnsi="宋体" w:cs="宋体"/>
          <w:b/>
          <w:sz w:val="36"/>
          <w:szCs w:val="20"/>
          <w:highlight w:val="none"/>
        </w:rPr>
      </w:pPr>
      <w:bookmarkStart w:id="551" w:name="_Toc28485"/>
      <w:r>
        <w:rPr>
          <w:rFonts w:hint="eastAsia" w:ascii="宋体" w:hAnsi="宋体" w:cs="宋体"/>
          <w:b/>
          <w:sz w:val="36"/>
          <w:szCs w:val="20"/>
          <w:highlight w:val="none"/>
        </w:rPr>
        <w:t>第六部分</w:t>
      </w:r>
      <w:bookmarkEnd w:id="447"/>
      <w:r>
        <w:rPr>
          <w:rFonts w:hint="eastAsia" w:ascii="宋体" w:hAnsi="宋体" w:cs="宋体"/>
          <w:b/>
          <w:sz w:val="36"/>
          <w:szCs w:val="20"/>
          <w:highlight w:val="none"/>
        </w:rPr>
        <w:t xml:space="preserve"> </w:t>
      </w:r>
      <w:bookmarkEnd w:id="448"/>
      <w:r>
        <w:rPr>
          <w:rFonts w:hint="eastAsia" w:ascii="宋体" w:hAnsi="宋体" w:cs="宋体"/>
          <w:b/>
          <w:sz w:val="36"/>
          <w:szCs w:val="20"/>
          <w:highlight w:val="none"/>
        </w:rPr>
        <w:t>应提交的有关格式范例</w:t>
      </w:r>
      <w:bookmarkEnd w:id="551"/>
    </w:p>
    <w:p>
      <w:pPr>
        <w:spacing w:line="360" w:lineRule="auto"/>
        <w:jc w:val="center"/>
        <w:outlineLvl w:val="9"/>
        <w:rPr>
          <w:rFonts w:ascii="宋体" w:hAnsi="宋体" w:cs="宋体"/>
          <w:b/>
          <w:kern w:val="0"/>
          <w:sz w:val="36"/>
          <w:szCs w:val="36"/>
          <w:highlight w:val="none"/>
        </w:rPr>
      </w:pPr>
    </w:p>
    <w:p>
      <w:pPr>
        <w:spacing w:line="360" w:lineRule="auto"/>
        <w:jc w:val="center"/>
        <w:outlineLvl w:val="1"/>
        <w:rPr>
          <w:rFonts w:ascii="宋体" w:hAnsi="宋体" w:cs="宋体"/>
          <w:b/>
          <w:kern w:val="0"/>
          <w:sz w:val="36"/>
          <w:szCs w:val="36"/>
          <w:highlight w:val="none"/>
        </w:rPr>
      </w:pPr>
      <w:bookmarkStart w:id="552" w:name="_Toc26295"/>
      <w:r>
        <w:rPr>
          <w:rFonts w:hint="eastAsia" w:ascii="宋体" w:hAnsi="宋体" w:cs="宋体"/>
          <w:b/>
          <w:kern w:val="0"/>
          <w:sz w:val="36"/>
          <w:szCs w:val="36"/>
          <w:highlight w:val="none"/>
        </w:rPr>
        <w:t>资格文件部分</w:t>
      </w:r>
      <w:bookmarkEnd w:id="552"/>
    </w:p>
    <w:p>
      <w:pPr>
        <w:spacing w:line="360" w:lineRule="auto"/>
        <w:jc w:val="center"/>
        <w:outlineLvl w:val="0"/>
        <w:rPr>
          <w:rFonts w:ascii="宋体" w:hAnsi="宋体" w:cs="宋体"/>
          <w:b/>
          <w:kern w:val="0"/>
          <w:sz w:val="36"/>
          <w:szCs w:val="36"/>
          <w:highlight w:val="none"/>
        </w:rPr>
      </w:pPr>
      <w:bookmarkStart w:id="553" w:name="_Toc15164"/>
      <w:r>
        <w:rPr>
          <w:rFonts w:hint="eastAsia" w:ascii="宋体" w:hAnsi="宋体" w:cs="宋体"/>
          <w:b/>
          <w:kern w:val="0"/>
          <w:sz w:val="36"/>
          <w:szCs w:val="36"/>
          <w:highlight w:val="none"/>
        </w:rPr>
        <w:t>目录</w:t>
      </w:r>
      <w:bookmarkEnd w:id="553"/>
    </w:p>
    <w:p>
      <w:pPr>
        <w:spacing w:line="360" w:lineRule="auto"/>
        <w:jc w:val="center"/>
        <w:outlineLvl w:val="9"/>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pPr>
        <w:snapToGrid w:val="0"/>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napToGrid w:val="0"/>
        <w:spacing w:line="360" w:lineRule="auto"/>
        <w:ind w:right="480"/>
        <w:jc w:val="center"/>
        <w:outlineLvl w:val="1"/>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w:t>
      </w:r>
      <w:bookmarkStart w:id="554" w:name="_Toc32657"/>
      <w:r>
        <w:rPr>
          <w:rFonts w:hint="eastAsia" w:ascii="宋体" w:hAnsi="宋体" w:cs="宋体"/>
          <w:b/>
          <w:kern w:val="0"/>
          <w:sz w:val="32"/>
          <w:szCs w:val="32"/>
          <w:highlight w:val="none"/>
        </w:rPr>
        <w:t>一、 符合参加政府采购活动应当具备的一般条件的承诺函</w:t>
      </w:r>
      <w:bookmarkEnd w:id="554"/>
    </w:p>
    <w:p>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中国美术学院国际设计博物馆室内吊顶提升工程项目</w:t>
      </w:r>
      <w:r>
        <w:rPr>
          <w:rFonts w:hint="eastAsia" w:ascii="宋体" w:hAnsi="宋体" w:cs="宋体"/>
          <w:sz w:val="24"/>
          <w:highlight w:val="none"/>
        </w:rPr>
        <w:t>【项目编号：</w:t>
      </w:r>
      <w:r>
        <w:rPr>
          <w:rFonts w:hint="default" w:ascii="宋体" w:hAnsi="宋体" w:cs="宋体"/>
          <w:sz w:val="24"/>
          <w:highlight w:val="none"/>
          <w:lang w:val="en-US"/>
        </w:rPr>
        <w:t>ZGMY-LD-2024001</w:t>
      </w:r>
      <w:r>
        <w:rPr>
          <w:rFonts w:hint="eastAsia" w:ascii="宋体" w:hAnsi="宋体" w:cs="宋体"/>
          <w:sz w:val="24"/>
          <w:highlight w:val="none"/>
        </w:rPr>
        <w:t>】政府采购活动，郑重承诺：</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供应商名称(电子签名)：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jc w:val="center"/>
        <w:rPr>
          <w:rFonts w:ascii="宋体" w:hAnsi="宋体" w:cs="宋体"/>
          <w:b/>
          <w:kern w:val="0"/>
          <w:sz w:val="32"/>
          <w:szCs w:val="32"/>
          <w:highlight w:val="none"/>
        </w:rPr>
        <w:sectPr>
          <w:footerReference r:id="rId10" w:type="first"/>
          <w:footerReference r:id="rId9" w:type="default"/>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outlineLvl w:val="1"/>
        <w:rPr>
          <w:rFonts w:ascii="宋体" w:hAnsi="宋体" w:cs="宋体"/>
          <w:b/>
          <w:kern w:val="0"/>
          <w:sz w:val="32"/>
          <w:szCs w:val="32"/>
          <w:highlight w:val="none"/>
        </w:rPr>
      </w:pPr>
      <w:bookmarkStart w:id="555" w:name="_Toc21914"/>
      <w:r>
        <w:rPr>
          <w:rFonts w:hint="eastAsia" w:ascii="宋体" w:hAnsi="宋体" w:cs="宋体"/>
          <w:b/>
          <w:kern w:val="0"/>
          <w:sz w:val="32"/>
          <w:szCs w:val="32"/>
          <w:highlight w:val="none"/>
        </w:rPr>
        <w:t>二、联合协议（如果有）</w:t>
      </w:r>
      <w:bookmarkEnd w:id="555"/>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outlineLvl w:val="1"/>
        <w:rPr>
          <w:rFonts w:ascii="宋体" w:hAnsi="宋体" w:cs="宋体"/>
          <w:b/>
          <w:kern w:val="0"/>
          <w:sz w:val="32"/>
          <w:szCs w:val="32"/>
          <w:highlight w:val="none"/>
        </w:rPr>
      </w:pPr>
      <w:bookmarkStart w:id="556" w:name="_Toc28757"/>
      <w:r>
        <w:rPr>
          <w:rFonts w:hint="eastAsia" w:ascii="宋体" w:hAnsi="宋体" w:cs="宋体"/>
          <w:b/>
          <w:kern w:val="0"/>
          <w:sz w:val="32"/>
          <w:szCs w:val="32"/>
          <w:highlight w:val="none"/>
        </w:rPr>
        <w:t>三、落实政府采购政策需满足的资格要求</w:t>
      </w:r>
      <w:bookmarkEnd w:id="556"/>
    </w:p>
    <w:p>
      <w:pPr>
        <w:spacing w:line="360" w:lineRule="auto"/>
        <w:rPr>
          <w:rFonts w:ascii="宋体" w:hAnsi="宋体" w:cs="宋体"/>
          <w:sz w:val="24"/>
          <w:highlight w:val="none"/>
        </w:rPr>
      </w:pPr>
      <w:r>
        <w:rPr>
          <w:rFonts w:hint="eastAsia" w:ascii="宋体" w:hAnsi="宋体" w:cs="宋体"/>
          <w:sz w:val="24"/>
          <w:highlight w:val="none"/>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.专门面向中小企业，工程全部由符合政策要求的中小企业（或小微企业）承建的，提供相应的中小企业声明函（附件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中小企业声明函（工程）</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lang w:eastAsia="zh-CN"/>
        </w:rPr>
        <w:t>中国美术学院</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中国美术学院国际设计博物馆室内吊顶提升工程项目</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color w:val="FF0000"/>
          <w:sz w:val="24"/>
          <w:highlight w:val="none"/>
          <w:u w:val="single"/>
          <w:lang w:eastAsia="zh-CN"/>
        </w:rPr>
        <w:t>中国美术学院国际设计博物馆室内吊顶提升工程项目</w:t>
      </w:r>
      <w:r>
        <w:rPr>
          <w:rFonts w:hint="eastAsia" w:ascii="宋体" w:hAnsi="宋体" w:cs="宋体"/>
          <w:sz w:val="24"/>
          <w:highlight w:val="none"/>
        </w:rPr>
        <w:t xml:space="preserve">，属于 </w:t>
      </w:r>
      <w:r>
        <w:rPr>
          <w:rFonts w:hint="eastAsia" w:ascii="宋体" w:hAnsi="宋体" w:cs="宋体"/>
          <w:color w:val="FF0000"/>
          <w:sz w:val="24"/>
          <w:highlight w:val="none"/>
          <w:u w:val="single"/>
          <w:lang w:eastAsia="zh-CN"/>
        </w:rPr>
        <w:t>建筑业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spacing w:line="360" w:lineRule="auto"/>
        <w:ind w:firstLine="480" w:firstLineChars="200"/>
        <w:rPr>
          <w:rFonts w:ascii="宋体" w:hAnsi="宋体" w:cs="宋体"/>
          <w:sz w:val="24"/>
          <w:highlight w:val="none"/>
        </w:rPr>
      </w:pPr>
    </w:p>
    <w:p>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供应商名称(电子签名)：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pPr>
        <w:spacing w:line="360" w:lineRule="auto"/>
        <w:ind w:right="420" w:firstLine="480" w:firstLineChars="200"/>
        <w:rPr>
          <w:rFonts w:ascii="宋体" w:hAnsi="宋体" w:cs="宋体"/>
          <w:color w:val="FF0000"/>
          <w:sz w:val="24"/>
          <w:highlight w:val="none"/>
        </w:rPr>
      </w:pPr>
      <w:r>
        <w:rPr>
          <w:rFonts w:hint="eastAsia" w:ascii="宋体" w:hAnsi="宋体" w:cs="宋体"/>
          <w:color w:val="FF0000"/>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widowControl/>
        <w:spacing w:line="360" w:lineRule="auto"/>
        <w:ind w:firstLine="480"/>
        <w:jc w:val="left"/>
        <w:rPr>
          <w:rFonts w:ascii="宋体" w:hAnsi="宋体" w:cs="宋体"/>
          <w:sz w:val="24"/>
          <w:highlight w:val="none"/>
        </w:rPr>
      </w:pPr>
    </w:p>
    <w:p>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），联合协议中中小企业合同金额应当达到竞争性磋商公告载明的比例；如果供应商本身提供所有标的均由中小企业承建的，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），分包意向协议中中小企业合同金额应当达到竞争性磋商公告载明的比例；如果供应商本身提供所有标的均由中小企业承建，</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pPr>
        <w:widowControl/>
        <w:spacing w:line="360" w:lineRule="auto"/>
        <w:ind w:left="150"/>
        <w:jc w:val="center"/>
        <w:rPr>
          <w:rFonts w:ascii="宋体" w:hAnsi="宋体" w:cs="宋体"/>
          <w:b/>
          <w:kern w:val="0"/>
          <w:sz w:val="32"/>
          <w:szCs w:val="32"/>
          <w:highlight w:val="none"/>
        </w:rPr>
      </w:pPr>
    </w:p>
    <w:p>
      <w:pPr>
        <w:widowControl/>
        <w:spacing w:line="360" w:lineRule="auto"/>
        <w:ind w:left="150"/>
        <w:jc w:val="center"/>
        <w:outlineLvl w:val="1"/>
        <w:rPr>
          <w:rFonts w:ascii="宋体" w:hAnsi="宋体" w:cs="宋体"/>
          <w:b/>
          <w:kern w:val="0"/>
          <w:sz w:val="32"/>
          <w:szCs w:val="32"/>
          <w:highlight w:val="none"/>
        </w:rPr>
      </w:pPr>
      <w:bookmarkStart w:id="557" w:name="_Toc30673"/>
      <w:r>
        <w:rPr>
          <w:rFonts w:hint="eastAsia" w:ascii="宋体" w:hAnsi="宋体" w:cs="宋体"/>
          <w:b/>
          <w:kern w:val="0"/>
          <w:sz w:val="32"/>
          <w:szCs w:val="32"/>
          <w:highlight w:val="none"/>
        </w:rPr>
        <w:t>四、本项目的特定资格要求</w:t>
      </w:r>
      <w:bookmarkEnd w:id="557"/>
    </w:p>
    <w:p>
      <w:pPr>
        <w:spacing w:line="360" w:lineRule="auto"/>
        <w:jc w:val="center"/>
        <w:rPr>
          <w:rFonts w:ascii="宋体" w:hAnsi="宋体" w:cs="宋体"/>
          <w:sz w:val="24"/>
          <w:highlight w:val="none"/>
        </w:rPr>
      </w:pPr>
      <w:r>
        <w:rPr>
          <w:rFonts w:hint="eastAsia" w:ascii="宋体" w:hAnsi="宋体" w:cs="宋体"/>
          <w:sz w:val="24"/>
          <w:highlight w:val="none"/>
        </w:rPr>
        <w:t>（</w:t>
      </w:r>
      <w:r>
        <w:rPr>
          <w:rFonts w:hint="eastAsia" w:ascii="宋体" w:hAnsi="宋体" w:cs="宋体"/>
          <w:b/>
          <w:bCs/>
          <w:sz w:val="24"/>
          <w:highlight w:val="none"/>
        </w:rPr>
        <w:t>根据竞争性磋商公告本项目的特定资格要求提供相应的材料</w:t>
      </w:r>
      <w:r>
        <w:rPr>
          <w:rFonts w:hint="eastAsia" w:ascii="宋体" w:hAnsi="宋体" w:cs="宋体"/>
          <w:sz w:val="24"/>
          <w:highlight w:val="none"/>
        </w:rPr>
        <w:t>；未要求的，无需提供）</w:t>
      </w: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pPr>
        <w:pStyle w:val="4"/>
        <w:outlineLvl w:val="9"/>
        <w:rPr>
          <w:rFonts w:ascii="宋体" w:hAnsi="宋体" w:cs="宋体"/>
          <w:b w:val="0"/>
          <w:kern w:val="0"/>
          <w:sz w:val="36"/>
          <w:szCs w:val="36"/>
          <w:highlight w:val="none"/>
        </w:rPr>
      </w:pPr>
    </w:p>
    <w:p>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spacing w:line="360" w:lineRule="auto"/>
        <w:jc w:val="center"/>
        <w:outlineLvl w:val="0"/>
        <w:rPr>
          <w:rFonts w:ascii="宋体" w:hAnsi="宋体" w:cs="宋体"/>
          <w:b/>
          <w:kern w:val="0"/>
          <w:sz w:val="28"/>
          <w:szCs w:val="28"/>
          <w:highlight w:val="none"/>
        </w:rPr>
      </w:pPr>
      <w:bookmarkStart w:id="558" w:name="_Toc4033"/>
      <w:r>
        <w:rPr>
          <w:rFonts w:hint="eastAsia" w:ascii="宋体" w:hAnsi="宋体" w:cs="宋体"/>
          <w:b/>
          <w:kern w:val="0"/>
          <w:sz w:val="28"/>
          <w:szCs w:val="28"/>
          <w:highlight w:val="none"/>
        </w:rPr>
        <w:t>目录</w:t>
      </w:r>
      <w:bookmarkEnd w:id="558"/>
    </w:p>
    <w:p>
      <w:pPr>
        <w:numPr>
          <w:ilvl w:val="255"/>
          <w:numId w:val="0"/>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响应函……………………………………………………………………………（页码）</w:t>
      </w:r>
    </w:p>
    <w:p>
      <w:pPr>
        <w:numPr>
          <w:ilvl w:val="255"/>
          <w:numId w:val="0"/>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2）授权委托书或法定代表人（单位负责人、自然人本人）身份证明</w:t>
      </w:r>
      <w:r>
        <w:rPr>
          <w:rFonts w:hint="eastAsia" w:ascii="宋体" w:hAnsi="宋体" w:cs="宋体"/>
          <w:sz w:val="24"/>
          <w:highlight w:val="none"/>
        </w:rPr>
        <w:t>……………（页码）</w:t>
      </w:r>
    </w:p>
    <w:p>
      <w:pPr>
        <w:snapToGrid w:val="0"/>
        <w:spacing w:line="360" w:lineRule="auto"/>
        <w:ind w:left="479" w:leftChars="228"/>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）分包意向协议………………………………………………………………………（页码）</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）符合性审查资料……………………………………………………………………（页码）</w:t>
      </w:r>
    </w:p>
    <w:p>
      <w:pPr>
        <w:snapToGrid w:val="0"/>
        <w:spacing w:line="360" w:lineRule="auto"/>
        <w:ind w:left="479" w:leftChars="228"/>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）评审标准相应的商务技术资料……………………………………………………（页码）（</w:t>
      </w:r>
      <w:r>
        <w:rPr>
          <w:rFonts w:ascii="宋体" w:hAnsi="宋体" w:cs="宋体"/>
          <w:sz w:val="24"/>
          <w:highlight w:val="none"/>
        </w:rPr>
        <w:t>6</w:t>
      </w:r>
      <w:r>
        <w:rPr>
          <w:rFonts w:hint="eastAsia" w:ascii="宋体" w:hAnsi="宋体" w:cs="宋体"/>
          <w:sz w:val="24"/>
          <w:highlight w:val="none"/>
        </w:rPr>
        <w:t>）商务技术偏离表……………………………………………………………………（页码）</w:t>
      </w:r>
    </w:p>
    <w:p>
      <w:pPr>
        <w:snapToGrid w:val="0"/>
        <w:spacing w:line="360" w:lineRule="auto"/>
        <w:ind w:left="479" w:leftChars="228"/>
        <w:rPr>
          <w:rFonts w:ascii="宋体" w:hAnsi="宋体" w:cs="宋体"/>
          <w:sz w:val="24"/>
          <w:highlight w:val="none"/>
        </w:rPr>
      </w:pPr>
      <w:r>
        <w:rPr>
          <w:rFonts w:hint="eastAsia" w:ascii="宋体" w:hAnsi="宋体" w:cs="宋体"/>
          <w:sz w:val="24"/>
          <w:highlight w:val="none"/>
          <w:lang w:val="zh-CN"/>
        </w:rPr>
        <w:t>（</w:t>
      </w:r>
      <w:r>
        <w:rPr>
          <w:rFonts w:ascii="宋体" w:hAnsi="宋体" w:cs="宋体"/>
          <w:sz w:val="24"/>
          <w:highlight w:val="none"/>
        </w:rPr>
        <w:t>7</w:t>
      </w:r>
      <w:r>
        <w:rPr>
          <w:rFonts w:hint="eastAsia" w:ascii="宋体" w:hAnsi="宋体" w:cs="宋体"/>
          <w:sz w:val="24"/>
          <w:highlight w:val="none"/>
          <w:lang w:val="zh-CN"/>
        </w:rPr>
        <w:t>）政府采购供应商廉洁自律承诺书</w:t>
      </w:r>
      <w:r>
        <w:rPr>
          <w:rFonts w:hint="eastAsia" w:ascii="宋体" w:hAnsi="宋体" w:cs="宋体"/>
          <w:sz w:val="24"/>
          <w:highlight w:val="none"/>
        </w:rPr>
        <w:t>…………………………………………………（页码）</w:t>
      </w:r>
    </w:p>
    <w:p>
      <w:pPr>
        <w:snapToGrid w:val="0"/>
        <w:spacing w:line="360" w:lineRule="auto"/>
        <w:jc w:val="center"/>
        <w:rPr>
          <w:rFonts w:ascii="宋体" w:hAnsi="宋体" w:cs="宋体"/>
          <w:b/>
          <w:kern w:val="0"/>
          <w:sz w:val="24"/>
          <w:szCs w:val="32"/>
          <w:highlight w:val="none"/>
          <w:lang w:val="zh-CN"/>
        </w:rPr>
        <w:sectPr>
          <w:pgSz w:w="11906" w:h="16838"/>
          <w:pgMar w:top="1440" w:right="1080" w:bottom="1440" w:left="1080" w:header="851" w:footer="992" w:gutter="0"/>
          <w:cols w:space="720" w:num="1"/>
          <w:titlePg/>
          <w:docGrid w:linePitch="312" w:charSpace="0"/>
        </w:sectPr>
      </w:pPr>
    </w:p>
    <w:p>
      <w:pPr>
        <w:snapToGrid w:val="0"/>
        <w:jc w:val="center"/>
        <w:outlineLvl w:val="1"/>
        <w:rPr>
          <w:rFonts w:ascii="宋体" w:hAnsi="宋体" w:cs="宋体"/>
          <w:b/>
          <w:bCs/>
          <w:sz w:val="32"/>
          <w:szCs w:val="32"/>
          <w:highlight w:val="none"/>
          <w:lang w:val="zh-CN"/>
        </w:rPr>
      </w:pPr>
      <w:bookmarkStart w:id="559" w:name="_Toc23669"/>
      <w:r>
        <w:rPr>
          <w:rFonts w:hint="eastAsia" w:ascii="宋体" w:hAnsi="宋体" w:cs="宋体"/>
          <w:b/>
          <w:bCs/>
          <w:sz w:val="32"/>
          <w:szCs w:val="32"/>
          <w:highlight w:val="none"/>
          <w:lang w:val="zh-CN"/>
        </w:rPr>
        <w:t>一、响应函</w:t>
      </w:r>
      <w:bookmarkEnd w:id="559"/>
    </w:p>
    <w:p>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中国美术学院国际设计博物馆室内吊顶提升工程项目</w:t>
      </w:r>
      <w:r>
        <w:rPr>
          <w:rFonts w:hint="eastAsia" w:ascii="宋体" w:hAnsi="宋体" w:cs="宋体"/>
          <w:sz w:val="24"/>
          <w:highlight w:val="none"/>
        </w:rPr>
        <w:t>【项目编号：ZGMY-LD-2024001】采购的有关活动，并对此项目提交响应文件及报价。为此：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1、我方承诺响应文件有效期从提交响应文件的截止之日起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本响应文件在响应文件有效期满之前均具有约束力。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2、我方的响应文件包括以下内容：</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2.2.1响应函；</w:t>
      </w:r>
      <w:r>
        <w:rPr>
          <w:rFonts w:hint="eastAsia" w:ascii="宋体" w:hAnsi="宋体" w:cs="宋体"/>
          <w:sz w:val="24"/>
          <w:highlight w:val="none"/>
          <w:lang w:val="zh-CN"/>
        </w:rPr>
        <w:t xml:space="preserve"> </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评审标准相应的商务技术资料；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2.2.6商务技术偏离表；</w:t>
      </w:r>
    </w:p>
    <w:p>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2.3.1报价单；</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2.3.2已标价工程量清单；</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2.3.3中小企业声明函（如果有）。</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3、我方承诺除商务技术偏离表列出的偏离外，我方响应采购文件的全部要求。</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4、如我方成交，我方承诺：</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4.3按照采购文件要求提交履约保证金；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供应商名称（电子签名）：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pPr>
        <w:snapToGrid w:val="0"/>
        <w:spacing w:line="360" w:lineRule="auto"/>
        <w:ind w:left="420" w:leftChars="200" w:firstLine="4200" w:firstLineChars="1750"/>
        <w:rPr>
          <w:rFonts w:ascii="宋体" w:hAnsi="宋体" w:cs="宋体"/>
          <w:kern w:val="0"/>
          <w:sz w:val="24"/>
          <w:highlight w:val="none"/>
          <w:u w:val="singl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spacing w:line="360" w:lineRule="auto"/>
        <w:jc w:val="center"/>
        <w:rPr>
          <w:rFonts w:ascii="宋体" w:hAnsi="宋体" w:cs="宋体"/>
          <w:b/>
          <w:kern w:val="0"/>
          <w:sz w:val="32"/>
          <w:szCs w:val="32"/>
          <w:highlight w:val="none"/>
        </w:rPr>
      </w:pP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outlineLvl w:val="1"/>
        <w:rPr>
          <w:rFonts w:ascii="宋体" w:hAnsi="宋体" w:cs="宋体"/>
          <w:b/>
          <w:bCs/>
          <w:sz w:val="32"/>
          <w:szCs w:val="32"/>
          <w:highlight w:val="none"/>
          <w:lang w:val="zh-CN"/>
        </w:rPr>
      </w:pPr>
      <w:bookmarkStart w:id="560" w:name="_Toc6591"/>
      <w:r>
        <w:rPr>
          <w:rFonts w:hint="eastAsia" w:ascii="宋体" w:hAnsi="宋体" w:cs="宋体"/>
          <w:b/>
          <w:bCs/>
          <w:sz w:val="32"/>
          <w:szCs w:val="32"/>
          <w:highlight w:val="none"/>
          <w:lang w:val="zh-CN"/>
        </w:rPr>
        <w:t>二、授权委托书或法定代表人（单位负责人、自然人本人）身份证明</w:t>
      </w:r>
      <w:bookmarkEnd w:id="560"/>
    </w:p>
    <w:p>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授权委托书（适用于非联合体</w:t>
      </w:r>
      <w:r>
        <w:rPr>
          <w:rFonts w:hint="eastAsia" w:ascii="宋体" w:hAnsi="宋体" w:cs="宋体"/>
          <w:b/>
          <w:bCs/>
          <w:sz w:val="32"/>
          <w:szCs w:val="32"/>
          <w:highlight w:val="none"/>
        </w:rPr>
        <w:t>响应</w:t>
      </w:r>
      <w:r>
        <w:rPr>
          <w:rFonts w:hint="eastAsia" w:ascii="宋体" w:hAnsi="宋体" w:cs="宋体"/>
          <w:b/>
          <w:bCs/>
          <w:sz w:val="32"/>
          <w:szCs w:val="32"/>
          <w:highlight w:val="none"/>
          <w:lang w:val="zh-CN"/>
        </w:rPr>
        <w:t>）</w:t>
      </w: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中国美术学院国际设计博物馆室内吊顶提升工程项目</w:t>
      </w:r>
      <w:r>
        <w:rPr>
          <w:rFonts w:hint="eastAsia" w:ascii="宋体" w:hAnsi="宋体" w:cs="宋体"/>
          <w:sz w:val="24"/>
          <w:highlight w:val="none"/>
        </w:rPr>
        <w:t>【项目编号：（采购编号）】</w:t>
      </w:r>
      <w:r>
        <w:rPr>
          <w:rFonts w:hint="eastAsia" w:ascii="宋体" w:hAnsi="宋体" w:cs="宋体"/>
          <w:kern w:val="0"/>
          <w:sz w:val="24"/>
          <w:highlight w:val="none"/>
          <w:lang w:val="zh-CN"/>
        </w:rPr>
        <w:t>政府采购</w:t>
      </w:r>
      <w:r>
        <w:rPr>
          <w:rFonts w:hint="eastAsia" w:ascii="宋体" w:hAnsi="宋体" w:cs="宋体"/>
          <w:kern w:val="0"/>
          <w:sz w:val="24"/>
          <w:highlight w:val="none"/>
        </w:rPr>
        <w:t>响应</w:t>
      </w:r>
      <w:r>
        <w:rPr>
          <w:rFonts w:hint="eastAsia" w:ascii="宋体" w:hAnsi="宋体" w:cs="宋体"/>
          <w:kern w:val="0"/>
          <w:sz w:val="24"/>
          <w:highlight w:val="none"/>
          <w:lang w:val="zh-CN"/>
        </w:rPr>
        <w:t>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供应商名称(电子签名)：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p>
    <w:p>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授权委托书（适用于联合体</w:t>
      </w:r>
      <w:r>
        <w:rPr>
          <w:rFonts w:hint="eastAsia" w:ascii="宋体" w:hAnsi="宋体" w:cs="宋体"/>
          <w:b/>
          <w:bCs/>
          <w:sz w:val="32"/>
          <w:szCs w:val="32"/>
          <w:highlight w:val="none"/>
        </w:rPr>
        <w:t>响应</w:t>
      </w:r>
      <w:r>
        <w:rPr>
          <w:rFonts w:hint="eastAsia" w:ascii="宋体" w:hAnsi="宋体" w:cs="宋体"/>
          <w:b/>
          <w:bCs/>
          <w:sz w:val="32"/>
          <w:szCs w:val="32"/>
          <w:highlight w:val="none"/>
          <w:lang w:val="zh-CN"/>
        </w:rPr>
        <w:t>）</w:t>
      </w: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中国美术学院国际设计博物馆室内吊顶提升工程项目</w:t>
      </w:r>
      <w:r>
        <w:rPr>
          <w:rFonts w:hint="eastAsia" w:ascii="宋体" w:hAnsi="宋体" w:cs="宋体"/>
          <w:sz w:val="24"/>
          <w:highlight w:val="none"/>
        </w:rPr>
        <w:t>【项目编号：（采购编号）】</w:t>
      </w:r>
      <w:r>
        <w:rPr>
          <w:rFonts w:hint="eastAsia" w:ascii="宋体" w:hAnsi="宋体" w:cs="宋体"/>
          <w:kern w:val="0"/>
          <w:sz w:val="24"/>
          <w:highlight w:val="none"/>
          <w:lang w:val="zh-CN"/>
        </w:rPr>
        <w:t>政府采购</w:t>
      </w:r>
      <w:r>
        <w:rPr>
          <w:rFonts w:hint="eastAsia" w:ascii="宋体" w:hAnsi="宋体" w:cs="宋体"/>
          <w:kern w:val="0"/>
          <w:sz w:val="24"/>
          <w:highlight w:val="none"/>
        </w:rPr>
        <w:t>响应</w:t>
      </w:r>
      <w:r>
        <w:rPr>
          <w:rFonts w:hint="eastAsia" w:ascii="宋体" w:hAnsi="宋体" w:cs="宋体"/>
          <w:kern w:val="0"/>
          <w:sz w:val="24"/>
          <w:highlight w:val="none"/>
          <w:lang w:val="zh-CN"/>
        </w:rPr>
        <w:t>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napToGrid w:val="0"/>
        <w:jc w:val="center"/>
        <w:rPr>
          <w:rFonts w:ascii="宋体" w:hAnsi="宋体" w:cs="宋体"/>
          <w:b/>
          <w:bCs/>
          <w:sz w:val="32"/>
          <w:szCs w:val="32"/>
          <w:highlight w:val="none"/>
        </w:rPr>
      </w:pPr>
      <w:r>
        <w:rPr>
          <w:rFonts w:hint="eastAsia" w:ascii="宋体" w:hAnsi="宋体" w:cs="宋体"/>
          <w:b/>
          <w:bCs/>
          <w:sz w:val="32"/>
          <w:szCs w:val="32"/>
          <w:highlight w:val="none"/>
          <w:lang w:val="zh-CN"/>
        </w:rPr>
        <w:t>法定代表人、单位负责人或自然人本人</w:t>
      </w:r>
      <w:r>
        <w:rPr>
          <w:rFonts w:hint="eastAsia" w:ascii="宋体" w:hAnsi="宋体" w:cs="宋体"/>
          <w:b/>
          <w:bCs/>
          <w:sz w:val="32"/>
          <w:szCs w:val="32"/>
          <w:highlight w:val="none"/>
        </w:rPr>
        <w:t>的身份证明（适用于法定代表人、单位负责人或者自然人本人代表供应商参加响应）</w:t>
      </w:r>
    </w:p>
    <w:p>
      <w:pPr>
        <w:pStyle w:val="146"/>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highlight w:val="none"/>
              </w:rPr>
            </w:pPr>
            <w:r>
              <w:rPr>
                <w:rFonts w:hint="eastAsia" w:hAnsi="宋体" w:cs="宋体"/>
                <w:bCs/>
                <w:sz w:val="24"/>
                <w:highlight w:val="none"/>
              </w:rPr>
              <w:t>正面：                                 反面：</w:t>
            </w:r>
          </w:p>
          <w:p>
            <w:pPr>
              <w:pStyle w:val="146"/>
              <w:adjustRightInd w:val="0"/>
              <w:spacing w:line="360" w:lineRule="auto"/>
              <w:rPr>
                <w:rFonts w:hAnsi="宋体" w:cs="宋体"/>
                <w:bCs/>
                <w:sz w:val="24"/>
                <w:highlight w:val="none"/>
              </w:rPr>
            </w:pPr>
          </w:p>
        </w:tc>
      </w:tr>
    </w:tbl>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                              </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snapToGrid w:val="0"/>
        <w:spacing w:line="360" w:lineRule="auto"/>
        <w:ind w:right="480"/>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outlineLvl w:val="1"/>
        <w:rPr>
          <w:rFonts w:ascii="宋体" w:hAnsi="宋体" w:cs="宋体"/>
          <w:b/>
          <w:bCs/>
          <w:sz w:val="32"/>
          <w:szCs w:val="32"/>
          <w:highlight w:val="none"/>
        </w:rPr>
      </w:pPr>
      <w:bookmarkStart w:id="561" w:name="_Toc5343"/>
      <w:r>
        <w:rPr>
          <w:rFonts w:hint="eastAsia" w:ascii="宋体" w:hAnsi="宋体" w:cs="宋体"/>
          <w:b/>
          <w:bCs/>
          <w:sz w:val="32"/>
          <w:szCs w:val="32"/>
          <w:highlight w:val="none"/>
        </w:rPr>
        <w:t>三、分包意向协议</w:t>
      </w:r>
      <w:bookmarkEnd w:id="561"/>
    </w:p>
    <w:p>
      <w:pPr>
        <w:widowControl/>
        <w:spacing w:line="360" w:lineRule="auto"/>
        <w:ind w:firstLine="120" w:firstLineChars="50"/>
        <w:jc w:val="left"/>
        <w:rPr>
          <w:rFonts w:ascii="宋体" w:hAnsi="宋体" w:cs="宋体"/>
          <w:sz w:val="24"/>
          <w:highlight w:val="none"/>
        </w:rPr>
      </w:pPr>
      <w:bookmarkStart w:id="562" w:name="_Hlk101169080"/>
      <w:r>
        <w:rPr>
          <w:rFonts w:hint="eastAsia" w:ascii="宋体" w:hAnsi="宋体" w:cs="宋体"/>
          <w:sz w:val="24"/>
          <w:highlight w:val="none"/>
        </w:rPr>
        <w:t>[</w:t>
      </w:r>
      <w:r>
        <w:rPr>
          <w:rFonts w:hint="eastAsia" w:ascii="宋体" w:hAnsi="宋体" w:cs="宋体"/>
          <w:b/>
          <w:sz w:val="24"/>
          <w:highlight w:val="none"/>
        </w:rPr>
        <w:t>成交后以分包方式履行合同的，提供分包意向协议(附件6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；采购人不同意分包或者供应商成交后不以分包方式履行合同的，则不需要提供。</w:t>
      </w:r>
      <w:r>
        <w:rPr>
          <w:rFonts w:hint="eastAsia" w:ascii="宋体" w:hAnsi="宋体" w:cs="宋体"/>
          <w:sz w:val="24"/>
          <w:highlight w:val="none"/>
        </w:rPr>
        <w:t>]</w:t>
      </w:r>
    </w:p>
    <w:bookmarkEnd w:id="562"/>
    <w:p>
      <w:pPr>
        <w:snapToGrid w:val="0"/>
        <w:spacing w:line="360" w:lineRule="auto"/>
        <w:rPr>
          <w:rFonts w:ascii="宋体" w:hAnsi="宋体" w:cs="宋体"/>
          <w:kern w:val="0"/>
          <w:sz w:val="24"/>
          <w:highlight w:val="none"/>
        </w:rPr>
      </w:pPr>
    </w:p>
    <w:p>
      <w:pPr>
        <w:snapToGrid w:val="0"/>
        <w:jc w:val="center"/>
        <w:outlineLvl w:val="1"/>
        <w:rPr>
          <w:rFonts w:ascii="宋体" w:hAnsi="宋体" w:cs="宋体"/>
          <w:b/>
          <w:bCs/>
          <w:sz w:val="32"/>
          <w:szCs w:val="32"/>
          <w:highlight w:val="none"/>
        </w:rPr>
      </w:pPr>
      <w:bookmarkStart w:id="563" w:name="_Toc29426"/>
      <w:r>
        <w:rPr>
          <w:rFonts w:hint="eastAsia" w:ascii="宋体" w:hAnsi="宋体" w:cs="宋体"/>
          <w:b/>
          <w:bCs/>
          <w:sz w:val="32"/>
          <w:szCs w:val="32"/>
          <w:highlight w:val="none"/>
        </w:rPr>
        <w:t>四、符合性审查资料</w:t>
      </w:r>
      <w:bookmarkEnd w:id="563"/>
    </w:p>
    <w:p>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响应文件中的</w:t>
            </w:r>
          </w:p>
          <w:p>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highlight w:val="none"/>
              </w:rPr>
            </w:pPr>
            <w:r>
              <w:rPr>
                <w:rFonts w:hint="eastAsia" w:ascii="宋体" w:hAnsi="宋体" w:cs="宋体"/>
                <w:sz w:val="24"/>
                <w:highlight w:val="none"/>
              </w:rPr>
              <w:t>1</w:t>
            </w:r>
          </w:p>
        </w:tc>
        <w:tc>
          <w:tcPr>
            <w:tcW w:w="4991" w:type="dxa"/>
            <w:vAlign w:val="center"/>
          </w:tcPr>
          <w:p>
            <w:pPr>
              <w:spacing w:line="360" w:lineRule="auto"/>
              <w:rPr>
                <w:rFonts w:ascii="宋体" w:hAnsi="宋体" w:cs="宋体"/>
                <w:sz w:val="24"/>
                <w:highlight w:val="none"/>
              </w:rPr>
            </w:pPr>
            <w:r>
              <w:rPr>
                <w:rFonts w:hint="eastAsia" w:ascii="宋体" w:hAnsi="宋体" w:cs="宋体"/>
                <w:sz w:val="24"/>
                <w:highlight w:val="none"/>
              </w:rPr>
              <w:t>响应文件按照采购文件要求签署、盖章。</w:t>
            </w:r>
          </w:p>
        </w:tc>
        <w:tc>
          <w:tcPr>
            <w:tcW w:w="2551" w:type="dxa"/>
            <w:vAlign w:val="center"/>
          </w:tcPr>
          <w:p>
            <w:pPr>
              <w:rPr>
                <w:rFonts w:ascii="宋体" w:hAnsi="宋体" w:cs="宋体"/>
                <w:sz w:val="24"/>
                <w:highlight w:val="none"/>
              </w:rPr>
            </w:pPr>
            <w:r>
              <w:rPr>
                <w:rFonts w:hint="eastAsia" w:ascii="宋体" w:hAnsi="宋体" w:cs="宋体"/>
                <w:sz w:val="24"/>
                <w:highlight w:val="none"/>
              </w:rPr>
              <w:t>需要使用电子签名或者签字盖章的响应文件的组成部分</w:t>
            </w:r>
          </w:p>
        </w:tc>
        <w:tc>
          <w:tcPr>
            <w:tcW w:w="1418" w:type="dxa"/>
            <w:vAlign w:val="center"/>
          </w:tcPr>
          <w:p>
            <w:pPr>
              <w:rPr>
                <w:rFonts w:ascii="宋体" w:hAnsi="宋体" w:cs="宋体"/>
                <w:sz w:val="24"/>
                <w:highlight w:val="none"/>
              </w:rPr>
            </w:pPr>
            <w:r>
              <w:rPr>
                <w:rFonts w:hint="eastAsia" w:ascii="宋体" w:hAnsi="宋体" w:cs="宋体"/>
                <w:sz w:val="24"/>
                <w:highlight w:val="none"/>
              </w:rPr>
              <w:t>见响应文件</w:t>
            </w:r>
          </w:p>
          <w:p>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highlight w:val="none"/>
              </w:rPr>
            </w:pPr>
            <w:r>
              <w:rPr>
                <w:rFonts w:hint="eastAsia" w:ascii="宋体" w:hAnsi="宋体" w:cs="宋体"/>
                <w:sz w:val="24"/>
                <w:highlight w:val="none"/>
              </w:rPr>
              <w:t>2</w:t>
            </w:r>
          </w:p>
        </w:tc>
        <w:tc>
          <w:tcPr>
            <w:tcW w:w="4991" w:type="dxa"/>
            <w:vAlign w:val="center"/>
          </w:tcPr>
          <w:p>
            <w:pPr>
              <w:spacing w:line="360" w:lineRule="auto"/>
              <w:rPr>
                <w:rFonts w:ascii="宋体" w:hAnsi="宋体" w:cs="宋体"/>
                <w:sz w:val="24"/>
                <w:highlight w:val="none"/>
              </w:rPr>
            </w:pPr>
            <w:r>
              <w:rPr>
                <w:rFonts w:hint="eastAsia" w:ascii="宋体" w:hAnsi="宋体" w:cs="宋体"/>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sz w:val="24"/>
                <w:highlight w:val="none"/>
              </w:rPr>
            </w:pPr>
            <w:r>
              <w:rPr>
                <w:rFonts w:hint="eastAsia" w:ascii="宋体" w:hAnsi="宋体" w:cs="宋体"/>
                <w:sz w:val="24"/>
                <w:highlight w:val="none"/>
              </w:rPr>
              <w:t>节能产品认证证书（本项目拟采购的产品不属于政府强制采购的节能产品品目清单范围的，无需提供）</w:t>
            </w:r>
          </w:p>
        </w:tc>
        <w:tc>
          <w:tcPr>
            <w:tcW w:w="1418" w:type="dxa"/>
            <w:vAlign w:val="center"/>
          </w:tcPr>
          <w:p>
            <w:pPr>
              <w:rPr>
                <w:rFonts w:ascii="宋体" w:hAnsi="宋体" w:cs="宋体"/>
                <w:sz w:val="24"/>
                <w:highlight w:val="none"/>
              </w:rPr>
            </w:pPr>
            <w:r>
              <w:rPr>
                <w:rFonts w:hint="eastAsia" w:ascii="宋体" w:hAnsi="宋体" w:cs="宋体"/>
                <w:sz w:val="24"/>
                <w:highlight w:val="none"/>
              </w:rPr>
              <w:t>见响应文件</w:t>
            </w:r>
          </w:p>
          <w:p>
            <w:pPr>
              <w:pStyle w:val="4"/>
              <w:jc w:val="both"/>
              <w:rPr>
                <w:rFonts w:ascii="宋体" w:hAnsi="宋体" w:eastAsia="宋体" w:cs="宋体"/>
                <w:highlight w:val="none"/>
                <w:lang w:val="en-US"/>
              </w:rPr>
            </w:pPr>
            <w:bookmarkStart w:id="564" w:name="_Toc28946"/>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bookmarkEnd w:id="5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highlight w:val="none"/>
              </w:rPr>
            </w:pPr>
            <w:r>
              <w:rPr>
                <w:rFonts w:hint="eastAsia" w:ascii="宋体" w:hAnsi="宋体" w:cs="宋体"/>
                <w:sz w:val="24"/>
                <w:highlight w:val="none"/>
              </w:rPr>
              <w:t>3</w:t>
            </w:r>
          </w:p>
        </w:tc>
        <w:tc>
          <w:tcPr>
            <w:tcW w:w="4991" w:type="dxa"/>
            <w:vAlign w:val="center"/>
          </w:tcPr>
          <w:p>
            <w:pPr>
              <w:spacing w:line="360" w:lineRule="auto"/>
              <w:rPr>
                <w:rFonts w:ascii="宋体" w:hAnsi="宋体" w:cs="宋体"/>
                <w:sz w:val="24"/>
                <w:highlight w:val="none"/>
              </w:rPr>
            </w:pPr>
            <w:r>
              <w:rPr>
                <w:rFonts w:hint="eastAsia" w:ascii="宋体" w:hAnsi="宋体" w:cs="宋体"/>
                <w:sz w:val="24"/>
                <w:highlight w:val="none"/>
              </w:rPr>
              <w:t>响应文件中承诺的响应文件有效期不少于采购文件中载明的响应文件有效期。</w:t>
            </w:r>
          </w:p>
        </w:tc>
        <w:tc>
          <w:tcPr>
            <w:tcW w:w="2551" w:type="dxa"/>
            <w:vAlign w:val="center"/>
          </w:tcPr>
          <w:p>
            <w:pPr>
              <w:rPr>
                <w:rFonts w:ascii="宋体" w:hAnsi="宋体" w:cs="宋体"/>
                <w:sz w:val="24"/>
                <w:highlight w:val="none"/>
              </w:rPr>
            </w:pPr>
            <w:r>
              <w:rPr>
                <w:rFonts w:hint="eastAsia" w:ascii="宋体" w:hAnsi="宋体" w:cs="宋体"/>
                <w:sz w:val="24"/>
                <w:highlight w:val="none"/>
              </w:rPr>
              <w:t>响应函</w:t>
            </w:r>
          </w:p>
        </w:tc>
        <w:tc>
          <w:tcPr>
            <w:tcW w:w="1418" w:type="dxa"/>
            <w:vAlign w:val="center"/>
          </w:tcPr>
          <w:p>
            <w:pP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highlight w:val="none"/>
              </w:rPr>
            </w:pPr>
            <w:r>
              <w:rPr>
                <w:rFonts w:hint="eastAsia" w:ascii="宋体" w:hAnsi="宋体" w:cs="宋体"/>
                <w:sz w:val="24"/>
                <w:highlight w:val="none"/>
              </w:rPr>
              <w:t>4</w:t>
            </w:r>
          </w:p>
        </w:tc>
        <w:tc>
          <w:tcPr>
            <w:tcW w:w="4991" w:type="dxa"/>
            <w:vAlign w:val="center"/>
          </w:tcPr>
          <w:p>
            <w:pPr>
              <w:spacing w:line="360" w:lineRule="auto"/>
              <w:rPr>
                <w:rFonts w:ascii="宋体" w:hAnsi="宋体" w:cs="宋体"/>
                <w:sz w:val="24"/>
                <w:highlight w:val="none"/>
              </w:rPr>
            </w:pPr>
            <w:r>
              <w:rPr>
                <w:rFonts w:hint="eastAsia" w:ascii="宋体" w:hAnsi="宋体" w:cs="宋体"/>
                <w:sz w:val="24"/>
                <w:highlight w:val="none"/>
              </w:rPr>
              <w:t>响应文件满足采购文件的其它实质性要求。</w:t>
            </w:r>
          </w:p>
        </w:tc>
        <w:tc>
          <w:tcPr>
            <w:tcW w:w="2551" w:type="dxa"/>
            <w:vAlign w:val="center"/>
          </w:tcPr>
          <w:p>
            <w:pPr>
              <w:rPr>
                <w:rFonts w:ascii="宋体" w:hAnsi="宋体" w:cs="宋体"/>
                <w:sz w:val="24"/>
                <w:highlight w:val="none"/>
              </w:rPr>
            </w:pPr>
            <w:r>
              <w:rPr>
                <w:rFonts w:hint="eastAsia" w:ascii="宋体" w:hAnsi="宋体" w:cs="宋体"/>
                <w:kern w:val="0"/>
                <w:sz w:val="24"/>
                <w:highlight w:val="none"/>
              </w:rPr>
              <w:t>采购文件其它实质性要求相应的材料（“▲” 系指实质性要求条款，采购文件无其它实质性要求的，无需提供）</w:t>
            </w:r>
          </w:p>
        </w:tc>
        <w:tc>
          <w:tcPr>
            <w:tcW w:w="1418" w:type="dxa"/>
            <w:vAlign w:val="center"/>
          </w:tcPr>
          <w:p>
            <w:pP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snapToGrid w:val="0"/>
        <w:jc w:val="center"/>
        <w:outlineLvl w:val="1"/>
        <w:rPr>
          <w:rFonts w:ascii="宋体" w:hAnsi="宋体" w:cs="宋体"/>
          <w:b/>
          <w:bCs/>
          <w:sz w:val="32"/>
          <w:szCs w:val="32"/>
          <w:highlight w:val="none"/>
        </w:rPr>
      </w:pPr>
      <w:bookmarkStart w:id="565" w:name="_Toc22932"/>
      <w:r>
        <w:rPr>
          <w:rFonts w:hint="eastAsia" w:ascii="宋体" w:hAnsi="宋体" w:cs="宋体"/>
          <w:b/>
          <w:bCs/>
          <w:sz w:val="32"/>
          <w:szCs w:val="32"/>
          <w:highlight w:val="none"/>
        </w:rPr>
        <w:t>五、评审标准相应的商务技术资料</w:t>
      </w:r>
      <w:bookmarkEnd w:id="565"/>
    </w:p>
    <w:p>
      <w:pPr>
        <w:snapToGrid w:val="0"/>
        <w:spacing w:line="360" w:lineRule="auto"/>
        <w:jc w:val="left"/>
        <w:rPr>
          <w:rFonts w:ascii="宋体" w:hAnsi="宋体" w:cs="宋体"/>
          <w:b/>
          <w:sz w:val="24"/>
          <w:highlight w:val="none"/>
        </w:rPr>
      </w:pPr>
      <w:r>
        <w:rPr>
          <w:rFonts w:hint="eastAsia" w:ascii="宋体" w:hAnsi="宋体" w:cs="宋体"/>
          <w:b/>
          <w:sz w:val="24"/>
          <w:highlight w:val="none"/>
        </w:rPr>
        <w:t>（按采购文件第四部分评审办法前附表中“响应文件中评审标准相应的商务技术资料目录”提供资料。）</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snapToGrid w:val="0"/>
        <w:jc w:val="center"/>
        <w:outlineLvl w:val="1"/>
        <w:rPr>
          <w:rFonts w:ascii="宋体" w:hAnsi="宋体" w:cs="宋体"/>
          <w:b/>
          <w:bCs/>
          <w:sz w:val="32"/>
          <w:szCs w:val="32"/>
          <w:highlight w:val="none"/>
        </w:rPr>
      </w:pPr>
      <w:bookmarkStart w:id="566" w:name="_Toc13211"/>
      <w:r>
        <w:rPr>
          <w:rFonts w:hint="eastAsia" w:ascii="宋体" w:hAnsi="宋体" w:cs="宋体"/>
          <w:b/>
          <w:bCs/>
          <w:sz w:val="32"/>
          <w:szCs w:val="32"/>
          <w:highlight w:val="none"/>
        </w:rPr>
        <w:t>六、商务技术偏离表</w:t>
      </w:r>
      <w:bookmarkEnd w:id="566"/>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pPr>
              <w:jc w:val="center"/>
              <w:rPr>
                <w:rFonts w:ascii="宋体" w:hAnsi="宋体" w:cs="宋体"/>
                <w:b/>
                <w:bCs/>
                <w:sz w:val="24"/>
                <w:highlight w:val="none"/>
              </w:rPr>
            </w:pPr>
            <w:r>
              <w:rPr>
                <w:rFonts w:hint="eastAsia" w:ascii="宋体" w:hAnsi="宋体" w:cs="宋体"/>
                <w:b/>
                <w:bCs/>
                <w:sz w:val="24"/>
                <w:highlight w:val="none"/>
              </w:rPr>
              <w:t>采购文件章节及具体内容</w:t>
            </w:r>
          </w:p>
        </w:tc>
        <w:tc>
          <w:tcPr>
            <w:tcW w:w="3546" w:type="dxa"/>
          </w:tcPr>
          <w:p>
            <w:pPr>
              <w:jc w:val="center"/>
              <w:rPr>
                <w:rFonts w:ascii="宋体" w:hAnsi="宋体" w:cs="宋体"/>
                <w:b/>
                <w:bCs/>
                <w:sz w:val="24"/>
                <w:highlight w:val="none"/>
              </w:rPr>
            </w:pPr>
            <w:r>
              <w:rPr>
                <w:rFonts w:hint="eastAsia" w:ascii="宋体" w:hAnsi="宋体" w:cs="宋体"/>
                <w:b/>
                <w:bCs/>
                <w:sz w:val="24"/>
                <w:highlight w:val="none"/>
              </w:rPr>
              <w:t>响应文件章节及具体内容</w:t>
            </w:r>
          </w:p>
        </w:tc>
        <w:tc>
          <w:tcPr>
            <w:tcW w:w="1276" w:type="dxa"/>
          </w:tcPr>
          <w:p>
            <w:pPr>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bl>
    <w:p>
      <w:pPr>
        <w:jc w:val="left"/>
        <w:rPr>
          <w:rFonts w:ascii="宋体" w:hAnsi="宋体" w:cs="宋体"/>
          <w:kern w:val="0"/>
          <w:sz w:val="24"/>
          <w:highlight w:val="none"/>
        </w:rPr>
      </w:pPr>
      <w:r>
        <w:rPr>
          <w:rFonts w:hint="eastAsia" w:ascii="宋体" w:hAnsi="宋体" w:cs="宋体"/>
          <w:kern w:val="0"/>
          <w:sz w:val="24"/>
          <w:highlight w:val="none"/>
        </w:rPr>
        <w:t>供应商保证：除商务技术偏离表列出的偏离外，供应商响应采购文件的全部要求</w:t>
      </w:r>
    </w:p>
    <w:p>
      <w:pPr>
        <w:jc w:val="center"/>
        <w:rPr>
          <w:rFonts w:ascii="宋体" w:hAnsi="宋体" w:cs="宋体"/>
          <w:b/>
          <w:kern w:val="0"/>
          <w:sz w:val="32"/>
          <w:szCs w:val="32"/>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ind w:firstLine="1911" w:firstLineChars="595"/>
        <w:rPr>
          <w:rFonts w:ascii="宋体" w:hAnsi="宋体" w:cs="宋体"/>
          <w:b/>
          <w:bCs/>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pPr>
        <w:snapToGrid w:val="0"/>
        <w:jc w:val="center"/>
        <w:outlineLvl w:val="1"/>
        <w:rPr>
          <w:rFonts w:ascii="宋体" w:hAnsi="宋体" w:cs="宋体"/>
          <w:b/>
          <w:kern w:val="0"/>
          <w:sz w:val="32"/>
          <w:szCs w:val="32"/>
          <w:highlight w:val="none"/>
        </w:rPr>
      </w:pPr>
      <w:bookmarkStart w:id="567" w:name="_Toc30291"/>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bookmarkEnd w:id="567"/>
    </w:p>
    <w:p>
      <w:pPr>
        <w:snapToGrid w:val="0"/>
        <w:spacing w:line="360" w:lineRule="auto"/>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outlineLvl w:val="1"/>
        <w:rPr>
          <w:rFonts w:ascii="宋体" w:hAnsi="宋体" w:cs="宋体"/>
          <w:kern w:val="0"/>
          <w:sz w:val="24"/>
          <w:highlight w:val="none"/>
          <w:lang w:val="zh-CN"/>
        </w:rPr>
      </w:pPr>
      <w:bookmarkStart w:id="568" w:name="_Toc22903"/>
      <w:r>
        <w:rPr>
          <w:rFonts w:hint="eastAsia" w:ascii="宋体" w:hAnsi="宋体" w:cs="宋体"/>
          <w:kern w:val="0"/>
          <w:sz w:val="24"/>
          <w:highlight w:val="none"/>
          <w:lang w:val="zh-CN"/>
        </w:rPr>
        <w:t>四、不为项目有关人员及部门出国（境）、旅游等提供方便；</w:t>
      </w:r>
      <w:bookmarkEnd w:id="568"/>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供应商名称（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pacing w:line="360" w:lineRule="auto"/>
        <w:jc w:val="center"/>
        <w:rPr>
          <w:rFonts w:ascii="宋体" w:hAnsi="宋体" w:cs="宋体"/>
          <w:b/>
          <w:bCs/>
          <w:sz w:val="24"/>
          <w:highlight w:val="none"/>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kern w:val="0"/>
          <w:sz w:val="36"/>
          <w:szCs w:val="36"/>
          <w:highlight w:val="none"/>
        </w:rPr>
      </w:pPr>
      <w:bookmarkStart w:id="569" w:name="_Toc5394"/>
      <w:r>
        <w:rPr>
          <w:rFonts w:hint="eastAsia" w:ascii="宋体" w:hAnsi="宋体" w:cs="宋体"/>
          <w:b/>
          <w:kern w:val="0"/>
          <w:sz w:val="36"/>
          <w:szCs w:val="36"/>
          <w:highlight w:val="none"/>
        </w:rPr>
        <w:t>报价文件部分</w:t>
      </w:r>
      <w:bookmarkEnd w:id="569"/>
    </w:p>
    <w:p>
      <w:pPr>
        <w:spacing w:line="360" w:lineRule="auto"/>
        <w:jc w:val="center"/>
        <w:outlineLvl w:val="0"/>
        <w:rPr>
          <w:rFonts w:ascii="宋体" w:hAnsi="宋体" w:cs="宋体"/>
          <w:b/>
          <w:kern w:val="0"/>
          <w:sz w:val="36"/>
          <w:szCs w:val="36"/>
          <w:highlight w:val="none"/>
        </w:rPr>
      </w:pPr>
      <w:bookmarkStart w:id="570" w:name="_Toc15958"/>
      <w:r>
        <w:rPr>
          <w:rFonts w:hint="eastAsia" w:ascii="宋体" w:hAnsi="宋体" w:cs="宋体"/>
          <w:b/>
          <w:kern w:val="0"/>
          <w:sz w:val="36"/>
          <w:szCs w:val="36"/>
          <w:highlight w:val="none"/>
        </w:rPr>
        <w:t>目录</w:t>
      </w:r>
      <w:bookmarkEnd w:id="570"/>
    </w:p>
    <w:p>
      <w:pPr>
        <w:spacing w:line="360" w:lineRule="auto"/>
        <w:jc w:val="center"/>
        <w:outlineLvl w:val="9"/>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（1）报价单…………………………………………………………………………（页码）</w:t>
      </w:r>
    </w:p>
    <w:p>
      <w:pPr>
        <w:snapToGrid w:val="0"/>
        <w:spacing w:line="360" w:lineRule="auto"/>
        <w:rPr>
          <w:rFonts w:ascii="宋体" w:hAnsi="宋体" w:cs="宋体"/>
          <w:sz w:val="24"/>
          <w:highlight w:val="none"/>
        </w:rPr>
      </w:pPr>
      <w:r>
        <w:rPr>
          <w:rFonts w:hint="eastAsia" w:ascii="宋体" w:hAnsi="宋体" w:cs="宋体"/>
          <w:sz w:val="24"/>
          <w:highlight w:val="none"/>
        </w:rPr>
        <w:t>（2）已标价工程量清单……………………………………………………………（页码）</w:t>
      </w:r>
    </w:p>
    <w:p>
      <w:pPr>
        <w:snapToGrid w:val="0"/>
        <w:spacing w:line="360" w:lineRule="auto"/>
        <w:rPr>
          <w:rFonts w:ascii="宋体" w:hAnsi="宋体" w:cs="宋体"/>
          <w:sz w:val="24"/>
          <w:highlight w:val="none"/>
        </w:rPr>
      </w:pPr>
      <w:r>
        <w:rPr>
          <w:rFonts w:hint="eastAsia" w:ascii="宋体" w:hAnsi="宋体" w:cs="宋体"/>
          <w:sz w:val="24"/>
          <w:highlight w:val="none"/>
        </w:rPr>
        <w:t>（3）中小企业声明函………………………………………………………………（页码）</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1"/>
        <w:rPr>
          <w:rFonts w:ascii="宋体" w:hAnsi="宋体" w:eastAsia="宋体" w:cs="宋体"/>
          <w:kern w:val="2"/>
          <w:sz w:val="32"/>
          <w:szCs w:val="32"/>
          <w:highlight w:val="none"/>
        </w:rPr>
      </w:pPr>
      <w:bookmarkStart w:id="571" w:name="_Toc19643"/>
      <w:r>
        <w:rPr>
          <w:rFonts w:hint="eastAsia" w:ascii="宋体" w:hAnsi="宋体" w:eastAsia="宋体" w:cs="宋体"/>
          <w:kern w:val="2"/>
          <w:sz w:val="32"/>
          <w:szCs w:val="32"/>
          <w:highlight w:val="none"/>
        </w:rPr>
        <w:t>一、报价单</w:t>
      </w:r>
      <w:bookmarkEnd w:id="571"/>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sz w:val="24"/>
          <w:highlight w:val="none"/>
          <w:lang w:eastAsia="zh-CN"/>
        </w:rPr>
        <w:t>中国美术学院国际设计博物馆室内吊顶提升工程项目</w:t>
      </w:r>
      <w:r>
        <w:rPr>
          <w:rFonts w:hint="eastAsia" w:ascii="宋体" w:hAnsi="宋体" w:cs="宋体"/>
          <w:kern w:val="0"/>
          <w:sz w:val="24"/>
          <w:highlight w:val="none"/>
          <w:lang w:val="zh-CN"/>
        </w:rPr>
        <w:t>【项目编号：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项目名称</w:t>
            </w:r>
          </w:p>
        </w:tc>
        <w:tc>
          <w:tcPr>
            <w:tcW w:w="1843" w:type="dxa"/>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施工范围</w:t>
            </w:r>
          </w:p>
        </w:tc>
        <w:tc>
          <w:tcPr>
            <w:tcW w:w="3118"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施工工期</w:t>
            </w:r>
          </w:p>
        </w:tc>
        <w:tc>
          <w:tcPr>
            <w:tcW w:w="2552"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项目经理</w:t>
            </w:r>
          </w:p>
        </w:tc>
        <w:tc>
          <w:tcPr>
            <w:tcW w:w="1984"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执业证书信息</w:t>
            </w:r>
          </w:p>
        </w:tc>
        <w:tc>
          <w:tcPr>
            <w:tcW w:w="3119" w:type="dxa"/>
            <w:vAlign w:val="center"/>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sz w:val="24"/>
                <w:highlight w:val="none"/>
              </w:rPr>
            </w:pP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2552"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磋商报价（小写）</w:t>
            </w:r>
          </w:p>
        </w:tc>
        <w:tc>
          <w:tcPr>
            <w:tcW w:w="7655" w:type="dxa"/>
            <w:gridSpan w:val="3"/>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磋商报价（大写）</w:t>
            </w:r>
          </w:p>
        </w:tc>
        <w:tc>
          <w:tcPr>
            <w:tcW w:w="7655" w:type="dxa"/>
            <w:gridSpan w:val="3"/>
            <w:vAlign w:val="center"/>
          </w:tcPr>
          <w:p>
            <w:pPr>
              <w:spacing w:line="360" w:lineRule="auto"/>
              <w:jc w:val="center"/>
              <w:rPr>
                <w:rFonts w:ascii="宋体" w:hAnsi="宋体" w:cs="宋体"/>
                <w:sz w:val="24"/>
                <w:highlight w:val="none"/>
              </w:rPr>
            </w:pPr>
          </w:p>
        </w:tc>
      </w:tr>
    </w:tbl>
    <w:p>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pPr>
        <w:spacing w:line="360" w:lineRule="auto"/>
        <w:ind w:left="-2" w:leftChars="-1" w:firstLine="480" w:firstLineChars="200"/>
        <w:rPr>
          <w:rFonts w:ascii="宋体" w:hAnsi="宋体" w:cs="宋体"/>
          <w:color w:val="0000FF"/>
          <w:kern w:val="0"/>
          <w:sz w:val="24"/>
          <w:highlight w:val="none"/>
          <w:lang w:val="zh-CN"/>
        </w:rPr>
      </w:pPr>
      <w:r>
        <w:rPr>
          <w:rFonts w:hint="eastAsia" w:ascii="宋体" w:hAnsi="宋体" w:cs="宋体"/>
          <w:kern w:val="0"/>
          <w:sz w:val="24"/>
          <w:highlight w:val="none"/>
          <w:lang w:val="zh-CN"/>
        </w:rPr>
        <w:t>1、供应商需按</w:t>
      </w:r>
      <w:r>
        <w:rPr>
          <w:rFonts w:hint="eastAsia" w:ascii="宋体" w:hAnsi="宋体" w:cs="宋体"/>
          <w:color w:val="0000FF"/>
          <w:kern w:val="0"/>
          <w:sz w:val="24"/>
          <w:highlight w:val="none"/>
          <w:lang w:val="zh-CN"/>
        </w:rPr>
        <w:t>本表格式填写</w:t>
      </w:r>
      <w:r>
        <w:rPr>
          <w:rFonts w:hint="eastAsia" w:ascii="宋体" w:hAnsi="宋体" w:cs="宋体"/>
          <w:b/>
          <w:color w:val="0000FF"/>
          <w:kern w:val="0"/>
          <w:sz w:val="24"/>
          <w:highlight w:val="none"/>
          <w:lang w:val="zh-CN"/>
        </w:rPr>
        <w:t>，</w:t>
      </w:r>
      <w:r>
        <w:rPr>
          <w:rFonts w:hint="eastAsia" w:ascii="宋体" w:hAnsi="宋体" w:cs="宋体"/>
          <w:b/>
          <w:color w:val="0000FF"/>
          <w:kern w:val="0"/>
          <w:sz w:val="24"/>
          <w:highlight w:val="none"/>
        </w:rPr>
        <w:t>否则视为</w:t>
      </w:r>
      <w:r>
        <w:rPr>
          <w:rFonts w:hint="eastAsia" w:ascii="宋体" w:hAnsi="宋体" w:cs="宋体"/>
          <w:b/>
          <w:color w:val="0000FF"/>
          <w:sz w:val="24"/>
          <w:highlight w:val="none"/>
        </w:rPr>
        <w:t>响应文件含有采购人不能接受的附加条件，响应文件无效</w:t>
      </w:r>
      <w:r>
        <w:rPr>
          <w:rFonts w:hint="eastAsia" w:ascii="宋体" w:hAnsi="宋体" w:cs="宋体"/>
          <w:b/>
          <w:color w:val="0000FF"/>
          <w:kern w:val="0"/>
          <w:sz w:val="24"/>
          <w:highlight w:val="none"/>
          <w:lang w:val="zh-CN"/>
        </w:rPr>
        <w:t>；</w:t>
      </w:r>
      <w:r>
        <w:rPr>
          <w:rFonts w:hint="eastAsia" w:ascii="宋体" w:hAnsi="宋体" w:cs="宋体"/>
          <w:color w:val="0000FF"/>
          <w:kern w:val="0"/>
          <w:sz w:val="24"/>
          <w:highlight w:val="none"/>
          <w:lang w:val="zh-CN"/>
        </w:rPr>
        <w:t>。</w:t>
      </w:r>
    </w:p>
    <w:p>
      <w:pPr>
        <w:spacing w:line="360" w:lineRule="auto"/>
        <w:ind w:firstLine="480" w:firstLineChars="200"/>
        <w:rPr>
          <w:rFonts w:ascii="宋体" w:hAnsi="宋体" w:cs="宋体"/>
          <w:color w:val="0000FF"/>
          <w:kern w:val="0"/>
          <w:sz w:val="24"/>
          <w:highlight w:val="none"/>
        </w:rPr>
      </w:pPr>
      <w:r>
        <w:rPr>
          <w:rFonts w:hint="eastAsia" w:ascii="宋体" w:hAnsi="宋体" w:cs="宋体"/>
          <w:color w:val="0000FF"/>
          <w:kern w:val="0"/>
          <w:sz w:val="24"/>
          <w:highlight w:val="none"/>
          <w:lang w:val="zh-CN"/>
        </w:rPr>
        <w:t>2、有关本项目实施所涉及的一切费用均计入报价。</w:t>
      </w:r>
      <w:r>
        <w:rPr>
          <w:rFonts w:hint="eastAsia" w:ascii="宋体" w:hAnsi="宋体" w:cs="宋体"/>
          <w:b/>
          <w:color w:val="0000FF"/>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0000FF"/>
          <w:kern w:val="0"/>
          <w:sz w:val="24"/>
          <w:highlight w:val="none"/>
          <w:lang w:val="zh-CN"/>
        </w:rPr>
        <w:t>，</w:t>
      </w:r>
      <w:r>
        <w:rPr>
          <w:rFonts w:hint="eastAsia" w:ascii="宋体" w:hAnsi="宋体" w:cs="宋体"/>
          <w:b/>
          <w:color w:val="0000FF"/>
          <w:kern w:val="0"/>
          <w:sz w:val="24"/>
          <w:highlight w:val="none"/>
          <w:lang w:val="zh-CN"/>
        </w:rPr>
        <w:t>不得出现“0元”“免费赠送”等形式的无偿报价，</w:t>
      </w:r>
      <w:r>
        <w:rPr>
          <w:rFonts w:hint="eastAsia" w:ascii="宋体" w:hAnsi="宋体" w:cs="宋体"/>
          <w:b/>
          <w:color w:val="0000FF"/>
          <w:kern w:val="0"/>
          <w:sz w:val="24"/>
          <w:highlight w:val="none"/>
        </w:rPr>
        <w:t>否则视为</w:t>
      </w:r>
      <w:r>
        <w:rPr>
          <w:rFonts w:hint="eastAsia" w:ascii="宋体" w:hAnsi="宋体" w:cs="宋体"/>
          <w:b/>
          <w:color w:val="0000FF"/>
          <w:sz w:val="24"/>
          <w:highlight w:val="none"/>
        </w:rPr>
        <w:t>响应文件含有采购人不能接受的附加条件，响应文件无效</w:t>
      </w:r>
      <w:r>
        <w:rPr>
          <w:rFonts w:hint="eastAsia" w:ascii="宋体" w:hAnsi="宋体" w:cs="宋体"/>
          <w:b/>
          <w:color w:val="0000FF"/>
          <w:kern w:val="0"/>
          <w:sz w:val="24"/>
          <w:highlight w:val="none"/>
          <w:lang w:val="zh-CN"/>
        </w:rPr>
        <w:t>；采购内容未包含在《报价单》名称栏中，供应商不能作出合理解释的，</w:t>
      </w:r>
      <w:r>
        <w:rPr>
          <w:rFonts w:hint="eastAsia" w:ascii="宋体" w:hAnsi="宋体" w:cs="宋体"/>
          <w:b/>
          <w:color w:val="0000FF"/>
          <w:kern w:val="0"/>
          <w:sz w:val="24"/>
          <w:highlight w:val="none"/>
        </w:rPr>
        <w:t>视为</w:t>
      </w:r>
      <w:r>
        <w:rPr>
          <w:rFonts w:hint="eastAsia" w:ascii="宋体" w:hAnsi="宋体" w:cs="宋体"/>
          <w:b/>
          <w:color w:val="0000FF"/>
          <w:sz w:val="24"/>
          <w:highlight w:val="none"/>
        </w:rPr>
        <w:t>响应文件含有采购人不能接受的附加条件的，响应文件无效。</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40" w:right="1080" w:bottom="1440" w:left="1080" w:header="851" w:footer="992" w:gutter="0"/>
          <w:cols w:space="720" w:num="1"/>
          <w:titlePg/>
          <w:docGrid w:linePitch="312" w:charSpace="0"/>
        </w:sectPr>
      </w:pPr>
    </w:p>
    <w:p>
      <w:pPr>
        <w:pStyle w:val="691"/>
        <w:keepNext w:val="0"/>
        <w:pageBreakBefore w:val="0"/>
        <w:tabs>
          <w:tab w:val="clear" w:pos="720"/>
        </w:tabs>
        <w:snapToGrid w:val="0"/>
        <w:spacing w:before="120" w:after="120"/>
        <w:outlineLvl w:val="1"/>
        <w:rPr>
          <w:rFonts w:ascii="宋体" w:hAnsi="宋体" w:eastAsia="宋体" w:cs="宋体"/>
          <w:kern w:val="2"/>
          <w:sz w:val="32"/>
          <w:szCs w:val="32"/>
          <w:highlight w:val="none"/>
        </w:rPr>
      </w:pPr>
      <w:bookmarkStart w:id="572" w:name="_Toc26536"/>
      <w:r>
        <w:rPr>
          <w:rFonts w:hint="eastAsia" w:ascii="宋体" w:hAnsi="宋体" w:eastAsia="宋体" w:cs="宋体"/>
          <w:kern w:val="2"/>
          <w:sz w:val="32"/>
          <w:szCs w:val="32"/>
          <w:highlight w:val="none"/>
        </w:rPr>
        <w:t>二、已标价工程量清单</w:t>
      </w:r>
      <w:bookmarkEnd w:id="572"/>
    </w:p>
    <w:p>
      <w:pPr>
        <w:ind w:right="420"/>
        <w:rPr>
          <w:rFonts w:ascii="宋体" w:hAnsi="宋体" w:cs="宋体"/>
          <w:sz w:val="24"/>
          <w:highlight w:val="none"/>
        </w:rPr>
      </w:pPr>
      <w:r>
        <w:rPr>
          <w:rFonts w:hint="eastAsia" w:ascii="宋体" w:hAnsi="宋体" w:cs="宋体"/>
          <w:sz w:val="24"/>
          <w:highlight w:val="none"/>
        </w:rPr>
        <w:t xml:space="preserve">注：按采购文件工程量清单编制 </w:t>
      </w:r>
    </w:p>
    <w:p>
      <w:pPr>
        <w:pStyle w:val="61"/>
        <w:ind w:firstLine="480"/>
        <w:rPr>
          <w:rFonts w:cs="宋体"/>
          <w:sz w:val="24"/>
          <w:highlight w:val="none"/>
        </w:rPr>
      </w:pPr>
    </w:p>
    <w:p>
      <w:pPr>
        <w:pStyle w:val="61"/>
        <w:ind w:firstLine="480"/>
        <w:rPr>
          <w:rFonts w:cs="宋体"/>
          <w:sz w:val="24"/>
          <w:highlight w:val="none"/>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1"/>
        <w:rPr>
          <w:rFonts w:ascii="宋体" w:hAnsi="宋体" w:eastAsia="宋体" w:cs="宋体"/>
          <w:sz w:val="32"/>
          <w:szCs w:val="32"/>
          <w:highlight w:val="none"/>
        </w:rPr>
      </w:pPr>
      <w:bookmarkStart w:id="573" w:name="_Toc22143"/>
      <w:r>
        <w:rPr>
          <w:rFonts w:hint="eastAsia" w:ascii="宋体" w:hAnsi="宋体" w:eastAsia="宋体" w:cs="宋体"/>
          <w:kern w:val="2"/>
          <w:sz w:val="32"/>
          <w:szCs w:val="32"/>
          <w:highlight w:val="none"/>
        </w:rPr>
        <w:t>三、</w:t>
      </w:r>
      <w:r>
        <w:rPr>
          <w:rFonts w:hint="eastAsia" w:ascii="宋体" w:hAnsi="宋体" w:eastAsia="宋体" w:cs="宋体"/>
          <w:sz w:val="32"/>
          <w:szCs w:val="32"/>
          <w:highlight w:val="none"/>
        </w:rPr>
        <w:t>中小企业声明函</w:t>
      </w:r>
      <w:bookmarkStart w:id="574" w:name="_Hlk101259491"/>
      <w:r>
        <w:rPr>
          <w:rFonts w:hint="eastAsia" w:ascii="宋体" w:hAnsi="宋体" w:eastAsia="宋体" w:cs="宋体"/>
          <w:sz w:val="32"/>
          <w:szCs w:val="32"/>
          <w:highlight w:val="none"/>
        </w:rPr>
        <w:t>（如果有）</w:t>
      </w:r>
      <w:bookmarkEnd w:id="573"/>
      <w:bookmarkEnd w:id="574"/>
    </w:p>
    <w:p>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575" w:name="_Toc465665161"/>
      <w:bookmarkStart w:id="576" w:name="_Toc21845"/>
      <w:r>
        <w:rPr>
          <w:rFonts w:hint="eastAsia" w:ascii="宋体" w:hAnsi="宋体" w:cs="宋体"/>
          <w:highlight w:val="none"/>
        </w:rPr>
        <w:t>附件</w:t>
      </w:r>
      <w:bookmarkEnd w:id="575"/>
      <w:bookmarkEnd w:id="576"/>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ascii="宋体" w:hAnsi="宋体" w:cs="宋体"/>
          <w:b/>
          <w:spacing w:val="6"/>
          <w:sz w:val="32"/>
          <w:szCs w:val="32"/>
          <w:highlight w:val="none"/>
        </w:rPr>
      </w:pPr>
      <w:bookmarkStart w:id="577" w:name="OLE_LINK13"/>
      <w:bookmarkStart w:id="578" w:name="OLE_LINK14"/>
      <w:r>
        <w:rPr>
          <w:rFonts w:hint="eastAsia" w:ascii="宋体" w:hAnsi="宋体" w:cs="宋体"/>
          <w:b/>
          <w:spacing w:val="6"/>
          <w:sz w:val="32"/>
          <w:szCs w:val="32"/>
          <w:highlight w:val="none"/>
        </w:rPr>
        <w:t>残疾人福利性单位声明函</w:t>
      </w:r>
    </w:p>
    <w:bookmarkEnd w:id="577"/>
    <w:bookmarkEnd w:id="578"/>
    <w:p>
      <w:pPr>
        <w:spacing w:line="360" w:lineRule="auto"/>
        <w:rPr>
          <w:rFonts w:ascii="宋体" w:hAnsi="宋体" w:cs="宋体"/>
          <w:b/>
          <w:spacing w:val="6"/>
          <w:sz w:val="30"/>
          <w:szCs w:val="30"/>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供应商名称（电子签名）</w:t>
      </w:r>
      <w:r>
        <w:rPr>
          <w:rFonts w:hint="eastAsia" w:ascii="宋体" w:hAnsi="宋体" w:cs="宋体"/>
          <w:sz w:val="24"/>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240" w:beforeLines="100" w:line="360" w:lineRule="auto"/>
        <w:outlineLvl w:val="1"/>
        <w:rPr>
          <w:rFonts w:ascii="宋体" w:hAnsi="宋体" w:cs="宋体"/>
          <w:bCs/>
          <w:sz w:val="24"/>
          <w:highlight w:val="none"/>
        </w:rPr>
      </w:pPr>
      <w:bookmarkStart w:id="579" w:name="_Toc6197"/>
      <w:r>
        <w:rPr>
          <w:rFonts w:hint="eastAsia" w:ascii="宋体" w:hAnsi="宋体" w:cs="宋体"/>
          <w:bCs/>
          <w:sz w:val="24"/>
          <w:highlight w:val="none"/>
        </w:rPr>
        <w:t>一、质疑供应商基本信息</w:t>
      </w:r>
      <w:bookmarkEnd w:id="579"/>
    </w:p>
    <w:p>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outlineLvl w:val="1"/>
        <w:rPr>
          <w:rFonts w:ascii="宋体" w:hAnsi="宋体" w:cs="宋体"/>
          <w:bCs/>
          <w:sz w:val="24"/>
          <w:highlight w:val="none"/>
        </w:rPr>
      </w:pPr>
      <w:bookmarkStart w:id="580" w:name="_Toc27931"/>
      <w:r>
        <w:rPr>
          <w:rFonts w:hint="eastAsia" w:ascii="宋体" w:hAnsi="宋体" w:cs="宋体"/>
          <w:bCs/>
          <w:sz w:val="24"/>
          <w:highlight w:val="none"/>
        </w:rPr>
        <w:t>二、质疑项目基本情况</w:t>
      </w:r>
      <w:bookmarkEnd w:id="580"/>
    </w:p>
    <w:p>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pPr>
        <w:snapToGrid w:val="0"/>
        <w:spacing w:line="360" w:lineRule="auto"/>
        <w:outlineLvl w:val="1"/>
        <w:rPr>
          <w:rFonts w:ascii="宋体" w:hAnsi="宋体" w:cs="宋体"/>
          <w:bCs/>
          <w:sz w:val="24"/>
          <w:highlight w:val="none"/>
        </w:rPr>
      </w:pPr>
      <w:bookmarkStart w:id="581" w:name="_Toc17095"/>
      <w:r>
        <w:rPr>
          <w:rFonts w:hint="eastAsia" w:ascii="宋体" w:hAnsi="宋体" w:cs="宋体"/>
          <w:bCs/>
          <w:sz w:val="24"/>
          <w:highlight w:val="none"/>
        </w:rPr>
        <w:t>三、质疑事项具体内容</w:t>
      </w:r>
      <w:bookmarkEnd w:id="581"/>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ascii="宋体" w:hAnsi="宋体" w:cs="宋体"/>
          <w:sz w:val="24"/>
          <w:highlight w:val="none"/>
        </w:rPr>
      </w:pPr>
      <w:r>
        <w:rPr>
          <w:rFonts w:hint="eastAsia" w:ascii="宋体" w:hAnsi="宋体" w:cs="宋体"/>
          <w:sz w:val="24"/>
          <w:highlight w:val="none"/>
        </w:rPr>
        <w:t>……</w:t>
      </w:r>
    </w:p>
    <w:p>
      <w:pPr>
        <w:snapToGrid w:val="0"/>
        <w:spacing w:line="360" w:lineRule="auto"/>
        <w:outlineLvl w:val="1"/>
        <w:rPr>
          <w:rFonts w:ascii="宋体" w:hAnsi="宋体" w:cs="宋体"/>
          <w:bCs/>
          <w:sz w:val="24"/>
          <w:highlight w:val="none"/>
        </w:rPr>
      </w:pPr>
      <w:bookmarkStart w:id="582" w:name="_Toc32221"/>
      <w:r>
        <w:rPr>
          <w:rFonts w:hint="eastAsia" w:ascii="宋体" w:hAnsi="宋体" w:cs="宋体"/>
          <w:bCs/>
          <w:sz w:val="24"/>
          <w:highlight w:val="none"/>
        </w:rPr>
        <w:t>四、与质疑事项相关的质疑请求</w:t>
      </w:r>
      <w:bookmarkEnd w:id="582"/>
    </w:p>
    <w:p>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jc w:val="center"/>
        <w:rPr>
          <w:rFonts w:ascii="宋体" w:hAnsi="宋体" w:cs="宋体"/>
          <w:b/>
          <w:bCs/>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质疑函制作说明：</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outlineLvl w:val="1"/>
        <w:rPr>
          <w:rFonts w:ascii="宋体" w:hAnsi="宋体" w:cs="宋体"/>
          <w:b/>
          <w:spacing w:val="6"/>
          <w:sz w:val="32"/>
          <w:szCs w:val="32"/>
          <w:highlight w:val="none"/>
        </w:rPr>
      </w:pPr>
      <w:bookmarkStart w:id="583" w:name="_Toc11452"/>
      <w:r>
        <w:rPr>
          <w:rFonts w:hint="eastAsia" w:ascii="宋体" w:hAnsi="宋体" w:cs="宋体"/>
          <w:b/>
          <w:spacing w:val="6"/>
          <w:sz w:val="32"/>
          <w:szCs w:val="32"/>
          <w:highlight w:val="none"/>
        </w:rPr>
        <w:t>附件3：投诉书范本及制作说明</w:t>
      </w:r>
      <w:bookmarkEnd w:id="583"/>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outlineLvl w:val="1"/>
        <w:rPr>
          <w:rFonts w:ascii="宋体" w:hAnsi="宋体" w:cs="宋体"/>
          <w:sz w:val="24"/>
          <w:highlight w:val="none"/>
        </w:rPr>
      </w:pPr>
      <w:bookmarkStart w:id="584" w:name="_Toc619"/>
      <w:r>
        <w:rPr>
          <w:rFonts w:hint="eastAsia" w:ascii="宋体" w:hAnsi="宋体" w:cs="宋体"/>
          <w:sz w:val="24"/>
          <w:highlight w:val="none"/>
        </w:rPr>
        <w:t>一、投诉相关主体基本情况</w:t>
      </w:r>
      <w:bookmarkEnd w:id="584"/>
    </w:p>
    <w:p>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被投诉人2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outlineLvl w:val="1"/>
        <w:rPr>
          <w:rFonts w:ascii="宋体" w:hAnsi="宋体" w:cs="宋体"/>
          <w:sz w:val="24"/>
          <w:highlight w:val="none"/>
        </w:rPr>
      </w:pPr>
      <w:bookmarkStart w:id="585" w:name="_Toc4710"/>
      <w:r>
        <w:rPr>
          <w:rFonts w:hint="eastAsia" w:ascii="宋体" w:hAnsi="宋体" w:cs="宋体"/>
          <w:sz w:val="24"/>
          <w:highlight w:val="none"/>
        </w:rPr>
        <w:t>二、投诉项目基本情况</w:t>
      </w:r>
      <w:bookmarkEnd w:id="585"/>
    </w:p>
    <w:p>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outlineLvl w:val="1"/>
        <w:rPr>
          <w:rFonts w:ascii="宋体" w:hAnsi="宋体" w:cs="宋体"/>
          <w:sz w:val="24"/>
          <w:highlight w:val="none"/>
        </w:rPr>
      </w:pPr>
      <w:bookmarkStart w:id="586" w:name="_Toc18317"/>
      <w:r>
        <w:rPr>
          <w:rFonts w:hint="eastAsia" w:ascii="宋体" w:hAnsi="宋体" w:cs="宋体"/>
          <w:sz w:val="24"/>
          <w:highlight w:val="none"/>
        </w:rPr>
        <w:t>三、质疑基本情况</w:t>
      </w:r>
      <w:bookmarkEnd w:id="586"/>
    </w:p>
    <w:p>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pPr>
        <w:spacing w:line="360" w:lineRule="auto"/>
        <w:outlineLvl w:val="1"/>
        <w:rPr>
          <w:rFonts w:ascii="宋体" w:hAnsi="宋体" w:cs="宋体"/>
          <w:sz w:val="24"/>
          <w:highlight w:val="none"/>
        </w:rPr>
      </w:pPr>
      <w:bookmarkStart w:id="587" w:name="_Toc28739"/>
      <w:r>
        <w:rPr>
          <w:rFonts w:hint="eastAsia" w:ascii="宋体" w:hAnsi="宋体" w:cs="宋体"/>
          <w:sz w:val="24"/>
          <w:highlight w:val="none"/>
        </w:rPr>
        <w:t>四、投诉事项具体内容</w:t>
      </w:r>
      <w:bookmarkEnd w:id="587"/>
    </w:p>
    <w:p>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投诉事项2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outlineLvl w:val="1"/>
        <w:rPr>
          <w:rFonts w:ascii="宋体" w:hAnsi="宋体" w:cs="宋体"/>
          <w:sz w:val="24"/>
          <w:highlight w:val="none"/>
        </w:rPr>
      </w:pPr>
      <w:bookmarkStart w:id="588" w:name="_Toc30544"/>
      <w:r>
        <w:rPr>
          <w:rFonts w:hint="eastAsia" w:ascii="宋体" w:hAnsi="宋体" w:cs="宋体"/>
          <w:sz w:val="24"/>
          <w:highlight w:val="none"/>
        </w:rPr>
        <w:t>五、与投诉事项相关的投诉请求</w:t>
      </w:r>
      <w:bookmarkEnd w:id="588"/>
    </w:p>
    <w:p>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投诉书制作说明：</w:t>
      </w:r>
    </w:p>
    <w:p>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outlineLvl w:val="1"/>
        <w:rPr>
          <w:rFonts w:ascii="宋体" w:hAnsi="宋体" w:cs="宋体"/>
          <w:b/>
          <w:bCs/>
          <w:sz w:val="32"/>
          <w:szCs w:val="32"/>
          <w:highlight w:val="none"/>
        </w:rPr>
      </w:pPr>
      <w:bookmarkStart w:id="589" w:name="_Toc4488"/>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bookmarkEnd w:id="589"/>
    </w:p>
    <w:p>
      <w:pPr>
        <w:spacing w:line="360" w:lineRule="auto"/>
        <w:rPr>
          <w:rFonts w:ascii="宋体" w:hAnsi="宋体" w:cs="宋体"/>
          <w:sz w:val="24"/>
          <w:highlight w:val="none"/>
          <w:u w:val="single"/>
        </w:rPr>
      </w:pPr>
    </w:p>
    <w:p>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(供应商全称)是中华人民共和国依法登记注册的合法企业，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中国美术学院国际设计博物馆室内吊顶提升工程项目</w:t>
      </w:r>
      <w:r>
        <w:rPr>
          <w:rFonts w:hint="eastAsia" w:ascii="宋体" w:hAnsi="宋体" w:cs="宋体"/>
          <w:sz w:val="24"/>
          <w:highlight w:val="none"/>
        </w:rPr>
        <w:t>项目【项目编号：（采购编号）】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供应商（法定名称章）：</w:t>
      </w:r>
    </w:p>
    <w:p>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pPr>
        <w:rPr>
          <w:rFonts w:ascii="宋体" w:hAnsi="宋体" w:cs="宋体"/>
          <w:sz w:val="24"/>
          <w:highlight w:val="none"/>
        </w:rPr>
      </w:pPr>
      <w:r>
        <w:rPr>
          <w:rFonts w:hint="eastAsia" w:ascii="宋体" w:hAnsi="宋体" w:cs="宋体"/>
          <w:b/>
          <w:bCs/>
          <w:sz w:val="24"/>
          <w:highlight w:val="none"/>
        </w:rPr>
        <w:t>附：</w:t>
      </w:r>
    </w:p>
    <w:p>
      <w:pPr>
        <w:spacing w:line="360" w:lineRule="auto"/>
        <w:rPr>
          <w:rFonts w:ascii="宋体" w:hAnsi="宋体" w:cs="宋体"/>
          <w:bCs/>
          <w:sz w:val="24"/>
          <w:highlight w:val="none"/>
        </w:rPr>
      </w:pPr>
      <w:r>
        <w:rPr>
          <w:rFonts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w:t>供应商</w:t>
      </w:r>
      <w:r>
        <w:rPr>
          <w:rFonts w:hint="eastAsia" w:ascii="宋体" w:hAnsi="宋体" w:cs="宋体"/>
          <w:sz w:val="24"/>
          <w:highlight w:val="none"/>
        </w:rPr>
        <w:t>法定名称章（印模）                供应商“XX专用章”（印模）</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（以联合体形式参与的，提供联合协议；本项目不接受联合体或者供应商不以联合体形式参与的，则不需要提供）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组成一个联合体，以一个供应商的身份</w:t>
      </w:r>
      <w:r>
        <w:rPr>
          <w:rFonts w:hint="eastAsia" w:ascii="宋体" w:hAnsi="宋体" w:cs="宋体"/>
          <w:kern w:val="0"/>
          <w:sz w:val="24"/>
          <w:highlight w:val="none"/>
        </w:rPr>
        <w:t>参加</w:t>
      </w:r>
      <w:r>
        <w:rPr>
          <w:rFonts w:hint="eastAsia" w:ascii="宋体" w:hAnsi="宋体" w:cs="宋体"/>
          <w:sz w:val="24"/>
          <w:highlight w:val="none"/>
          <w:lang w:eastAsia="zh-CN"/>
        </w:rPr>
        <w:t>中国美术学院国际设计博物馆室内吊顶提升工程项目</w:t>
      </w:r>
      <w:r>
        <w:rPr>
          <w:rFonts w:hint="eastAsia" w:ascii="宋体" w:hAnsi="宋体" w:cs="宋体"/>
          <w:sz w:val="24"/>
          <w:highlight w:val="none"/>
        </w:rPr>
        <w:t>【项目编号：（采购编号）】</w:t>
      </w:r>
      <w:r>
        <w:rPr>
          <w:rFonts w:hint="eastAsia" w:ascii="宋体" w:hAnsi="宋体" w:cs="宋体"/>
          <w:kern w:val="0"/>
          <w:sz w:val="24"/>
          <w:highlight w:val="none"/>
        </w:rPr>
        <w:t>响应</w:t>
      </w:r>
      <w:r>
        <w:rPr>
          <w:rFonts w:hint="eastAsia" w:ascii="宋体" w:hAnsi="宋体" w:cs="宋体"/>
          <w:kern w:val="0"/>
          <w:sz w:val="24"/>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授权代表根据采购文件规定及</w:t>
      </w:r>
      <w:r>
        <w:rPr>
          <w:rFonts w:hint="eastAsia" w:ascii="宋体" w:hAnsi="宋体" w:cs="宋体"/>
          <w:kern w:val="0"/>
          <w:sz w:val="24"/>
          <w:highlight w:val="none"/>
        </w:rPr>
        <w:t>响应内容</w:t>
      </w:r>
      <w:r>
        <w:rPr>
          <w:rFonts w:hint="eastAsia" w:ascii="宋体" w:hAnsi="宋体" w:cs="宋体"/>
          <w:kern w:val="0"/>
          <w:sz w:val="24"/>
          <w:highlight w:val="none"/>
          <w:lang w:val="zh-CN"/>
        </w:rPr>
        <w:t>而对采购人、采购机构所作的任何合法承诺，包括书面澄清及相应等均对联合投标各方产生约束力。</w:t>
      </w:r>
    </w:p>
    <w:p>
      <w:pPr>
        <w:snapToGrid w:val="0"/>
        <w:spacing w:line="360" w:lineRule="auto"/>
        <w:ind w:firstLine="576"/>
        <w:outlineLvl w:val="1"/>
        <w:rPr>
          <w:rFonts w:ascii="宋体" w:hAnsi="宋体" w:cs="宋体"/>
          <w:kern w:val="0"/>
          <w:sz w:val="24"/>
          <w:highlight w:val="none"/>
          <w:lang w:val="zh-CN"/>
        </w:rPr>
      </w:pPr>
      <w:bookmarkStart w:id="590" w:name="_Toc23537"/>
      <w:r>
        <w:rPr>
          <w:rFonts w:hint="eastAsia" w:ascii="宋体" w:hAnsi="宋体" w:cs="宋体"/>
          <w:kern w:val="0"/>
          <w:sz w:val="24"/>
          <w:highlight w:val="none"/>
          <w:lang w:val="zh-CN"/>
        </w:rPr>
        <w:t>三、本次联合</w:t>
      </w:r>
      <w:r>
        <w:rPr>
          <w:rFonts w:hint="eastAsia" w:ascii="宋体" w:hAnsi="宋体" w:cs="宋体"/>
          <w:kern w:val="0"/>
          <w:sz w:val="24"/>
          <w:highlight w:val="none"/>
        </w:rPr>
        <w:t>响应</w:t>
      </w:r>
      <w:r>
        <w:rPr>
          <w:rFonts w:hint="eastAsia" w:ascii="宋体" w:hAnsi="宋体" w:cs="宋体"/>
          <w:kern w:val="0"/>
          <w:sz w:val="24"/>
          <w:highlight w:val="none"/>
          <w:lang w:val="zh-CN"/>
        </w:rPr>
        <w:t>中，分工如下：</w:t>
      </w:r>
      <w:bookmarkEnd w:id="590"/>
    </w:p>
    <w:p>
      <w:pPr>
        <w:snapToGrid w:val="0"/>
        <w:spacing w:line="360" w:lineRule="auto"/>
        <w:ind w:firstLine="576"/>
        <w:rPr>
          <w:rFonts w:ascii="宋体" w:hAnsi="宋体" w:cs="宋体"/>
          <w:kern w:val="0"/>
          <w:sz w:val="24"/>
          <w:highlight w:val="none"/>
          <w:lang w:val="zh-CN"/>
        </w:rPr>
      </w:pPr>
      <w:bookmarkStart w:id="591"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591"/>
    <w:p>
      <w:pPr>
        <w:snapToGrid w:val="0"/>
        <w:spacing w:line="360" w:lineRule="auto"/>
        <w:ind w:firstLine="576"/>
        <w:outlineLvl w:val="1"/>
        <w:rPr>
          <w:rFonts w:ascii="宋体" w:hAnsi="宋体" w:cs="宋体"/>
          <w:kern w:val="0"/>
          <w:sz w:val="24"/>
          <w:highlight w:val="none"/>
          <w:lang w:val="zh-CN"/>
        </w:rPr>
      </w:pPr>
      <w:bookmarkStart w:id="592" w:name="_Toc31737"/>
      <w:r>
        <w:rPr>
          <w:rFonts w:hint="eastAsia" w:ascii="宋体" w:hAnsi="宋体" w:cs="宋体"/>
          <w:kern w:val="0"/>
          <w:sz w:val="24"/>
          <w:highlight w:val="none"/>
          <w:lang w:val="zh-CN"/>
        </w:rPr>
        <w:t>四、联合体成员中小企业合同份额。</w:t>
      </w:r>
      <w:bookmarkEnd w:id="592"/>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提供的全部工程由小微企业承建，其合同份额占到合同总金额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（未预留份额专门面向中小企业采购的的采购项目，以及预留份额中的非预留部分采购包，接受联合体</w:t>
      </w:r>
      <w:r>
        <w:rPr>
          <w:rFonts w:hint="eastAsia" w:ascii="宋体" w:hAnsi="宋体" w:cs="宋体"/>
          <w:b/>
          <w:kern w:val="0"/>
          <w:sz w:val="24"/>
          <w:highlight w:val="none"/>
        </w:rPr>
        <w:t>磋商</w:t>
      </w:r>
      <w:r>
        <w:rPr>
          <w:rFonts w:hint="eastAsia" w:ascii="宋体" w:hAnsi="宋体" w:cs="宋体"/>
          <w:b/>
          <w:kern w:val="0"/>
          <w:sz w:val="24"/>
          <w:highlight w:val="none"/>
          <w:lang w:val="zh-CN"/>
        </w:rPr>
        <w:t>的，联合协议约定小微企业的合同份额占到合同总金额30%以上的，对联合体报价给予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五、如果成交，</w:t>
      </w:r>
      <w:r>
        <w:rPr>
          <w:rFonts w:hint="eastAsia" w:ascii="宋体" w:hAnsi="宋体" w:cs="宋体"/>
          <w:sz w:val="24"/>
          <w:highlight w:val="none"/>
        </w:rPr>
        <w:t>联合体各成员方共同与采购人签订合同，并就采购合同约定的事项对采购人承担连带责任。</w:t>
      </w:r>
    </w:p>
    <w:p>
      <w:pPr>
        <w:snapToGrid w:val="0"/>
        <w:spacing w:line="360" w:lineRule="auto"/>
        <w:ind w:firstLine="576"/>
        <w:outlineLvl w:val="1"/>
        <w:rPr>
          <w:rFonts w:ascii="宋体" w:hAnsi="宋体" w:cs="宋体"/>
          <w:kern w:val="0"/>
          <w:sz w:val="24"/>
          <w:highlight w:val="none"/>
          <w:lang w:val="zh-CN"/>
        </w:rPr>
      </w:pPr>
      <w:bookmarkStart w:id="593" w:name="_Toc32463"/>
      <w:r>
        <w:rPr>
          <w:rFonts w:hint="eastAsia" w:ascii="宋体" w:hAnsi="宋体" w:cs="宋体"/>
          <w:kern w:val="0"/>
          <w:sz w:val="24"/>
          <w:highlight w:val="none"/>
          <w:lang w:val="zh-CN"/>
        </w:rPr>
        <w:t>六、有关本次联合</w:t>
      </w:r>
      <w:r>
        <w:rPr>
          <w:rFonts w:hint="eastAsia" w:ascii="宋体" w:hAnsi="宋体" w:cs="宋体"/>
          <w:kern w:val="0"/>
          <w:sz w:val="24"/>
          <w:highlight w:val="none"/>
        </w:rPr>
        <w:t>响应</w:t>
      </w:r>
      <w:r>
        <w:rPr>
          <w:rFonts w:hint="eastAsia" w:ascii="宋体" w:hAnsi="宋体" w:cs="宋体"/>
          <w:kern w:val="0"/>
          <w:sz w:val="24"/>
          <w:highlight w:val="none"/>
          <w:lang w:val="zh-CN"/>
        </w:rPr>
        <w:t>的其他事宜：</w:t>
      </w:r>
      <w:bookmarkEnd w:id="593"/>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成交后以分包方式履行合同的，提供分包意向协议；采购人不同意分包或者供应商成交后不以分包方式履行合同的，则不需要提供。</w:t>
      </w:r>
      <w:r>
        <w:rPr>
          <w:rFonts w:hint="eastAsia" w:ascii="宋体" w:hAnsi="宋体" w:cs="宋体"/>
          <w:sz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（供应商名称）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中国美术学院国际设计博物馆室内吊顶提升工程项目</w:t>
      </w:r>
      <w:r>
        <w:rPr>
          <w:rFonts w:hint="eastAsia" w:ascii="宋体" w:hAnsi="宋体" w:cs="宋体"/>
          <w:sz w:val="24"/>
          <w:highlight w:val="none"/>
        </w:rPr>
        <w:t>【项目编号：（采购编号）】</w:t>
      </w:r>
      <w:r>
        <w:rPr>
          <w:rFonts w:hint="eastAsia" w:ascii="宋体" w:hAnsi="宋体" w:cs="宋体"/>
          <w:kern w:val="0"/>
          <w:sz w:val="24"/>
          <w:highlight w:val="none"/>
          <w:lang w:val="zh-CN"/>
        </w:rPr>
        <w:t>的成交供应商，将依法采取分包方式履行合同。</w:t>
      </w:r>
      <w:r>
        <w:rPr>
          <w:rFonts w:hint="eastAsia" w:ascii="宋体" w:hAnsi="宋体" w:cs="宋体"/>
          <w:kern w:val="0"/>
          <w:sz w:val="24"/>
          <w:highlight w:val="none"/>
          <w:u w:val="single"/>
        </w:rPr>
        <w:t>（供应商名称）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pPr>
        <w:snapToGrid w:val="0"/>
        <w:spacing w:line="360" w:lineRule="auto"/>
        <w:ind w:firstLine="576"/>
        <w:outlineLvl w:val="1"/>
        <w:rPr>
          <w:rFonts w:ascii="宋体" w:hAnsi="宋体" w:cs="宋体"/>
          <w:kern w:val="0"/>
          <w:sz w:val="24"/>
          <w:highlight w:val="none"/>
          <w:lang w:val="zh-CN"/>
        </w:rPr>
      </w:pPr>
      <w:bookmarkStart w:id="594" w:name="_Toc27503"/>
      <w:r>
        <w:rPr>
          <w:rFonts w:hint="eastAsia" w:ascii="宋体" w:hAnsi="宋体" w:cs="宋体"/>
          <w:kern w:val="0"/>
          <w:sz w:val="24"/>
          <w:highlight w:val="none"/>
          <w:lang w:val="zh-CN"/>
        </w:rPr>
        <w:t>一、分包标的及数量</w:t>
      </w:r>
      <w:bookmarkEnd w:id="594"/>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（供应商名称）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pPr>
        <w:pStyle w:val="4"/>
        <w:ind w:left="664" w:leftChars="316" w:firstLine="229" w:firstLineChars="95"/>
        <w:rPr>
          <w:rFonts w:ascii="宋体" w:hAnsi="宋体" w:eastAsia="宋体" w:cs="宋体"/>
          <w:kern w:val="0"/>
          <w:sz w:val="24"/>
          <w:szCs w:val="24"/>
          <w:highlight w:val="none"/>
        </w:rPr>
      </w:pPr>
      <w:bookmarkStart w:id="595" w:name="_Toc11347"/>
      <w:r>
        <w:rPr>
          <w:rFonts w:hint="eastAsia" w:ascii="宋体" w:hAnsi="宋体" w:eastAsia="宋体" w:cs="宋体"/>
          <w:kern w:val="0"/>
          <w:sz w:val="24"/>
          <w:szCs w:val="24"/>
          <w:highlight w:val="none"/>
        </w:rPr>
        <w:t>……</w:t>
      </w:r>
      <w:bookmarkEnd w:id="595"/>
    </w:p>
    <w:p>
      <w:pPr>
        <w:snapToGrid w:val="0"/>
        <w:spacing w:line="360" w:lineRule="auto"/>
        <w:ind w:firstLine="576"/>
        <w:outlineLvl w:val="1"/>
        <w:rPr>
          <w:rFonts w:ascii="宋体" w:hAnsi="宋体" w:cs="宋体"/>
          <w:kern w:val="0"/>
          <w:sz w:val="24"/>
          <w:highlight w:val="none"/>
          <w:lang w:val="zh-CN"/>
        </w:rPr>
      </w:pPr>
      <w:bookmarkStart w:id="596" w:name="_Toc25290"/>
      <w:r>
        <w:rPr>
          <w:rFonts w:hint="eastAsia" w:ascii="宋体" w:hAnsi="宋体" w:cs="宋体"/>
          <w:kern w:val="0"/>
          <w:sz w:val="24"/>
          <w:highlight w:val="none"/>
          <w:lang w:val="zh-CN"/>
        </w:rPr>
        <w:t>二、分包供应商中小企业合同份额</w:t>
      </w:r>
      <w:bookmarkEnd w:id="596"/>
    </w:p>
    <w:p>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……）提供的工程全部由小微企业承建，</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97"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要求合同分包形式参加的项目或采购包，供应商按采购文件第一部分竞争性磋商公告申请人的资格要求中规定的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597"/>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w:t>
      </w:r>
    </w:p>
    <w:p>
      <w:pPr>
        <w:snapToGrid w:val="0"/>
        <w:spacing w:line="360" w:lineRule="auto"/>
        <w:ind w:firstLine="5640" w:firstLineChars="2350"/>
        <w:rPr>
          <w:rFonts w:ascii="宋体" w:hAnsi="宋体" w:cs="宋体"/>
          <w:kern w:val="0"/>
          <w:sz w:val="24"/>
          <w:highlight w:val="none"/>
          <w:lang w:val="zh-CN"/>
        </w:rPr>
      </w:pPr>
      <w:r>
        <w:rPr>
          <w:rFonts w:hint="eastAsia" w:ascii="宋体" w:hAnsi="宋体" w:cs="宋体"/>
          <w:kern w:val="0"/>
          <w:sz w:val="24"/>
          <w:highlight w:val="none"/>
          <w:lang w:val="zh-CN"/>
        </w:rPr>
        <w:t>分包供应商名称：</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sectPr>
          <w:pgSz w:w="11906" w:h="16838"/>
          <w:pgMar w:top="1440" w:right="1080" w:bottom="1440" w:left="1080" w:header="851" w:footer="992" w:gutter="0"/>
          <w:cols w:space="720" w:num="1"/>
          <w:titlePg/>
          <w:docGrid w:linePitch="312" w:charSpace="0"/>
        </w:sectPr>
      </w:pPr>
    </w:p>
    <w:p>
      <w:pPr>
        <w:autoSpaceDE w:val="0"/>
        <w:autoSpaceDN w:val="0"/>
        <w:jc w:val="center"/>
        <w:outlineLvl w:val="0"/>
        <w:rPr>
          <w:rFonts w:ascii="宋体" w:hAnsi="宋体" w:cs="宋体"/>
          <w:b/>
          <w:bCs/>
          <w:sz w:val="32"/>
          <w:szCs w:val="32"/>
          <w:highlight w:val="none"/>
        </w:rPr>
      </w:pPr>
      <w:bookmarkStart w:id="598" w:name="_Toc27566"/>
      <w:r>
        <w:rPr>
          <w:rFonts w:hint="eastAsia" w:ascii="宋体" w:hAnsi="宋体" w:cs="宋体"/>
          <w:b/>
          <w:spacing w:val="6"/>
          <w:sz w:val="32"/>
          <w:szCs w:val="32"/>
          <w:highlight w:val="none"/>
        </w:rPr>
        <w:t>附件</w:t>
      </w:r>
      <w:r>
        <w:rPr>
          <w:rFonts w:ascii="宋体" w:hAnsi="宋体" w:cs="宋体"/>
          <w:b/>
          <w:spacing w:val="6"/>
          <w:sz w:val="32"/>
          <w:szCs w:val="32"/>
          <w:highlight w:val="none"/>
        </w:rPr>
        <w:t>7</w:t>
      </w:r>
      <w:r>
        <w:rPr>
          <w:rFonts w:hint="eastAsia" w:ascii="宋体" w:hAnsi="宋体" w:cs="宋体"/>
          <w:b/>
          <w:spacing w:val="6"/>
          <w:sz w:val="32"/>
          <w:szCs w:val="32"/>
          <w:highlight w:val="none"/>
        </w:rPr>
        <w:t>：</w:t>
      </w:r>
      <w:r>
        <w:rPr>
          <w:rFonts w:hint="eastAsia" w:ascii="宋体" w:hAnsi="宋体" w:cs="宋体"/>
          <w:b/>
          <w:sz w:val="32"/>
          <w:szCs w:val="32"/>
          <w:highlight w:val="none"/>
        </w:rPr>
        <w:t>中小企业声明函</w:t>
      </w:r>
      <w:bookmarkEnd w:id="598"/>
    </w:p>
    <w:p>
      <w:pPr>
        <w:spacing w:line="360" w:lineRule="auto"/>
        <w:jc w:val="center"/>
        <w:rPr>
          <w:rFonts w:ascii="宋体" w:hAnsi="宋体" w:cs="宋体"/>
          <w:sz w:val="24"/>
          <w:highlight w:val="none"/>
          <w:u w:val="single"/>
        </w:rPr>
      </w:pPr>
    </w:p>
    <w:p>
      <w:pPr>
        <w:spacing w:line="360" w:lineRule="auto"/>
        <w:jc w:val="center"/>
        <w:outlineLvl w:val="0"/>
        <w:rPr>
          <w:rFonts w:ascii="宋体" w:hAnsi="宋体" w:cs="宋体"/>
          <w:b/>
          <w:sz w:val="32"/>
          <w:szCs w:val="32"/>
          <w:highlight w:val="none"/>
        </w:rPr>
      </w:pPr>
      <w:bookmarkStart w:id="599" w:name="_Toc17686"/>
      <w:r>
        <w:rPr>
          <w:rFonts w:hint="eastAsia" w:ascii="宋体" w:hAnsi="宋体" w:cs="宋体"/>
          <w:b/>
          <w:sz w:val="32"/>
          <w:szCs w:val="32"/>
          <w:highlight w:val="none"/>
        </w:rPr>
        <w:t>中小企业声明函（工程）</w:t>
      </w:r>
      <w:bookmarkEnd w:id="599"/>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lang w:eastAsia="zh-CN"/>
        </w:rPr>
        <w:t>中国美术学院</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中国美术学院国际设计博物馆室内吊顶提升工程项目</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color w:val="FF0000"/>
          <w:sz w:val="24"/>
          <w:highlight w:val="none"/>
          <w:u w:val="single"/>
          <w:lang w:eastAsia="zh-CN"/>
        </w:rPr>
        <w:t>中国美术学院国际设计博物馆室内吊顶提升工程项目</w:t>
      </w:r>
      <w:r>
        <w:rPr>
          <w:rFonts w:hint="eastAsia" w:ascii="宋体" w:hAnsi="宋体" w:cs="宋体"/>
          <w:sz w:val="24"/>
          <w:highlight w:val="none"/>
        </w:rPr>
        <w:t xml:space="preserve">，属于 </w:t>
      </w:r>
      <w:r>
        <w:rPr>
          <w:rFonts w:hint="eastAsia" w:ascii="宋体" w:hAnsi="宋体" w:cs="宋体"/>
          <w:color w:val="FF0000"/>
          <w:sz w:val="24"/>
          <w:highlight w:val="none"/>
          <w:u w:val="single"/>
          <w:lang w:eastAsia="zh-CN"/>
        </w:rPr>
        <w:t>建筑业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spacing w:line="360" w:lineRule="auto"/>
        <w:ind w:firstLine="480" w:firstLineChars="200"/>
        <w:rPr>
          <w:rFonts w:ascii="宋体" w:hAnsi="宋体" w:cs="宋体"/>
          <w:sz w:val="24"/>
          <w:highlight w:val="none"/>
        </w:rPr>
      </w:pPr>
    </w:p>
    <w:p>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供应商名称(电子签名)：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pPr>
        <w:spacing w:line="360" w:lineRule="auto"/>
        <w:ind w:right="420" w:firstLine="480" w:firstLineChars="200"/>
        <w:rPr>
          <w:rFonts w:ascii="宋体" w:hAnsi="宋体" w:cs="宋体"/>
          <w:color w:val="FF0000"/>
          <w:sz w:val="24"/>
          <w:highlight w:val="none"/>
        </w:rPr>
      </w:pPr>
      <w:r>
        <w:rPr>
          <w:rFonts w:hint="eastAsia" w:ascii="宋体" w:hAnsi="宋体" w:cs="宋体"/>
          <w:color w:val="FF0000"/>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rPr>
          <w:rFonts w:ascii="宋体" w:hAnsi="宋体" w:cs="宋体"/>
          <w:bCs/>
          <w:sz w:val="24"/>
          <w:highlight w:val="none"/>
        </w:rPr>
        <w:sectPr>
          <w:pgSz w:w="11906" w:h="16838"/>
          <w:pgMar w:top="1440" w:right="1080" w:bottom="1440" w:left="1080" w:header="851" w:footer="992" w:gutter="0"/>
          <w:cols w:space="720" w:num="1"/>
          <w:titlePg/>
          <w:docGrid w:linePitch="312" w:charSpace="0"/>
        </w:sectPr>
      </w:pPr>
    </w:p>
    <w:p>
      <w:pPr>
        <w:spacing w:line="360" w:lineRule="auto"/>
        <w:outlineLvl w:val="0"/>
        <w:rPr>
          <w:rFonts w:ascii="宋体" w:hAnsi="宋体" w:cs="宋体"/>
          <w:b/>
          <w:spacing w:val="6"/>
          <w:sz w:val="32"/>
          <w:szCs w:val="32"/>
          <w:highlight w:val="none"/>
        </w:rPr>
      </w:pPr>
      <w:bookmarkStart w:id="600" w:name="_Toc12756"/>
      <w:r>
        <w:rPr>
          <w:rFonts w:hint="eastAsia" w:ascii="宋体" w:hAnsi="宋体" w:cs="宋体"/>
          <w:b/>
          <w:spacing w:val="6"/>
          <w:sz w:val="32"/>
          <w:szCs w:val="32"/>
          <w:highlight w:val="none"/>
        </w:rPr>
        <w:t>附件8：工程量清单（另附）</w:t>
      </w:r>
      <w:bookmarkEnd w:id="600"/>
    </w:p>
    <w:p>
      <w:pPr>
        <w:spacing w:line="360" w:lineRule="auto"/>
        <w:rPr>
          <w:rFonts w:ascii="宋体" w:hAnsi="宋体" w:cs="宋体"/>
          <w:b/>
          <w:spacing w:val="6"/>
          <w:sz w:val="32"/>
          <w:szCs w:val="32"/>
          <w:highlight w:val="none"/>
        </w:rPr>
      </w:pPr>
    </w:p>
    <w:p>
      <w:pPr>
        <w:spacing w:line="360" w:lineRule="auto"/>
        <w:outlineLvl w:val="0"/>
        <w:rPr>
          <w:rFonts w:ascii="宋体" w:hAnsi="宋体" w:cs="宋体"/>
          <w:b/>
          <w:spacing w:val="6"/>
          <w:sz w:val="32"/>
          <w:szCs w:val="32"/>
          <w:highlight w:val="none"/>
        </w:rPr>
      </w:pPr>
      <w:bookmarkStart w:id="601" w:name="_Toc16681"/>
      <w:r>
        <w:rPr>
          <w:rFonts w:hint="eastAsia" w:ascii="宋体" w:hAnsi="宋体" w:cs="宋体"/>
          <w:b/>
          <w:spacing w:val="6"/>
          <w:sz w:val="32"/>
          <w:szCs w:val="32"/>
          <w:highlight w:val="none"/>
        </w:rPr>
        <w:t>附件9：图纸（另附）</w:t>
      </w:r>
      <w:bookmarkEnd w:id="601"/>
    </w:p>
    <w:p>
      <w:pPr>
        <w:pStyle w:val="25"/>
        <w:rPr>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602" w:name="_Toc91899912"/>
    <w:bookmarkStart w:id="603" w:name="_Toc36110187"/>
    <w:bookmarkStart w:id="604" w:name="_Toc131845147"/>
    <w:bookmarkStart w:id="605" w:name="_Toc164085800"/>
    <w:r>
      <w:rPr>
        <w:rFonts w:hint="eastAsia" w:ascii="仿宋_GB2312" w:eastAsia="仿宋_GB2312"/>
        <w:kern w:val="0"/>
        <w:szCs w:val="21"/>
      </w:rPr>
      <w:t xml:space="preserve"> 页</w:t>
    </w:r>
    <w:bookmarkEnd w:id="602"/>
    <w:bookmarkEnd w:id="603"/>
    <w:bookmarkEnd w:id="604"/>
    <w:bookmarkEnd w:id="6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3VkSdUAAAAEAQAADwAAAAAAAAABACAA&#10;AAAiAAAAZHJzL2Rvd25yZXYueG1sUEsBAhQAFAAAAAgAh07iQO7zVS7XAQAAoQMAAA4AAAAAAAAA&#10;AQAgAAAAJAEAAGRycy9lMm9Eb2MueG1sUEsFBgAAAAAGAAYAWQEAAG0FAAAAAA==&#10;">
              <v:fill on="f" focussize="0,0"/>
              <v:stroke on="f" weight="1.2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D49A9"/>
    <w:multiLevelType w:val="singleLevel"/>
    <w:tmpl w:val="DCED49A9"/>
    <w:lvl w:ilvl="0" w:tentative="0">
      <w:start w:val="1"/>
      <w:numFmt w:val="decimal"/>
      <w:lvlText w:val="%1."/>
      <w:lvlJc w:val="left"/>
      <w:pPr>
        <w:ind w:left="425" w:hanging="425"/>
      </w:pPr>
      <w:rPr>
        <w:rFonts w:hint="default"/>
      </w:rPr>
    </w:lvl>
  </w:abstractNum>
  <w:abstractNum w:abstractNumId="1">
    <w:nsid w:val="30548817"/>
    <w:multiLevelType w:val="singleLevel"/>
    <w:tmpl w:val="30548817"/>
    <w:lvl w:ilvl="0" w:tentative="0">
      <w:start w:val="4"/>
      <w:numFmt w:val="decimal"/>
      <w:lvlText w:val="%1."/>
      <w:lvlJc w:val="left"/>
      <w:pPr>
        <w:tabs>
          <w:tab w:val="left" w:pos="312"/>
        </w:tabs>
      </w:pPr>
    </w:lvl>
  </w:abstractNum>
  <w:abstractNum w:abstractNumId="2">
    <w:nsid w:val="39164127"/>
    <w:multiLevelType w:val="singleLevel"/>
    <w:tmpl w:val="39164127"/>
    <w:lvl w:ilvl="0" w:tentative="0">
      <w:start w:val="1"/>
      <w:numFmt w:val="chineseCounting"/>
      <w:suff w:val="nothing"/>
      <w:lvlText w:val="%1、"/>
      <w:lvlJc w:val="left"/>
      <w:rPr>
        <w:rFonts w:hint="eastAsia"/>
      </w:rPr>
    </w:lvl>
  </w:abstractNum>
  <w:abstractNum w:abstractNumId="3">
    <w:nsid w:val="7E6A3BAC"/>
    <w:multiLevelType w:val="singleLevel"/>
    <w:tmpl w:val="7E6A3BAC"/>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zFmZDU5Y2JlMjg5MTAwM2Y3NDY0Mjk4YjIwMD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B94"/>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23D9A"/>
    <w:rsid w:val="01D55165"/>
    <w:rsid w:val="01DF6BF8"/>
    <w:rsid w:val="01EC2C57"/>
    <w:rsid w:val="025F0711"/>
    <w:rsid w:val="026B2E25"/>
    <w:rsid w:val="02824D4D"/>
    <w:rsid w:val="02DC4B10"/>
    <w:rsid w:val="02DD76CE"/>
    <w:rsid w:val="02F36323"/>
    <w:rsid w:val="02F5619C"/>
    <w:rsid w:val="0326446A"/>
    <w:rsid w:val="032D5555"/>
    <w:rsid w:val="036634D2"/>
    <w:rsid w:val="03CC3F79"/>
    <w:rsid w:val="03DD35E4"/>
    <w:rsid w:val="03F040A4"/>
    <w:rsid w:val="04076900"/>
    <w:rsid w:val="041A5A3B"/>
    <w:rsid w:val="042311BA"/>
    <w:rsid w:val="042B157A"/>
    <w:rsid w:val="048F763B"/>
    <w:rsid w:val="049F330E"/>
    <w:rsid w:val="04AA775C"/>
    <w:rsid w:val="04AF1889"/>
    <w:rsid w:val="04C64E6C"/>
    <w:rsid w:val="04F66F48"/>
    <w:rsid w:val="05251E14"/>
    <w:rsid w:val="05355B4E"/>
    <w:rsid w:val="05A16594"/>
    <w:rsid w:val="05A7762D"/>
    <w:rsid w:val="05AA02EA"/>
    <w:rsid w:val="060E5941"/>
    <w:rsid w:val="06110FAF"/>
    <w:rsid w:val="061E21DC"/>
    <w:rsid w:val="06493CA7"/>
    <w:rsid w:val="06554EED"/>
    <w:rsid w:val="065A6178"/>
    <w:rsid w:val="066F1CF3"/>
    <w:rsid w:val="06930BB8"/>
    <w:rsid w:val="06B01930"/>
    <w:rsid w:val="07013F3A"/>
    <w:rsid w:val="07245D42"/>
    <w:rsid w:val="07264C62"/>
    <w:rsid w:val="0779354C"/>
    <w:rsid w:val="07A46B95"/>
    <w:rsid w:val="08061376"/>
    <w:rsid w:val="08452D77"/>
    <w:rsid w:val="08545DB3"/>
    <w:rsid w:val="086401F8"/>
    <w:rsid w:val="08732C15"/>
    <w:rsid w:val="08751CAA"/>
    <w:rsid w:val="087E4C40"/>
    <w:rsid w:val="08856DEC"/>
    <w:rsid w:val="08923AEE"/>
    <w:rsid w:val="08A871D0"/>
    <w:rsid w:val="08D66AD6"/>
    <w:rsid w:val="08DA33A3"/>
    <w:rsid w:val="08E80F13"/>
    <w:rsid w:val="08FD2001"/>
    <w:rsid w:val="09335624"/>
    <w:rsid w:val="09403251"/>
    <w:rsid w:val="0944690F"/>
    <w:rsid w:val="09535675"/>
    <w:rsid w:val="095F057D"/>
    <w:rsid w:val="09642282"/>
    <w:rsid w:val="09733572"/>
    <w:rsid w:val="09772C16"/>
    <w:rsid w:val="098353B5"/>
    <w:rsid w:val="09A92330"/>
    <w:rsid w:val="09B06B87"/>
    <w:rsid w:val="09C13146"/>
    <w:rsid w:val="09C33728"/>
    <w:rsid w:val="09E04166"/>
    <w:rsid w:val="0A1C0718"/>
    <w:rsid w:val="0A3E7710"/>
    <w:rsid w:val="0A5151D8"/>
    <w:rsid w:val="0A5B7E63"/>
    <w:rsid w:val="0A703465"/>
    <w:rsid w:val="0A734F0F"/>
    <w:rsid w:val="0AA374A5"/>
    <w:rsid w:val="0AAB7649"/>
    <w:rsid w:val="0ABC5606"/>
    <w:rsid w:val="0B30404E"/>
    <w:rsid w:val="0B4C6C14"/>
    <w:rsid w:val="0B547599"/>
    <w:rsid w:val="0B631A88"/>
    <w:rsid w:val="0B683D45"/>
    <w:rsid w:val="0B7F3F11"/>
    <w:rsid w:val="0B884417"/>
    <w:rsid w:val="0BDA2FAB"/>
    <w:rsid w:val="0BF6188C"/>
    <w:rsid w:val="0BF73C91"/>
    <w:rsid w:val="0C170175"/>
    <w:rsid w:val="0C24017A"/>
    <w:rsid w:val="0C4F74F5"/>
    <w:rsid w:val="0C571A41"/>
    <w:rsid w:val="0C5C1171"/>
    <w:rsid w:val="0C5E1CBC"/>
    <w:rsid w:val="0C615B50"/>
    <w:rsid w:val="0C684A5B"/>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D0734"/>
    <w:rsid w:val="0DA01C73"/>
    <w:rsid w:val="0DD63300"/>
    <w:rsid w:val="0DF50604"/>
    <w:rsid w:val="0DF702FE"/>
    <w:rsid w:val="0DFD03EE"/>
    <w:rsid w:val="0E060E51"/>
    <w:rsid w:val="0E5604B2"/>
    <w:rsid w:val="0E6D5D79"/>
    <w:rsid w:val="0E75257B"/>
    <w:rsid w:val="0E9D0089"/>
    <w:rsid w:val="0EB803EE"/>
    <w:rsid w:val="0EEF3211"/>
    <w:rsid w:val="0EF94D4B"/>
    <w:rsid w:val="0F0A1DF9"/>
    <w:rsid w:val="0F4958DC"/>
    <w:rsid w:val="0F515DF7"/>
    <w:rsid w:val="0F596BA8"/>
    <w:rsid w:val="0F5D461F"/>
    <w:rsid w:val="0F6248D2"/>
    <w:rsid w:val="0F693536"/>
    <w:rsid w:val="0F7B0511"/>
    <w:rsid w:val="0F7B76D9"/>
    <w:rsid w:val="0F816ACD"/>
    <w:rsid w:val="0F9832DB"/>
    <w:rsid w:val="0FBF3FD2"/>
    <w:rsid w:val="0FBF7FF3"/>
    <w:rsid w:val="0FC65D20"/>
    <w:rsid w:val="101E3DAE"/>
    <w:rsid w:val="10646583"/>
    <w:rsid w:val="107D4B15"/>
    <w:rsid w:val="107E2A9F"/>
    <w:rsid w:val="108A3C80"/>
    <w:rsid w:val="10C26171"/>
    <w:rsid w:val="10F33360"/>
    <w:rsid w:val="10FC16EA"/>
    <w:rsid w:val="110F1D40"/>
    <w:rsid w:val="11266F33"/>
    <w:rsid w:val="11845E93"/>
    <w:rsid w:val="118963A1"/>
    <w:rsid w:val="11A77DD3"/>
    <w:rsid w:val="11C6522A"/>
    <w:rsid w:val="11E104CC"/>
    <w:rsid w:val="11E20309"/>
    <w:rsid w:val="12255233"/>
    <w:rsid w:val="12530213"/>
    <w:rsid w:val="127723A9"/>
    <w:rsid w:val="12862074"/>
    <w:rsid w:val="12883966"/>
    <w:rsid w:val="12937275"/>
    <w:rsid w:val="129E45B4"/>
    <w:rsid w:val="12D81596"/>
    <w:rsid w:val="13072A44"/>
    <w:rsid w:val="133438E9"/>
    <w:rsid w:val="13426006"/>
    <w:rsid w:val="135F4BE2"/>
    <w:rsid w:val="13914897"/>
    <w:rsid w:val="139B1A0A"/>
    <w:rsid w:val="139D25C7"/>
    <w:rsid w:val="13BF3CE4"/>
    <w:rsid w:val="141008D8"/>
    <w:rsid w:val="14125FE6"/>
    <w:rsid w:val="146D271E"/>
    <w:rsid w:val="14982588"/>
    <w:rsid w:val="149A5AD9"/>
    <w:rsid w:val="14A7619D"/>
    <w:rsid w:val="150536C3"/>
    <w:rsid w:val="150C1963"/>
    <w:rsid w:val="151447A0"/>
    <w:rsid w:val="152A6D51"/>
    <w:rsid w:val="152B4878"/>
    <w:rsid w:val="154A6454"/>
    <w:rsid w:val="1565422D"/>
    <w:rsid w:val="15762120"/>
    <w:rsid w:val="16A8729C"/>
    <w:rsid w:val="16B33777"/>
    <w:rsid w:val="16BC70A7"/>
    <w:rsid w:val="16C6339E"/>
    <w:rsid w:val="16F0584E"/>
    <w:rsid w:val="16F70EB5"/>
    <w:rsid w:val="172F2D79"/>
    <w:rsid w:val="174E11B5"/>
    <w:rsid w:val="17557BEF"/>
    <w:rsid w:val="17B60D70"/>
    <w:rsid w:val="17D349C1"/>
    <w:rsid w:val="17DB2585"/>
    <w:rsid w:val="1830729E"/>
    <w:rsid w:val="1870062C"/>
    <w:rsid w:val="18817102"/>
    <w:rsid w:val="18830A15"/>
    <w:rsid w:val="18852B28"/>
    <w:rsid w:val="188B5321"/>
    <w:rsid w:val="18975BB7"/>
    <w:rsid w:val="1945415A"/>
    <w:rsid w:val="19932372"/>
    <w:rsid w:val="19A20DD5"/>
    <w:rsid w:val="19AE03F1"/>
    <w:rsid w:val="19B34EF7"/>
    <w:rsid w:val="19B92B40"/>
    <w:rsid w:val="1A071A03"/>
    <w:rsid w:val="1A1F16AE"/>
    <w:rsid w:val="1A3B5C77"/>
    <w:rsid w:val="1A984BAD"/>
    <w:rsid w:val="1AB8220E"/>
    <w:rsid w:val="1AE4166C"/>
    <w:rsid w:val="1AF06CFB"/>
    <w:rsid w:val="1AF11B8D"/>
    <w:rsid w:val="1B11359C"/>
    <w:rsid w:val="1B245FF1"/>
    <w:rsid w:val="1B2A271F"/>
    <w:rsid w:val="1B530544"/>
    <w:rsid w:val="1B713184"/>
    <w:rsid w:val="1BA209CF"/>
    <w:rsid w:val="1BB4777D"/>
    <w:rsid w:val="1BD75AB8"/>
    <w:rsid w:val="1C0459C2"/>
    <w:rsid w:val="1C1B3B4A"/>
    <w:rsid w:val="1C663CF2"/>
    <w:rsid w:val="1C7725CD"/>
    <w:rsid w:val="1C88086E"/>
    <w:rsid w:val="1CA66023"/>
    <w:rsid w:val="1CD23FC1"/>
    <w:rsid w:val="1D1C2924"/>
    <w:rsid w:val="1D266CE1"/>
    <w:rsid w:val="1D3963AF"/>
    <w:rsid w:val="1D3D0FE5"/>
    <w:rsid w:val="1D44297A"/>
    <w:rsid w:val="1D6A673C"/>
    <w:rsid w:val="1D9247AE"/>
    <w:rsid w:val="1DB567EC"/>
    <w:rsid w:val="1DE33F41"/>
    <w:rsid w:val="1DF51A98"/>
    <w:rsid w:val="1E1D38F7"/>
    <w:rsid w:val="1E3D060F"/>
    <w:rsid w:val="1E3F7D2E"/>
    <w:rsid w:val="1E4134E4"/>
    <w:rsid w:val="1E5062B3"/>
    <w:rsid w:val="1E523514"/>
    <w:rsid w:val="1E714A66"/>
    <w:rsid w:val="1E802593"/>
    <w:rsid w:val="1E8B6156"/>
    <w:rsid w:val="1EA703CC"/>
    <w:rsid w:val="1EB7330C"/>
    <w:rsid w:val="1EE20284"/>
    <w:rsid w:val="1EE2244B"/>
    <w:rsid w:val="1F0A0FF3"/>
    <w:rsid w:val="1F5771FF"/>
    <w:rsid w:val="1F7562BB"/>
    <w:rsid w:val="1F904124"/>
    <w:rsid w:val="1FE868A9"/>
    <w:rsid w:val="20034907"/>
    <w:rsid w:val="20173E4B"/>
    <w:rsid w:val="204E48BC"/>
    <w:rsid w:val="208921B3"/>
    <w:rsid w:val="20947775"/>
    <w:rsid w:val="20973DEB"/>
    <w:rsid w:val="20A15BAD"/>
    <w:rsid w:val="20B26522"/>
    <w:rsid w:val="20B44310"/>
    <w:rsid w:val="210A4555"/>
    <w:rsid w:val="211116EB"/>
    <w:rsid w:val="213571AA"/>
    <w:rsid w:val="216133FC"/>
    <w:rsid w:val="21D56769"/>
    <w:rsid w:val="21D67D5D"/>
    <w:rsid w:val="21E52EF3"/>
    <w:rsid w:val="21FB5D7B"/>
    <w:rsid w:val="22015E94"/>
    <w:rsid w:val="22077B64"/>
    <w:rsid w:val="220B1C3D"/>
    <w:rsid w:val="221D1D20"/>
    <w:rsid w:val="22334A87"/>
    <w:rsid w:val="22BE6801"/>
    <w:rsid w:val="233500BF"/>
    <w:rsid w:val="23377FF7"/>
    <w:rsid w:val="236B425F"/>
    <w:rsid w:val="23836192"/>
    <w:rsid w:val="23901F29"/>
    <w:rsid w:val="239C0061"/>
    <w:rsid w:val="23AE73B5"/>
    <w:rsid w:val="23B908A4"/>
    <w:rsid w:val="23E95BEF"/>
    <w:rsid w:val="23FD0064"/>
    <w:rsid w:val="243D6799"/>
    <w:rsid w:val="245375B0"/>
    <w:rsid w:val="24642C0A"/>
    <w:rsid w:val="248E63C3"/>
    <w:rsid w:val="2492221D"/>
    <w:rsid w:val="24B22173"/>
    <w:rsid w:val="24B95AD9"/>
    <w:rsid w:val="24BE24DA"/>
    <w:rsid w:val="24CF5825"/>
    <w:rsid w:val="24D663E6"/>
    <w:rsid w:val="24D77F2B"/>
    <w:rsid w:val="253F05F7"/>
    <w:rsid w:val="258B00E2"/>
    <w:rsid w:val="25A917A6"/>
    <w:rsid w:val="25BE27CC"/>
    <w:rsid w:val="25F74A5C"/>
    <w:rsid w:val="2628662C"/>
    <w:rsid w:val="262D45DE"/>
    <w:rsid w:val="26505184"/>
    <w:rsid w:val="26753BA5"/>
    <w:rsid w:val="26871DC8"/>
    <w:rsid w:val="2689784F"/>
    <w:rsid w:val="26A53EF9"/>
    <w:rsid w:val="26A94201"/>
    <w:rsid w:val="26AC274F"/>
    <w:rsid w:val="27044A29"/>
    <w:rsid w:val="271D34C8"/>
    <w:rsid w:val="27277595"/>
    <w:rsid w:val="276142BF"/>
    <w:rsid w:val="27783712"/>
    <w:rsid w:val="27907362"/>
    <w:rsid w:val="27D777EE"/>
    <w:rsid w:val="27FC27CF"/>
    <w:rsid w:val="28333E1D"/>
    <w:rsid w:val="28454BD6"/>
    <w:rsid w:val="28455253"/>
    <w:rsid w:val="28551971"/>
    <w:rsid w:val="285B1C53"/>
    <w:rsid w:val="28846321"/>
    <w:rsid w:val="289F7086"/>
    <w:rsid w:val="28C32028"/>
    <w:rsid w:val="28CC490F"/>
    <w:rsid w:val="28DE40AA"/>
    <w:rsid w:val="29345E77"/>
    <w:rsid w:val="294C65AD"/>
    <w:rsid w:val="29806583"/>
    <w:rsid w:val="298B3C4C"/>
    <w:rsid w:val="29A924E3"/>
    <w:rsid w:val="29F26D24"/>
    <w:rsid w:val="2A15033F"/>
    <w:rsid w:val="2A1662C1"/>
    <w:rsid w:val="2A1C7367"/>
    <w:rsid w:val="2A2815FA"/>
    <w:rsid w:val="2A6D6092"/>
    <w:rsid w:val="2A7D76B4"/>
    <w:rsid w:val="2B437463"/>
    <w:rsid w:val="2B5446D0"/>
    <w:rsid w:val="2B7807EE"/>
    <w:rsid w:val="2BA50BF7"/>
    <w:rsid w:val="2BBF00EC"/>
    <w:rsid w:val="2BC37CFD"/>
    <w:rsid w:val="2BD5237F"/>
    <w:rsid w:val="2BE536CE"/>
    <w:rsid w:val="2BE758D9"/>
    <w:rsid w:val="2C09049E"/>
    <w:rsid w:val="2C0A653C"/>
    <w:rsid w:val="2C191F85"/>
    <w:rsid w:val="2C1F6A8C"/>
    <w:rsid w:val="2C557282"/>
    <w:rsid w:val="2CE82D6F"/>
    <w:rsid w:val="2CE831EF"/>
    <w:rsid w:val="2CEC0DAA"/>
    <w:rsid w:val="2CFF241A"/>
    <w:rsid w:val="2D343236"/>
    <w:rsid w:val="2D9E4191"/>
    <w:rsid w:val="2DD15014"/>
    <w:rsid w:val="2DF72DE4"/>
    <w:rsid w:val="2E0220AF"/>
    <w:rsid w:val="2E3D31FA"/>
    <w:rsid w:val="2E4B082A"/>
    <w:rsid w:val="2E500DA6"/>
    <w:rsid w:val="2E5D4E86"/>
    <w:rsid w:val="2E5D790B"/>
    <w:rsid w:val="2E9A3C18"/>
    <w:rsid w:val="2EBB0FEE"/>
    <w:rsid w:val="2EC63002"/>
    <w:rsid w:val="2ED60BC3"/>
    <w:rsid w:val="2F0A6B38"/>
    <w:rsid w:val="2F9257C7"/>
    <w:rsid w:val="2F946CCB"/>
    <w:rsid w:val="2FD25781"/>
    <w:rsid w:val="2FDC745C"/>
    <w:rsid w:val="2FF5054F"/>
    <w:rsid w:val="2FFD7934"/>
    <w:rsid w:val="30733ACD"/>
    <w:rsid w:val="308C3862"/>
    <w:rsid w:val="309379D8"/>
    <w:rsid w:val="30A270F7"/>
    <w:rsid w:val="30B71989"/>
    <w:rsid w:val="30DF1478"/>
    <w:rsid w:val="30EC586F"/>
    <w:rsid w:val="311741D6"/>
    <w:rsid w:val="315216B2"/>
    <w:rsid w:val="31571B76"/>
    <w:rsid w:val="315E797C"/>
    <w:rsid w:val="319C6071"/>
    <w:rsid w:val="31AC537E"/>
    <w:rsid w:val="31E3679B"/>
    <w:rsid w:val="31E732FD"/>
    <w:rsid w:val="320B4FDF"/>
    <w:rsid w:val="32517576"/>
    <w:rsid w:val="32BE5C2C"/>
    <w:rsid w:val="32D63C1D"/>
    <w:rsid w:val="32FB6478"/>
    <w:rsid w:val="332410BB"/>
    <w:rsid w:val="33263B3F"/>
    <w:rsid w:val="336963EB"/>
    <w:rsid w:val="33816EEB"/>
    <w:rsid w:val="33EB55CD"/>
    <w:rsid w:val="33EC4C02"/>
    <w:rsid w:val="340D2360"/>
    <w:rsid w:val="3410665D"/>
    <w:rsid w:val="34211214"/>
    <w:rsid w:val="342B476D"/>
    <w:rsid w:val="342E63AB"/>
    <w:rsid w:val="34950E68"/>
    <w:rsid w:val="34986E94"/>
    <w:rsid w:val="34AF62C9"/>
    <w:rsid w:val="34BA1A48"/>
    <w:rsid w:val="34CB4388"/>
    <w:rsid w:val="34D519A8"/>
    <w:rsid w:val="34E266EE"/>
    <w:rsid w:val="34FA6E12"/>
    <w:rsid w:val="35151A08"/>
    <w:rsid w:val="35257180"/>
    <w:rsid w:val="352F4226"/>
    <w:rsid w:val="354D7158"/>
    <w:rsid w:val="3558300F"/>
    <w:rsid w:val="355A28E3"/>
    <w:rsid w:val="358D5588"/>
    <w:rsid w:val="35D24B6F"/>
    <w:rsid w:val="360F7B72"/>
    <w:rsid w:val="363A3B40"/>
    <w:rsid w:val="364F4412"/>
    <w:rsid w:val="365302AE"/>
    <w:rsid w:val="36607A0A"/>
    <w:rsid w:val="366E227C"/>
    <w:rsid w:val="366F2E0D"/>
    <w:rsid w:val="367B6A5C"/>
    <w:rsid w:val="36A74ADA"/>
    <w:rsid w:val="36AD60D5"/>
    <w:rsid w:val="36B224F9"/>
    <w:rsid w:val="36EC0CC9"/>
    <w:rsid w:val="373F410B"/>
    <w:rsid w:val="37EE7094"/>
    <w:rsid w:val="38080D1C"/>
    <w:rsid w:val="38296C89"/>
    <w:rsid w:val="383002EB"/>
    <w:rsid w:val="383E0C49"/>
    <w:rsid w:val="383E64EC"/>
    <w:rsid w:val="38586797"/>
    <w:rsid w:val="38BC0149"/>
    <w:rsid w:val="38D87D1C"/>
    <w:rsid w:val="38E26567"/>
    <w:rsid w:val="38F512A1"/>
    <w:rsid w:val="39636459"/>
    <w:rsid w:val="396B7F6C"/>
    <w:rsid w:val="39B417A9"/>
    <w:rsid w:val="39D0586A"/>
    <w:rsid w:val="39FC5695"/>
    <w:rsid w:val="3A006D8E"/>
    <w:rsid w:val="3A045A8A"/>
    <w:rsid w:val="3A204F94"/>
    <w:rsid w:val="3A3651E5"/>
    <w:rsid w:val="3A744481"/>
    <w:rsid w:val="3A8C7BEF"/>
    <w:rsid w:val="3A906246"/>
    <w:rsid w:val="3B2349B7"/>
    <w:rsid w:val="3B616CFF"/>
    <w:rsid w:val="3B6259F6"/>
    <w:rsid w:val="3B976654"/>
    <w:rsid w:val="3BA174BE"/>
    <w:rsid w:val="3BC01EFC"/>
    <w:rsid w:val="3BCA786A"/>
    <w:rsid w:val="3BD31E2F"/>
    <w:rsid w:val="3BEB24E7"/>
    <w:rsid w:val="3BF15831"/>
    <w:rsid w:val="3C105946"/>
    <w:rsid w:val="3C471448"/>
    <w:rsid w:val="3C5F759A"/>
    <w:rsid w:val="3C6C525A"/>
    <w:rsid w:val="3CCE23CB"/>
    <w:rsid w:val="3CD17D17"/>
    <w:rsid w:val="3CEB717E"/>
    <w:rsid w:val="3D3C7F39"/>
    <w:rsid w:val="3D440F09"/>
    <w:rsid w:val="3D4504A0"/>
    <w:rsid w:val="3D8734BB"/>
    <w:rsid w:val="3D881D30"/>
    <w:rsid w:val="3D9372DA"/>
    <w:rsid w:val="3D9A11D4"/>
    <w:rsid w:val="3DA16D89"/>
    <w:rsid w:val="3DA364BE"/>
    <w:rsid w:val="3DE041CB"/>
    <w:rsid w:val="3E012496"/>
    <w:rsid w:val="3E0D48F6"/>
    <w:rsid w:val="3E1868B4"/>
    <w:rsid w:val="3E377251"/>
    <w:rsid w:val="3E42664B"/>
    <w:rsid w:val="3E4E4FAF"/>
    <w:rsid w:val="3E5A7334"/>
    <w:rsid w:val="3E7B5D6B"/>
    <w:rsid w:val="3E843E66"/>
    <w:rsid w:val="3E8D2D37"/>
    <w:rsid w:val="3E8F51FE"/>
    <w:rsid w:val="3E926F87"/>
    <w:rsid w:val="3E9A59DE"/>
    <w:rsid w:val="3EAF4836"/>
    <w:rsid w:val="3EC33DFA"/>
    <w:rsid w:val="3F060E16"/>
    <w:rsid w:val="3F1D1096"/>
    <w:rsid w:val="3F2F0234"/>
    <w:rsid w:val="3F326AFD"/>
    <w:rsid w:val="3F6363FE"/>
    <w:rsid w:val="3F6C7A6F"/>
    <w:rsid w:val="3F756B8F"/>
    <w:rsid w:val="3F95482B"/>
    <w:rsid w:val="4019356B"/>
    <w:rsid w:val="40592157"/>
    <w:rsid w:val="406E1CAE"/>
    <w:rsid w:val="40A0133A"/>
    <w:rsid w:val="40AF442B"/>
    <w:rsid w:val="40C31A53"/>
    <w:rsid w:val="40DE086C"/>
    <w:rsid w:val="40FF545D"/>
    <w:rsid w:val="410067C8"/>
    <w:rsid w:val="416176D3"/>
    <w:rsid w:val="418F0D2A"/>
    <w:rsid w:val="41D01505"/>
    <w:rsid w:val="41F52311"/>
    <w:rsid w:val="421B164C"/>
    <w:rsid w:val="42474939"/>
    <w:rsid w:val="424C3C57"/>
    <w:rsid w:val="42613FF3"/>
    <w:rsid w:val="42660D96"/>
    <w:rsid w:val="428667D2"/>
    <w:rsid w:val="42A31D6D"/>
    <w:rsid w:val="42CD0B98"/>
    <w:rsid w:val="42CD1CE0"/>
    <w:rsid w:val="42E1381E"/>
    <w:rsid w:val="42ED6459"/>
    <w:rsid w:val="42FE58DD"/>
    <w:rsid w:val="43174B3D"/>
    <w:rsid w:val="434B790E"/>
    <w:rsid w:val="4360274F"/>
    <w:rsid w:val="437454B8"/>
    <w:rsid w:val="43977AB6"/>
    <w:rsid w:val="43A3342B"/>
    <w:rsid w:val="43B92ECB"/>
    <w:rsid w:val="43C77C27"/>
    <w:rsid w:val="43DE09EE"/>
    <w:rsid w:val="43FA3FFC"/>
    <w:rsid w:val="44002FAD"/>
    <w:rsid w:val="441C37AA"/>
    <w:rsid w:val="449101DD"/>
    <w:rsid w:val="44DE1391"/>
    <w:rsid w:val="44FE772F"/>
    <w:rsid w:val="451B225C"/>
    <w:rsid w:val="452410C9"/>
    <w:rsid w:val="45317DFB"/>
    <w:rsid w:val="456D3CE4"/>
    <w:rsid w:val="4579042C"/>
    <w:rsid w:val="457F0571"/>
    <w:rsid w:val="458319E2"/>
    <w:rsid w:val="45851176"/>
    <w:rsid w:val="45A22A18"/>
    <w:rsid w:val="45C55BC2"/>
    <w:rsid w:val="45C63B94"/>
    <w:rsid w:val="45E47342"/>
    <w:rsid w:val="460E7DA5"/>
    <w:rsid w:val="46422483"/>
    <w:rsid w:val="4659254A"/>
    <w:rsid w:val="465B0637"/>
    <w:rsid w:val="465E3F0D"/>
    <w:rsid w:val="466A16E6"/>
    <w:rsid w:val="46893F2B"/>
    <w:rsid w:val="46C444E6"/>
    <w:rsid w:val="46C4686E"/>
    <w:rsid w:val="46EF1F8A"/>
    <w:rsid w:val="477B778F"/>
    <w:rsid w:val="47812160"/>
    <w:rsid w:val="478203EC"/>
    <w:rsid w:val="47A64699"/>
    <w:rsid w:val="47B025FA"/>
    <w:rsid w:val="48027536"/>
    <w:rsid w:val="4809698F"/>
    <w:rsid w:val="4811697D"/>
    <w:rsid w:val="487A3E25"/>
    <w:rsid w:val="488B5503"/>
    <w:rsid w:val="48937E21"/>
    <w:rsid w:val="48981C49"/>
    <w:rsid w:val="489A0361"/>
    <w:rsid w:val="48B94FF3"/>
    <w:rsid w:val="48E37AAB"/>
    <w:rsid w:val="48FD385A"/>
    <w:rsid w:val="48FD4B4C"/>
    <w:rsid w:val="490A68E0"/>
    <w:rsid w:val="491055FE"/>
    <w:rsid w:val="49465201"/>
    <w:rsid w:val="495F5B3E"/>
    <w:rsid w:val="496F77D7"/>
    <w:rsid w:val="497654FD"/>
    <w:rsid w:val="49A21D98"/>
    <w:rsid w:val="49B64211"/>
    <w:rsid w:val="49D41AAC"/>
    <w:rsid w:val="49F6167F"/>
    <w:rsid w:val="4A064FA0"/>
    <w:rsid w:val="4A16615C"/>
    <w:rsid w:val="4A4424D7"/>
    <w:rsid w:val="4AB82D0F"/>
    <w:rsid w:val="4ABA40F8"/>
    <w:rsid w:val="4AEB7664"/>
    <w:rsid w:val="4AFD7C19"/>
    <w:rsid w:val="4B0567D1"/>
    <w:rsid w:val="4B236AAE"/>
    <w:rsid w:val="4B2F799D"/>
    <w:rsid w:val="4B707271"/>
    <w:rsid w:val="4B9739F7"/>
    <w:rsid w:val="4BDD6470"/>
    <w:rsid w:val="4BEE2503"/>
    <w:rsid w:val="4BF727EA"/>
    <w:rsid w:val="4C245A30"/>
    <w:rsid w:val="4C3A4BC6"/>
    <w:rsid w:val="4CB6685F"/>
    <w:rsid w:val="4CC367FE"/>
    <w:rsid w:val="4D0616E2"/>
    <w:rsid w:val="4D077F3C"/>
    <w:rsid w:val="4D123355"/>
    <w:rsid w:val="4D2A3B31"/>
    <w:rsid w:val="4D312C52"/>
    <w:rsid w:val="4D834C75"/>
    <w:rsid w:val="4D905305"/>
    <w:rsid w:val="4D964A72"/>
    <w:rsid w:val="4D9C1254"/>
    <w:rsid w:val="4D9E5B15"/>
    <w:rsid w:val="4DE81AE1"/>
    <w:rsid w:val="4E151645"/>
    <w:rsid w:val="4E71608B"/>
    <w:rsid w:val="4E793892"/>
    <w:rsid w:val="4E800872"/>
    <w:rsid w:val="4EC45545"/>
    <w:rsid w:val="4EC569ED"/>
    <w:rsid w:val="4ED50EA1"/>
    <w:rsid w:val="4EEC050C"/>
    <w:rsid w:val="4F104EC3"/>
    <w:rsid w:val="4F47354A"/>
    <w:rsid w:val="4F840831"/>
    <w:rsid w:val="4F911C54"/>
    <w:rsid w:val="4FE625E0"/>
    <w:rsid w:val="5021480F"/>
    <w:rsid w:val="503E6C32"/>
    <w:rsid w:val="505446A7"/>
    <w:rsid w:val="505C301C"/>
    <w:rsid w:val="508F56DF"/>
    <w:rsid w:val="50962ECB"/>
    <w:rsid w:val="50A42E38"/>
    <w:rsid w:val="50A4577F"/>
    <w:rsid w:val="50B73D1F"/>
    <w:rsid w:val="50BD5BC9"/>
    <w:rsid w:val="50C11EEE"/>
    <w:rsid w:val="50CA4969"/>
    <w:rsid w:val="50E97CFC"/>
    <w:rsid w:val="50FA4028"/>
    <w:rsid w:val="50FB4B23"/>
    <w:rsid w:val="510D65B7"/>
    <w:rsid w:val="511157AB"/>
    <w:rsid w:val="5142540C"/>
    <w:rsid w:val="51754FEF"/>
    <w:rsid w:val="518832C8"/>
    <w:rsid w:val="519D3C50"/>
    <w:rsid w:val="51A0432A"/>
    <w:rsid w:val="51A86090"/>
    <w:rsid w:val="51B7396D"/>
    <w:rsid w:val="5212481A"/>
    <w:rsid w:val="522E4CC3"/>
    <w:rsid w:val="5244713B"/>
    <w:rsid w:val="52615633"/>
    <w:rsid w:val="526F4DE4"/>
    <w:rsid w:val="52977FD4"/>
    <w:rsid w:val="52A25790"/>
    <w:rsid w:val="52A96B6F"/>
    <w:rsid w:val="52AD786B"/>
    <w:rsid w:val="52B45975"/>
    <w:rsid w:val="52D94AA4"/>
    <w:rsid w:val="52EA3A62"/>
    <w:rsid w:val="52F50BB8"/>
    <w:rsid w:val="53097272"/>
    <w:rsid w:val="534C1537"/>
    <w:rsid w:val="53544462"/>
    <w:rsid w:val="5397158E"/>
    <w:rsid w:val="53A51428"/>
    <w:rsid w:val="53A632C9"/>
    <w:rsid w:val="53C47D96"/>
    <w:rsid w:val="53C841F1"/>
    <w:rsid w:val="53CB0F58"/>
    <w:rsid w:val="53E325D5"/>
    <w:rsid w:val="53E977FC"/>
    <w:rsid w:val="54013861"/>
    <w:rsid w:val="54487265"/>
    <w:rsid w:val="544D6070"/>
    <w:rsid w:val="54605E1E"/>
    <w:rsid w:val="54972DB4"/>
    <w:rsid w:val="54992FD0"/>
    <w:rsid w:val="54B3506A"/>
    <w:rsid w:val="54CA0D16"/>
    <w:rsid w:val="54DD4057"/>
    <w:rsid w:val="54E7490F"/>
    <w:rsid w:val="550764A4"/>
    <w:rsid w:val="550B2BF6"/>
    <w:rsid w:val="55214EB5"/>
    <w:rsid w:val="55364EFD"/>
    <w:rsid w:val="555D4828"/>
    <w:rsid w:val="557A4C8B"/>
    <w:rsid w:val="558931E1"/>
    <w:rsid w:val="55915A56"/>
    <w:rsid w:val="55923347"/>
    <w:rsid w:val="55925180"/>
    <w:rsid w:val="55983B1B"/>
    <w:rsid w:val="55A8376B"/>
    <w:rsid w:val="55DC29B6"/>
    <w:rsid w:val="55DD4241"/>
    <w:rsid w:val="566B6D1E"/>
    <w:rsid w:val="57032A2C"/>
    <w:rsid w:val="570F5219"/>
    <w:rsid w:val="572E78E5"/>
    <w:rsid w:val="575D12B5"/>
    <w:rsid w:val="57610A87"/>
    <w:rsid w:val="57792C45"/>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E766F6"/>
    <w:rsid w:val="59205ADF"/>
    <w:rsid w:val="59575208"/>
    <w:rsid w:val="595E1678"/>
    <w:rsid w:val="596D5BD4"/>
    <w:rsid w:val="597E3DD8"/>
    <w:rsid w:val="59883613"/>
    <w:rsid w:val="59A10378"/>
    <w:rsid w:val="59F80043"/>
    <w:rsid w:val="5A09252F"/>
    <w:rsid w:val="5A0B2778"/>
    <w:rsid w:val="5A166E71"/>
    <w:rsid w:val="5A1D5B0A"/>
    <w:rsid w:val="5A2A7C7B"/>
    <w:rsid w:val="5A3E2560"/>
    <w:rsid w:val="5A5D3B6E"/>
    <w:rsid w:val="5A637A76"/>
    <w:rsid w:val="5A6D33BA"/>
    <w:rsid w:val="5A792B1F"/>
    <w:rsid w:val="5A874767"/>
    <w:rsid w:val="5AA85BE2"/>
    <w:rsid w:val="5AAD6F28"/>
    <w:rsid w:val="5ABE2749"/>
    <w:rsid w:val="5AD63A24"/>
    <w:rsid w:val="5AE51A4D"/>
    <w:rsid w:val="5B2E1A1D"/>
    <w:rsid w:val="5B3208E3"/>
    <w:rsid w:val="5B843A1C"/>
    <w:rsid w:val="5B873E3F"/>
    <w:rsid w:val="5BB10BFF"/>
    <w:rsid w:val="5BDE39BF"/>
    <w:rsid w:val="5C02690E"/>
    <w:rsid w:val="5C05719D"/>
    <w:rsid w:val="5C196DA7"/>
    <w:rsid w:val="5C2A048C"/>
    <w:rsid w:val="5C311D40"/>
    <w:rsid w:val="5C4D2220"/>
    <w:rsid w:val="5C78796F"/>
    <w:rsid w:val="5C80234E"/>
    <w:rsid w:val="5C853E3A"/>
    <w:rsid w:val="5C8A680C"/>
    <w:rsid w:val="5D0134C1"/>
    <w:rsid w:val="5D0C4701"/>
    <w:rsid w:val="5D0F0395"/>
    <w:rsid w:val="5D221076"/>
    <w:rsid w:val="5D375134"/>
    <w:rsid w:val="5D397964"/>
    <w:rsid w:val="5D5A391C"/>
    <w:rsid w:val="5D5F10C0"/>
    <w:rsid w:val="5D766461"/>
    <w:rsid w:val="5D790E2F"/>
    <w:rsid w:val="5D891B7B"/>
    <w:rsid w:val="5DAD38EE"/>
    <w:rsid w:val="5E006862"/>
    <w:rsid w:val="5E0207B9"/>
    <w:rsid w:val="5E1834A1"/>
    <w:rsid w:val="5E261785"/>
    <w:rsid w:val="5E4A7017"/>
    <w:rsid w:val="5E552BBA"/>
    <w:rsid w:val="5E611C10"/>
    <w:rsid w:val="5E7A0F3F"/>
    <w:rsid w:val="5EFC7377"/>
    <w:rsid w:val="5F06174D"/>
    <w:rsid w:val="5F3538F6"/>
    <w:rsid w:val="5F3A3602"/>
    <w:rsid w:val="5F45733B"/>
    <w:rsid w:val="5F6277C6"/>
    <w:rsid w:val="5F6D0B1D"/>
    <w:rsid w:val="5F7F2DC3"/>
    <w:rsid w:val="5F8D0B82"/>
    <w:rsid w:val="5F921CDC"/>
    <w:rsid w:val="5FBE1B3D"/>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0757E"/>
    <w:rsid w:val="62885958"/>
    <w:rsid w:val="62F40B65"/>
    <w:rsid w:val="62F615EE"/>
    <w:rsid w:val="62FC2CFE"/>
    <w:rsid w:val="63024505"/>
    <w:rsid w:val="63520F1A"/>
    <w:rsid w:val="635600A5"/>
    <w:rsid w:val="635B1DB5"/>
    <w:rsid w:val="63711FED"/>
    <w:rsid w:val="63880DDC"/>
    <w:rsid w:val="638D750D"/>
    <w:rsid w:val="63AC6CC0"/>
    <w:rsid w:val="63B4442C"/>
    <w:rsid w:val="64055776"/>
    <w:rsid w:val="641F5B67"/>
    <w:rsid w:val="64240056"/>
    <w:rsid w:val="643E143A"/>
    <w:rsid w:val="64491666"/>
    <w:rsid w:val="644E35B8"/>
    <w:rsid w:val="646F78AA"/>
    <w:rsid w:val="64741C5D"/>
    <w:rsid w:val="648238FF"/>
    <w:rsid w:val="648B6EEF"/>
    <w:rsid w:val="64C158BF"/>
    <w:rsid w:val="64CE2EAA"/>
    <w:rsid w:val="653C3090"/>
    <w:rsid w:val="65752C9E"/>
    <w:rsid w:val="65854376"/>
    <w:rsid w:val="658767BE"/>
    <w:rsid w:val="65892531"/>
    <w:rsid w:val="66195831"/>
    <w:rsid w:val="662E75B1"/>
    <w:rsid w:val="66342C2E"/>
    <w:rsid w:val="663E784C"/>
    <w:rsid w:val="668B6A45"/>
    <w:rsid w:val="67094E4B"/>
    <w:rsid w:val="67112C4A"/>
    <w:rsid w:val="6716225F"/>
    <w:rsid w:val="672F3F24"/>
    <w:rsid w:val="673E055F"/>
    <w:rsid w:val="67551CE3"/>
    <w:rsid w:val="67656D42"/>
    <w:rsid w:val="67A22552"/>
    <w:rsid w:val="67B22DCC"/>
    <w:rsid w:val="67BE71AA"/>
    <w:rsid w:val="67CF7323"/>
    <w:rsid w:val="67D90273"/>
    <w:rsid w:val="67DE5875"/>
    <w:rsid w:val="67E45EB9"/>
    <w:rsid w:val="67E55852"/>
    <w:rsid w:val="67EB1AB4"/>
    <w:rsid w:val="67FA1285"/>
    <w:rsid w:val="681B5A94"/>
    <w:rsid w:val="68551F4F"/>
    <w:rsid w:val="685A645E"/>
    <w:rsid w:val="686F60CA"/>
    <w:rsid w:val="687C10C9"/>
    <w:rsid w:val="68840C16"/>
    <w:rsid w:val="68876EFB"/>
    <w:rsid w:val="68884654"/>
    <w:rsid w:val="689F444F"/>
    <w:rsid w:val="68B96DBB"/>
    <w:rsid w:val="68CA2805"/>
    <w:rsid w:val="68E937A3"/>
    <w:rsid w:val="68EC14C9"/>
    <w:rsid w:val="68FB149A"/>
    <w:rsid w:val="69180510"/>
    <w:rsid w:val="693E15D3"/>
    <w:rsid w:val="69627681"/>
    <w:rsid w:val="696F20FA"/>
    <w:rsid w:val="6977531D"/>
    <w:rsid w:val="699A7177"/>
    <w:rsid w:val="69C24A2F"/>
    <w:rsid w:val="69CC2BFF"/>
    <w:rsid w:val="69FD55B8"/>
    <w:rsid w:val="6A071207"/>
    <w:rsid w:val="6A0B1C62"/>
    <w:rsid w:val="6A2406C8"/>
    <w:rsid w:val="6A955B90"/>
    <w:rsid w:val="6A9A1ADF"/>
    <w:rsid w:val="6ADE0BD1"/>
    <w:rsid w:val="6AE81378"/>
    <w:rsid w:val="6AE96859"/>
    <w:rsid w:val="6B147746"/>
    <w:rsid w:val="6B24787C"/>
    <w:rsid w:val="6B573233"/>
    <w:rsid w:val="6B5B6274"/>
    <w:rsid w:val="6B935D53"/>
    <w:rsid w:val="6BA52982"/>
    <w:rsid w:val="6BBD0EFB"/>
    <w:rsid w:val="6C1316F7"/>
    <w:rsid w:val="6C196F71"/>
    <w:rsid w:val="6C226FCB"/>
    <w:rsid w:val="6C31226F"/>
    <w:rsid w:val="6C517EC7"/>
    <w:rsid w:val="6C552F0B"/>
    <w:rsid w:val="6C8C67B7"/>
    <w:rsid w:val="6C926D2F"/>
    <w:rsid w:val="6C9D744C"/>
    <w:rsid w:val="6CB95400"/>
    <w:rsid w:val="6CC67287"/>
    <w:rsid w:val="6D167928"/>
    <w:rsid w:val="6D26299B"/>
    <w:rsid w:val="6D4772EC"/>
    <w:rsid w:val="6D4A0EB4"/>
    <w:rsid w:val="6D9078AF"/>
    <w:rsid w:val="6DAA3FEF"/>
    <w:rsid w:val="6DC0172B"/>
    <w:rsid w:val="6DCB690C"/>
    <w:rsid w:val="6DD41A5B"/>
    <w:rsid w:val="6DF43C2E"/>
    <w:rsid w:val="6DF51CA3"/>
    <w:rsid w:val="6E7004A6"/>
    <w:rsid w:val="6E8335BD"/>
    <w:rsid w:val="6E8E12EF"/>
    <w:rsid w:val="6E972936"/>
    <w:rsid w:val="6ED446C5"/>
    <w:rsid w:val="6F0C3A69"/>
    <w:rsid w:val="6F2A7D94"/>
    <w:rsid w:val="6F6049BF"/>
    <w:rsid w:val="6F8331F1"/>
    <w:rsid w:val="6FA56875"/>
    <w:rsid w:val="6FAE1A09"/>
    <w:rsid w:val="6FD75BF8"/>
    <w:rsid w:val="70383246"/>
    <w:rsid w:val="707723D0"/>
    <w:rsid w:val="70F5661B"/>
    <w:rsid w:val="71360107"/>
    <w:rsid w:val="713B688E"/>
    <w:rsid w:val="7148279F"/>
    <w:rsid w:val="71A14E1B"/>
    <w:rsid w:val="71D43752"/>
    <w:rsid w:val="71D905DE"/>
    <w:rsid w:val="71F1796A"/>
    <w:rsid w:val="71FB63D5"/>
    <w:rsid w:val="72154626"/>
    <w:rsid w:val="72262B5D"/>
    <w:rsid w:val="72283FF7"/>
    <w:rsid w:val="72290BF1"/>
    <w:rsid w:val="722E7212"/>
    <w:rsid w:val="723A0474"/>
    <w:rsid w:val="725923E4"/>
    <w:rsid w:val="72864BF7"/>
    <w:rsid w:val="728B1D53"/>
    <w:rsid w:val="729023FC"/>
    <w:rsid w:val="73172719"/>
    <w:rsid w:val="734B0D8C"/>
    <w:rsid w:val="73C0646E"/>
    <w:rsid w:val="742222F5"/>
    <w:rsid w:val="74476126"/>
    <w:rsid w:val="74706664"/>
    <w:rsid w:val="747F3682"/>
    <w:rsid w:val="74844CAB"/>
    <w:rsid w:val="749C4185"/>
    <w:rsid w:val="75067759"/>
    <w:rsid w:val="752E6DCD"/>
    <w:rsid w:val="753A180E"/>
    <w:rsid w:val="7551380D"/>
    <w:rsid w:val="75600BE5"/>
    <w:rsid w:val="7564475C"/>
    <w:rsid w:val="7577036C"/>
    <w:rsid w:val="7583797F"/>
    <w:rsid w:val="75B01AD0"/>
    <w:rsid w:val="75B415C0"/>
    <w:rsid w:val="75D20F1D"/>
    <w:rsid w:val="75DA2C18"/>
    <w:rsid w:val="75F54412"/>
    <w:rsid w:val="761D08E0"/>
    <w:rsid w:val="7625601A"/>
    <w:rsid w:val="765D347C"/>
    <w:rsid w:val="76826699"/>
    <w:rsid w:val="76BB697E"/>
    <w:rsid w:val="76C87133"/>
    <w:rsid w:val="76CD08D5"/>
    <w:rsid w:val="76DB4B92"/>
    <w:rsid w:val="77052AA4"/>
    <w:rsid w:val="77136511"/>
    <w:rsid w:val="77340A39"/>
    <w:rsid w:val="77351FD0"/>
    <w:rsid w:val="77472422"/>
    <w:rsid w:val="777F31F2"/>
    <w:rsid w:val="77D1700D"/>
    <w:rsid w:val="77EC04CC"/>
    <w:rsid w:val="781E0F73"/>
    <w:rsid w:val="78775729"/>
    <w:rsid w:val="78A42DB0"/>
    <w:rsid w:val="78A656AB"/>
    <w:rsid w:val="78B2245C"/>
    <w:rsid w:val="78E172CC"/>
    <w:rsid w:val="78EA1D1F"/>
    <w:rsid w:val="78FD502C"/>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5D0004"/>
    <w:rsid w:val="7B667AF9"/>
    <w:rsid w:val="7B7468F8"/>
    <w:rsid w:val="7B960B99"/>
    <w:rsid w:val="7BAB6FC2"/>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4D5E25"/>
    <w:rsid w:val="7E582D05"/>
    <w:rsid w:val="7E6C679B"/>
    <w:rsid w:val="7E7A0ECD"/>
    <w:rsid w:val="7E9A4E1F"/>
    <w:rsid w:val="7EA7723A"/>
    <w:rsid w:val="7EE54599"/>
    <w:rsid w:val="7EF56FBB"/>
    <w:rsid w:val="7F0768EB"/>
    <w:rsid w:val="7F143BEC"/>
    <w:rsid w:val="7F6851CA"/>
    <w:rsid w:val="7F715AF2"/>
    <w:rsid w:val="7F7B47F9"/>
    <w:rsid w:val="7F886E69"/>
    <w:rsid w:val="7FF73D4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2">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9"/>
    <w:autoRedefine/>
    <w:qFormat/>
    <w:uiPriority w:val="0"/>
    <w:pPr>
      <w:ind w:firstLine="420"/>
    </w:pPr>
    <w:rPr>
      <w:rFonts w:hAnsi="Calibri" w:cs="Times New Roman"/>
      <w:snapToGrid/>
      <w:szCs w:val="20"/>
    </w:rPr>
  </w:style>
  <w:style w:type="paragraph" w:styleId="25">
    <w:name w:val="Body Text Indent"/>
    <w:basedOn w:val="1"/>
    <w:next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8"/>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5"/>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autoRedefine/>
    <w:qFormat/>
    <w:uiPriority w:val="0"/>
    <w:rPr>
      <w:b/>
      <w:bCs/>
    </w:rPr>
  </w:style>
  <w:style w:type="paragraph" w:styleId="61">
    <w:name w:val="Body Text First Indent 2"/>
    <w:basedOn w:val="25"/>
    <w:next w:val="1"/>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7"/>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7"/>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4"/>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6"/>
    <w:autoRedefine/>
    <w:qFormat/>
    <w:uiPriority w:val="0"/>
    <w:rPr>
      <w:rFonts w:ascii="宋体"/>
      <w:kern w:val="2"/>
      <w:sz w:val="24"/>
      <w:szCs w:val="21"/>
      <w:lang w:val="zh-CN"/>
    </w:rPr>
  </w:style>
  <w:style w:type="character" w:customStyle="1" w:styleId="179">
    <w:name w:val="标题 9 Char"/>
    <w:link w:val="10"/>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9"/>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0"/>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next w:val="233"/>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2"/>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8"/>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24"/>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2"/>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2"/>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8"/>
    <w:autoRedefine/>
    <w:qFormat/>
    <w:uiPriority w:val="0"/>
    <w:rPr>
      <w:kern w:val="2"/>
      <w:sz w:val="21"/>
      <w:szCs w:val="24"/>
      <w:lang w:val="zh-CN"/>
    </w:rPr>
  </w:style>
  <w:style w:type="character" w:customStyle="1" w:styleId="931">
    <w:name w:val="无间隔 字符"/>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样式 标题 2 + Times New Roman 四号 非加粗 段前: 5 磅 段后: 0 磅 行距: 固定值 20..."/>
    <w:basedOn w:val="4"/>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3">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styleId="965">
    <w:name w:val="List Paragraph"/>
    <w:basedOn w:val="1"/>
    <w:autoRedefine/>
    <w:qFormat/>
    <w:uiPriority w:val="0"/>
    <w:pPr>
      <w:widowControl/>
      <w:ind w:left="720" w:firstLine="360"/>
      <w:contextualSpacing/>
      <w:jc w:val="left"/>
    </w:pPr>
    <w:rPr>
      <w:rFonts w:ascii="Calibri" w:hAnsi="Calibri" w:eastAsia="宋体" w:cs="Times New Roman"/>
      <w:kern w:val="0"/>
      <w:sz w:val="22"/>
      <w:szCs w:val="22"/>
      <w:lang w:eastAsia="en-US" w:bidi="en-US"/>
    </w:rPr>
  </w:style>
  <w:style w:type="paragraph" w:customStyle="1" w:styleId="966">
    <w:name w:val="WPSOffice手动目录 1"/>
    <w:autoRedefine/>
    <w:qFormat/>
    <w:uiPriority w:val="0"/>
    <w:pPr>
      <w:ind w:leftChars="0"/>
    </w:pPr>
    <w:rPr>
      <w:rFonts w:ascii="Times New Roman" w:hAnsi="Times New Roman" w:eastAsia="宋体" w:cs="Times New Roman"/>
      <w:sz w:val="20"/>
      <w:szCs w:val="20"/>
    </w:rPr>
  </w:style>
  <w:style w:type="paragraph" w:customStyle="1" w:styleId="967">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22E11C-51AB-47DF-B442-849B3EEBA18D}">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8410</Words>
  <Characters>47943</Characters>
  <Lines>399</Lines>
  <Paragraphs>112</Paragraphs>
  <TotalTime>1</TotalTime>
  <ScaleCrop>false</ScaleCrop>
  <LinksUpToDate>false</LinksUpToDate>
  <CharactersWithSpaces>56241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2022-05-06T23:35:00Z</dcterms:created>
  <dc:creator>玥</dc:creator>
  <cp:lastModifiedBy>小鱼不在鱼塘</cp:lastModifiedBy>
  <cp:lastPrinted>2021-12-27T03:06:00Z</cp:lastPrinted>
  <dcterms:modified xsi:type="dcterms:W3CDTF">2024-03-21T07:35:07Z</dcterms:modified>
  <dc:title>杭州市市民卡扩大发卡工程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30DED8D9BBBB427D9368777FF44E2388_13</vt:lpwstr>
  </property>
  <property fmtid="{D5CDD505-2E9C-101B-9397-08002B2CF9AE}" pid="5" name="commondata">
    <vt:lpwstr>eyJoZGlkIjoiNGNlMmFkMDQ1NDY0ZmRiM2Q0NjY4NTFjN2IwMTllYjMifQ==</vt:lpwstr>
  </property>
</Properties>
</file>