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仿宋" w:hAnsi="仿宋" w:eastAsia="仿宋" w:cs="仿宋"/>
          <w:b/>
          <w:spacing w:val="-4"/>
          <w:sz w:val="48"/>
          <w:szCs w:val="48"/>
        </w:rPr>
      </w:pPr>
      <w:bookmarkStart w:id="0" w:name="OLE_LINK1"/>
    </w:p>
    <w:bookmarkEnd w:id="0"/>
    <w:p>
      <w:pPr>
        <w:jc w:val="center"/>
        <w:rPr>
          <w:rFonts w:asciiTheme="majorEastAsia" w:hAnsiTheme="majorEastAsia" w:eastAsiaTheme="majorEastAsia" w:cstheme="majorEastAsia"/>
          <w:color w:val="auto"/>
        </w:rPr>
      </w:pPr>
      <w:r>
        <w:rPr>
          <w:rFonts w:hint="eastAsia" w:asciiTheme="majorEastAsia" w:hAnsiTheme="majorEastAsia" w:eastAsiaTheme="majorEastAsia" w:cstheme="majorEastAsia"/>
          <w:b/>
          <w:color w:val="auto"/>
          <w:spacing w:val="-4"/>
          <w:sz w:val="52"/>
          <w:szCs w:val="52"/>
          <w:lang w:eastAsia="zh-CN"/>
        </w:rPr>
        <w:t>湖东街道</w:t>
      </w:r>
      <w:r>
        <w:rPr>
          <w:rFonts w:hint="eastAsia" w:asciiTheme="majorEastAsia" w:hAnsiTheme="majorEastAsia" w:eastAsiaTheme="majorEastAsia" w:cstheme="majorEastAsia"/>
          <w:b/>
          <w:color w:val="auto"/>
          <w:spacing w:val="-4"/>
          <w:sz w:val="52"/>
          <w:szCs w:val="52"/>
        </w:rPr>
        <w:t>零星维修项目</w:t>
      </w: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adjustRightInd w:val="0"/>
        <w:snapToGrid w:val="0"/>
        <w:spacing w:line="600" w:lineRule="exact"/>
        <w:jc w:val="center"/>
        <w:rPr>
          <w:rFonts w:asciiTheme="majorEastAsia" w:hAnsiTheme="majorEastAsia" w:eastAsiaTheme="majorEastAsia" w:cstheme="majorEastAsia"/>
          <w:b/>
          <w:bCs/>
          <w:snapToGrid w:val="0"/>
          <w:sz w:val="24"/>
          <w:u w:val="single"/>
        </w:rPr>
      </w:pPr>
      <w:r>
        <w:rPr>
          <w:rFonts w:hint="eastAsia" w:asciiTheme="majorEastAsia" w:hAnsiTheme="majorEastAsia" w:eastAsiaTheme="majorEastAsia" w:cstheme="majorEastAsia"/>
          <w:b/>
          <w:bCs/>
          <w:snapToGrid w:val="0"/>
          <w:sz w:val="24"/>
        </w:rPr>
        <w:t>财政审批编号：临［2020］4860号</w:t>
      </w: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jc w:val="center"/>
        <w:rPr>
          <w:rFonts w:asciiTheme="majorEastAsia" w:hAnsiTheme="majorEastAsia" w:eastAsiaTheme="majorEastAsia" w:cstheme="majorEastAsia"/>
          <w:sz w:val="72"/>
          <w:szCs w:val="72"/>
        </w:rPr>
      </w:pPr>
      <w:r>
        <w:rPr>
          <w:rFonts w:hint="eastAsia" w:asciiTheme="majorEastAsia" w:hAnsiTheme="majorEastAsia" w:eastAsiaTheme="majorEastAsia" w:cstheme="majorEastAsia"/>
          <w:b/>
          <w:sz w:val="72"/>
          <w:szCs w:val="72"/>
        </w:rPr>
        <w:t>公开招标采购文件</w:t>
      </w:r>
    </w:p>
    <w:p>
      <w:pPr>
        <w:widowControl/>
        <w:spacing w:line="600" w:lineRule="exact"/>
        <w:ind w:right="-2"/>
        <w:jc w:val="center"/>
        <w:rPr>
          <w:rFonts w:asciiTheme="majorEastAsia" w:hAnsiTheme="majorEastAsia" w:eastAsiaTheme="majorEastAsia" w:cstheme="majorEastAsia"/>
          <w:b/>
          <w:sz w:val="52"/>
          <w:szCs w:val="52"/>
        </w:rPr>
      </w:pPr>
      <w:r>
        <w:rPr>
          <w:rFonts w:hint="eastAsia" w:asciiTheme="majorEastAsia" w:hAnsiTheme="majorEastAsia" w:eastAsiaTheme="majorEastAsia" w:cstheme="majorEastAsia"/>
          <w:b/>
          <w:sz w:val="52"/>
          <w:szCs w:val="52"/>
        </w:rPr>
        <w:t xml:space="preserve"> （线上电子招投标）</w:t>
      </w:r>
    </w:p>
    <w:p>
      <w:pPr>
        <w:jc w:val="center"/>
        <w:rPr>
          <w:rFonts w:asciiTheme="majorEastAsia" w:hAnsiTheme="majorEastAsia" w:eastAsiaTheme="majorEastAsia" w:cstheme="majorEastAsia"/>
          <w:sz w:val="28"/>
          <w:szCs w:val="28"/>
        </w:rPr>
      </w:pPr>
    </w:p>
    <w:p>
      <w:pPr>
        <w:jc w:val="center"/>
        <w:rPr>
          <w:rFonts w:asciiTheme="majorEastAsia" w:hAnsiTheme="majorEastAsia" w:eastAsiaTheme="majorEastAsia" w:cstheme="majorEastAsia"/>
          <w:sz w:val="28"/>
          <w:szCs w:val="28"/>
        </w:rPr>
      </w:pPr>
    </w:p>
    <w:p>
      <w:pPr>
        <w:jc w:val="center"/>
        <w:rPr>
          <w:rFonts w:asciiTheme="majorEastAsia" w:hAnsiTheme="majorEastAsia" w:eastAsiaTheme="majorEastAsia" w:cstheme="majorEastAsia"/>
          <w:sz w:val="28"/>
          <w:szCs w:val="28"/>
        </w:rPr>
      </w:pPr>
    </w:p>
    <w:p>
      <w:pPr>
        <w:ind w:left="-718" w:leftChars="-342" w:right="-687" w:rightChars="-327"/>
        <w:rPr>
          <w:rFonts w:asciiTheme="majorEastAsia" w:hAnsiTheme="majorEastAsia" w:eastAsiaTheme="majorEastAsia" w:cstheme="majorEastAsia"/>
          <w:sz w:val="30"/>
          <w:szCs w:val="30"/>
        </w:rPr>
      </w:pPr>
    </w:p>
    <w:p>
      <w:pPr>
        <w:spacing w:line="60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项 目  编 号：</w:t>
      </w:r>
      <w:r>
        <w:rPr>
          <w:rFonts w:hint="eastAsia" w:asciiTheme="majorEastAsia" w:hAnsiTheme="majorEastAsia" w:eastAsiaTheme="majorEastAsia" w:cstheme="majorEastAsia"/>
          <w:sz w:val="28"/>
          <w:szCs w:val="28"/>
          <w:u w:val="single"/>
        </w:rPr>
        <w:t xml:space="preserve"> 大地采字（2020）-225</w:t>
      </w:r>
    </w:p>
    <w:p>
      <w:pPr>
        <w:spacing w:line="600" w:lineRule="exact"/>
        <w:ind w:left="2519" w:leftChars="266" w:hanging="1960" w:hangingChars="700"/>
        <w:rPr>
          <w:rFonts w:asciiTheme="majorEastAsia" w:hAnsiTheme="majorEastAsia" w:eastAsiaTheme="majorEastAsia" w:cstheme="majorEastAsia"/>
          <w:sz w:val="28"/>
          <w:szCs w:val="28"/>
        </w:rPr>
      </w:pPr>
    </w:p>
    <w:p>
      <w:pPr>
        <w:spacing w:line="600" w:lineRule="exact"/>
        <w:ind w:left="2519" w:leftChars="266" w:hanging="1960" w:hangingChars="700"/>
        <w:rPr>
          <w:rFonts w:asciiTheme="majorEastAsia" w:hAnsiTheme="majorEastAsia" w:eastAsiaTheme="majorEastAsia" w:cstheme="majorEastAsia"/>
        </w:rPr>
      </w:pPr>
      <w:r>
        <w:rPr>
          <w:rFonts w:hint="eastAsia" w:asciiTheme="majorEastAsia" w:hAnsiTheme="majorEastAsia" w:eastAsiaTheme="majorEastAsia" w:cstheme="majorEastAsia"/>
          <w:sz w:val="28"/>
          <w:szCs w:val="28"/>
        </w:rPr>
        <w:t>采 购  单 位：</w:t>
      </w:r>
      <w:r>
        <w:rPr>
          <w:rFonts w:hint="eastAsia" w:asciiTheme="majorEastAsia" w:hAnsiTheme="majorEastAsia" w:eastAsiaTheme="majorEastAsia" w:cstheme="majorEastAsia"/>
          <w:sz w:val="28"/>
          <w:szCs w:val="28"/>
          <w:u w:val="single"/>
        </w:rPr>
        <w:t>湖州市吴兴区人民政府湖东街道办事处</w:t>
      </w:r>
    </w:p>
    <w:p>
      <w:pPr>
        <w:spacing w:line="600" w:lineRule="exact"/>
        <w:ind w:firstLine="560" w:firstLineChars="200"/>
        <w:rPr>
          <w:rFonts w:asciiTheme="majorEastAsia" w:hAnsiTheme="majorEastAsia" w:eastAsiaTheme="majorEastAsia" w:cstheme="majorEastAsia"/>
          <w:sz w:val="28"/>
          <w:szCs w:val="28"/>
        </w:rPr>
      </w:pPr>
    </w:p>
    <w:p>
      <w:pPr>
        <w:spacing w:line="60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采购代理机构：</w:t>
      </w:r>
      <w:r>
        <w:rPr>
          <w:rFonts w:hint="eastAsia" w:asciiTheme="majorEastAsia" w:hAnsiTheme="majorEastAsia" w:eastAsiaTheme="majorEastAsia" w:cstheme="majorEastAsia"/>
          <w:sz w:val="28"/>
          <w:szCs w:val="28"/>
          <w:u w:val="single"/>
        </w:rPr>
        <w:t>大地工程咨询有限公司</w:t>
      </w:r>
    </w:p>
    <w:p>
      <w:pPr>
        <w:spacing w:line="600" w:lineRule="exact"/>
        <w:rPr>
          <w:rFonts w:asciiTheme="majorEastAsia" w:hAnsiTheme="majorEastAsia" w:eastAsiaTheme="majorEastAsia" w:cstheme="majorEastAsia"/>
        </w:rPr>
      </w:pPr>
    </w:p>
    <w:p>
      <w:pPr>
        <w:snapToGrid w:val="0"/>
        <w:spacing w:line="600" w:lineRule="exact"/>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sz w:val="28"/>
          <w:szCs w:val="28"/>
        </w:rPr>
        <w:t>二○二○年</w:t>
      </w:r>
      <w:r>
        <w:rPr>
          <w:rFonts w:hint="eastAsia" w:asciiTheme="majorEastAsia" w:hAnsiTheme="majorEastAsia" w:eastAsiaTheme="majorEastAsia" w:cstheme="majorEastAsia"/>
          <w:sz w:val="28"/>
          <w:szCs w:val="28"/>
          <w:lang w:val="en-US" w:eastAsia="zh-CN"/>
        </w:rPr>
        <w:t>六</w:t>
      </w:r>
      <w:r>
        <w:rPr>
          <w:rFonts w:hint="eastAsia" w:asciiTheme="majorEastAsia" w:hAnsiTheme="majorEastAsia" w:eastAsiaTheme="majorEastAsia" w:cstheme="majorEastAsia"/>
          <w:sz w:val="28"/>
          <w:szCs w:val="28"/>
        </w:rPr>
        <w:t>月</w:t>
      </w:r>
    </w:p>
    <w:p>
      <w:pPr>
        <w:pStyle w:val="20"/>
        <w:tabs>
          <w:tab w:val="right" w:leader="dot" w:pos="8494"/>
        </w:tabs>
        <w:ind w:left="0"/>
        <w:jc w:val="center"/>
        <w:rPr>
          <w:rFonts w:hint="eastAsia" w:asciiTheme="majorEastAsia" w:hAnsiTheme="majorEastAsia" w:eastAsiaTheme="majorEastAsia" w:cstheme="majorEastAsia"/>
          <w:b/>
          <w:sz w:val="52"/>
          <w:szCs w:val="52"/>
        </w:rPr>
      </w:pPr>
    </w:p>
    <w:p>
      <w:pPr>
        <w:pStyle w:val="20"/>
        <w:tabs>
          <w:tab w:val="right" w:leader="dot" w:pos="8494"/>
        </w:tabs>
        <w:ind w:left="0"/>
        <w:jc w:val="center"/>
        <w:rPr>
          <w:rFonts w:asciiTheme="majorEastAsia" w:hAnsiTheme="majorEastAsia" w:eastAsiaTheme="majorEastAsia" w:cstheme="majorEastAsia"/>
          <w:sz w:val="30"/>
          <w:szCs w:val="30"/>
        </w:rPr>
      </w:pPr>
      <w:r>
        <w:rPr>
          <w:rFonts w:hint="eastAsia" w:asciiTheme="majorEastAsia" w:hAnsiTheme="majorEastAsia" w:eastAsiaTheme="majorEastAsia" w:cstheme="majorEastAsia"/>
          <w:b/>
          <w:sz w:val="52"/>
          <w:szCs w:val="52"/>
        </w:rPr>
        <w:t>目    录</w:t>
      </w:r>
    </w:p>
    <w:p>
      <w:pPr>
        <w:pStyle w:val="20"/>
        <w:tabs>
          <w:tab w:val="right" w:leader="dot" w:pos="8494"/>
        </w:tabs>
        <w:spacing w:line="600" w:lineRule="auto"/>
        <w:ind w:left="0"/>
        <w:jc w:val="both"/>
        <w:rPr>
          <w:rFonts w:asciiTheme="majorEastAsia" w:hAnsiTheme="majorEastAsia" w:eastAsiaTheme="majorEastAsia" w:cstheme="majorEastAsia"/>
          <w:sz w:val="48"/>
          <w:szCs w:val="48"/>
        </w:rPr>
      </w:pPr>
    </w:p>
    <w:p>
      <w:pPr>
        <w:pStyle w:val="18"/>
        <w:tabs>
          <w:tab w:val="right" w:leader="dot" w:pos="9746"/>
        </w:tabs>
        <w:spacing w:line="600" w:lineRule="auto"/>
        <w:rPr>
          <w:rFonts w:asciiTheme="majorEastAsia" w:hAnsiTheme="majorEastAsia" w:eastAsiaTheme="majorEastAsia" w:cstheme="majorEastAsia"/>
          <w:sz w:val="36"/>
          <w:szCs w:val="44"/>
        </w:rPr>
      </w:pPr>
      <w:r>
        <w:rPr>
          <w:rFonts w:hint="eastAsia" w:asciiTheme="majorEastAsia" w:hAnsiTheme="majorEastAsia" w:eastAsiaTheme="majorEastAsia" w:cstheme="majorEastAsia"/>
          <w:sz w:val="48"/>
          <w:szCs w:val="48"/>
        </w:rPr>
        <w:fldChar w:fldCharType="begin"/>
      </w:r>
      <w:r>
        <w:rPr>
          <w:rFonts w:hint="eastAsia" w:asciiTheme="majorEastAsia" w:hAnsiTheme="majorEastAsia" w:eastAsiaTheme="majorEastAsia" w:cstheme="majorEastAsia"/>
          <w:sz w:val="48"/>
          <w:szCs w:val="48"/>
        </w:rPr>
        <w:instrText xml:space="preserve"> TOC \o "1-3" \h \z \u </w:instrText>
      </w:r>
      <w:r>
        <w:rPr>
          <w:rFonts w:hint="eastAsia" w:asciiTheme="majorEastAsia" w:hAnsiTheme="majorEastAsia" w:eastAsiaTheme="majorEastAsia" w:cstheme="majorEastAsia"/>
          <w:sz w:val="48"/>
          <w:szCs w:val="48"/>
        </w:rPr>
        <w:fldChar w:fldCharType="separate"/>
      </w:r>
      <w:r>
        <w:fldChar w:fldCharType="begin"/>
      </w:r>
      <w:r>
        <w:instrText xml:space="preserve"> HYPERLINK \l "_Toc7568" </w:instrText>
      </w:r>
      <w:r>
        <w:fldChar w:fldCharType="separate"/>
      </w:r>
      <w:r>
        <w:rPr>
          <w:rFonts w:hint="eastAsia" w:asciiTheme="majorEastAsia" w:hAnsiTheme="majorEastAsia" w:eastAsiaTheme="majorEastAsia" w:cstheme="majorEastAsia"/>
          <w:bCs/>
          <w:sz w:val="36"/>
          <w:szCs w:val="48"/>
        </w:rPr>
        <w:t>第一章、公开招标采购公告</w:t>
      </w:r>
      <w:r>
        <w:rPr>
          <w:rFonts w:hint="eastAsia" w:asciiTheme="majorEastAsia" w:hAnsiTheme="majorEastAsia" w:eastAsiaTheme="majorEastAsia" w:cstheme="majorEastAsia"/>
          <w:sz w:val="36"/>
          <w:szCs w:val="44"/>
        </w:rPr>
        <w:tab/>
      </w:r>
      <w:r>
        <w:rPr>
          <w:rFonts w:hint="eastAsia" w:asciiTheme="majorEastAsia" w:hAnsiTheme="majorEastAsia" w:eastAsiaTheme="majorEastAsia" w:cstheme="majorEastAsia"/>
          <w:sz w:val="36"/>
          <w:szCs w:val="44"/>
        </w:rPr>
        <w:fldChar w:fldCharType="begin"/>
      </w:r>
      <w:r>
        <w:rPr>
          <w:rFonts w:hint="eastAsia" w:asciiTheme="majorEastAsia" w:hAnsiTheme="majorEastAsia" w:eastAsiaTheme="majorEastAsia" w:cstheme="majorEastAsia"/>
          <w:sz w:val="36"/>
          <w:szCs w:val="44"/>
        </w:rPr>
        <w:instrText xml:space="preserve"> PAGEREF _Toc7568 </w:instrText>
      </w:r>
      <w:r>
        <w:rPr>
          <w:rFonts w:hint="eastAsia" w:asciiTheme="majorEastAsia" w:hAnsiTheme="majorEastAsia" w:eastAsiaTheme="majorEastAsia" w:cstheme="majorEastAsia"/>
          <w:sz w:val="36"/>
          <w:szCs w:val="44"/>
        </w:rPr>
        <w:fldChar w:fldCharType="separate"/>
      </w:r>
      <w:r>
        <w:rPr>
          <w:rFonts w:hint="eastAsia" w:asciiTheme="majorEastAsia" w:hAnsiTheme="majorEastAsia" w:eastAsiaTheme="majorEastAsia" w:cstheme="majorEastAsia"/>
          <w:sz w:val="36"/>
          <w:szCs w:val="44"/>
        </w:rPr>
        <w:t>3</w:t>
      </w:r>
      <w:r>
        <w:rPr>
          <w:rFonts w:hint="eastAsia" w:asciiTheme="majorEastAsia" w:hAnsiTheme="majorEastAsia" w:eastAsiaTheme="majorEastAsia" w:cstheme="majorEastAsia"/>
          <w:sz w:val="36"/>
          <w:szCs w:val="44"/>
        </w:rPr>
        <w:fldChar w:fldCharType="end"/>
      </w:r>
      <w:r>
        <w:rPr>
          <w:rFonts w:hint="eastAsia" w:asciiTheme="majorEastAsia" w:hAnsiTheme="majorEastAsia" w:eastAsiaTheme="majorEastAsia" w:cstheme="majorEastAsia"/>
          <w:sz w:val="36"/>
          <w:szCs w:val="44"/>
        </w:rPr>
        <w:fldChar w:fldCharType="end"/>
      </w:r>
    </w:p>
    <w:p>
      <w:pPr>
        <w:pStyle w:val="18"/>
        <w:tabs>
          <w:tab w:val="right" w:leader="dot" w:pos="9746"/>
        </w:tabs>
        <w:spacing w:line="600" w:lineRule="auto"/>
        <w:rPr>
          <w:rFonts w:asciiTheme="majorEastAsia" w:hAnsiTheme="majorEastAsia" w:eastAsiaTheme="majorEastAsia" w:cstheme="majorEastAsia"/>
          <w:sz w:val="36"/>
          <w:szCs w:val="44"/>
        </w:rPr>
      </w:pPr>
      <w:r>
        <w:fldChar w:fldCharType="begin"/>
      </w:r>
      <w:r>
        <w:instrText xml:space="preserve"> HYPERLINK \l "_Toc7306" </w:instrText>
      </w:r>
      <w:r>
        <w:fldChar w:fldCharType="separate"/>
      </w:r>
      <w:r>
        <w:rPr>
          <w:rFonts w:hint="eastAsia" w:asciiTheme="majorEastAsia" w:hAnsiTheme="majorEastAsia" w:eastAsiaTheme="majorEastAsia" w:cstheme="majorEastAsia"/>
          <w:bCs/>
          <w:sz w:val="36"/>
          <w:szCs w:val="44"/>
        </w:rPr>
        <w:t>第三章、投标人须知</w:t>
      </w:r>
      <w:r>
        <w:rPr>
          <w:rFonts w:hint="eastAsia" w:asciiTheme="majorEastAsia" w:hAnsiTheme="majorEastAsia" w:eastAsiaTheme="majorEastAsia" w:cstheme="majorEastAsia"/>
          <w:sz w:val="36"/>
          <w:szCs w:val="44"/>
        </w:rPr>
        <w:tab/>
      </w:r>
      <w:r>
        <w:rPr>
          <w:rFonts w:hint="eastAsia" w:asciiTheme="majorEastAsia" w:hAnsiTheme="majorEastAsia" w:eastAsiaTheme="majorEastAsia" w:cstheme="majorEastAsia"/>
          <w:sz w:val="36"/>
          <w:szCs w:val="44"/>
        </w:rPr>
        <w:fldChar w:fldCharType="begin"/>
      </w:r>
      <w:r>
        <w:rPr>
          <w:rFonts w:hint="eastAsia" w:asciiTheme="majorEastAsia" w:hAnsiTheme="majorEastAsia" w:eastAsiaTheme="majorEastAsia" w:cstheme="majorEastAsia"/>
          <w:sz w:val="36"/>
          <w:szCs w:val="44"/>
        </w:rPr>
        <w:instrText xml:space="preserve"> PAGEREF _Toc7306 </w:instrText>
      </w:r>
      <w:r>
        <w:rPr>
          <w:rFonts w:hint="eastAsia" w:asciiTheme="majorEastAsia" w:hAnsiTheme="majorEastAsia" w:eastAsiaTheme="majorEastAsia" w:cstheme="majorEastAsia"/>
          <w:sz w:val="36"/>
          <w:szCs w:val="44"/>
        </w:rPr>
        <w:fldChar w:fldCharType="separate"/>
      </w:r>
      <w:r>
        <w:rPr>
          <w:rFonts w:hint="eastAsia" w:asciiTheme="majorEastAsia" w:hAnsiTheme="majorEastAsia" w:eastAsiaTheme="majorEastAsia" w:cstheme="majorEastAsia"/>
          <w:sz w:val="36"/>
          <w:szCs w:val="44"/>
        </w:rPr>
        <w:t>17</w:t>
      </w:r>
      <w:r>
        <w:rPr>
          <w:rFonts w:hint="eastAsia" w:asciiTheme="majorEastAsia" w:hAnsiTheme="majorEastAsia" w:eastAsiaTheme="majorEastAsia" w:cstheme="majorEastAsia"/>
          <w:sz w:val="36"/>
          <w:szCs w:val="44"/>
        </w:rPr>
        <w:fldChar w:fldCharType="end"/>
      </w:r>
      <w:r>
        <w:rPr>
          <w:rFonts w:hint="eastAsia" w:asciiTheme="majorEastAsia" w:hAnsiTheme="majorEastAsia" w:eastAsiaTheme="majorEastAsia" w:cstheme="majorEastAsia"/>
          <w:sz w:val="36"/>
          <w:szCs w:val="44"/>
        </w:rPr>
        <w:fldChar w:fldCharType="end"/>
      </w:r>
    </w:p>
    <w:p>
      <w:pPr>
        <w:pStyle w:val="20"/>
        <w:tabs>
          <w:tab w:val="right" w:leader="dot" w:pos="9746"/>
        </w:tabs>
        <w:spacing w:line="600" w:lineRule="auto"/>
        <w:rPr>
          <w:rFonts w:asciiTheme="majorEastAsia" w:hAnsiTheme="majorEastAsia" w:eastAsiaTheme="majorEastAsia" w:cstheme="majorEastAsia"/>
          <w:sz w:val="32"/>
          <w:szCs w:val="32"/>
        </w:rPr>
      </w:pPr>
      <w:r>
        <w:fldChar w:fldCharType="begin"/>
      </w:r>
      <w:r>
        <w:instrText xml:space="preserve"> HYPERLINK \l "_Toc30800" </w:instrText>
      </w:r>
      <w:r>
        <w:fldChar w:fldCharType="separate"/>
      </w:r>
      <w:r>
        <w:rPr>
          <w:rFonts w:hint="eastAsia" w:asciiTheme="majorEastAsia" w:hAnsiTheme="majorEastAsia" w:eastAsiaTheme="majorEastAsia" w:cstheme="majorEastAsia"/>
          <w:bCs/>
          <w:sz w:val="32"/>
          <w:szCs w:val="32"/>
        </w:rPr>
        <w:t>二、招标文件</w:t>
      </w:r>
      <w:r>
        <w:rPr>
          <w:rFonts w:hint="eastAsia" w:asciiTheme="majorEastAsia" w:hAnsiTheme="majorEastAsia" w:eastAsiaTheme="majorEastAsia" w:cstheme="majorEastAsia"/>
          <w:sz w:val="32"/>
          <w:szCs w:val="32"/>
        </w:rPr>
        <w:tab/>
      </w:r>
      <w:r>
        <w:rPr>
          <w:rFonts w:hint="eastAsia" w:asciiTheme="majorEastAsia" w:hAnsiTheme="majorEastAsia" w:eastAsiaTheme="majorEastAsia" w:cstheme="majorEastAsia"/>
          <w:sz w:val="32"/>
          <w:szCs w:val="32"/>
        </w:rPr>
        <w:fldChar w:fldCharType="begin"/>
      </w:r>
      <w:r>
        <w:rPr>
          <w:rFonts w:hint="eastAsia" w:asciiTheme="majorEastAsia" w:hAnsiTheme="majorEastAsia" w:eastAsiaTheme="majorEastAsia" w:cstheme="majorEastAsia"/>
          <w:sz w:val="32"/>
          <w:szCs w:val="32"/>
        </w:rPr>
        <w:instrText xml:space="preserve"> PAGEREF _Toc30800 </w:instrText>
      </w:r>
      <w:r>
        <w:rPr>
          <w:rFonts w:hint="eastAsia" w:asciiTheme="majorEastAsia" w:hAnsiTheme="majorEastAsia" w:eastAsiaTheme="majorEastAsia" w:cstheme="majorEastAsia"/>
          <w:sz w:val="32"/>
          <w:szCs w:val="32"/>
        </w:rPr>
        <w:fldChar w:fldCharType="separate"/>
      </w:r>
      <w:r>
        <w:rPr>
          <w:rFonts w:hint="eastAsia" w:asciiTheme="majorEastAsia" w:hAnsiTheme="majorEastAsia" w:eastAsiaTheme="majorEastAsia" w:cstheme="majorEastAsia"/>
          <w:sz w:val="32"/>
          <w:szCs w:val="32"/>
        </w:rPr>
        <w:t>22</w:t>
      </w:r>
      <w:r>
        <w:rPr>
          <w:rFonts w:hint="eastAsia" w:asciiTheme="majorEastAsia" w:hAnsiTheme="majorEastAsia" w:eastAsiaTheme="majorEastAsia" w:cstheme="majorEastAsia"/>
          <w:sz w:val="32"/>
          <w:szCs w:val="32"/>
        </w:rPr>
        <w:fldChar w:fldCharType="end"/>
      </w:r>
      <w:r>
        <w:rPr>
          <w:rFonts w:hint="eastAsia" w:asciiTheme="majorEastAsia" w:hAnsiTheme="majorEastAsia" w:eastAsiaTheme="majorEastAsia" w:cstheme="majorEastAsia"/>
          <w:sz w:val="32"/>
          <w:szCs w:val="32"/>
        </w:rPr>
        <w:fldChar w:fldCharType="end"/>
      </w:r>
    </w:p>
    <w:p>
      <w:pPr>
        <w:pStyle w:val="20"/>
        <w:tabs>
          <w:tab w:val="right" w:leader="dot" w:pos="9746"/>
        </w:tabs>
        <w:spacing w:line="600" w:lineRule="auto"/>
        <w:rPr>
          <w:rFonts w:asciiTheme="majorEastAsia" w:hAnsiTheme="majorEastAsia" w:eastAsiaTheme="majorEastAsia" w:cstheme="majorEastAsia"/>
          <w:sz w:val="32"/>
          <w:szCs w:val="32"/>
        </w:rPr>
      </w:pPr>
      <w:r>
        <w:fldChar w:fldCharType="begin"/>
      </w:r>
      <w:r>
        <w:instrText xml:space="preserve"> HYPERLINK \l "_Toc24563" </w:instrText>
      </w:r>
      <w:r>
        <w:fldChar w:fldCharType="separate"/>
      </w:r>
      <w:r>
        <w:rPr>
          <w:rFonts w:hint="eastAsia" w:asciiTheme="majorEastAsia" w:hAnsiTheme="majorEastAsia" w:eastAsiaTheme="majorEastAsia" w:cstheme="majorEastAsia"/>
          <w:bCs/>
          <w:sz w:val="32"/>
          <w:szCs w:val="32"/>
        </w:rPr>
        <w:t>三、投标文件的编制</w:t>
      </w:r>
      <w:r>
        <w:rPr>
          <w:rFonts w:hint="eastAsia" w:asciiTheme="majorEastAsia" w:hAnsiTheme="majorEastAsia" w:eastAsiaTheme="majorEastAsia" w:cstheme="majorEastAsia"/>
          <w:sz w:val="32"/>
          <w:szCs w:val="32"/>
        </w:rPr>
        <w:tab/>
      </w:r>
      <w:r>
        <w:rPr>
          <w:rFonts w:hint="eastAsia" w:asciiTheme="majorEastAsia" w:hAnsiTheme="majorEastAsia" w:eastAsiaTheme="majorEastAsia" w:cstheme="majorEastAsia"/>
          <w:sz w:val="32"/>
          <w:szCs w:val="32"/>
        </w:rPr>
        <w:fldChar w:fldCharType="begin"/>
      </w:r>
      <w:r>
        <w:rPr>
          <w:rFonts w:hint="eastAsia" w:asciiTheme="majorEastAsia" w:hAnsiTheme="majorEastAsia" w:eastAsiaTheme="majorEastAsia" w:cstheme="majorEastAsia"/>
          <w:sz w:val="32"/>
          <w:szCs w:val="32"/>
        </w:rPr>
        <w:instrText xml:space="preserve"> PAGEREF _Toc24563 </w:instrText>
      </w:r>
      <w:r>
        <w:rPr>
          <w:rFonts w:hint="eastAsia" w:asciiTheme="majorEastAsia" w:hAnsiTheme="majorEastAsia" w:eastAsiaTheme="majorEastAsia" w:cstheme="majorEastAsia"/>
          <w:sz w:val="32"/>
          <w:szCs w:val="32"/>
        </w:rPr>
        <w:fldChar w:fldCharType="separate"/>
      </w:r>
      <w:r>
        <w:rPr>
          <w:rFonts w:hint="eastAsia" w:asciiTheme="majorEastAsia" w:hAnsiTheme="majorEastAsia" w:eastAsiaTheme="majorEastAsia" w:cstheme="majorEastAsia"/>
          <w:sz w:val="32"/>
          <w:szCs w:val="32"/>
        </w:rPr>
        <w:t>23</w:t>
      </w:r>
      <w:r>
        <w:rPr>
          <w:rFonts w:hint="eastAsia" w:asciiTheme="majorEastAsia" w:hAnsiTheme="majorEastAsia" w:eastAsiaTheme="majorEastAsia" w:cstheme="majorEastAsia"/>
          <w:sz w:val="32"/>
          <w:szCs w:val="32"/>
        </w:rPr>
        <w:fldChar w:fldCharType="end"/>
      </w:r>
      <w:r>
        <w:rPr>
          <w:rFonts w:hint="eastAsia" w:asciiTheme="majorEastAsia" w:hAnsiTheme="majorEastAsia" w:eastAsiaTheme="majorEastAsia" w:cstheme="majorEastAsia"/>
          <w:sz w:val="32"/>
          <w:szCs w:val="32"/>
        </w:rPr>
        <w:fldChar w:fldCharType="end"/>
      </w:r>
    </w:p>
    <w:p>
      <w:pPr>
        <w:pStyle w:val="20"/>
        <w:tabs>
          <w:tab w:val="right" w:leader="dot" w:pos="9746"/>
        </w:tabs>
        <w:spacing w:line="600" w:lineRule="auto"/>
        <w:rPr>
          <w:rFonts w:asciiTheme="majorEastAsia" w:hAnsiTheme="majorEastAsia" w:eastAsiaTheme="majorEastAsia" w:cstheme="majorEastAsia"/>
          <w:sz w:val="32"/>
          <w:szCs w:val="32"/>
        </w:rPr>
      </w:pPr>
      <w:r>
        <w:fldChar w:fldCharType="begin"/>
      </w:r>
      <w:r>
        <w:instrText xml:space="preserve"> HYPERLINK \l "_Toc28724" </w:instrText>
      </w:r>
      <w:r>
        <w:fldChar w:fldCharType="separate"/>
      </w:r>
      <w:r>
        <w:rPr>
          <w:rFonts w:hint="eastAsia" w:asciiTheme="majorEastAsia" w:hAnsiTheme="majorEastAsia" w:eastAsiaTheme="majorEastAsia" w:cstheme="majorEastAsia"/>
          <w:bCs/>
          <w:sz w:val="32"/>
          <w:szCs w:val="32"/>
        </w:rPr>
        <w:t>三、开标</w:t>
      </w:r>
      <w:r>
        <w:rPr>
          <w:rFonts w:hint="eastAsia" w:asciiTheme="majorEastAsia" w:hAnsiTheme="majorEastAsia" w:eastAsiaTheme="majorEastAsia" w:cstheme="majorEastAsia"/>
          <w:sz w:val="32"/>
          <w:szCs w:val="32"/>
        </w:rPr>
        <w:tab/>
      </w:r>
      <w:r>
        <w:rPr>
          <w:rFonts w:hint="eastAsia" w:asciiTheme="majorEastAsia" w:hAnsiTheme="majorEastAsia" w:eastAsiaTheme="majorEastAsia" w:cstheme="majorEastAsia"/>
          <w:sz w:val="32"/>
          <w:szCs w:val="32"/>
        </w:rPr>
        <w:fldChar w:fldCharType="begin"/>
      </w:r>
      <w:r>
        <w:rPr>
          <w:rFonts w:hint="eastAsia" w:asciiTheme="majorEastAsia" w:hAnsiTheme="majorEastAsia" w:eastAsiaTheme="majorEastAsia" w:cstheme="majorEastAsia"/>
          <w:sz w:val="32"/>
          <w:szCs w:val="32"/>
        </w:rPr>
        <w:instrText xml:space="preserve"> PAGEREF _Toc28724 </w:instrText>
      </w:r>
      <w:r>
        <w:rPr>
          <w:rFonts w:hint="eastAsia" w:asciiTheme="majorEastAsia" w:hAnsiTheme="majorEastAsia" w:eastAsiaTheme="majorEastAsia" w:cstheme="majorEastAsia"/>
          <w:sz w:val="32"/>
          <w:szCs w:val="32"/>
        </w:rPr>
        <w:fldChar w:fldCharType="separate"/>
      </w:r>
      <w:r>
        <w:rPr>
          <w:rFonts w:hint="eastAsia" w:asciiTheme="majorEastAsia" w:hAnsiTheme="majorEastAsia" w:eastAsiaTheme="majorEastAsia" w:cstheme="majorEastAsia"/>
          <w:sz w:val="32"/>
          <w:szCs w:val="32"/>
        </w:rPr>
        <w:t>28</w:t>
      </w:r>
      <w:r>
        <w:rPr>
          <w:rFonts w:hint="eastAsia" w:asciiTheme="majorEastAsia" w:hAnsiTheme="majorEastAsia" w:eastAsiaTheme="majorEastAsia" w:cstheme="majorEastAsia"/>
          <w:sz w:val="32"/>
          <w:szCs w:val="32"/>
        </w:rPr>
        <w:fldChar w:fldCharType="end"/>
      </w:r>
      <w:r>
        <w:rPr>
          <w:rFonts w:hint="eastAsia" w:asciiTheme="majorEastAsia" w:hAnsiTheme="majorEastAsia" w:eastAsiaTheme="majorEastAsia" w:cstheme="majorEastAsia"/>
          <w:sz w:val="32"/>
          <w:szCs w:val="32"/>
        </w:rPr>
        <w:fldChar w:fldCharType="end"/>
      </w:r>
    </w:p>
    <w:p>
      <w:pPr>
        <w:pStyle w:val="20"/>
        <w:tabs>
          <w:tab w:val="right" w:leader="dot" w:pos="9746"/>
        </w:tabs>
        <w:spacing w:line="600" w:lineRule="auto"/>
        <w:rPr>
          <w:rFonts w:asciiTheme="majorEastAsia" w:hAnsiTheme="majorEastAsia" w:eastAsiaTheme="majorEastAsia" w:cstheme="majorEastAsia"/>
          <w:sz w:val="32"/>
          <w:szCs w:val="32"/>
        </w:rPr>
      </w:pPr>
      <w:r>
        <w:fldChar w:fldCharType="begin"/>
      </w:r>
      <w:r>
        <w:instrText xml:space="preserve"> HYPERLINK \l "_Toc25958" </w:instrText>
      </w:r>
      <w:r>
        <w:fldChar w:fldCharType="separate"/>
      </w:r>
      <w:r>
        <w:rPr>
          <w:rFonts w:hint="eastAsia" w:asciiTheme="majorEastAsia" w:hAnsiTheme="majorEastAsia" w:eastAsiaTheme="majorEastAsia" w:cstheme="majorEastAsia"/>
          <w:bCs/>
          <w:sz w:val="32"/>
          <w:szCs w:val="32"/>
        </w:rPr>
        <w:t>四、资格证明文件审查</w:t>
      </w:r>
      <w:r>
        <w:rPr>
          <w:rFonts w:hint="eastAsia" w:asciiTheme="majorEastAsia" w:hAnsiTheme="majorEastAsia" w:eastAsiaTheme="majorEastAsia" w:cstheme="majorEastAsia"/>
          <w:sz w:val="32"/>
          <w:szCs w:val="32"/>
        </w:rPr>
        <w:tab/>
      </w:r>
      <w:r>
        <w:rPr>
          <w:rFonts w:hint="eastAsia" w:asciiTheme="majorEastAsia" w:hAnsiTheme="majorEastAsia" w:eastAsiaTheme="majorEastAsia" w:cstheme="majorEastAsia"/>
          <w:sz w:val="32"/>
          <w:szCs w:val="32"/>
        </w:rPr>
        <w:fldChar w:fldCharType="begin"/>
      </w:r>
      <w:r>
        <w:rPr>
          <w:rFonts w:hint="eastAsia" w:asciiTheme="majorEastAsia" w:hAnsiTheme="majorEastAsia" w:eastAsiaTheme="majorEastAsia" w:cstheme="majorEastAsia"/>
          <w:sz w:val="32"/>
          <w:szCs w:val="32"/>
        </w:rPr>
        <w:instrText xml:space="preserve"> PAGEREF _Toc25958 </w:instrText>
      </w:r>
      <w:r>
        <w:rPr>
          <w:rFonts w:hint="eastAsia" w:asciiTheme="majorEastAsia" w:hAnsiTheme="majorEastAsia" w:eastAsiaTheme="majorEastAsia" w:cstheme="majorEastAsia"/>
          <w:sz w:val="32"/>
          <w:szCs w:val="32"/>
        </w:rPr>
        <w:fldChar w:fldCharType="separate"/>
      </w:r>
      <w:r>
        <w:rPr>
          <w:rFonts w:hint="eastAsia" w:asciiTheme="majorEastAsia" w:hAnsiTheme="majorEastAsia" w:eastAsiaTheme="majorEastAsia" w:cstheme="majorEastAsia"/>
          <w:sz w:val="32"/>
          <w:szCs w:val="32"/>
        </w:rPr>
        <w:t>28</w:t>
      </w:r>
      <w:r>
        <w:rPr>
          <w:rFonts w:hint="eastAsia" w:asciiTheme="majorEastAsia" w:hAnsiTheme="majorEastAsia" w:eastAsiaTheme="majorEastAsia" w:cstheme="majorEastAsia"/>
          <w:sz w:val="32"/>
          <w:szCs w:val="32"/>
        </w:rPr>
        <w:fldChar w:fldCharType="end"/>
      </w:r>
      <w:r>
        <w:rPr>
          <w:rFonts w:hint="eastAsia" w:asciiTheme="majorEastAsia" w:hAnsiTheme="majorEastAsia" w:eastAsiaTheme="majorEastAsia" w:cstheme="majorEastAsia"/>
          <w:sz w:val="32"/>
          <w:szCs w:val="32"/>
        </w:rPr>
        <w:fldChar w:fldCharType="end"/>
      </w:r>
    </w:p>
    <w:p>
      <w:pPr>
        <w:pStyle w:val="20"/>
        <w:tabs>
          <w:tab w:val="right" w:leader="dot" w:pos="9746"/>
        </w:tabs>
        <w:spacing w:line="600" w:lineRule="auto"/>
        <w:rPr>
          <w:rFonts w:asciiTheme="majorEastAsia" w:hAnsiTheme="majorEastAsia" w:eastAsiaTheme="majorEastAsia" w:cstheme="majorEastAsia"/>
          <w:sz w:val="32"/>
          <w:szCs w:val="32"/>
        </w:rPr>
      </w:pPr>
      <w:r>
        <w:fldChar w:fldCharType="begin"/>
      </w:r>
      <w:r>
        <w:instrText xml:space="preserve"> HYPERLINK \l "_Toc24985" </w:instrText>
      </w:r>
      <w:r>
        <w:fldChar w:fldCharType="separate"/>
      </w:r>
      <w:r>
        <w:rPr>
          <w:rFonts w:hint="eastAsia" w:asciiTheme="majorEastAsia" w:hAnsiTheme="majorEastAsia" w:eastAsiaTheme="majorEastAsia" w:cstheme="majorEastAsia"/>
          <w:bCs/>
          <w:sz w:val="32"/>
          <w:szCs w:val="32"/>
        </w:rPr>
        <w:t>五、评标</w:t>
      </w:r>
      <w:r>
        <w:rPr>
          <w:rFonts w:hint="eastAsia" w:asciiTheme="majorEastAsia" w:hAnsiTheme="majorEastAsia" w:eastAsiaTheme="majorEastAsia" w:cstheme="majorEastAsia"/>
          <w:sz w:val="32"/>
          <w:szCs w:val="32"/>
        </w:rPr>
        <w:tab/>
      </w:r>
      <w:r>
        <w:rPr>
          <w:rFonts w:hint="eastAsia" w:asciiTheme="majorEastAsia" w:hAnsiTheme="majorEastAsia" w:eastAsiaTheme="majorEastAsia" w:cstheme="majorEastAsia"/>
          <w:sz w:val="32"/>
          <w:szCs w:val="32"/>
        </w:rPr>
        <w:fldChar w:fldCharType="begin"/>
      </w:r>
      <w:r>
        <w:rPr>
          <w:rFonts w:hint="eastAsia" w:asciiTheme="majorEastAsia" w:hAnsiTheme="majorEastAsia" w:eastAsiaTheme="majorEastAsia" w:cstheme="majorEastAsia"/>
          <w:sz w:val="32"/>
          <w:szCs w:val="32"/>
        </w:rPr>
        <w:instrText xml:space="preserve"> PAGEREF _Toc24985 </w:instrText>
      </w:r>
      <w:r>
        <w:rPr>
          <w:rFonts w:hint="eastAsia" w:asciiTheme="majorEastAsia" w:hAnsiTheme="majorEastAsia" w:eastAsiaTheme="majorEastAsia" w:cstheme="majorEastAsia"/>
          <w:sz w:val="32"/>
          <w:szCs w:val="32"/>
        </w:rPr>
        <w:fldChar w:fldCharType="separate"/>
      </w:r>
      <w:r>
        <w:rPr>
          <w:rFonts w:hint="eastAsia" w:asciiTheme="majorEastAsia" w:hAnsiTheme="majorEastAsia" w:eastAsiaTheme="majorEastAsia" w:cstheme="majorEastAsia"/>
          <w:sz w:val="32"/>
          <w:szCs w:val="32"/>
        </w:rPr>
        <w:t>29</w:t>
      </w:r>
      <w:r>
        <w:rPr>
          <w:rFonts w:hint="eastAsia" w:asciiTheme="majorEastAsia" w:hAnsiTheme="majorEastAsia" w:eastAsiaTheme="majorEastAsia" w:cstheme="majorEastAsia"/>
          <w:sz w:val="32"/>
          <w:szCs w:val="32"/>
        </w:rPr>
        <w:fldChar w:fldCharType="end"/>
      </w:r>
      <w:r>
        <w:rPr>
          <w:rFonts w:hint="eastAsia" w:asciiTheme="majorEastAsia" w:hAnsiTheme="majorEastAsia" w:eastAsiaTheme="majorEastAsia" w:cstheme="majorEastAsia"/>
          <w:sz w:val="32"/>
          <w:szCs w:val="32"/>
        </w:rPr>
        <w:fldChar w:fldCharType="end"/>
      </w:r>
    </w:p>
    <w:p>
      <w:pPr>
        <w:pStyle w:val="20"/>
        <w:tabs>
          <w:tab w:val="right" w:leader="dot" w:pos="9746"/>
        </w:tabs>
        <w:spacing w:line="600" w:lineRule="auto"/>
        <w:rPr>
          <w:rFonts w:asciiTheme="majorEastAsia" w:hAnsiTheme="majorEastAsia" w:eastAsiaTheme="majorEastAsia" w:cstheme="majorEastAsia"/>
          <w:sz w:val="32"/>
          <w:szCs w:val="32"/>
        </w:rPr>
      </w:pPr>
      <w:r>
        <w:fldChar w:fldCharType="begin"/>
      </w:r>
      <w:r>
        <w:instrText xml:space="preserve"> HYPERLINK \l "_Toc12438" </w:instrText>
      </w:r>
      <w:r>
        <w:fldChar w:fldCharType="separate"/>
      </w:r>
      <w:r>
        <w:rPr>
          <w:rFonts w:hint="eastAsia" w:asciiTheme="majorEastAsia" w:hAnsiTheme="majorEastAsia" w:eastAsiaTheme="majorEastAsia" w:cstheme="majorEastAsia"/>
          <w:bCs/>
          <w:sz w:val="32"/>
          <w:szCs w:val="32"/>
        </w:rPr>
        <w:t>六、定标</w:t>
      </w:r>
      <w:r>
        <w:rPr>
          <w:rFonts w:hint="eastAsia" w:asciiTheme="majorEastAsia" w:hAnsiTheme="majorEastAsia" w:eastAsiaTheme="majorEastAsia" w:cstheme="majorEastAsia"/>
          <w:sz w:val="32"/>
          <w:szCs w:val="32"/>
        </w:rPr>
        <w:tab/>
      </w:r>
      <w:r>
        <w:rPr>
          <w:rFonts w:hint="eastAsia" w:asciiTheme="majorEastAsia" w:hAnsiTheme="majorEastAsia" w:eastAsiaTheme="majorEastAsia" w:cstheme="majorEastAsia"/>
          <w:sz w:val="32"/>
          <w:szCs w:val="32"/>
        </w:rPr>
        <w:fldChar w:fldCharType="begin"/>
      </w:r>
      <w:r>
        <w:rPr>
          <w:rFonts w:hint="eastAsia" w:asciiTheme="majorEastAsia" w:hAnsiTheme="majorEastAsia" w:eastAsiaTheme="majorEastAsia" w:cstheme="majorEastAsia"/>
          <w:sz w:val="32"/>
          <w:szCs w:val="32"/>
        </w:rPr>
        <w:instrText xml:space="preserve"> PAGEREF _Toc12438 </w:instrText>
      </w:r>
      <w:r>
        <w:rPr>
          <w:rFonts w:hint="eastAsia" w:asciiTheme="majorEastAsia" w:hAnsiTheme="majorEastAsia" w:eastAsiaTheme="majorEastAsia" w:cstheme="majorEastAsia"/>
          <w:sz w:val="32"/>
          <w:szCs w:val="32"/>
        </w:rPr>
        <w:fldChar w:fldCharType="separate"/>
      </w:r>
      <w:r>
        <w:rPr>
          <w:rFonts w:hint="eastAsia" w:asciiTheme="majorEastAsia" w:hAnsiTheme="majorEastAsia" w:eastAsiaTheme="majorEastAsia" w:cstheme="majorEastAsia"/>
          <w:sz w:val="32"/>
          <w:szCs w:val="32"/>
        </w:rPr>
        <w:t>30</w:t>
      </w:r>
      <w:r>
        <w:rPr>
          <w:rFonts w:hint="eastAsia" w:asciiTheme="majorEastAsia" w:hAnsiTheme="majorEastAsia" w:eastAsiaTheme="majorEastAsia" w:cstheme="majorEastAsia"/>
          <w:sz w:val="32"/>
          <w:szCs w:val="32"/>
        </w:rPr>
        <w:fldChar w:fldCharType="end"/>
      </w:r>
      <w:r>
        <w:rPr>
          <w:rFonts w:hint="eastAsia" w:asciiTheme="majorEastAsia" w:hAnsiTheme="majorEastAsia" w:eastAsiaTheme="majorEastAsia" w:cstheme="majorEastAsia"/>
          <w:sz w:val="32"/>
          <w:szCs w:val="32"/>
        </w:rPr>
        <w:fldChar w:fldCharType="end"/>
      </w:r>
    </w:p>
    <w:p>
      <w:pPr>
        <w:pStyle w:val="18"/>
        <w:tabs>
          <w:tab w:val="right" w:leader="dot" w:pos="9746"/>
        </w:tabs>
        <w:spacing w:line="600" w:lineRule="auto"/>
        <w:rPr>
          <w:rFonts w:asciiTheme="majorEastAsia" w:hAnsiTheme="majorEastAsia" w:eastAsiaTheme="majorEastAsia" w:cstheme="majorEastAsia"/>
          <w:sz w:val="36"/>
          <w:szCs w:val="44"/>
        </w:rPr>
      </w:pPr>
      <w:r>
        <w:fldChar w:fldCharType="begin"/>
      </w:r>
      <w:r>
        <w:instrText xml:space="preserve"> HYPERLINK \l "_Toc3537" </w:instrText>
      </w:r>
      <w:r>
        <w:fldChar w:fldCharType="separate"/>
      </w:r>
      <w:r>
        <w:rPr>
          <w:rFonts w:hint="eastAsia" w:asciiTheme="majorEastAsia" w:hAnsiTheme="majorEastAsia" w:eastAsiaTheme="majorEastAsia" w:cstheme="majorEastAsia"/>
          <w:bCs/>
          <w:sz w:val="36"/>
          <w:szCs w:val="48"/>
        </w:rPr>
        <w:t>第四章、评标办法及评分标准</w:t>
      </w:r>
      <w:r>
        <w:rPr>
          <w:rFonts w:hint="eastAsia" w:asciiTheme="majorEastAsia" w:hAnsiTheme="majorEastAsia" w:eastAsiaTheme="majorEastAsia" w:cstheme="majorEastAsia"/>
          <w:sz w:val="36"/>
          <w:szCs w:val="44"/>
        </w:rPr>
        <w:tab/>
      </w:r>
      <w:r>
        <w:rPr>
          <w:rFonts w:hint="eastAsia" w:asciiTheme="majorEastAsia" w:hAnsiTheme="majorEastAsia" w:eastAsiaTheme="majorEastAsia" w:cstheme="majorEastAsia"/>
          <w:sz w:val="36"/>
          <w:szCs w:val="44"/>
        </w:rPr>
        <w:fldChar w:fldCharType="begin"/>
      </w:r>
      <w:r>
        <w:rPr>
          <w:rFonts w:hint="eastAsia" w:asciiTheme="majorEastAsia" w:hAnsiTheme="majorEastAsia" w:eastAsiaTheme="majorEastAsia" w:cstheme="majorEastAsia"/>
          <w:sz w:val="36"/>
          <w:szCs w:val="44"/>
        </w:rPr>
        <w:instrText xml:space="preserve"> PAGEREF _Toc3537 </w:instrText>
      </w:r>
      <w:r>
        <w:rPr>
          <w:rFonts w:hint="eastAsia" w:asciiTheme="majorEastAsia" w:hAnsiTheme="majorEastAsia" w:eastAsiaTheme="majorEastAsia" w:cstheme="majorEastAsia"/>
          <w:sz w:val="36"/>
          <w:szCs w:val="44"/>
        </w:rPr>
        <w:fldChar w:fldCharType="separate"/>
      </w:r>
      <w:r>
        <w:rPr>
          <w:rFonts w:hint="eastAsia" w:asciiTheme="majorEastAsia" w:hAnsiTheme="majorEastAsia" w:eastAsiaTheme="majorEastAsia" w:cstheme="majorEastAsia"/>
          <w:sz w:val="36"/>
          <w:szCs w:val="44"/>
        </w:rPr>
        <w:t>34</w:t>
      </w:r>
      <w:r>
        <w:rPr>
          <w:rFonts w:hint="eastAsia" w:asciiTheme="majorEastAsia" w:hAnsiTheme="majorEastAsia" w:eastAsiaTheme="majorEastAsia" w:cstheme="majorEastAsia"/>
          <w:sz w:val="36"/>
          <w:szCs w:val="44"/>
        </w:rPr>
        <w:fldChar w:fldCharType="end"/>
      </w:r>
      <w:r>
        <w:rPr>
          <w:rFonts w:hint="eastAsia" w:asciiTheme="majorEastAsia" w:hAnsiTheme="majorEastAsia" w:eastAsiaTheme="majorEastAsia" w:cstheme="majorEastAsia"/>
          <w:sz w:val="36"/>
          <w:szCs w:val="44"/>
        </w:rPr>
        <w:fldChar w:fldCharType="end"/>
      </w:r>
    </w:p>
    <w:p>
      <w:pPr>
        <w:pStyle w:val="18"/>
        <w:tabs>
          <w:tab w:val="right" w:leader="dot" w:pos="9746"/>
        </w:tabs>
        <w:spacing w:line="600" w:lineRule="auto"/>
        <w:rPr>
          <w:rFonts w:asciiTheme="majorEastAsia" w:hAnsiTheme="majorEastAsia" w:eastAsiaTheme="majorEastAsia" w:cstheme="majorEastAsia"/>
          <w:sz w:val="36"/>
          <w:szCs w:val="44"/>
        </w:rPr>
      </w:pPr>
      <w:r>
        <w:fldChar w:fldCharType="begin"/>
      </w:r>
      <w:r>
        <w:instrText xml:space="preserve"> HYPERLINK \l "_Toc24845" </w:instrText>
      </w:r>
      <w:r>
        <w:fldChar w:fldCharType="separate"/>
      </w:r>
      <w:r>
        <w:rPr>
          <w:rFonts w:hint="eastAsia" w:asciiTheme="majorEastAsia" w:hAnsiTheme="majorEastAsia" w:eastAsiaTheme="majorEastAsia" w:cstheme="majorEastAsia"/>
          <w:sz w:val="36"/>
          <w:szCs w:val="52"/>
        </w:rPr>
        <w:t>第五章合同主要条款</w:t>
      </w:r>
      <w:r>
        <w:rPr>
          <w:rFonts w:hint="eastAsia" w:asciiTheme="majorEastAsia" w:hAnsiTheme="majorEastAsia" w:eastAsiaTheme="majorEastAsia" w:cstheme="majorEastAsia"/>
          <w:sz w:val="36"/>
          <w:szCs w:val="44"/>
        </w:rPr>
        <w:tab/>
      </w:r>
      <w:r>
        <w:rPr>
          <w:rFonts w:hint="eastAsia" w:asciiTheme="majorEastAsia" w:hAnsiTheme="majorEastAsia" w:eastAsiaTheme="majorEastAsia" w:cstheme="majorEastAsia"/>
          <w:sz w:val="36"/>
          <w:szCs w:val="44"/>
        </w:rPr>
        <w:fldChar w:fldCharType="begin"/>
      </w:r>
      <w:r>
        <w:rPr>
          <w:rFonts w:hint="eastAsia" w:asciiTheme="majorEastAsia" w:hAnsiTheme="majorEastAsia" w:eastAsiaTheme="majorEastAsia" w:cstheme="majorEastAsia"/>
          <w:sz w:val="36"/>
          <w:szCs w:val="44"/>
        </w:rPr>
        <w:instrText xml:space="preserve"> PAGEREF _Toc24845 </w:instrText>
      </w:r>
      <w:r>
        <w:rPr>
          <w:rFonts w:hint="eastAsia" w:asciiTheme="majorEastAsia" w:hAnsiTheme="majorEastAsia" w:eastAsiaTheme="majorEastAsia" w:cstheme="majorEastAsia"/>
          <w:sz w:val="36"/>
          <w:szCs w:val="44"/>
        </w:rPr>
        <w:fldChar w:fldCharType="separate"/>
      </w:r>
      <w:r>
        <w:rPr>
          <w:rFonts w:hint="eastAsia" w:asciiTheme="majorEastAsia" w:hAnsiTheme="majorEastAsia" w:eastAsiaTheme="majorEastAsia" w:cstheme="majorEastAsia"/>
          <w:sz w:val="36"/>
          <w:szCs w:val="44"/>
        </w:rPr>
        <w:t>38</w:t>
      </w:r>
      <w:r>
        <w:rPr>
          <w:rFonts w:hint="eastAsia" w:asciiTheme="majorEastAsia" w:hAnsiTheme="majorEastAsia" w:eastAsiaTheme="majorEastAsia" w:cstheme="majorEastAsia"/>
          <w:sz w:val="36"/>
          <w:szCs w:val="44"/>
        </w:rPr>
        <w:fldChar w:fldCharType="end"/>
      </w:r>
      <w:r>
        <w:rPr>
          <w:rFonts w:hint="eastAsia" w:asciiTheme="majorEastAsia" w:hAnsiTheme="majorEastAsia" w:eastAsiaTheme="majorEastAsia" w:cstheme="majorEastAsia"/>
          <w:sz w:val="36"/>
          <w:szCs w:val="44"/>
        </w:rPr>
        <w:fldChar w:fldCharType="end"/>
      </w:r>
    </w:p>
    <w:p>
      <w:pPr>
        <w:pStyle w:val="18"/>
        <w:tabs>
          <w:tab w:val="right" w:leader="dot" w:pos="9746"/>
        </w:tabs>
        <w:spacing w:line="600" w:lineRule="auto"/>
        <w:rPr>
          <w:rFonts w:asciiTheme="majorEastAsia" w:hAnsiTheme="majorEastAsia" w:eastAsiaTheme="majorEastAsia" w:cstheme="majorEastAsia"/>
          <w:sz w:val="36"/>
          <w:szCs w:val="44"/>
        </w:rPr>
      </w:pPr>
      <w:r>
        <w:fldChar w:fldCharType="begin"/>
      </w:r>
      <w:r>
        <w:instrText xml:space="preserve"> HYPERLINK \l "_Toc12858" </w:instrText>
      </w:r>
      <w:r>
        <w:fldChar w:fldCharType="separate"/>
      </w:r>
      <w:r>
        <w:rPr>
          <w:rFonts w:hint="eastAsia" w:asciiTheme="majorEastAsia" w:hAnsiTheme="majorEastAsia" w:eastAsiaTheme="majorEastAsia" w:cstheme="majorEastAsia"/>
          <w:bCs/>
          <w:sz w:val="36"/>
          <w:szCs w:val="44"/>
        </w:rPr>
        <w:t>第六章、投标文件格式</w:t>
      </w:r>
      <w:r>
        <w:rPr>
          <w:rFonts w:hint="eastAsia" w:asciiTheme="majorEastAsia" w:hAnsiTheme="majorEastAsia" w:eastAsiaTheme="majorEastAsia" w:cstheme="majorEastAsia"/>
          <w:sz w:val="36"/>
          <w:szCs w:val="44"/>
        </w:rPr>
        <w:tab/>
      </w:r>
      <w:r>
        <w:rPr>
          <w:rFonts w:hint="eastAsia" w:asciiTheme="majorEastAsia" w:hAnsiTheme="majorEastAsia" w:eastAsiaTheme="majorEastAsia" w:cstheme="majorEastAsia"/>
          <w:sz w:val="36"/>
          <w:szCs w:val="44"/>
        </w:rPr>
        <w:fldChar w:fldCharType="begin"/>
      </w:r>
      <w:r>
        <w:rPr>
          <w:rFonts w:hint="eastAsia" w:asciiTheme="majorEastAsia" w:hAnsiTheme="majorEastAsia" w:eastAsiaTheme="majorEastAsia" w:cstheme="majorEastAsia"/>
          <w:sz w:val="36"/>
          <w:szCs w:val="44"/>
        </w:rPr>
        <w:instrText xml:space="preserve"> PAGEREF _Toc12858 </w:instrText>
      </w:r>
      <w:r>
        <w:rPr>
          <w:rFonts w:hint="eastAsia" w:asciiTheme="majorEastAsia" w:hAnsiTheme="majorEastAsia" w:eastAsiaTheme="majorEastAsia" w:cstheme="majorEastAsia"/>
          <w:sz w:val="36"/>
          <w:szCs w:val="44"/>
        </w:rPr>
        <w:fldChar w:fldCharType="separate"/>
      </w:r>
      <w:r>
        <w:rPr>
          <w:rFonts w:hint="eastAsia" w:asciiTheme="majorEastAsia" w:hAnsiTheme="majorEastAsia" w:eastAsiaTheme="majorEastAsia" w:cstheme="majorEastAsia"/>
          <w:sz w:val="36"/>
          <w:szCs w:val="44"/>
        </w:rPr>
        <w:t>64</w:t>
      </w:r>
      <w:r>
        <w:rPr>
          <w:rFonts w:hint="eastAsia" w:asciiTheme="majorEastAsia" w:hAnsiTheme="majorEastAsia" w:eastAsiaTheme="majorEastAsia" w:cstheme="majorEastAsia"/>
          <w:sz w:val="36"/>
          <w:szCs w:val="44"/>
        </w:rPr>
        <w:fldChar w:fldCharType="end"/>
      </w:r>
      <w:r>
        <w:rPr>
          <w:rFonts w:hint="eastAsia" w:asciiTheme="majorEastAsia" w:hAnsiTheme="majorEastAsia" w:eastAsiaTheme="majorEastAsia" w:cstheme="majorEastAsia"/>
          <w:sz w:val="36"/>
          <w:szCs w:val="44"/>
        </w:rPr>
        <w:fldChar w:fldCharType="end"/>
      </w:r>
    </w:p>
    <w:p>
      <w:pPr>
        <w:pStyle w:val="20"/>
        <w:tabs>
          <w:tab w:val="right" w:leader="dot" w:pos="8494"/>
        </w:tabs>
        <w:spacing w:line="600" w:lineRule="auto"/>
        <w:ind w:left="0"/>
        <w:jc w:val="both"/>
        <w:rPr>
          <w:rFonts w:hint="eastAsia" w:asciiTheme="majorEastAsia" w:hAnsiTheme="majorEastAsia" w:eastAsiaTheme="majorEastAsia" w:cstheme="majorEastAsia"/>
          <w:sz w:val="32"/>
          <w:szCs w:val="48"/>
        </w:rPr>
      </w:pPr>
    </w:p>
    <w:p>
      <w:pPr>
        <w:pStyle w:val="20"/>
        <w:tabs>
          <w:tab w:val="right" w:leader="dot" w:pos="8494"/>
        </w:tabs>
        <w:spacing w:line="600" w:lineRule="auto"/>
        <w:ind w:left="0"/>
        <w:jc w:val="both"/>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2"/>
          <w:szCs w:val="48"/>
        </w:rPr>
        <w:fldChar w:fldCharType="end"/>
      </w:r>
    </w:p>
    <w:p>
      <w:pPr>
        <w:spacing w:beforeLines="50" w:afterLines="50"/>
        <w:outlineLvl w:val="0"/>
        <w:rPr>
          <w:rFonts w:asciiTheme="majorEastAsia" w:hAnsiTheme="majorEastAsia" w:eastAsiaTheme="majorEastAsia" w:cstheme="majorEastAsia"/>
          <w:b/>
          <w:bCs/>
          <w:sz w:val="32"/>
          <w:szCs w:val="30"/>
        </w:rPr>
      </w:pPr>
    </w:p>
    <w:p>
      <w:pPr>
        <w:spacing w:beforeLines="50" w:afterLines="50"/>
        <w:jc w:val="center"/>
        <w:outlineLvl w:val="0"/>
        <w:rPr>
          <w:rFonts w:asciiTheme="majorEastAsia" w:hAnsiTheme="majorEastAsia" w:eastAsiaTheme="majorEastAsia" w:cstheme="majorEastAsia"/>
          <w:b/>
          <w:bCs/>
          <w:sz w:val="32"/>
          <w:szCs w:val="30"/>
        </w:rPr>
      </w:pPr>
      <w:bookmarkStart w:id="1" w:name="_Toc7568"/>
    </w:p>
    <w:p>
      <w:pPr>
        <w:spacing w:beforeLines="50" w:afterLines="50"/>
        <w:jc w:val="center"/>
        <w:outlineLvl w:val="0"/>
        <w:rPr>
          <w:rFonts w:asciiTheme="majorEastAsia" w:hAnsiTheme="majorEastAsia" w:eastAsiaTheme="majorEastAsia" w:cstheme="majorEastAsia"/>
          <w:b/>
          <w:bCs/>
          <w:sz w:val="30"/>
          <w:szCs w:val="30"/>
        </w:rPr>
      </w:pPr>
      <w:r>
        <w:rPr>
          <w:rFonts w:hint="eastAsia" w:asciiTheme="majorEastAsia" w:hAnsiTheme="majorEastAsia" w:eastAsiaTheme="majorEastAsia" w:cstheme="majorEastAsia"/>
          <w:b/>
          <w:bCs/>
          <w:sz w:val="32"/>
          <w:szCs w:val="30"/>
        </w:rPr>
        <w:t>第一章、公开招标采购公告</w:t>
      </w:r>
      <w:bookmarkEnd w:id="1"/>
    </w:p>
    <w:p>
      <w:pPr>
        <w:widowControl/>
        <w:spacing w:line="360" w:lineRule="exact"/>
        <w:ind w:left="44" w:leftChars="21" w:right="60" w:firstLine="480" w:firstLineChars="200"/>
        <w:rPr>
          <w:rFonts w:asciiTheme="majorEastAsia" w:hAnsiTheme="majorEastAsia" w:eastAsiaTheme="majorEastAsia" w:cstheme="majorEastAsia"/>
          <w:b/>
          <w:bCs/>
          <w:color w:val="auto"/>
          <w:kern w:val="0"/>
          <w:sz w:val="24"/>
          <w:u w:val="single"/>
        </w:rPr>
      </w:pPr>
      <w:r>
        <w:rPr>
          <w:rFonts w:hint="eastAsia" w:asciiTheme="majorEastAsia" w:hAnsiTheme="majorEastAsia" w:eastAsiaTheme="majorEastAsia" w:cstheme="majorEastAsia"/>
          <w:kern w:val="0"/>
          <w:sz w:val="24"/>
        </w:rPr>
        <w:t>根据《中华人民共和国政府采购法》、《政府采购货物和服务招标投标管理办法》及相关法律、法规等规定，经</w:t>
      </w:r>
      <w:r>
        <w:rPr>
          <w:rFonts w:hint="eastAsia" w:asciiTheme="majorEastAsia" w:hAnsiTheme="majorEastAsia" w:eastAsiaTheme="majorEastAsia" w:cstheme="majorEastAsia"/>
          <w:kern w:val="0"/>
          <w:sz w:val="24"/>
          <w:u w:val="single"/>
        </w:rPr>
        <w:t>湖州市吴兴区财政局政府采购监管处（</w:t>
      </w:r>
      <w:r>
        <w:rPr>
          <w:rFonts w:hint="eastAsia" w:asciiTheme="majorEastAsia" w:hAnsiTheme="majorEastAsia" w:eastAsiaTheme="majorEastAsia" w:cstheme="majorEastAsia"/>
          <w:b/>
          <w:bCs/>
          <w:kern w:val="0"/>
          <w:sz w:val="24"/>
          <w:u w:val="single"/>
        </w:rPr>
        <w:t>财政审批编号：临［2020］4860号</w:t>
      </w:r>
      <w:r>
        <w:rPr>
          <w:rFonts w:hint="eastAsia" w:asciiTheme="majorEastAsia" w:hAnsiTheme="majorEastAsia" w:eastAsiaTheme="majorEastAsia" w:cstheme="majorEastAsia"/>
          <w:kern w:val="0"/>
          <w:sz w:val="24"/>
          <w:u w:val="single"/>
        </w:rPr>
        <w:t>）</w:t>
      </w:r>
      <w:r>
        <w:rPr>
          <w:rFonts w:hint="eastAsia" w:asciiTheme="majorEastAsia" w:hAnsiTheme="majorEastAsia" w:eastAsiaTheme="majorEastAsia" w:cstheme="majorEastAsia"/>
          <w:kern w:val="0"/>
          <w:sz w:val="24"/>
        </w:rPr>
        <w:t>批准，现</w:t>
      </w:r>
      <w:r>
        <w:rPr>
          <w:rFonts w:hint="eastAsia" w:asciiTheme="majorEastAsia" w:hAnsiTheme="majorEastAsia" w:eastAsiaTheme="majorEastAsia" w:cstheme="majorEastAsia"/>
          <w:color w:val="auto"/>
          <w:kern w:val="0"/>
          <w:sz w:val="24"/>
        </w:rPr>
        <w:t>就</w:t>
      </w:r>
      <w:r>
        <w:rPr>
          <w:rFonts w:hint="eastAsia" w:asciiTheme="majorEastAsia" w:hAnsiTheme="majorEastAsia" w:eastAsiaTheme="majorEastAsia" w:cstheme="majorEastAsia"/>
          <w:b/>
          <w:color w:val="auto"/>
          <w:kern w:val="0"/>
          <w:sz w:val="24"/>
          <w:u w:val="single"/>
          <w:lang w:eastAsia="zh-CN"/>
        </w:rPr>
        <w:t>湖东街道零星维修项目</w:t>
      </w:r>
      <w:r>
        <w:rPr>
          <w:rFonts w:hint="eastAsia" w:asciiTheme="majorEastAsia" w:hAnsiTheme="majorEastAsia" w:eastAsiaTheme="majorEastAsia" w:cstheme="majorEastAsia"/>
          <w:color w:val="auto"/>
          <w:kern w:val="0"/>
          <w:sz w:val="24"/>
        </w:rPr>
        <w:t>进行公开招标采购，欢迎中华人民共和国境内的合格投标人前来参加投标。</w:t>
      </w:r>
    </w:p>
    <w:p>
      <w:pPr>
        <w:widowControl/>
        <w:spacing w:line="360" w:lineRule="exact"/>
        <w:jc w:val="left"/>
        <w:rPr>
          <w:rFonts w:asciiTheme="majorEastAsia" w:hAnsiTheme="majorEastAsia" w:eastAsiaTheme="majorEastAsia" w:cstheme="majorEastAsia"/>
          <w:color w:val="auto"/>
          <w:kern w:val="0"/>
          <w:sz w:val="24"/>
        </w:rPr>
      </w:pPr>
      <w:r>
        <w:rPr>
          <w:rFonts w:hint="eastAsia" w:asciiTheme="majorEastAsia" w:hAnsiTheme="majorEastAsia" w:eastAsiaTheme="majorEastAsia" w:cstheme="majorEastAsia"/>
          <w:b/>
          <w:bCs/>
          <w:color w:val="auto"/>
          <w:kern w:val="0"/>
          <w:sz w:val="24"/>
        </w:rPr>
        <w:t>一．招标项目编号：大地采字（2020）-225</w:t>
      </w:r>
    </w:p>
    <w:p>
      <w:pPr>
        <w:widowControl/>
        <w:spacing w:line="360" w:lineRule="exact"/>
        <w:jc w:val="left"/>
        <w:rPr>
          <w:rFonts w:asciiTheme="majorEastAsia" w:hAnsiTheme="majorEastAsia" w:eastAsiaTheme="majorEastAsia" w:cstheme="majorEastAsia"/>
          <w:color w:val="auto"/>
          <w:kern w:val="0"/>
          <w:sz w:val="24"/>
        </w:rPr>
      </w:pPr>
      <w:r>
        <w:rPr>
          <w:rFonts w:hint="eastAsia" w:asciiTheme="majorEastAsia" w:hAnsiTheme="majorEastAsia" w:eastAsiaTheme="majorEastAsia" w:cstheme="majorEastAsia"/>
          <w:b/>
          <w:bCs/>
          <w:color w:val="auto"/>
          <w:kern w:val="0"/>
          <w:sz w:val="24"/>
        </w:rPr>
        <w:t>二．采购组织类型：</w:t>
      </w:r>
      <w:r>
        <w:rPr>
          <w:rFonts w:hint="eastAsia" w:asciiTheme="majorEastAsia" w:hAnsiTheme="majorEastAsia" w:eastAsiaTheme="majorEastAsia" w:cstheme="majorEastAsia"/>
          <w:color w:val="auto"/>
          <w:kern w:val="0"/>
          <w:sz w:val="24"/>
        </w:rPr>
        <w:t>分散采购委托代理</w:t>
      </w:r>
    </w:p>
    <w:p>
      <w:pPr>
        <w:widowControl/>
        <w:spacing w:line="360" w:lineRule="exact"/>
        <w:jc w:val="left"/>
        <w:rPr>
          <w:rFonts w:asciiTheme="majorEastAsia" w:hAnsiTheme="majorEastAsia" w:eastAsiaTheme="majorEastAsia" w:cstheme="majorEastAsia"/>
          <w:b/>
          <w:bCs/>
          <w:color w:val="auto"/>
          <w:kern w:val="0"/>
          <w:sz w:val="24"/>
        </w:rPr>
      </w:pPr>
      <w:r>
        <w:rPr>
          <w:rFonts w:hint="eastAsia" w:asciiTheme="majorEastAsia" w:hAnsiTheme="majorEastAsia" w:eastAsiaTheme="majorEastAsia" w:cstheme="majorEastAsia"/>
          <w:b/>
          <w:bCs/>
          <w:color w:val="auto"/>
          <w:kern w:val="0"/>
          <w:sz w:val="24"/>
        </w:rPr>
        <w:t>三．招标项目概况：</w:t>
      </w:r>
    </w:p>
    <w:tbl>
      <w:tblPr>
        <w:tblStyle w:val="24"/>
        <w:tblW w:w="1061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77"/>
        <w:gridCol w:w="2667"/>
        <w:gridCol w:w="833"/>
        <w:gridCol w:w="1017"/>
        <w:gridCol w:w="1950"/>
        <w:gridCol w:w="13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8" w:hRule="atLeast"/>
          <w:jc w:val="center"/>
        </w:trPr>
        <w:tc>
          <w:tcPr>
            <w:tcW w:w="27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color w:val="auto"/>
                <w:sz w:val="24"/>
              </w:rPr>
            </w:pPr>
            <w:r>
              <w:rPr>
                <w:rFonts w:hint="eastAsia" w:asciiTheme="majorEastAsia" w:hAnsiTheme="majorEastAsia" w:eastAsiaTheme="majorEastAsia" w:cstheme="majorEastAsia"/>
                <w:bCs/>
                <w:color w:val="auto"/>
                <w:sz w:val="24"/>
              </w:rPr>
              <w:t>序号</w:t>
            </w:r>
          </w:p>
        </w:tc>
        <w:tc>
          <w:tcPr>
            <w:tcW w:w="26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color w:val="auto"/>
                <w:sz w:val="24"/>
              </w:rPr>
            </w:pPr>
            <w:r>
              <w:rPr>
                <w:rFonts w:hint="eastAsia" w:asciiTheme="majorEastAsia" w:hAnsiTheme="majorEastAsia" w:eastAsiaTheme="majorEastAsia" w:cstheme="majorEastAsia"/>
                <w:bCs/>
                <w:color w:val="auto"/>
                <w:sz w:val="24"/>
              </w:rPr>
              <w:t>采购内容</w:t>
            </w:r>
          </w:p>
        </w:tc>
        <w:tc>
          <w:tcPr>
            <w:tcW w:w="8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color w:val="auto"/>
                <w:sz w:val="24"/>
              </w:rPr>
            </w:pPr>
            <w:r>
              <w:rPr>
                <w:rFonts w:hint="eastAsia" w:asciiTheme="majorEastAsia" w:hAnsiTheme="majorEastAsia" w:eastAsiaTheme="majorEastAsia" w:cstheme="majorEastAsia"/>
                <w:bCs/>
                <w:color w:val="auto"/>
                <w:sz w:val="24"/>
              </w:rPr>
              <w:t>单位</w:t>
            </w:r>
          </w:p>
        </w:tc>
        <w:tc>
          <w:tcPr>
            <w:tcW w:w="101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color w:val="auto"/>
                <w:sz w:val="24"/>
              </w:rPr>
            </w:pPr>
            <w:r>
              <w:rPr>
                <w:rFonts w:hint="eastAsia" w:asciiTheme="majorEastAsia" w:hAnsiTheme="majorEastAsia" w:eastAsiaTheme="majorEastAsia" w:cstheme="majorEastAsia"/>
                <w:bCs/>
                <w:color w:val="auto"/>
                <w:sz w:val="24"/>
              </w:rPr>
              <w:t>数量</w:t>
            </w:r>
          </w:p>
        </w:tc>
        <w:tc>
          <w:tcPr>
            <w:tcW w:w="19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color w:val="auto"/>
                <w:sz w:val="24"/>
              </w:rPr>
            </w:pPr>
            <w:r>
              <w:rPr>
                <w:rFonts w:hint="eastAsia" w:asciiTheme="majorEastAsia" w:hAnsiTheme="majorEastAsia" w:eastAsiaTheme="majorEastAsia" w:cstheme="majorEastAsia"/>
                <w:bCs/>
                <w:color w:val="auto"/>
                <w:sz w:val="24"/>
              </w:rPr>
              <w:t>预算金额</w:t>
            </w:r>
          </w:p>
          <w:p>
            <w:pPr>
              <w:snapToGrid w:val="0"/>
              <w:jc w:val="center"/>
              <w:rPr>
                <w:rFonts w:asciiTheme="majorEastAsia" w:hAnsiTheme="majorEastAsia" w:eastAsiaTheme="majorEastAsia" w:cstheme="majorEastAsia"/>
                <w:bCs/>
                <w:color w:val="auto"/>
                <w:sz w:val="24"/>
              </w:rPr>
            </w:pPr>
            <w:r>
              <w:rPr>
                <w:rFonts w:hint="eastAsia" w:asciiTheme="majorEastAsia" w:hAnsiTheme="majorEastAsia" w:eastAsiaTheme="majorEastAsia" w:cstheme="majorEastAsia"/>
                <w:bCs/>
                <w:color w:val="auto"/>
                <w:sz w:val="24"/>
              </w:rPr>
              <w:t>（人民币）</w:t>
            </w:r>
          </w:p>
        </w:tc>
        <w:tc>
          <w:tcPr>
            <w:tcW w:w="137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color w:val="auto"/>
                <w:sz w:val="24"/>
              </w:rPr>
            </w:pPr>
            <w:r>
              <w:rPr>
                <w:rFonts w:hint="eastAsia" w:asciiTheme="majorEastAsia" w:hAnsiTheme="majorEastAsia" w:eastAsiaTheme="majorEastAsia" w:cstheme="majorEastAsia"/>
                <w:bCs/>
                <w:color w:val="auto"/>
                <w:sz w:val="24"/>
              </w:rPr>
              <w:t>服务期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1" w:hRule="atLeast"/>
          <w:jc w:val="center"/>
        </w:trPr>
        <w:tc>
          <w:tcPr>
            <w:tcW w:w="27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color w:val="auto"/>
                <w:sz w:val="24"/>
                <w:u w:val="none"/>
              </w:rPr>
            </w:pPr>
            <w:r>
              <w:rPr>
                <w:rFonts w:hint="eastAsia" w:asciiTheme="majorEastAsia" w:hAnsiTheme="majorEastAsia" w:eastAsiaTheme="majorEastAsia" w:cstheme="majorEastAsia"/>
                <w:b/>
                <w:color w:val="auto"/>
                <w:kern w:val="0"/>
                <w:sz w:val="24"/>
                <w:u w:val="none"/>
                <w:lang w:eastAsia="zh-CN"/>
              </w:rPr>
              <w:t>湖东街道零星维修项目（标项一）</w:t>
            </w:r>
          </w:p>
        </w:tc>
        <w:tc>
          <w:tcPr>
            <w:tcW w:w="26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ajorEastAsia" w:hAnsiTheme="majorEastAsia" w:eastAsiaTheme="majorEastAsia" w:cstheme="majorEastAsia"/>
                <w:b w:val="0"/>
                <w:bCs/>
                <w:color w:val="auto"/>
                <w:sz w:val="24"/>
                <w:lang w:eastAsia="zh-CN"/>
              </w:rPr>
            </w:pPr>
            <w:r>
              <w:rPr>
                <w:rFonts w:hint="eastAsia" w:asciiTheme="majorEastAsia" w:hAnsiTheme="majorEastAsia" w:eastAsiaTheme="majorEastAsia" w:cstheme="majorEastAsia"/>
                <w:b w:val="0"/>
                <w:bCs/>
                <w:color w:val="auto"/>
                <w:kern w:val="0"/>
                <w:sz w:val="24"/>
                <w:lang w:eastAsia="zh-CN"/>
              </w:rPr>
              <w:t>湖东街道</w:t>
            </w:r>
            <w:r>
              <w:rPr>
                <w:rFonts w:hint="eastAsia" w:asciiTheme="majorEastAsia" w:hAnsiTheme="majorEastAsia" w:eastAsiaTheme="majorEastAsia" w:cstheme="majorEastAsia"/>
                <w:b w:val="0"/>
                <w:bCs/>
                <w:color w:val="auto"/>
                <w:kern w:val="0"/>
                <w:sz w:val="24"/>
              </w:rPr>
              <w:t>大升路以</w:t>
            </w:r>
            <w:r>
              <w:rPr>
                <w:rFonts w:hint="eastAsia" w:asciiTheme="majorEastAsia" w:hAnsiTheme="majorEastAsia" w:eastAsiaTheme="majorEastAsia" w:cstheme="majorEastAsia"/>
                <w:b w:val="0"/>
                <w:bCs/>
                <w:color w:val="auto"/>
                <w:kern w:val="0"/>
                <w:sz w:val="24"/>
                <w:lang w:eastAsia="zh-CN"/>
              </w:rPr>
              <w:t>西</w:t>
            </w:r>
            <w:r>
              <w:rPr>
                <w:rFonts w:hint="eastAsia" w:asciiTheme="majorEastAsia" w:hAnsiTheme="majorEastAsia" w:eastAsiaTheme="majorEastAsia" w:cstheme="majorEastAsia"/>
                <w:b w:val="0"/>
                <w:bCs/>
                <w:color w:val="auto"/>
                <w:kern w:val="0"/>
                <w:sz w:val="24"/>
              </w:rPr>
              <w:t>段</w:t>
            </w:r>
            <w:r>
              <w:rPr>
                <w:rFonts w:hint="eastAsia" w:asciiTheme="majorEastAsia" w:hAnsiTheme="majorEastAsia" w:eastAsiaTheme="majorEastAsia" w:cstheme="majorEastAsia"/>
                <w:b w:val="0"/>
                <w:bCs/>
                <w:color w:val="auto"/>
                <w:kern w:val="0"/>
                <w:sz w:val="24"/>
                <w:lang w:eastAsia="zh-CN"/>
              </w:rPr>
              <w:t>市政绿化</w:t>
            </w:r>
            <w:r>
              <w:rPr>
                <w:rFonts w:hint="eastAsia" w:asciiTheme="majorEastAsia" w:hAnsiTheme="majorEastAsia" w:eastAsiaTheme="majorEastAsia" w:cstheme="majorEastAsia"/>
                <w:b w:val="0"/>
                <w:bCs/>
                <w:color w:val="auto"/>
                <w:kern w:val="0"/>
                <w:sz w:val="24"/>
              </w:rPr>
              <w:t>零星维修</w:t>
            </w:r>
            <w:r>
              <w:rPr>
                <w:rFonts w:hint="eastAsia" w:asciiTheme="majorEastAsia" w:hAnsiTheme="majorEastAsia" w:eastAsiaTheme="majorEastAsia" w:cstheme="majorEastAsia"/>
                <w:b w:val="0"/>
                <w:bCs/>
                <w:color w:val="auto"/>
                <w:kern w:val="0"/>
                <w:sz w:val="24"/>
                <w:lang w:eastAsia="zh-CN"/>
              </w:rPr>
              <w:t>等</w:t>
            </w:r>
          </w:p>
        </w:tc>
        <w:tc>
          <w:tcPr>
            <w:tcW w:w="8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color w:val="auto"/>
                <w:sz w:val="24"/>
              </w:rPr>
            </w:pPr>
            <w:r>
              <w:rPr>
                <w:rFonts w:hint="eastAsia" w:asciiTheme="majorEastAsia" w:hAnsiTheme="majorEastAsia" w:eastAsiaTheme="majorEastAsia" w:cstheme="majorEastAsia"/>
                <w:bCs/>
                <w:color w:val="auto"/>
                <w:sz w:val="24"/>
              </w:rPr>
              <w:t>项</w:t>
            </w:r>
          </w:p>
        </w:tc>
        <w:tc>
          <w:tcPr>
            <w:tcW w:w="101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color w:val="auto"/>
                <w:sz w:val="24"/>
              </w:rPr>
            </w:pPr>
            <w:r>
              <w:rPr>
                <w:rFonts w:hint="eastAsia" w:asciiTheme="majorEastAsia" w:hAnsiTheme="majorEastAsia" w:eastAsiaTheme="majorEastAsia" w:cstheme="majorEastAsia"/>
                <w:bCs/>
                <w:color w:val="auto"/>
                <w:sz w:val="24"/>
              </w:rPr>
              <w:t>1</w:t>
            </w:r>
          </w:p>
        </w:tc>
        <w:tc>
          <w:tcPr>
            <w:tcW w:w="19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color w:val="auto"/>
                <w:sz w:val="24"/>
              </w:rPr>
            </w:pPr>
            <w:r>
              <w:rPr>
                <w:rFonts w:hint="eastAsia" w:asciiTheme="majorEastAsia" w:hAnsiTheme="majorEastAsia" w:eastAsiaTheme="majorEastAsia" w:cstheme="majorEastAsia"/>
                <w:bCs/>
                <w:color w:val="auto"/>
                <w:sz w:val="24"/>
              </w:rPr>
              <w:t>1000万元</w:t>
            </w:r>
          </w:p>
        </w:tc>
        <w:tc>
          <w:tcPr>
            <w:tcW w:w="137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color w:val="auto"/>
                <w:sz w:val="24"/>
              </w:rPr>
            </w:pPr>
            <w:r>
              <w:rPr>
                <w:rFonts w:hint="eastAsia" w:asciiTheme="majorEastAsia" w:hAnsiTheme="majorEastAsia" w:eastAsiaTheme="majorEastAsia" w:cstheme="majorEastAsia"/>
                <w:bCs/>
                <w:color w:val="auto"/>
                <w:sz w:val="24"/>
              </w:rPr>
              <w:t>两年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7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color w:val="auto"/>
                <w:sz w:val="24"/>
                <w:u w:val="none"/>
              </w:rPr>
            </w:pPr>
            <w:r>
              <w:rPr>
                <w:rFonts w:hint="eastAsia" w:asciiTheme="majorEastAsia" w:hAnsiTheme="majorEastAsia" w:eastAsiaTheme="majorEastAsia" w:cstheme="majorEastAsia"/>
                <w:b/>
                <w:color w:val="auto"/>
                <w:kern w:val="0"/>
                <w:sz w:val="24"/>
                <w:u w:val="none"/>
                <w:lang w:eastAsia="zh-CN"/>
              </w:rPr>
              <w:t>湖东街道零星维修项目（标项二）</w:t>
            </w:r>
          </w:p>
        </w:tc>
        <w:tc>
          <w:tcPr>
            <w:tcW w:w="26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ajorEastAsia" w:hAnsiTheme="majorEastAsia" w:eastAsiaTheme="majorEastAsia" w:cstheme="majorEastAsia"/>
                <w:b w:val="0"/>
                <w:bCs/>
                <w:color w:val="auto"/>
                <w:kern w:val="0"/>
                <w:sz w:val="24"/>
                <w:lang w:eastAsia="zh-CN"/>
              </w:rPr>
            </w:pPr>
            <w:r>
              <w:rPr>
                <w:rFonts w:hint="eastAsia" w:asciiTheme="majorEastAsia" w:hAnsiTheme="majorEastAsia" w:eastAsiaTheme="majorEastAsia" w:cstheme="majorEastAsia"/>
                <w:b w:val="0"/>
                <w:bCs/>
                <w:color w:val="auto"/>
                <w:kern w:val="0"/>
                <w:sz w:val="24"/>
                <w:lang w:eastAsia="zh-CN"/>
              </w:rPr>
              <w:t>湖东街道</w:t>
            </w:r>
            <w:r>
              <w:rPr>
                <w:rFonts w:hint="eastAsia" w:asciiTheme="majorEastAsia" w:hAnsiTheme="majorEastAsia" w:eastAsiaTheme="majorEastAsia" w:cstheme="majorEastAsia"/>
                <w:b w:val="0"/>
                <w:bCs/>
                <w:color w:val="auto"/>
                <w:kern w:val="0"/>
                <w:sz w:val="24"/>
              </w:rPr>
              <w:t>大升路以</w:t>
            </w:r>
            <w:r>
              <w:rPr>
                <w:rFonts w:hint="eastAsia" w:asciiTheme="majorEastAsia" w:hAnsiTheme="majorEastAsia" w:eastAsiaTheme="majorEastAsia" w:cstheme="majorEastAsia"/>
                <w:b w:val="0"/>
                <w:bCs/>
                <w:color w:val="auto"/>
                <w:kern w:val="0"/>
                <w:sz w:val="24"/>
                <w:lang w:eastAsia="zh-CN"/>
              </w:rPr>
              <w:t>东</w:t>
            </w:r>
            <w:r>
              <w:rPr>
                <w:rFonts w:hint="eastAsia" w:asciiTheme="majorEastAsia" w:hAnsiTheme="majorEastAsia" w:eastAsiaTheme="majorEastAsia" w:cstheme="majorEastAsia"/>
                <w:b w:val="0"/>
                <w:bCs/>
                <w:color w:val="auto"/>
                <w:kern w:val="0"/>
                <w:sz w:val="24"/>
              </w:rPr>
              <w:t>段</w:t>
            </w:r>
            <w:r>
              <w:rPr>
                <w:rFonts w:hint="eastAsia" w:asciiTheme="majorEastAsia" w:hAnsiTheme="majorEastAsia" w:eastAsiaTheme="majorEastAsia" w:cstheme="majorEastAsia"/>
                <w:b w:val="0"/>
                <w:bCs/>
                <w:color w:val="auto"/>
                <w:kern w:val="0"/>
                <w:sz w:val="24"/>
                <w:lang w:eastAsia="zh-CN"/>
              </w:rPr>
              <w:t>市政绿化</w:t>
            </w:r>
            <w:r>
              <w:rPr>
                <w:rFonts w:hint="eastAsia" w:asciiTheme="majorEastAsia" w:hAnsiTheme="majorEastAsia" w:eastAsiaTheme="majorEastAsia" w:cstheme="majorEastAsia"/>
                <w:b w:val="0"/>
                <w:bCs/>
                <w:color w:val="auto"/>
                <w:kern w:val="0"/>
                <w:sz w:val="24"/>
              </w:rPr>
              <w:t>零星维修</w:t>
            </w:r>
            <w:r>
              <w:rPr>
                <w:rFonts w:hint="eastAsia" w:asciiTheme="majorEastAsia" w:hAnsiTheme="majorEastAsia" w:eastAsiaTheme="majorEastAsia" w:cstheme="majorEastAsia"/>
                <w:b w:val="0"/>
                <w:bCs/>
                <w:color w:val="auto"/>
                <w:kern w:val="0"/>
                <w:sz w:val="24"/>
                <w:lang w:eastAsia="zh-CN"/>
              </w:rPr>
              <w:t>等</w:t>
            </w:r>
          </w:p>
        </w:tc>
        <w:tc>
          <w:tcPr>
            <w:tcW w:w="8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color w:val="auto"/>
                <w:sz w:val="24"/>
              </w:rPr>
            </w:pPr>
            <w:r>
              <w:rPr>
                <w:rFonts w:hint="eastAsia" w:asciiTheme="majorEastAsia" w:hAnsiTheme="majorEastAsia" w:eastAsiaTheme="majorEastAsia" w:cstheme="majorEastAsia"/>
                <w:bCs/>
                <w:color w:val="auto"/>
                <w:sz w:val="24"/>
              </w:rPr>
              <w:t>项</w:t>
            </w:r>
          </w:p>
        </w:tc>
        <w:tc>
          <w:tcPr>
            <w:tcW w:w="101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color w:val="auto"/>
                <w:sz w:val="24"/>
              </w:rPr>
            </w:pPr>
            <w:r>
              <w:rPr>
                <w:rFonts w:hint="eastAsia" w:asciiTheme="majorEastAsia" w:hAnsiTheme="majorEastAsia" w:eastAsiaTheme="majorEastAsia" w:cstheme="majorEastAsia"/>
                <w:bCs/>
                <w:color w:val="auto"/>
                <w:sz w:val="24"/>
              </w:rPr>
              <w:t>1</w:t>
            </w:r>
          </w:p>
        </w:tc>
        <w:tc>
          <w:tcPr>
            <w:tcW w:w="19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color w:val="auto"/>
                <w:sz w:val="24"/>
              </w:rPr>
            </w:pPr>
            <w:r>
              <w:rPr>
                <w:rFonts w:hint="eastAsia" w:asciiTheme="majorEastAsia" w:hAnsiTheme="majorEastAsia" w:eastAsiaTheme="majorEastAsia" w:cstheme="majorEastAsia"/>
                <w:bCs/>
                <w:color w:val="auto"/>
                <w:sz w:val="24"/>
              </w:rPr>
              <w:t>1000万元</w:t>
            </w:r>
          </w:p>
        </w:tc>
        <w:tc>
          <w:tcPr>
            <w:tcW w:w="137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color w:val="auto"/>
                <w:sz w:val="24"/>
              </w:rPr>
            </w:pPr>
            <w:r>
              <w:rPr>
                <w:rFonts w:hint="eastAsia" w:asciiTheme="majorEastAsia" w:hAnsiTheme="majorEastAsia" w:eastAsiaTheme="majorEastAsia" w:cstheme="majorEastAsia"/>
                <w:bCs/>
                <w:color w:val="auto"/>
                <w:sz w:val="24"/>
              </w:rPr>
              <w:t>两年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1" w:hRule="atLeast"/>
          <w:jc w:val="center"/>
        </w:trPr>
        <w:tc>
          <w:tcPr>
            <w:tcW w:w="27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color w:val="auto"/>
                <w:sz w:val="24"/>
                <w:u w:val="none"/>
              </w:rPr>
            </w:pPr>
            <w:r>
              <w:rPr>
                <w:rFonts w:hint="eastAsia" w:asciiTheme="majorEastAsia" w:hAnsiTheme="majorEastAsia" w:eastAsiaTheme="majorEastAsia" w:cstheme="majorEastAsia"/>
                <w:b/>
                <w:color w:val="auto"/>
                <w:kern w:val="0"/>
                <w:sz w:val="24"/>
                <w:u w:val="none"/>
                <w:lang w:eastAsia="zh-CN"/>
              </w:rPr>
              <w:t>湖东街道零星维修项目（标项三）</w:t>
            </w:r>
          </w:p>
        </w:tc>
        <w:tc>
          <w:tcPr>
            <w:tcW w:w="26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color w:val="auto"/>
                <w:kern w:val="0"/>
                <w:sz w:val="24"/>
              </w:rPr>
            </w:pPr>
            <w:r>
              <w:rPr>
                <w:rFonts w:hint="eastAsia" w:asciiTheme="majorEastAsia" w:hAnsiTheme="majorEastAsia" w:eastAsiaTheme="majorEastAsia" w:cstheme="majorEastAsia"/>
                <w:bCs/>
                <w:color w:val="auto"/>
                <w:kern w:val="0"/>
                <w:sz w:val="24"/>
                <w:lang w:eastAsia="zh-CN"/>
              </w:rPr>
              <w:t>湖东街道房建维修等</w:t>
            </w:r>
          </w:p>
        </w:tc>
        <w:tc>
          <w:tcPr>
            <w:tcW w:w="8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color w:val="auto"/>
                <w:sz w:val="24"/>
              </w:rPr>
            </w:pPr>
            <w:r>
              <w:rPr>
                <w:rFonts w:hint="eastAsia" w:asciiTheme="majorEastAsia" w:hAnsiTheme="majorEastAsia" w:eastAsiaTheme="majorEastAsia" w:cstheme="majorEastAsia"/>
                <w:bCs/>
                <w:color w:val="auto"/>
                <w:sz w:val="24"/>
              </w:rPr>
              <w:t>项</w:t>
            </w:r>
          </w:p>
        </w:tc>
        <w:tc>
          <w:tcPr>
            <w:tcW w:w="101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color w:val="auto"/>
                <w:sz w:val="24"/>
              </w:rPr>
            </w:pPr>
            <w:r>
              <w:rPr>
                <w:rFonts w:hint="eastAsia" w:asciiTheme="majorEastAsia" w:hAnsiTheme="majorEastAsia" w:eastAsiaTheme="majorEastAsia" w:cstheme="majorEastAsia"/>
                <w:bCs/>
                <w:color w:val="auto"/>
                <w:sz w:val="24"/>
              </w:rPr>
              <w:t>1</w:t>
            </w:r>
          </w:p>
        </w:tc>
        <w:tc>
          <w:tcPr>
            <w:tcW w:w="19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color w:val="auto"/>
                <w:sz w:val="24"/>
              </w:rPr>
            </w:pPr>
            <w:r>
              <w:rPr>
                <w:rFonts w:hint="eastAsia" w:asciiTheme="majorEastAsia" w:hAnsiTheme="majorEastAsia" w:eastAsiaTheme="majorEastAsia" w:cstheme="majorEastAsia"/>
                <w:bCs/>
                <w:color w:val="auto"/>
                <w:sz w:val="24"/>
              </w:rPr>
              <w:t>1000万元</w:t>
            </w:r>
          </w:p>
        </w:tc>
        <w:tc>
          <w:tcPr>
            <w:tcW w:w="137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color w:val="auto"/>
                <w:sz w:val="24"/>
              </w:rPr>
            </w:pPr>
            <w:r>
              <w:rPr>
                <w:rFonts w:hint="eastAsia" w:asciiTheme="majorEastAsia" w:hAnsiTheme="majorEastAsia" w:eastAsiaTheme="majorEastAsia" w:cstheme="majorEastAsia"/>
                <w:bCs/>
                <w:color w:val="auto"/>
                <w:sz w:val="24"/>
              </w:rPr>
              <w:t>两年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8" w:hRule="atLeast"/>
          <w:jc w:val="center"/>
        </w:trPr>
        <w:tc>
          <w:tcPr>
            <w:tcW w:w="27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cstheme="majorEastAsia"/>
                <w:bCs/>
                <w:color w:val="auto"/>
                <w:sz w:val="24"/>
              </w:rPr>
            </w:pPr>
            <w:r>
              <w:rPr>
                <w:rFonts w:hint="eastAsia" w:asciiTheme="majorEastAsia" w:hAnsiTheme="majorEastAsia" w:eastAsiaTheme="majorEastAsia" w:cstheme="majorEastAsia"/>
                <w:bCs/>
                <w:color w:val="auto"/>
                <w:sz w:val="24"/>
              </w:rPr>
              <w:t>注</w:t>
            </w:r>
          </w:p>
        </w:tc>
        <w:tc>
          <w:tcPr>
            <w:tcW w:w="7839" w:type="dxa"/>
            <w:gridSpan w:val="5"/>
            <w:tcBorders>
              <w:top w:val="single" w:color="auto" w:sz="4" w:space="0"/>
              <w:left w:val="single" w:color="auto" w:sz="4" w:space="0"/>
              <w:bottom w:val="single" w:color="auto" w:sz="4" w:space="0"/>
              <w:right w:val="single" w:color="auto" w:sz="4" w:space="0"/>
            </w:tcBorders>
            <w:vAlign w:val="center"/>
          </w:tcPr>
          <w:p>
            <w:pPr>
              <w:snapToGrid w:val="0"/>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本次零星维修项目共分为三个标项：</w:t>
            </w:r>
            <w:r>
              <w:rPr>
                <w:rFonts w:hint="eastAsia" w:asciiTheme="majorEastAsia" w:hAnsiTheme="majorEastAsia" w:eastAsiaTheme="majorEastAsia" w:cstheme="majorEastAsia"/>
                <w:b/>
                <w:color w:val="auto"/>
                <w:kern w:val="0"/>
                <w:sz w:val="24"/>
                <w:u w:val="none"/>
                <w:lang w:eastAsia="zh-CN"/>
              </w:rPr>
              <w:t>湖东街道零星维修项目（标项一）</w:t>
            </w:r>
            <w:r>
              <w:rPr>
                <w:rFonts w:hint="eastAsia" w:asciiTheme="majorEastAsia" w:hAnsiTheme="majorEastAsia" w:eastAsiaTheme="majorEastAsia" w:cstheme="majorEastAsia"/>
                <w:bCs/>
                <w:color w:val="auto"/>
                <w:kern w:val="0"/>
                <w:sz w:val="24"/>
                <w:u w:val="none"/>
                <w:lang w:eastAsia="zh-CN"/>
              </w:rPr>
              <w:t>，</w:t>
            </w:r>
            <w:r>
              <w:rPr>
                <w:rFonts w:hint="eastAsia" w:asciiTheme="majorEastAsia" w:hAnsiTheme="majorEastAsia" w:eastAsiaTheme="majorEastAsia" w:cstheme="majorEastAsia"/>
                <w:b/>
                <w:color w:val="auto"/>
                <w:kern w:val="0"/>
                <w:sz w:val="24"/>
                <w:u w:val="none"/>
                <w:lang w:eastAsia="zh-CN"/>
              </w:rPr>
              <w:t>湖东街道零星维修项目（标项二）</w:t>
            </w:r>
            <w:r>
              <w:rPr>
                <w:rFonts w:hint="eastAsia" w:asciiTheme="majorEastAsia" w:hAnsiTheme="majorEastAsia" w:eastAsiaTheme="majorEastAsia" w:cstheme="majorEastAsia"/>
                <w:bCs/>
                <w:color w:val="auto"/>
                <w:kern w:val="0"/>
                <w:sz w:val="24"/>
                <w:u w:val="none"/>
                <w:lang w:eastAsia="zh-CN"/>
              </w:rPr>
              <w:t>，</w:t>
            </w:r>
            <w:r>
              <w:rPr>
                <w:rFonts w:hint="eastAsia" w:asciiTheme="majorEastAsia" w:hAnsiTheme="majorEastAsia" w:eastAsiaTheme="majorEastAsia" w:cstheme="majorEastAsia"/>
                <w:b/>
                <w:color w:val="auto"/>
                <w:kern w:val="0"/>
                <w:sz w:val="24"/>
                <w:u w:val="none"/>
                <w:lang w:eastAsia="zh-CN"/>
              </w:rPr>
              <w:t>湖东街道零星维修项目（标项三）。</w:t>
            </w:r>
            <w:r>
              <w:rPr>
                <w:rFonts w:hint="eastAsia" w:asciiTheme="majorEastAsia" w:hAnsiTheme="majorEastAsia" w:eastAsiaTheme="majorEastAsia" w:cstheme="majorEastAsia"/>
                <w:color w:val="auto"/>
                <w:sz w:val="24"/>
              </w:rPr>
              <w:t>投标人可拟投任意标项，</w:t>
            </w:r>
            <w:r>
              <w:rPr>
                <w:rFonts w:hint="eastAsia" w:asciiTheme="majorEastAsia" w:hAnsiTheme="majorEastAsia" w:eastAsiaTheme="majorEastAsia" w:cstheme="majorEastAsia"/>
                <w:color w:val="auto"/>
                <w:sz w:val="24"/>
                <w:lang w:eastAsia="zh-CN"/>
              </w:rPr>
              <w:t>标项一和标项二</w:t>
            </w:r>
            <w:r>
              <w:rPr>
                <w:rFonts w:hint="eastAsia" w:asciiTheme="majorEastAsia" w:hAnsiTheme="majorEastAsia" w:eastAsiaTheme="majorEastAsia" w:cstheme="majorEastAsia"/>
                <w:color w:val="auto"/>
                <w:sz w:val="24"/>
              </w:rPr>
              <w:t>只能中一个标项（按标段顺序开标</w:t>
            </w:r>
            <w:r>
              <w:rPr>
                <w:rFonts w:hint="eastAsia" w:asciiTheme="majorEastAsia" w:hAnsiTheme="majorEastAsia" w:eastAsiaTheme="majorEastAsia" w:cstheme="majorEastAsia"/>
                <w:color w:val="auto"/>
                <w:sz w:val="24"/>
                <w:lang w:eastAsia="zh-CN"/>
              </w:rPr>
              <w:t>，中了标项一就不能中标项二，标项一的中标单位不参加标项二的评审</w:t>
            </w:r>
            <w:r>
              <w:rPr>
                <w:rFonts w:hint="eastAsia" w:asciiTheme="majorEastAsia" w:hAnsiTheme="majorEastAsia" w:eastAsiaTheme="majorEastAsia" w:cstheme="majorEastAsia"/>
                <w:color w:val="auto"/>
                <w:sz w:val="24"/>
              </w:rPr>
              <w:t>）</w:t>
            </w:r>
            <w:r>
              <w:rPr>
                <w:rFonts w:hint="eastAsia" w:asciiTheme="majorEastAsia" w:hAnsiTheme="majorEastAsia" w:eastAsiaTheme="majorEastAsia" w:cstheme="majorEastAsia"/>
                <w:color w:val="auto"/>
                <w:sz w:val="24"/>
                <w:lang w:eastAsia="zh-CN"/>
              </w:rPr>
              <w:t>，标项三不限</w:t>
            </w:r>
            <w:r>
              <w:rPr>
                <w:rFonts w:hint="eastAsia" w:asciiTheme="majorEastAsia" w:hAnsiTheme="majorEastAsia" w:eastAsiaTheme="majorEastAsia" w:cstheme="majorEastAsia"/>
                <w:color w:val="auto"/>
                <w:sz w:val="24"/>
              </w:rPr>
              <w:t>。</w:t>
            </w:r>
          </w:p>
        </w:tc>
      </w:tr>
    </w:tbl>
    <w:p>
      <w:pPr>
        <w:widowControl/>
        <w:numPr>
          <w:ilvl w:val="0"/>
          <w:numId w:val="5"/>
        </w:numPr>
        <w:spacing w:line="360" w:lineRule="exact"/>
        <w:jc w:val="left"/>
        <w:rPr>
          <w:rFonts w:asciiTheme="majorEastAsia" w:hAnsiTheme="majorEastAsia" w:eastAsiaTheme="majorEastAsia" w:cstheme="majorEastAsia"/>
          <w:b/>
          <w:bCs/>
          <w:kern w:val="0"/>
          <w:sz w:val="24"/>
        </w:rPr>
      </w:pPr>
      <w:r>
        <w:rPr>
          <w:rFonts w:hint="eastAsia" w:asciiTheme="majorEastAsia" w:hAnsiTheme="majorEastAsia" w:eastAsiaTheme="majorEastAsia" w:cstheme="majorEastAsia"/>
          <w:b/>
          <w:bCs/>
          <w:kern w:val="0"/>
          <w:sz w:val="24"/>
        </w:rPr>
        <w:t>投标供应商资格要求:</w:t>
      </w:r>
    </w:p>
    <w:p>
      <w:pPr>
        <w:adjustRightInd w:val="0"/>
        <w:snapToGrid w:val="0"/>
        <w:spacing w:line="360" w:lineRule="exact"/>
        <w:ind w:firstLine="241" w:firstLineChars="100"/>
        <w:rPr>
          <w:rFonts w:asciiTheme="majorEastAsia" w:hAnsiTheme="majorEastAsia" w:eastAsiaTheme="majorEastAsia" w:cstheme="majorEastAsia"/>
          <w:b/>
          <w:bCs/>
          <w:kern w:val="0"/>
          <w:sz w:val="24"/>
        </w:rPr>
      </w:pPr>
      <w:r>
        <w:rPr>
          <w:rFonts w:hint="eastAsia" w:asciiTheme="majorEastAsia" w:hAnsiTheme="majorEastAsia" w:eastAsiaTheme="majorEastAsia" w:cstheme="majorEastAsia"/>
          <w:b/>
          <w:bCs/>
          <w:kern w:val="0"/>
          <w:sz w:val="24"/>
        </w:rPr>
        <w:t>标项一：</w:t>
      </w:r>
    </w:p>
    <w:p>
      <w:pPr>
        <w:adjustRightInd w:val="0"/>
        <w:snapToGrid w:val="0"/>
        <w:spacing w:line="360" w:lineRule="exact"/>
        <w:ind w:firstLine="240" w:firstLineChars="100"/>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1、具备市政公用工程施工总承包三级及以上资质（浙江省外企业参加投标须进浙备案）；</w:t>
      </w:r>
    </w:p>
    <w:p>
      <w:pPr>
        <w:adjustRightInd w:val="0"/>
        <w:snapToGrid w:val="0"/>
        <w:spacing w:line="360" w:lineRule="exact"/>
        <w:ind w:firstLine="240" w:firstLineChars="100"/>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lang w:val="en-US" w:eastAsia="zh-CN"/>
        </w:rPr>
        <w:t>2</w:t>
      </w:r>
      <w:r>
        <w:rPr>
          <w:rFonts w:hint="eastAsia" w:asciiTheme="majorEastAsia" w:hAnsiTheme="majorEastAsia" w:eastAsiaTheme="majorEastAsia" w:cstheme="majorEastAsia"/>
          <w:kern w:val="0"/>
          <w:sz w:val="24"/>
        </w:rPr>
        <w:t>、具有安全生产许可证；</w:t>
      </w:r>
    </w:p>
    <w:p>
      <w:pPr>
        <w:adjustRightInd w:val="0"/>
        <w:snapToGrid w:val="0"/>
        <w:spacing w:line="360" w:lineRule="exact"/>
        <w:ind w:firstLine="240" w:firstLineChars="100"/>
        <w:rPr>
          <w:rFonts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3</w:t>
      </w:r>
      <w:r>
        <w:rPr>
          <w:rFonts w:hint="eastAsia" w:asciiTheme="majorEastAsia" w:hAnsiTheme="majorEastAsia" w:eastAsiaTheme="majorEastAsia" w:cstheme="majorEastAsia"/>
          <w:sz w:val="24"/>
        </w:rPr>
        <w:t>、供应商须提供《湖州市劳动工资支付应急保障金储存证明》</w:t>
      </w:r>
    </w:p>
    <w:p>
      <w:pPr>
        <w:adjustRightInd w:val="0"/>
        <w:snapToGrid w:val="0"/>
        <w:spacing w:line="360" w:lineRule="exact"/>
        <w:ind w:firstLine="240" w:firstLineChars="100"/>
        <w:rPr>
          <w:rFonts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4</w:t>
      </w:r>
      <w:r>
        <w:rPr>
          <w:rFonts w:hint="eastAsia" w:asciiTheme="majorEastAsia" w:hAnsiTheme="majorEastAsia" w:eastAsiaTheme="majorEastAsia" w:cstheme="majorEastAsia"/>
          <w:sz w:val="24"/>
        </w:rPr>
        <w:t>、至本项目开标截止时间前，投标人未列入失信被执行人、重大税收违法案件当事人名单、政府采购严重违法失信行为记录名单的（以“信用中国”网站www.creditchina.gov.cn、“中国政府采购网”www.ccgp.gov.cn、查询结果为准）；</w:t>
      </w:r>
    </w:p>
    <w:p>
      <w:pPr>
        <w:adjustRightInd w:val="0"/>
        <w:snapToGrid w:val="0"/>
        <w:spacing w:line="300" w:lineRule="exact"/>
        <w:ind w:firstLine="240" w:firstLineChars="100"/>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lang w:val="en-US" w:eastAsia="zh-CN"/>
        </w:rPr>
        <w:t>5</w:t>
      </w:r>
      <w:r>
        <w:rPr>
          <w:rFonts w:hint="eastAsia" w:asciiTheme="majorEastAsia" w:hAnsiTheme="majorEastAsia" w:eastAsiaTheme="majorEastAsia" w:cstheme="majorEastAsia"/>
          <w:kern w:val="0"/>
          <w:sz w:val="24"/>
        </w:rPr>
        <w:t>、本项目不接受联合体投标，禁止转包或分包。</w:t>
      </w:r>
    </w:p>
    <w:p>
      <w:pPr>
        <w:adjustRightInd w:val="0"/>
        <w:snapToGrid w:val="0"/>
        <w:spacing w:line="360" w:lineRule="exact"/>
        <w:ind w:firstLine="241" w:firstLineChars="100"/>
        <w:rPr>
          <w:rFonts w:asciiTheme="majorEastAsia" w:hAnsiTheme="majorEastAsia" w:eastAsiaTheme="majorEastAsia" w:cstheme="majorEastAsia"/>
          <w:b/>
          <w:bCs/>
          <w:kern w:val="0"/>
          <w:sz w:val="24"/>
        </w:rPr>
      </w:pPr>
      <w:r>
        <w:rPr>
          <w:rFonts w:hint="eastAsia" w:asciiTheme="majorEastAsia" w:hAnsiTheme="majorEastAsia" w:eastAsiaTheme="majorEastAsia" w:cstheme="majorEastAsia"/>
          <w:b/>
          <w:bCs/>
          <w:kern w:val="0"/>
          <w:sz w:val="24"/>
        </w:rPr>
        <w:t>标项二：</w:t>
      </w:r>
    </w:p>
    <w:p>
      <w:pPr>
        <w:adjustRightInd w:val="0"/>
        <w:snapToGrid w:val="0"/>
        <w:spacing w:line="360" w:lineRule="exact"/>
        <w:ind w:firstLine="240" w:firstLineChars="100"/>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1、具备市政公用工程施工总承包三级及以上资质（浙江省外企业参加投标须进浙备案）；</w:t>
      </w:r>
    </w:p>
    <w:p>
      <w:pPr>
        <w:adjustRightInd w:val="0"/>
        <w:snapToGrid w:val="0"/>
        <w:spacing w:line="360" w:lineRule="exact"/>
        <w:ind w:firstLine="240" w:firstLineChars="100"/>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lang w:val="en-US" w:eastAsia="zh-CN"/>
        </w:rPr>
        <w:t>2</w:t>
      </w:r>
      <w:r>
        <w:rPr>
          <w:rFonts w:hint="eastAsia" w:asciiTheme="majorEastAsia" w:hAnsiTheme="majorEastAsia" w:eastAsiaTheme="majorEastAsia" w:cstheme="majorEastAsia"/>
          <w:kern w:val="0"/>
          <w:sz w:val="24"/>
        </w:rPr>
        <w:t>、具有安全生产许可证；</w:t>
      </w:r>
    </w:p>
    <w:p>
      <w:pPr>
        <w:adjustRightInd w:val="0"/>
        <w:snapToGrid w:val="0"/>
        <w:spacing w:line="360" w:lineRule="exact"/>
        <w:ind w:firstLine="240" w:firstLineChars="100"/>
        <w:rPr>
          <w:rFonts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3</w:t>
      </w:r>
      <w:r>
        <w:rPr>
          <w:rFonts w:hint="eastAsia" w:asciiTheme="majorEastAsia" w:hAnsiTheme="majorEastAsia" w:eastAsiaTheme="majorEastAsia" w:cstheme="majorEastAsia"/>
          <w:sz w:val="24"/>
        </w:rPr>
        <w:t>、供应商须提供《湖州市劳动工资支付应急保障金储存证明》</w:t>
      </w:r>
    </w:p>
    <w:p>
      <w:pPr>
        <w:adjustRightInd w:val="0"/>
        <w:snapToGrid w:val="0"/>
        <w:spacing w:line="360" w:lineRule="exact"/>
        <w:ind w:firstLine="240" w:firstLineChars="100"/>
        <w:rPr>
          <w:rFonts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4</w:t>
      </w:r>
      <w:r>
        <w:rPr>
          <w:rFonts w:hint="eastAsia" w:asciiTheme="majorEastAsia" w:hAnsiTheme="majorEastAsia" w:eastAsiaTheme="majorEastAsia" w:cstheme="majorEastAsia"/>
          <w:sz w:val="24"/>
        </w:rPr>
        <w:t>、至本项目开标截止时间前，投标人未列入失信被执行人、重大税收违法案件当事人名单、政府采购严重违法失信行为记录名单的（以“信用中国”网站www.creditchina.gov.cn、“中国政府采购网”www.ccgp.gov.cn、查询结果为准）；</w:t>
      </w:r>
    </w:p>
    <w:p>
      <w:pPr>
        <w:adjustRightInd w:val="0"/>
        <w:snapToGrid w:val="0"/>
        <w:spacing w:line="300" w:lineRule="exact"/>
        <w:ind w:firstLine="240" w:firstLineChars="100"/>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lang w:val="en-US" w:eastAsia="zh-CN"/>
        </w:rPr>
        <w:t>5</w:t>
      </w:r>
      <w:r>
        <w:rPr>
          <w:rFonts w:hint="eastAsia" w:asciiTheme="majorEastAsia" w:hAnsiTheme="majorEastAsia" w:eastAsiaTheme="majorEastAsia" w:cstheme="majorEastAsia"/>
          <w:kern w:val="0"/>
          <w:sz w:val="24"/>
        </w:rPr>
        <w:t>、本项目不接受联合体投标，禁止转包或分包。</w:t>
      </w:r>
    </w:p>
    <w:p>
      <w:pPr>
        <w:adjustRightInd w:val="0"/>
        <w:snapToGrid w:val="0"/>
        <w:spacing w:line="360" w:lineRule="exact"/>
        <w:ind w:firstLine="241" w:firstLineChars="100"/>
        <w:rPr>
          <w:rFonts w:asciiTheme="majorEastAsia" w:hAnsiTheme="majorEastAsia" w:eastAsiaTheme="majorEastAsia" w:cstheme="majorEastAsia"/>
          <w:kern w:val="0"/>
          <w:sz w:val="24"/>
        </w:rPr>
      </w:pPr>
      <w:r>
        <w:rPr>
          <w:rFonts w:hint="eastAsia" w:asciiTheme="majorEastAsia" w:hAnsiTheme="majorEastAsia" w:eastAsiaTheme="majorEastAsia" w:cstheme="majorEastAsia"/>
          <w:b/>
          <w:bCs/>
          <w:kern w:val="0"/>
          <w:sz w:val="24"/>
        </w:rPr>
        <w:t>标项三：</w:t>
      </w:r>
    </w:p>
    <w:p>
      <w:pPr>
        <w:adjustRightInd w:val="0"/>
        <w:snapToGrid w:val="0"/>
        <w:spacing w:line="360" w:lineRule="exact"/>
        <w:ind w:firstLine="240" w:firstLineChars="100"/>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1、具备建筑工程施工总承包三级及以上资质（浙江省外企业参加投标须进浙备案）；</w:t>
      </w:r>
    </w:p>
    <w:p>
      <w:pPr>
        <w:adjustRightInd w:val="0"/>
        <w:snapToGrid w:val="0"/>
        <w:spacing w:line="360" w:lineRule="exact"/>
        <w:ind w:firstLine="240" w:firstLineChars="100"/>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lang w:val="en-US" w:eastAsia="zh-CN"/>
        </w:rPr>
        <w:t>2</w:t>
      </w:r>
      <w:r>
        <w:rPr>
          <w:rFonts w:hint="eastAsia" w:asciiTheme="majorEastAsia" w:hAnsiTheme="majorEastAsia" w:eastAsiaTheme="majorEastAsia" w:cstheme="majorEastAsia"/>
          <w:kern w:val="0"/>
          <w:sz w:val="24"/>
        </w:rPr>
        <w:t>、具有安全生产许可证；</w:t>
      </w:r>
    </w:p>
    <w:p>
      <w:pPr>
        <w:adjustRightInd w:val="0"/>
        <w:snapToGrid w:val="0"/>
        <w:spacing w:line="360" w:lineRule="exact"/>
        <w:ind w:firstLine="240" w:firstLineChars="100"/>
        <w:rPr>
          <w:rFonts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3</w:t>
      </w:r>
      <w:r>
        <w:rPr>
          <w:rFonts w:hint="eastAsia" w:asciiTheme="majorEastAsia" w:hAnsiTheme="majorEastAsia" w:eastAsiaTheme="majorEastAsia" w:cstheme="majorEastAsia"/>
          <w:sz w:val="24"/>
        </w:rPr>
        <w:t>、供应商须提供《湖州市劳动工资支付应急保障金储存证明》</w:t>
      </w:r>
    </w:p>
    <w:p>
      <w:pPr>
        <w:adjustRightInd w:val="0"/>
        <w:snapToGrid w:val="0"/>
        <w:spacing w:line="360" w:lineRule="exact"/>
        <w:ind w:firstLine="240" w:firstLineChars="100"/>
        <w:rPr>
          <w:rFonts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4</w:t>
      </w:r>
      <w:r>
        <w:rPr>
          <w:rFonts w:hint="eastAsia" w:asciiTheme="majorEastAsia" w:hAnsiTheme="majorEastAsia" w:eastAsiaTheme="majorEastAsia" w:cstheme="majorEastAsia"/>
          <w:sz w:val="24"/>
        </w:rPr>
        <w:t>、至本项目开标截止时间前，投标人未列入失信被执行人、重大税收违法案件当事人名单、政府采购严重违法失信行为记录名单的（以“信用中国”网站www.creditchina.gov.cn、“中国政府采购网”www.ccgp.gov.cn、查询结果为准）；</w:t>
      </w:r>
    </w:p>
    <w:p>
      <w:pPr>
        <w:adjustRightInd w:val="0"/>
        <w:snapToGrid w:val="0"/>
        <w:spacing w:line="300" w:lineRule="exact"/>
        <w:ind w:firstLine="240" w:firstLineChars="100"/>
        <w:rPr>
          <w:rFonts w:asciiTheme="majorEastAsia" w:hAnsiTheme="majorEastAsia" w:eastAsiaTheme="majorEastAsia" w:cstheme="majorEastAsia"/>
          <w:b/>
          <w:kern w:val="0"/>
          <w:sz w:val="24"/>
        </w:rPr>
      </w:pPr>
      <w:r>
        <w:rPr>
          <w:rFonts w:hint="eastAsia" w:asciiTheme="majorEastAsia" w:hAnsiTheme="majorEastAsia" w:eastAsiaTheme="majorEastAsia" w:cstheme="majorEastAsia"/>
          <w:kern w:val="0"/>
          <w:sz w:val="24"/>
          <w:lang w:val="en-US" w:eastAsia="zh-CN"/>
        </w:rPr>
        <w:t>5</w:t>
      </w:r>
      <w:r>
        <w:rPr>
          <w:rFonts w:hint="eastAsia" w:asciiTheme="majorEastAsia" w:hAnsiTheme="majorEastAsia" w:eastAsiaTheme="majorEastAsia" w:cstheme="majorEastAsia"/>
          <w:kern w:val="0"/>
          <w:sz w:val="24"/>
        </w:rPr>
        <w:t>、本项目不接受联合体投标，禁止转包或分包。</w:t>
      </w:r>
    </w:p>
    <w:p>
      <w:pPr>
        <w:widowControl/>
        <w:spacing w:line="360" w:lineRule="exact"/>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b/>
          <w:bCs/>
          <w:kern w:val="0"/>
          <w:sz w:val="24"/>
        </w:rPr>
        <w:t>五．招标文件的报名/发售时间、地址、售价:</w:t>
      </w:r>
    </w:p>
    <w:p>
      <w:pPr>
        <w:widowControl/>
        <w:snapToGrid w:val="0"/>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1.发售时间：</w:t>
      </w:r>
      <w:r>
        <w:rPr>
          <w:rFonts w:hint="eastAsia" w:asciiTheme="majorEastAsia" w:hAnsiTheme="majorEastAsia" w:eastAsiaTheme="majorEastAsia" w:cstheme="majorEastAsia"/>
          <w:b/>
          <w:color w:val="0000FF"/>
          <w:sz w:val="24"/>
        </w:rPr>
        <w:t>2020年</w:t>
      </w:r>
      <w:r>
        <w:rPr>
          <w:rFonts w:hint="eastAsia" w:asciiTheme="majorEastAsia" w:hAnsiTheme="majorEastAsia" w:eastAsiaTheme="majorEastAsia" w:cstheme="majorEastAsia"/>
          <w:b/>
          <w:color w:val="0000FF"/>
          <w:sz w:val="24"/>
          <w:lang w:val="en-US" w:eastAsia="zh-CN"/>
        </w:rPr>
        <w:t>7</w:t>
      </w:r>
      <w:r>
        <w:rPr>
          <w:rFonts w:hint="eastAsia" w:asciiTheme="majorEastAsia" w:hAnsiTheme="majorEastAsia" w:eastAsiaTheme="majorEastAsia" w:cstheme="majorEastAsia"/>
          <w:b/>
          <w:color w:val="0000FF"/>
          <w:sz w:val="24"/>
        </w:rPr>
        <w:t>月</w:t>
      </w:r>
      <w:r>
        <w:rPr>
          <w:rFonts w:hint="eastAsia" w:asciiTheme="majorEastAsia" w:hAnsiTheme="majorEastAsia" w:eastAsiaTheme="majorEastAsia" w:cstheme="majorEastAsia"/>
          <w:b/>
          <w:color w:val="0000FF"/>
          <w:sz w:val="24"/>
          <w:lang w:val="en-US" w:eastAsia="zh-CN"/>
        </w:rPr>
        <w:t>13</w:t>
      </w:r>
      <w:r>
        <w:rPr>
          <w:rFonts w:hint="eastAsia" w:asciiTheme="majorEastAsia" w:hAnsiTheme="majorEastAsia" w:eastAsiaTheme="majorEastAsia" w:cstheme="majorEastAsia"/>
          <w:b/>
          <w:color w:val="0000FF"/>
          <w:sz w:val="24"/>
        </w:rPr>
        <w:t>日至2020年</w:t>
      </w:r>
      <w:r>
        <w:rPr>
          <w:rFonts w:hint="eastAsia" w:asciiTheme="majorEastAsia" w:hAnsiTheme="majorEastAsia" w:eastAsiaTheme="majorEastAsia" w:cstheme="majorEastAsia"/>
          <w:b/>
          <w:color w:val="0000FF"/>
          <w:sz w:val="24"/>
          <w:lang w:val="en-US" w:eastAsia="zh-CN"/>
        </w:rPr>
        <w:t>8</w:t>
      </w:r>
      <w:r>
        <w:rPr>
          <w:rFonts w:hint="eastAsia" w:asciiTheme="majorEastAsia" w:hAnsiTheme="majorEastAsia" w:eastAsiaTheme="majorEastAsia" w:cstheme="majorEastAsia"/>
          <w:b/>
          <w:color w:val="0000FF"/>
          <w:sz w:val="24"/>
        </w:rPr>
        <w:t>月</w:t>
      </w:r>
      <w:r>
        <w:rPr>
          <w:rFonts w:hint="eastAsia" w:asciiTheme="majorEastAsia" w:hAnsiTheme="majorEastAsia" w:eastAsiaTheme="majorEastAsia" w:cstheme="majorEastAsia"/>
          <w:b/>
          <w:color w:val="0000FF"/>
          <w:sz w:val="24"/>
          <w:lang w:val="en-US" w:eastAsia="zh-CN"/>
        </w:rPr>
        <w:t>5</w:t>
      </w:r>
      <w:r>
        <w:rPr>
          <w:rFonts w:hint="eastAsia" w:asciiTheme="majorEastAsia" w:hAnsiTheme="majorEastAsia" w:eastAsiaTheme="majorEastAsia" w:cstheme="majorEastAsia"/>
          <w:b/>
          <w:color w:val="0000FF"/>
          <w:sz w:val="24"/>
        </w:rPr>
        <w:t>日</w:t>
      </w:r>
      <w:r>
        <w:rPr>
          <w:rFonts w:hint="eastAsia" w:asciiTheme="majorEastAsia" w:hAnsiTheme="majorEastAsia" w:eastAsiaTheme="majorEastAsia" w:cstheme="majorEastAsia"/>
          <w:b/>
          <w:color w:val="0000FF"/>
          <w:sz w:val="24"/>
          <w:lang w:val="en-US" w:eastAsia="zh-CN"/>
        </w:rPr>
        <w:t>上午9：00</w:t>
      </w:r>
      <w:r>
        <w:rPr>
          <w:rFonts w:hint="eastAsia" w:asciiTheme="majorEastAsia" w:hAnsiTheme="majorEastAsia" w:eastAsiaTheme="majorEastAsia" w:cstheme="majorEastAsia"/>
          <w:b/>
          <w:color w:val="0000FF"/>
          <w:sz w:val="24"/>
        </w:rPr>
        <w:t>时止</w:t>
      </w:r>
      <w:r>
        <w:rPr>
          <w:rFonts w:hint="eastAsia" w:asciiTheme="majorEastAsia" w:hAnsiTheme="majorEastAsia" w:eastAsiaTheme="majorEastAsia" w:cstheme="majorEastAsia"/>
          <w:sz w:val="24"/>
        </w:rPr>
        <w:t>（潜在供应商报名及获取招标文件前应当在政采云电子交易平台上注册账号并登录，截止时间后不再接受潜在供应商报名及获取招标文件）</w:t>
      </w:r>
    </w:p>
    <w:p>
      <w:pPr>
        <w:widowControl/>
        <w:snapToGrid w:val="0"/>
        <w:spacing w:line="360" w:lineRule="auto"/>
        <w:ind w:firstLine="482" w:firstLineChars="200"/>
        <w:rPr>
          <w:rFonts w:asciiTheme="majorEastAsia" w:hAnsiTheme="majorEastAsia" w:eastAsiaTheme="majorEastAsia" w:cstheme="majorEastAsia"/>
          <w:b/>
          <w:bCs/>
          <w:sz w:val="24"/>
          <w:u w:val="single"/>
        </w:rPr>
      </w:pPr>
      <w:r>
        <w:rPr>
          <w:rFonts w:hint="eastAsia" w:asciiTheme="majorEastAsia" w:hAnsiTheme="majorEastAsia" w:eastAsiaTheme="majorEastAsia" w:cstheme="majorEastAsia"/>
          <w:b/>
          <w:bCs/>
          <w:sz w:val="24"/>
          <w:u w:val="single"/>
        </w:rPr>
        <w:t>本公告自发布之日起公告期限为</w:t>
      </w:r>
      <w:r>
        <w:rPr>
          <w:rFonts w:hint="eastAsia" w:asciiTheme="majorEastAsia" w:hAnsiTheme="majorEastAsia" w:eastAsiaTheme="majorEastAsia" w:cstheme="majorEastAsia"/>
          <w:b/>
          <w:bCs/>
          <w:sz w:val="24"/>
          <w:u w:val="single"/>
          <w:lang w:val="en-US" w:eastAsia="zh-CN"/>
        </w:rPr>
        <w:t>1</w:t>
      </w:r>
      <w:r>
        <w:rPr>
          <w:rFonts w:hint="eastAsia" w:asciiTheme="majorEastAsia" w:hAnsiTheme="majorEastAsia" w:eastAsiaTheme="majorEastAsia" w:cstheme="majorEastAsia"/>
          <w:b/>
          <w:bCs/>
          <w:sz w:val="24"/>
          <w:u w:val="single"/>
        </w:rPr>
        <w:t>5个工作日。</w:t>
      </w:r>
    </w:p>
    <w:p>
      <w:pPr>
        <w:widowControl/>
        <w:snapToGrid w:val="0"/>
        <w:spacing w:line="360" w:lineRule="auto"/>
        <w:ind w:firstLine="480" w:firstLineChars="200"/>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sz w:val="24"/>
        </w:rPr>
        <w:t>2.</w:t>
      </w:r>
      <w:r>
        <w:rPr>
          <w:rFonts w:hint="eastAsia" w:asciiTheme="majorEastAsia" w:hAnsiTheme="majorEastAsia" w:eastAsiaTheme="majorEastAsia" w:cstheme="majorEastAsia"/>
          <w:color w:val="000000"/>
          <w:sz w:val="24"/>
        </w:rPr>
        <w:t>本项目实行网上报名，不接受现场报名。申请注册成为政采云平台供应商会员后登录政府采购云平台（https://login.zcygov.cn/login）通过“项目采购”模块中“项目文件获取” 进行获取招标文件。</w:t>
      </w:r>
    </w:p>
    <w:p>
      <w:pPr>
        <w:pStyle w:val="31"/>
        <w:wordWrap w:val="0"/>
        <w:spacing w:line="420" w:lineRule="exact"/>
        <w:ind w:firstLine="480" w:firstLineChars="200"/>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3.未注册供应商可登录浙江政府采购网</w:t>
      </w:r>
      <w:r>
        <w:fldChar w:fldCharType="begin"/>
      </w:r>
      <w:r>
        <w:instrText xml:space="preserve"> HYPERLINK "http://zfcg.czt.zj.gov.cn/)%E6%9F%A5%E7%9C%8B%E5%85%AC%E5%91%8A%E4%B8%8B" \h </w:instrText>
      </w:r>
      <w:r>
        <w:fldChar w:fldCharType="separate"/>
      </w:r>
      <w:r>
        <w:rPr>
          <w:rFonts w:hint="eastAsia" w:asciiTheme="majorEastAsia" w:hAnsiTheme="majorEastAsia" w:eastAsiaTheme="majorEastAsia" w:cstheme="majorEastAsia"/>
          <w:color w:val="000000"/>
          <w:sz w:val="24"/>
        </w:rPr>
        <w:t>(</w:t>
      </w:r>
      <w:r>
        <w:rPr>
          <w:rFonts w:hint="eastAsia" w:asciiTheme="majorEastAsia" w:hAnsiTheme="majorEastAsia" w:eastAsiaTheme="majorEastAsia" w:cstheme="majorEastAsia"/>
          <w:color w:val="000000"/>
          <w:sz w:val="24"/>
          <w:lang w:eastAsia="zh-CN"/>
        </w:rPr>
        <w:t>http://www.zjzfcg.gov.cn</w:t>
      </w:r>
      <w:r>
        <w:rPr>
          <w:rFonts w:hint="eastAsia" w:asciiTheme="majorEastAsia" w:hAnsiTheme="majorEastAsia" w:eastAsiaTheme="majorEastAsia" w:cstheme="majorEastAsia"/>
          <w:color w:val="000000"/>
          <w:sz w:val="24"/>
        </w:rPr>
        <w:t>)</w:t>
      </w:r>
      <w:r>
        <w:rPr>
          <w:rFonts w:hint="eastAsia" w:asciiTheme="majorEastAsia" w:hAnsiTheme="majorEastAsia" w:eastAsiaTheme="majorEastAsia" w:cstheme="majorEastAsia"/>
          <w:color w:val="000000"/>
          <w:sz w:val="24"/>
        </w:rPr>
        <w:fldChar w:fldCharType="end"/>
      </w:r>
      <w:r>
        <w:rPr>
          <w:rFonts w:hint="eastAsia" w:asciiTheme="majorEastAsia" w:hAnsiTheme="majorEastAsia" w:eastAsiaTheme="majorEastAsia" w:cstheme="majorEastAsia"/>
          <w:color w:val="000000"/>
          <w:sz w:val="24"/>
        </w:rPr>
        <w:t>查</w:t>
      </w:r>
      <w:r>
        <w:fldChar w:fldCharType="begin"/>
      </w:r>
      <w:r>
        <w:instrText xml:space="preserve"> HYPERLINK "http://zfcg.czt.zj.gov.cn/)%E6%9F%A5%E7%9C%8B%E5%85%AC%E5%91%8A%E4%B8%8B" \h </w:instrText>
      </w:r>
      <w:r>
        <w:fldChar w:fldCharType="separate"/>
      </w:r>
      <w:r>
        <w:rPr>
          <w:rFonts w:hint="eastAsia" w:asciiTheme="majorEastAsia" w:hAnsiTheme="majorEastAsia" w:eastAsiaTheme="majorEastAsia" w:cstheme="majorEastAsia"/>
          <w:color w:val="000000"/>
          <w:sz w:val="24"/>
        </w:rPr>
        <w:t>看公告下</w:t>
      </w:r>
      <w:r>
        <w:rPr>
          <w:rFonts w:hint="eastAsia" w:asciiTheme="majorEastAsia" w:hAnsiTheme="majorEastAsia" w:eastAsiaTheme="majorEastAsia" w:cstheme="majorEastAsia"/>
          <w:color w:val="000000"/>
          <w:sz w:val="24"/>
        </w:rPr>
        <w:fldChar w:fldCharType="end"/>
      </w:r>
      <w:r>
        <w:rPr>
          <w:rFonts w:hint="eastAsia" w:asciiTheme="majorEastAsia" w:hAnsiTheme="majorEastAsia" w:eastAsiaTheme="majorEastAsia" w:cstheme="majorEastAsia"/>
          <w:color w:val="000000"/>
          <w:sz w:val="24"/>
        </w:rPr>
        <w:t>附件或在湖州市</w:t>
      </w:r>
      <w:r>
        <w:rPr>
          <w:rFonts w:hint="eastAsia" w:asciiTheme="majorEastAsia" w:hAnsiTheme="majorEastAsia" w:eastAsiaTheme="majorEastAsia" w:cstheme="majorEastAsia"/>
          <w:color w:val="000000"/>
          <w:sz w:val="24"/>
          <w:lang w:val="en-US" w:eastAsia="zh-CN"/>
        </w:rPr>
        <w:t>吴兴区</w:t>
      </w:r>
      <w:r>
        <w:rPr>
          <w:rFonts w:hint="eastAsia" w:asciiTheme="majorEastAsia" w:hAnsiTheme="majorEastAsia" w:eastAsiaTheme="majorEastAsia" w:cstheme="majorEastAsia"/>
          <w:color w:val="000000"/>
          <w:sz w:val="24"/>
        </w:rPr>
        <w:t>公共资源交易信息网（</w:t>
      </w:r>
      <w:r>
        <w:fldChar w:fldCharType="begin"/>
      </w:r>
      <w:r>
        <w:instrText xml:space="preserve"> HYPERLINK "http://ggzy.huzhou.gov.cn/hzfront/)" \h </w:instrText>
      </w:r>
      <w:r>
        <w:fldChar w:fldCharType="separate"/>
      </w:r>
      <w:r>
        <w:rPr>
          <w:rFonts w:hint="eastAsia" w:asciiTheme="majorEastAsia" w:hAnsiTheme="majorEastAsia" w:eastAsiaTheme="majorEastAsia" w:cstheme="majorEastAsia"/>
          <w:color w:val="000000"/>
          <w:sz w:val="24"/>
        </w:rPr>
        <w:t>http://ggzy.wuxing.gov.cn/)</w:t>
      </w:r>
      <w:r>
        <w:rPr>
          <w:rFonts w:hint="eastAsia" w:asciiTheme="majorEastAsia" w:hAnsiTheme="majorEastAsia" w:eastAsiaTheme="majorEastAsia" w:cstheme="majorEastAsia"/>
          <w:color w:val="000000"/>
          <w:sz w:val="24"/>
        </w:rPr>
        <w:fldChar w:fldCharType="end"/>
      </w:r>
      <w:r>
        <w:rPr>
          <w:rFonts w:hint="eastAsia" w:asciiTheme="majorEastAsia" w:hAnsiTheme="majorEastAsia" w:eastAsiaTheme="majorEastAsia" w:cstheme="majorEastAsia"/>
          <w:color w:val="000000"/>
          <w:sz w:val="24"/>
        </w:rPr>
        <w:t>“政府采购”--“分散采购”版块公告附件下载。招标公告附件内的招标文件仅供阅览使用，供应商只有在“政府采购云平台”完成获取招标文件申请并下载了招标文件后才视作依法获取招标文件（法律法规所指的供应商获取招标文件时间以供应商完成获取招标文件申请后下载招标文件的时间为准）。请供应商按上述要求获取招标文件，如未在“政采云”系统内完成相关流程，引起的投标无效责任自负。</w:t>
      </w:r>
    </w:p>
    <w:p>
      <w:pPr>
        <w:pStyle w:val="31"/>
        <w:wordWrap w:val="0"/>
        <w:spacing w:line="420" w:lineRule="exact"/>
        <w:ind w:firstLine="480" w:firstLineChars="200"/>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已经注册成功的供应商无需重复注册。</w:t>
      </w:r>
    </w:p>
    <w:p>
      <w:pPr>
        <w:pStyle w:val="31"/>
        <w:spacing w:line="420" w:lineRule="exact"/>
        <w:rPr>
          <w:rFonts w:asciiTheme="majorEastAsia" w:hAnsiTheme="majorEastAsia" w:eastAsiaTheme="majorEastAsia" w:cstheme="majorEastAsia"/>
          <w:b/>
          <w:bCs/>
          <w:color w:val="000000"/>
          <w:sz w:val="24"/>
        </w:rPr>
      </w:pPr>
      <w:r>
        <w:rPr>
          <w:rFonts w:hint="eastAsia" w:asciiTheme="majorEastAsia" w:hAnsiTheme="majorEastAsia" w:eastAsiaTheme="majorEastAsia" w:cstheme="majorEastAsia"/>
          <w:b/>
          <w:bCs/>
          <w:color w:val="000000"/>
          <w:sz w:val="24"/>
        </w:rPr>
        <w:t>六.投标文件的递交及相关事宜</w:t>
      </w:r>
    </w:p>
    <w:p>
      <w:pPr>
        <w:widowControl/>
        <w:spacing w:before="75" w:after="75" w:line="420" w:lineRule="exact"/>
        <w:ind w:firstLine="480" w:firstLineChars="200"/>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1、本项目通过“政府采购云平台</w:t>
      </w:r>
      <w:r>
        <w:fldChar w:fldCharType="begin"/>
      </w:r>
      <w:r>
        <w:instrText xml:space="preserve"> HYPERLINK "http://www.zcygov.cn/" \h </w:instrText>
      </w:r>
      <w:r>
        <w:fldChar w:fldCharType="separate"/>
      </w:r>
      <w:r>
        <w:rPr>
          <w:rFonts w:hint="eastAsia" w:asciiTheme="majorEastAsia" w:hAnsiTheme="majorEastAsia" w:eastAsiaTheme="majorEastAsia" w:cstheme="majorEastAsia"/>
          <w:kern w:val="0"/>
          <w:sz w:val="24"/>
        </w:rPr>
        <w:t>（www.zcygov.cn</w:t>
      </w:r>
      <w:r>
        <w:rPr>
          <w:rFonts w:hint="eastAsia" w:asciiTheme="majorEastAsia" w:hAnsiTheme="majorEastAsia" w:eastAsiaTheme="majorEastAsia" w:cstheme="majorEastAsia"/>
          <w:kern w:val="0"/>
          <w:sz w:val="24"/>
        </w:rPr>
        <w:fldChar w:fldCharType="end"/>
      </w:r>
      <w:r>
        <w:rPr>
          <w:rFonts w:hint="eastAsia" w:asciiTheme="majorEastAsia" w:hAnsiTheme="majorEastAsia" w:eastAsiaTheme="majorEastAsia" w:cstheme="majorEastAsia"/>
          <w:kern w:val="0"/>
          <w:sz w:val="24"/>
        </w:rPr>
        <w:t>）”实行在线投标响应（电子投标）， 供应商应先安装“政采云电子交易客户端”，并按照本招标文件和“政府采购云平台”的要求，通过“政采云电子交易客户端”编制并加密投标文件。供应商未按规定加密的投标文件，“政府采购云平台”将予以拒收。“政采云电子交易客户端”请自行前往“浙江政府采购网-下载专区-电子交易客户端” 进行下载；电子投标具体操作流程详见本公告附件《供应商项目采购-电子招投标操作指南》；通过“政府采购云平台”参与在线投标时如遇平台技术问题详询 400-881-7190。</w:t>
      </w:r>
    </w:p>
    <w:p>
      <w:pPr>
        <w:widowControl/>
        <w:spacing w:before="75" w:after="75" w:line="420" w:lineRule="exact"/>
        <w:ind w:firstLine="480" w:firstLineChars="200"/>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2、为确保网上操作合法、有效和安全，投标供应商应当在投标截止时间前完成在“政府采购云平台”的身份认证，确保在电子投标过程中能够对相关数据电文进行加密和使用电子签章。使用“政采云电子交易客户端”需要提前申领 CA 数字证书，申领流程请自行前往“浙江政府采购网</w:t>
      </w:r>
      <w:r>
        <w:fldChar w:fldCharType="begin"/>
      </w:r>
      <w:r>
        <w:instrText xml:space="preserve"> HYPERLINK "http://www.zjzfcg.gov.cn/bidClientTemplate/2019-05-27/12945.html" \h </w:instrText>
      </w:r>
      <w:r>
        <w:fldChar w:fldCharType="separate"/>
      </w:r>
      <w:r>
        <w:rPr>
          <w:rFonts w:hint="eastAsia" w:asciiTheme="majorEastAsia" w:hAnsiTheme="majorEastAsia" w:eastAsiaTheme="majorEastAsia" w:cstheme="majorEastAsia"/>
          <w:kern w:val="0"/>
          <w:sz w:val="24"/>
        </w:rPr>
        <w:t>-下载专区-电子交易客户端-CA 驱动和申领流程</w:t>
      </w:r>
      <w:r>
        <w:rPr>
          <w:rFonts w:hint="eastAsia" w:asciiTheme="majorEastAsia" w:hAnsiTheme="majorEastAsia" w:eastAsiaTheme="majorEastAsia" w:cstheme="majorEastAsia"/>
          <w:kern w:val="0"/>
          <w:sz w:val="24"/>
        </w:rPr>
        <w:fldChar w:fldCharType="end"/>
      </w:r>
      <w:r>
        <w:rPr>
          <w:rFonts w:hint="eastAsia" w:asciiTheme="majorEastAsia" w:hAnsiTheme="majorEastAsia" w:eastAsiaTheme="majorEastAsia" w:cstheme="majorEastAsia"/>
          <w:kern w:val="0"/>
          <w:sz w:val="24"/>
        </w:rPr>
        <w:t>”进行查阅。</w:t>
      </w:r>
    </w:p>
    <w:p>
      <w:pPr>
        <w:widowControl/>
        <w:spacing w:before="75" w:after="75" w:line="420" w:lineRule="exact"/>
        <w:ind w:firstLine="480" w:firstLineChars="200"/>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3、投标供应商应当在投标截止时间前，将生成的“电子加密投标文件”上传递交至“政府采购云平台”。投标截止时间以后上传递交的投标文件将被“政府采购云平台”拒收。</w:t>
      </w:r>
    </w:p>
    <w:p>
      <w:pPr>
        <w:widowControl/>
        <w:spacing w:before="75" w:after="75" w:line="420" w:lineRule="exact"/>
        <w:ind w:firstLine="480" w:firstLineChars="200"/>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4、数据电子备份投标文件（U 盘）：供应商还可以以 U 盘形式提供的数据电子备份投标文件，其格式及内容须与政采云平台项目采购-电子交易操作指南中制作、加密并递交的电子投标文件格式及内容一致。递交主要有以下两种方式：</w:t>
      </w:r>
    </w:p>
    <w:p>
      <w:pPr>
        <w:widowControl/>
        <w:spacing w:before="75" w:after="75" w:line="420" w:lineRule="exact"/>
        <w:ind w:firstLine="480" w:firstLineChars="200"/>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（1）因疫情原因，本项目原则上采用不见面的形式开标，投标供应商可以邮寄形式在投标截止时间前递交以介质（U 盘）存储的数据电文形式的“备份投标文件”，供应商应对提供的数据电子备份投标文件（U 盘）进行加密处理，若需要启用数据电子备份投标文件（U 盘）时，再由供应商告知采购人及采购代理机构加密信息进行解密。“备份投标文件”应当密封包装并在包装上标注投标项目名称、投标单位名称、联系电话并加盖公章。</w:t>
      </w:r>
      <w:r>
        <w:rPr>
          <w:rFonts w:hint="eastAsia" w:asciiTheme="majorEastAsia" w:hAnsiTheme="majorEastAsia" w:eastAsiaTheme="majorEastAsia" w:cstheme="majorEastAsia"/>
          <w:b/>
          <w:bCs/>
          <w:kern w:val="0"/>
          <w:sz w:val="24"/>
        </w:rPr>
        <w:t>邮寄地址为：大地工程咨询有限公司（湖州市吴兴区蜀山路199号4号楼2楼），联系人：小费，联系电话：0572-2068197，电子邮箱：</w:t>
      </w:r>
      <w:r>
        <w:fldChar w:fldCharType="begin"/>
      </w:r>
      <w:r>
        <w:instrText xml:space="preserve"> HYPERLINK "mailto:huayaohz@163.com" \h </w:instrText>
      </w:r>
      <w:r>
        <w:fldChar w:fldCharType="separate"/>
      </w:r>
      <w:r>
        <w:rPr>
          <w:rFonts w:hint="eastAsia" w:asciiTheme="majorEastAsia" w:hAnsiTheme="majorEastAsia" w:eastAsiaTheme="majorEastAsia" w:cstheme="majorEastAsia"/>
          <w:b/>
          <w:bCs/>
          <w:kern w:val="0"/>
          <w:sz w:val="24"/>
          <w:u w:val="single"/>
        </w:rPr>
        <w:t>452246299@qq.com</w:t>
      </w:r>
      <w:r>
        <w:rPr>
          <w:rFonts w:hint="eastAsia" w:asciiTheme="majorEastAsia" w:hAnsiTheme="majorEastAsia" w:eastAsiaTheme="majorEastAsia" w:cstheme="majorEastAsia"/>
          <w:b/>
          <w:bCs/>
          <w:kern w:val="0"/>
          <w:sz w:val="24"/>
          <w:u w:val="single"/>
        </w:rPr>
        <w:fldChar w:fldCharType="end"/>
      </w:r>
      <w:r>
        <w:rPr>
          <w:rFonts w:hint="eastAsia" w:asciiTheme="majorEastAsia" w:hAnsiTheme="majorEastAsia" w:eastAsiaTheme="majorEastAsia" w:cstheme="majorEastAsia"/>
          <w:b/>
          <w:bCs/>
          <w:kern w:val="0"/>
          <w:sz w:val="24"/>
        </w:rPr>
        <w:t>。供应商应于</w:t>
      </w:r>
      <w:r>
        <w:rPr>
          <w:rFonts w:hint="eastAsia" w:asciiTheme="majorEastAsia" w:hAnsiTheme="majorEastAsia" w:eastAsiaTheme="majorEastAsia" w:cstheme="majorEastAsia"/>
          <w:b/>
          <w:bCs/>
          <w:color w:val="0000FF"/>
          <w:kern w:val="0"/>
          <w:sz w:val="24"/>
        </w:rPr>
        <w:t xml:space="preserve"> 2020年</w:t>
      </w:r>
      <w:r>
        <w:rPr>
          <w:rFonts w:hint="eastAsia" w:asciiTheme="majorEastAsia" w:hAnsiTheme="majorEastAsia" w:eastAsiaTheme="majorEastAsia" w:cstheme="majorEastAsia"/>
          <w:b/>
          <w:bCs/>
          <w:color w:val="0000FF"/>
          <w:kern w:val="0"/>
          <w:sz w:val="24"/>
          <w:lang w:val="en-US" w:eastAsia="zh-CN"/>
        </w:rPr>
        <w:t>8</w:t>
      </w:r>
      <w:r>
        <w:rPr>
          <w:rFonts w:hint="eastAsia" w:asciiTheme="majorEastAsia" w:hAnsiTheme="majorEastAsia" w:eastAsiaTheme="majorEastAsia" w:cstheme="majorEastAsia"/>
          <w:b/>
          <w:bCs/>
          <w:color w:val="0000FF"/>
          <w:kern w:val="0"/>
          <w:sz w:val="24"/>
        </w:rPr>
        <w:t>月</w:t>
      </w:r>
      <w:r>
        <w:rPr>
          <w:rFonts w:hint="eastAsia" w:asciiTheme="majorEastAsia" w:hAnsiTheme="majorEastAsia" w:eastAsiaTheme="majorEastAsia" w:cstheme="majorEastAsia"/>
          <w:b/>
          <w:bCs/>
          <w:color w:val="0000FF"/>
          <w:kern w:val="0"/>
          <w:sz w:val="24"/>
          <w:lang w:val="en-US" w:eastAsia="zh-CN"/>
        </w:rPr>
        <w:t>4</w:t>
      </w:r>
      <w:r>
        <w:rPr>
          <w:rFonts w:hint="eastAsia" w:asciiTheme="majorEastAsia" w:hAnsiTheme="majorEastAsia" w:eastAsiaTheme="majorEastAsia" w:cstheme="majorEastAsia"/>
          <w:b/>
          <w:bCs/>
          <w:color w:val="0000FF"/>
          <w:kern w:val="0"/>
          <w:sz w:val="24"/>
        </w:rPr>
        <w:t xml:space="preserve">日下午17:00 </w:t>
      </w:r>
      <w:r>
        <w:rPr>
          <w:rFonts w:hint="eastAsia" w:asciiTheme="majorEastAsia" w:hAnsiTheme="majorEastAsia" w:eastAsiaTheme="majorEastAsia" w:cstheme="majorEastAsia"/>
          <w:b/>
          <w:bCs/>
          <w:kern w:val="0"/>
          <w:sz w:val="24"/>
        </w:rPr>
        <w:t>时前准时送达，拒绝到付。</w:t>
      </w:r>
      <w:r>
        <w:rPr>
          <w:rFonts w:hint="eastAsia" w:asciiTheme="majorEastAsia" w:hAnsiTheme="majorEastAsia" w:eastAsiaTheme="majorEastAsia" w:cstheme="majorEastAsia"/>
          <w:kern w:val="0"/>
          <w:sz w:val="24"/>
        </w:rPr>
        <w:t>（以收件人实际签收时间为准，收件人签收后将予以回执，回执单采用图片形式发送给投标人确认，该回执单仅作为投标人邮寄的包裹送达时间的依据），</w:t>
      </w:r>
      <w:r>
        <w:rPr>
          <w:rFonts w:hint="eastAsia" w:asciiTheme="majorEastAsia" w:hAnsiTheme="majorEastAsia" w:eastAsiaTheme="majorEastAsia" w:cstheme="majorEastAsia"/>
          <w:b/>
          <w:bCs/>
          <w:kern w:val="0"/>
          <w:sz w:val="24"/>
        </w:rPr>
        <w:t>逾期送达的将拒绝接收。</w:t>
      </w:r>
    </w:p>
    <w:p>
      <w:pPr>
        <w:widowControl/>
        <w:spacing w:before="75" w:after="75" w:line="420" w:lineRule="exact"/>
        <w:ind w:firstLine="480" w:firstLineChars="200"/>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2）若供应商派授权代表出席开标会议（授权代表必须携带身份证、法人授权委托书或法人身份证明文书等有效证明文件以及最近一个月个人社保缴纳证明文件。未携带有效证明文件或未提供社保缴纳证明文件的，其投标文件将被拒绝），数据电子备份投标文件（U 盘）应在投标截止时间前送达，超过投标截止时间前送达的，按未提供处理。</w:t>
      </w:r>
    </w:p>
    <w:p>
      <w:pPr>
        <w:widowControl/>
        <w:spacing w:before="75" w:after="75" w:line="420" w:lineRule="exact"/>
        <w:ind w:firstLine="480" w:firstLineChars="200"/>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5、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widowControl/>
        <w:spacing w:before="75" w:after="75" w:line="420" w:lineRule="exact"/>
        <w:ind w:firstLine="480" w:firstLineChars="200"/>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6、按照“不见面、少接触”的原则，本项目原则上采取“不见面”形式进行开评标活动,法定代表人或其授权代表无须到场，在线响应即可（通过指定的电子邮箱、传真等），但也允许供应商派授权代表出席开标会议。</w:t>
      </w:r>
    </w:p>
    <w:p>
      <w:pPr>
        <w:widowControl/>
        <w:spacing w:before="75" w:after="75" w:line="420" w:lineRule="exact"/>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b/>
          <w:bCs/>
          <w:kern w:val="0"/>
          <w:sz w:val="24"/>
        </w:rPr>
        <w:t>七、开标时间：</w:t>
      </w:r>
      <w:r>
        <w:rPr>
          <w:rFonts w:hint="eastAsia" w:asciiTheme="majorEastAsia" w:hAnsiTheme="majorEastAsia" w:eastAsiaTheme="majorEastAsia" w:cstheme="majorEastAsia"/>
          <w:color w:val="0000FF"/>
          <w:kern w:val="0"/>
          <w:sz w:val="24"/>
        </w:rPr>
        <w:t>2020 年</w:t>
      </w:r>
      <w:r>
        <w:rPr>
          <w:rFonts w:hint="eastAsia" w:asciiTheme="majorEastAsia" w:hAnsiTheme="majorEastAsia" w:eastAsiaTheme="majorEastAsia" w:cstheme="majorEastAsia"/>
          <w:color w:val="0000FF"/>
          <w:kern w:val="0"/>
          <w:sz w:val="24"/>
          <w:lang w:val="en-US" w:eastAsia="zh-CN"/>
        </w:rPr>
        <w:t>8</w:t>
      </w:r>
      <w:r>
        <w:rPr>
          <w:rFonts w:hint="eastAsia" w:asciiTheme="majorEastAsia" w:hAnsiTheme="majorEastAsia" w:eastAsiaTheme="majorEastAsia" w:cstheme="majorEastAsia"/>
          <w:color w:val="0000FF"/>
          <w:kern w:val="0"/>
          <w:sz w:val="24"/>
        </w:rPr>
        <w:t>月</w:t>
      </w:r>
      <w:r>
        <w:rPr>
          <w:rFonts w:hint="eastAsia" w:asciiTheme="majorEastAsia" w:hAnsiTheme="majorEastAsia" w:eastAsiaTheme="majorEastAsia" w:cstheme="majorEastAsia"/>
          <w:color w:val="0000FF"/>
          <w:kern w:val="0"/>
          <w:sz w:val="24"/>
          <w:lang w:val="en-US" w:eastAsia="zh-CN"/>
        </w:rPr>
        <w:t>5</w:t>
      </w:r>
      <w:r>
        <w:rPr>
          <w:rFonts w:hint="eastAsia" w:asciiTheme="majorEastAsia" w:hAnsiTheme="majorEastAsia" w:eastAsiaTheme="majorEastAsia" w:cstheme="majorEastAsia"/>
          <w:color w:val="0000FF"/>
          <w:kern w:val="0"/>
          <w:sz w:val="24"/>
        </w:rPr>
        <w:t xml:space="preserve">日 </w:t>
      </w:r>
      <w:r>
        <w:rPr>
          <w:rFonts w:hint="eastAsia" w:asciiTheme="majorEastAsia" w:hAnsiTheme="majorEastAsia" w:eastAsiaTheme="majorEastAsia" w:cstheme="majorEastAsia"/>
          <w:color w:val="0000FF"/>
          <w:kern w:val="0"/>
          <w:sz w:val="24"/>
          <w:lang w:val="en-US" w:eastAsia="zh-CN"/>
        </w:rPr>
        <w:t>9</w:t>
      </w:r>
      <w:r>
        <w:rPr>
          <w:rFonts w:hint="eastAsia" w:asciiTheme="majorEastAsia" w:hAnsiTheme="majorEastAsia" w:eastAsiaTheme="majorEastAsia" w:cstheme="majorEastAsia"/>
          <w:color w:val="0000FF"/>
          <w:kern w:val="0"/>
          <w:sz w:val="24"/>
        </w:rPr>
        <w:t>：00 时整</w:t>
      </w:r>
    </w:p>
    <w:p>
      <w:pPr>
        <w:widowControl/>
        <w:spacing w:before="75" w:after="75" w:line="420" w:lineRule="exact"/>
        <w:rPr>
          <w:rFonts w:asciiTheme="majorEastAsia" w:hAnsiTheme="majorEastAsia" w:eastAsiaTheme="majorEastAsia" w:cstheme="majorEastAsia"/>
          <w:kern w:val="0"/>
          <w:sz w:val="24"/>
        </w:rPr>
      </w:pPr>
      <w:r>
        <w:rPr>
          <w:rFonts w:hint="eastAsia" w:asciiTheme="majorEastAsia" w:hAnsiTheme="majorEastAsia" w:eastAsiaTheme="majorEastAsia" w:cstheme="majorEastAsia"/>
          <w:b/>
          <w:bCs/>
          <w:kern w:val="0"/>
          <w:sz w:val="24"/>
        </w:rPr>
        <w:t>八、开标地点：</w:t>
      </w:r>
      <w:r>
        <w:rPr>
          <w:rFonts w:hint="eastAsia" w:asciiTheme="majorEastAsia" w:hAnsiTheme="majorEastAsia" w:eastAsiaTheme="majorEastAsia" w:cstheme="majorEastAsia"/>
          <w:color w:val="0000FF"/>
          <w:kern w:val="0"/>
          <w:sz w:val="24"/>
        </w:rPr>
        <w:t>湖州市吴兴区公共资源交易中心（湖州市吴兴区区府路1188号总部自由港E幢4楼）40</w:t>
      </w:r>
      <w:r>
        <w:rPr>
          <w:rFonts w:hint="eastAsia" w:asciiTheme="majorEastAsia" w:hAnsiTheme="majorEastAsia" w:eastAsiaTheme="majorEastAsia" w:cstheme="majorEastAsia"/>
          <w:color w:val="0000FF"/>
          <w:kern w:val="0"/>
          <w:sz w:val="24"/>
          <w:lang w:val="en-US" w:eastAsia="zh-CN"/>
        </w:rPr>
        <w:t>1</w:t>
      </w:r>
      <w:r>
        <w:rPr>
          <w:rFonts w:hint="eastAsia" w:asciiTheme="majorEastAsia" w:hAnsiTheme="majorEastAsia" w:eastAsiaTheme="majorEastAsia" w:cstheme="majorEastAsia"/>
          <w:color w:val="0000FF"/>
          <w:kern w:val="0"/>
          <w:sz w:val="24"/>
        </w:rPr>
        <w:t>开标室</w:t>
      </w:r>
      <w:r>
        <w:rPr>
          <w:rFonts w:hint="eastAsia" w:asciiTheme="majorEastAsia" w:hAnsiTheme="majorEastAsia" w:eastAsiaTheme="majorEastAsia" w:cstheme="majorEastAsia"/>
          <w:kern w:val="0"/>
          <w:sz w:val="24"/>
        </w:rPr>
        <w:t>。供应商应在投标截止时间前登入“政府采购云平（</w:t>
      </w:r>
      <w:r>
        <w:fldChar w:fldCharType="begin"/>
      </w:r>
      <w:r>
        <w:instrText xml:space="preserve"> HYPERLINK "http://www.zcygov.cn/" \h </w:instrText>
      </w:r>
      <w:r>
        <w:fldChar w:fldCharType="separate"/>
      </w:r>
      <w:r>
        <w:rPr>
          <w:rFonts w:hint="eastAsia" w:asciiTheme="majorEastAsia" w:hAnsiTheme="majorEastAsia" w:eastAsiaTheme="majorEastAsia" w:cstheme="majorEastAsia"/>
          <w:kern w:val="0"/>
          <w:sz w:val="24"/>
        </w:rPr>
        <w:t>www.zcygov.cn</w:t>
      </w:r>
      <w:r>
        <w:rPr>
          <w:rFonts w:hint="eastAsia" w:asciiTheme="majorEastAsia" w:hAnsiTheme="majorEastAsia" w:eastAsiaTheme="majorEastAsia" w:cstheme="majorEastAsia"/>
          <w:kern w:val="0"/>
          <w:sz w:val="24"/>
        </w:rPr>
        <w:fldChar w:fldCharType="end"/>
      </w:r>
      <w:r>
        <w:rPr>
          <w:rFonts w:hint="eastAsia" w:asciiTheme="majorEastAsia" w:hAnsiTheme="majorEastAsia" w:eastAsiaTheme="majorEastAsia" w:cstheme="majorEastAsia"/>
          <w:kern w:val="0"/>
          <w:sz w:val="24"/>
        </w:rPr>
        <w:t>）”在线参与开标，并完成 CA 锁在线解密投标文件等相关工作。</w:t>
      </w:r>
    </w:p>
    <w:p>
      <w:pPr>
        <w:widowControl/>
        <w:spacing w:before="75" w:after="75" w:line="420" w:lineRule="exact"/>
        <w:jc w:val="left"/>
        <w:rPr>
          <w:rFonts w:asciiTheme="majorEastAsia" w:hAnsiTheme="majorEastAsia" w:eastAsiaTheme="majorEastAsia" w:cstheme="majorEastAsia"/>
          <w:b/>
          <w:bCs/>
          <w:kern w:val="0"/>
          <w:sz w:val="24"/>
        </w:rPr>
      </w:pPr>
      <w:r>
        <w:rPr>
          <w:rFonts w:hint="eastAsia" w:asciiTheme="majorEastAsia" w:hAnsiTheme="majorEastAsia" w:eastAsiaTheme="majorEastAsia" w:cstheme="majorEastAsia"/>
          <w:b/>
          <w:bCs/>
          <w:kern w:val="0"/>
          <w:sz w:val="24"/>
        </w:rPr>
        <w:t>九、其他事项：</w:t>
      </w:r>
    </w:p>
    <w:p>
      <w:pPr>
        <w:widowControl/>
        <w:spacing w:before="75" w:after="75" w:line="420" w:lineRule="exact"/>
        <w:ind w:firstLine="480" w:firstLineChars="200"/>
        <w:jc w:val="left"/>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本项目为电子招投标项目，实行网上招投标，应按照本磋商文件及政采云平台的要求编制、加密并要求供应商通过政采云系统在线投标响应，磋商截止时间前须完成电子响应文件的上传，同时供应商须随身携带制作在线投标响应文件时所用的CA锁，供应商在使用系统进行投标的过程中遇到涉及平台使用的任何问题，可致电政采云平台技术支持热线咨询，联系方式：400-881-7190。</w:t>
      </w:r>
    </w:p>
    <w:p>
      <w:pPr>
        <w:widowControl/>
        <w:spacing w:before="75" w:after="75" w:line="420" w:lineRule="exact"/>
        <w:ind w:firstLine="480" w:firstLineChars="200"/>
        <w:jc w:val="left"/>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2、潜在供应商已依法获取（依法获取指：供应商按本项目招标公告要求在政采云</w:t>
      </w:r>
    </w:p>
    <w:p>
      <w:pPr>
        <w:widowControl/>
        <w:spacing w:before="75" w:after="75" w:line="420" w:lineRule="exact"/>
        <w:ind w:firstLine="480" w:firstLineChars="200"/>
        <w:jc w:val="left"/>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系统上获取并报名成功）其可质疑的磋商文件的，可以对该文件提出质疑。未按照规定方式依法获取磋商文件的，不得对磋商文件提起质疑投诉。</w:t>
      </w:r>
    </w:p>
    <w:p>
      <w:pPr>
        <w:widowControl/>
        <w:spacing w:before="75" w:after="75" w:line="420" w:lineRule="exact"/>
        <w:ind w:firstLine="480" w:firstLineChars="200"/>
        <w:jc w:val="left"/>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3、供应商对</w:t>
      </w:r>
      <w:r>
        <w:rPr>
          <w:rFonts w:hint="eastAsia" w:asciiTheme="majorEastAsia" w:hAnsiTheme="majorEastAsia" w:eastAsiaTheme="majorEastAsia" w:cstheme="majorEastAsia"/>
          <w:kern w:val="0"/>
          <w:sz w:val="24"/>
          <w:lang w:val="en-US" w:eastAsia="zh-CN"/>
        </w:rPr>
        <w:t>招标</w:t>
      </w:r>
      <w:r>
        <w:rPr>
          <w:rFonts w:hint="eastAsia" w:asciiTheme="majorEastAsia" w:hAnsiTheme="majorEastAsia" w:eastAsiaTheme="majorEastAsia" w:cstheme="majorEastAsia"/>
          <w:kern w:val="0"/>
          <w:sz w:val="24"/>
        </w:rPr>
        <w:t>文件有异议的，应当在2020年</w:t>
      </w:r>
      <w:r>
        <w:rPr>
          <w:rFonts w:hint="eastAsia" w:asciiTheme="majorEastAsia" w:hAnsiTheme="majorEastAsia" w:eastAsiaTheme="majorEastAsia" w:cstheme="majorEastAsia"/>
          <w:kern w:val="0"/>
          <w:sz w:val="24"/>
          <w:lang w:val="en-US" w:eastAsia="zh-CN"/>
        </w:rPr>
        <w:t>7</w:t>
      </w:r>
      <w:r>
        <w:rPr>
          <w:rFonts w:hint="eastAsia" w:asciiTheme="majorEastAsia" w:hAnsiTheme="majorEastAsia" w:eastAsiaTheme="majorEastAsia" w:cstheme="majorEastAsia"/>
          <w:kern w:val="0"/>
          <w:sz w:val="24"/>
        </w:rPr>
        <w:t>月</w:t>
      </w:r>
      <w:r>
        <w:rPr>
          <w:rFonts w:hint="eastAsia" w:asciiTheme="majorEastAsia" w:hAnsiTheme="majorEastAsia" w:eastAsiaTheme="majorEastAsia" w:cstheme="majorEastAsia"/>
          <w:kern w:val="0"/>
          <w:sz w:val="24"/>
          <w:lang w:val="en-US" w:eastAsia="zh-CN"/>
        </w:rPr>
        <w:t xml:space="preserve"> 30</w:t>
      </w:r>
      <w:r>
        <w:rPr>
          <w:rFonts w:hint="eastAsia" w:asciiTheme="majorEastAsia" w:hAnsiTheme="majorEastAsia" w:eastAsiaTheme="majorEastAsia" w:cstheme="majorEastAsia"/>
          <w:kern w:val="0"/>
          <w:sz w:val="24"/>
        </w:rPr>
        <w:t>日下午16：30分前以书面（含传真）形式向采购代理机构一次性提出，招标采购人将在规定的时间内统一进行澄清和修改，并书面（含传真）通知所有认购磋商文件的供应商。供应商未按规定要求提出的，则视同认可磋商文件，但法律法规及规范性文件有明确规定的除外。</w:t>
      </w:r>
    </w:p>
    <w:p>
      <w:pPr>
        <w:widowControl/>
        <w:spacing w:before="75" w:after="75" w:line="420" w:lineRule="exact"/>
        <w:ind w:firstLine="480" w:firstLineChars="200"/>
        <w:jc w:val="left"/>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4、答疑内容是磋商文件的组成部分，并将在网上发布补充（答疑、澄清）文件，潜在供应商应自行关注网站公告，采购人不再一一通知，供应商因自身贻误行为导致投标失效的，责任自负。</w:t>
      </w:r>
    </w:p>
    <w:p>
      <w:pPr>
        <w:widowControl/>
        <w:spacing w:before="75" w:after="75" w:line="420" w:lineRule="exact"/>
        <w:ind w:firstLine="480" w:firstLineChars="200"/>
        <w:jc w:val="left"/>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5、参与政府采购项目的注册供应商，需登录浙江政府采购云平台</w:t>
      </w:r>
    </w:p>
    <w:p>
      <w:pPr>
        <w:widowControl/>
        <w:spacing w:before="75" w:after="75" w:line="420" w:lineRule="exact"/>
        <w:ind w:firstLine="480" w:firstLineChars="200"/>
        <w:jc w:val="left"/>
        <w:rPr>
          <w:rFonts w:asciiTheme="majorEastAsia" w:hAnsiTheme="majorEastAsia" w:eastAsiaTheme="majorEastAsia" w:cstheme="majorEastAsia"/>
          <w:color w:val="FF0000"/>
          <w:kern w:val="0"/>
          <w:sz w:val="24"/>
        </w:rPr>
      </w:pPr>
      <w:r>
        <w:rPr>
          <w:rFonts w:hint="eastAsia" w:asciiTheme="majorEastAsia" w:hAnsiTheme="majorEastAsia" w:eastAsiaTheme="majorEastAsia" w:cstheme="majorEastAsia"/>
          <w:kern w:val="0"/>
          <w:sz w:val="24"/>
        </w:rPr>
        <w:t>（http://www.zcygov.cn）进行网上报名，尚未注册的供应商应当先在浙江政府采购云平台上申请注册，注册终审通过后再进行网上报名。</w:t>
      </w:r>
    </w:p>
    <w:p>
      <w:pPr>
        <w:widowControl/>
        <w:spacing w:before="75" w:after="75" w:line="420" w:lineRule="exact"/>
        <w:jc w:val="left"/>
        <w:rPr>
          <w:rFonts w:asciiTheme="majorEastAsia" w:hAnsiTheme="majorEastAsia" w:eastAsiaTheme="majorEastAsia" w:cstheme="majorEastAsia"/>
          <w:b/>
          <w:bCs/>
          <w:kern w:val="0"/>
          <w:sz w:val="24"/>
        </w:rPr>
      </w:pPr>
      <w:r>
        <w:rPr>
          <w:rFonts w:hint="eastAsia" w:asciiTheme="majorEastAsia" w:hAnsiTheme="majorEastAsia" w:eastAsiaTheme="majorEastAsia" w:cstheme="majorEastAsia"/>
          <w:b/>
          <w:bCs/>
          <w:kern w:val="0"/>
          <w:sz w:val="24"/>
        </w:rPr>
        <w:t>十、告知事项：</w:t>
      </w:r>
    </w:p>
    <w:p>
      <w:pPr>
        <w:widowControl/>
        <w:spacing w:before="75" w:after="75" w:line="420" w:lineRule="exact"/>
        <w:ind w:firstLine="480" w:firstLineChars="200"/>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1、为贯彻落实新型冠状病毒感染的肺炎疫情防控工作要求，按照《财政部办公厅关于疫情防控采购便利化的通知》（财办库〔2020〕23 号）、《浙江省财政厅关于做好新型冠状病毒感染的肺炎疫情防控期间政府采购管理工作的通知》（浙财采监[2020]1 号）、《浙江省政府采购中心关于新型冠状病毒感染的肺炎疫情防控期间开评标管理暂行办法》，按照“不见面、少接触”的原则，疫情防控期采购过程实行邮寄投标文件模式，供应商通过邮寄快递方式送达响应文件，采购公告发布之日至开启响应文件的时间延长，给供应商留足响应文件邮寄时间，采购人或代理机构做好响应文件签收记录并及时告知供应商；采购组织机构接收响应文件至现场开启响应文件全过程应接受监控；采购单位派出工作人员进行现场监督的同时，采购组织机构积极创造条件让供应商远程参与监督；评审中需要供应商对投标、响应文件作出澄清、说明或者补正的，评审小组可要求供应商在合理期限内（不少于半小时）通过电子邮件、传真等书面形式作出。</w:t>
      </w:r>
    </w:p>
    <w:p>
      <w:pPr>
        <w:widowControl/>
        <w:spacing w:before="75" w:after="75" w:line="420" w:lineRule="exact"/>
        <w:ind w:firstLine="480" w:firstLineChars="200"/>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2、现场防疫方案：做好现场防疫措施，加强采购活动场所防护：一是建立登记问询制度。采购人会同交易中心按照疫情防控一级响应的有关要求，做好开评标活动现场人员信息登记、体温检测、口罩佩戴手部卫生消毒等各项工作，并询问近 14 天内的旅行史特别是湖北及较重疫区的旅行史，了解近一周的个人身体情况和发热病人接触史。二是加强个人防护及开评标场所消毒工作。进入开评标现场人员都应当自行戴好口罩，做好手部卫生消毒。严格执行开标场所每日（次）消毒制度。开评标场配备消毒器具，每日或每次使用前后， 进行清理消毒工作。尽可能减少现场人数、加大座位间隔、缩短工作时间。参加政府采购活动的评审专家及采购人、采购代理机构工作人员均需现场签署防疫承诺书，做好个人防护，严格执行疫情报告、人员隔离等要求。</w:t>
      </w:r>
    </w:p>
    <w:p>
      <w:pPr>
        <w:widowControl/>
        <w:spacing w:before="75" w:after="75" w:line="420" w:lineRule="exact"/>
        <w:ind w:firstLine="480" w:firstLineChars="200"/>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3、参加人员，请自觉做好个人防护工作，必须全程佩戴口罩（自备），听从交易中心工作人员引导，必须提供“一证一码”，即：身份证、“湖州健康码”（个人支付宝或浙里办 APP 中申领），主动配合做好体温测量等各项疫情防控措施。供应商若为省外的，供应商代表在持有“湖州健康码”的同时，须在支付宝 APP 在线申请入浙通行申报。</w:t>
      </w:r>
    </w:p>
    <w:p>
      <w:pPr>
        <w:widowControl/>
        <w:spacing w:before="75" w:after="75" w:line="420" w:lineRule="exact"/>
        <w:ind w:firstLine="480" w:firstLineChars="200"/>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4、“湖州健康码”显示为绿色可进入交易中心，“湖州健康码”显示为黄色、红色或者现场测量体温高于 37.2℃且不符合防控管理要求的人员，一律谢绝进入交易中心参加开标活动。</w:t>
      </w:r>
    </w:p>
    <w:p>
      <w:pPr>
        <w:widowControl/>
        <w:spacing w:before="75" w:after="75" w:line="420" w:lineRule="exact"/>
        <w:ind w:firstLine="480" w:firstLineChars="200"/>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5、所有进入湖州市公共资源交易中心的相关人员应自觉遵守国家以及省、市、区有关疫情防控的其他规定。</w:t>
      </w:r>
    </w:p>
    <w:p>
      <w:pPr>
        <w:widowControl/>
        <w:spacing w:before="75" w:after="75" w:line="420" w:lineRule="exact"/>
        <w:ind w:firstLine="480" w:firstLineChars="200"/>
        <w:jc w:val="left"/>
        <w:rPr>
          <w:rFonts w:asciiTheme="majorEastAsia" w:hAnsiTheme="majorEastAsia" w:eastAsiaTheme="majorEastAsia" w:cstheme="majorEastAsia"/>
          <w:color w:val="auto"/>
          <w:kern w:val="0"/>
          <w:sz w:val="24"/>
        </w:rPr>
      </w:pPr>
      <w:r>
        <w:rPr>
          <w:rFonts w:hint="eastAsia" w:asciiTheme="majorEastAsia" w:hAnsiTheme="majorEastAsia" w:eastAsiaTheme="majorEastAsia" w:cstheme="majorEastAsia"/>
          <w:color w:val="auto"/>
          <w:kern w:val="0"/>
          <w:sz w:val="24"/>
        </w:rPr>
        <w:t>6、</w:t>
      </w:r>
      <w:r>
        <w:rPr>
          <w:rFonts w:hint="eastAsia" w:asciiTheme="majorEastAsia" w:hAnsiTheme="majorEastAsia" w:eastAsiaTheme="majorEastAsia" w:cstheme="majorEastAsia"/>
          <w:bCs/>
          <w:color w:val="auto"/>
          <w:kern w:val="0"/>
          <w:sz w:val="24"/>
        </w:rPr>
        <w:t>本项目招标代理费由每位中标方分别支付</w:t>
      </w:r>
      <w:r>
        <w:rPr>
          <w:rFonts w:hint="eastAsia" w:asciiTheme="majorEastAsia" w:hAnsiTheme="majorEastAsia" w:eastAsiaTheme="majorEastAsia" w:cstheme="majorEastAsia"/>
          <w:bCs/>
          <w:color w:val="auto"/>
          <w:kern w:val="0"/>
          <w:sz w:val="24"/>
          <w:lang w:val="en-US" w:eastAsia="zh-CN"/>
        </w:rPr>
        <w:t>50000</w:t>
      </w:r>
      <w:r>
        <w:rPr>
          <w:rFonts w:hint="eastAsia" w:asciiTheme="majorEastAsia" w:hAnsiTheme="majorEastAsia" w:eastAsiaTheme="majorEastAsia" w:cstheme="majorEastAsia"/>
          <w:bCs/>
          <w:color w:val="auto"/>
          <w:kern w:val="0"/>
          <w:sz w:val="24"/>
        </w:rPr>
        <w:t>元，</w:t>
      </w:r>
      <w:r>
        <w:rPr>
          <w:rFonts w:hint="eastAsia" w:asciiTheme="majorEastAsia" w:hAnsiTheme="majorEastAsia" w:eastAsiaTheme="majorEastAsia" w:cstheme="majorEastAsia"/>
          <w:color w:val="auto"/>
          <w:kern w:val="0"/>
          <w:sz w:val="24"/>
        </w:rPr>
        <w:t>领取中标通知书前支付给采购代理机构，该费用请供应商自行考虑计入投标报价中。</w:t>
      </w:r>
    </w:p>
    <w:p>
      <w:pPr>
        <w:keepNext w:val="0"/>
        <w:keepLines w:val="0"/>
        <w:pageBreakBefore w:val="0"/>
        <w:widowControl/>
        <w:kinsoku/>
        <w:wordWrap/>
        <w:overflowPunct/>
        <w:topLinePunct w:val="0"/>
        <w:autoSpaceDE/>
        <w:autoSpaceDN/>
        <w:bidi w:val="0"/>
        <w:spacing w:before="75" w:after="75" w:line="420" w:lineRule="exact"/>
        <w:jc w:val="left"/>
        <w:textAlignment w:val="auto"/>
        <w:rPr>
          <w:rFonts w:asciiTheme="majorEastAsia" w:hAnsiTheme="majorEastAsia" w:eastAsiaTheme="majorEastAsia" w:cstheme="majorEastAsia"/>
          <w:b/>
          <w:bCs/>
          <w:kern w:val="0"/>
          <w:sz w:val="24"/>
        </w:rPr>
      </w:pPr>
      <w:r>
        <w:rPr>
          <w:rFonts w:hint="eastAsia" w:asciiTheme="majorEastAsia" w:hAnsiTheme="majorEastAsia" w:eastAsiaTheme="majorEastAsia" w:cstheme="majorEastAsia"/>
          <w:b/>
          <w:bCs/>
          <w:kern w:val="0"/>
          <w:sz w:val="24"/>
        </w:rPr>
        <w:t>十一．“浙江政府采购网”（ http://www.zjzfcg.gov.cn/）</w:t>
      </w:r>
    </w:p>
    <w:p>
      <w:pPr>
        <w:keepNext w:val="0"/>
        <w:keepLines w:val="0"/>
        <w:pageBreakBefore w:val="0"/>
        <w:widowControl/>
        <w:kinsoku/>
        <w:wordWrap/>
        <w:overflowPunct/>
        <w:topLinePunct w:val="0"/>
        <w:autoSpaceDE/>
        <w:autoSpaceDN/>
        <w:bidi w:val="0"/>
        <w:spacing w:before="75" w:after="75" w:line="420" w:lineRule="exact"/>
        <w:ind w:firstLine="723" w:firstLineChars="300"/>
        <w:jc w:val="left"/>
        <w:textAlignment w:val="auto"/>
        <w:rPr>
          <w:rFonts w:asciiTheme="majorEastAsia" w:hAnsiTheme="majorEastAsia" w:eastAsiaTheme="majorEastAsia" w:cstheme="majorEastAsia"/>
          <w:b/>
          <w:bCs/>
          <w:kern w:val="0"/>
          <w:sz w:val="24"/>
        </w:rPr>
      </w:pPr>
      <w:r>
        <w:rPr>
          <w:rFonts w:hint="eastAsia" w:asciiTheme="majorEastAsia" w:hAnsiTheme="majorEastAsia" w:eastAsiaTheme="majorEastAsia" w:cstheme="majorEastAsia"/>
          <w:b/>
          <w:bCs/>
          <w:kern w:val="0"/>
          <w:sz w:val="24"/>
        </w:rPr>
        <w:t>“湖州市</w:t>
      </w:r>
      <w:r>
        <w:rPr>
          <w:rFonts w:hint="eastAsia" w:asciiTheme="majorEastAsia" w:hAnsiTheme="majorEastAsia" w:eastAsiaTheme="majorEastAsia" w:cstheme="majorEastAsia"/>
          <w:b/>
          <w:bCs/>
          <w:kern w:val="0"/>
          <w:sz w:val="24"/>
          <w:lang w:val="en-US" w:eastAsia="zh-CN"/>
        </w:rPr>
        <w:t>吴兴区</w:t>
      </w:r>
      <w:r>
        <w:rPr>
          <w:rFonts w:hint="eastAsia" w:asciiTheme="majorEastAsia" w:hAnsiTheme="majorEastAsia" w:eastAsiaTheme="majorEastAsia" w:cstheme="majorEastAsia"/>
          <w:b/>
          <w:bCs/>
          <w:kern w:val="0"/>
          <w:sz w:val="24"/>
        </w:rPr>
        <w:t>公共资源交易中心”（http://ggzy.wuxing.gov.cn/）</w:t>
      </w:r>
    </w:p>
    <w:p>
      <w:pPr>
        <w:keepNext w:val="0"/>
        <w:keepLines w:val="0"/>
        <w:pageBreakBefore w:val="0"/>
        <w:widowControl/>
        <w:kinsoku/>
        <w:wordWrap/>
        <w:overflowPunct/>
        <w:topLinePunct w:val="0"/>
        <w:autoSpaceDE/>
        <w:autoSpaceDN/>
        <w:bidi w:val="0"/>
        <w:spacing w:line="420" w:lineRule="exact"/>
        <w:jc w:val="left"/>
        <w:textAlignment w:val="auto"/>
        <w:rPr>
          <w:rFonts w:asciiTheme="majorEastAsia" w:hAnsiTheme="majorEastAsia" w:eastAsiaTheme="majorEastAsia" w:cstheme="majorEastAsia"/>
          <w:kern w:val="0"/>
          <w:sz w:val="24"/>
        </w:rPr>
      </w:pPr>
      <w:r>
        <w:rPr>
          <w:rFonts w:hint="eastAsia" w:asciiTheme="majorEastAsia" w:hAnsiTheme="majorEastAsia" w:eastAsiaTheme="majorEastAsia" w:cstheme="majorEastAsia"/>
          <w:b/>
          <w:bCs/>
          <w:kern w:val="0"/>
          <w:sz w:val="24"/>
        </w:rPr>
        <w:t>十二．联系方式</w:t>
      </w:r>
    </w:p>
    <w:p>
      <w:pPr>
        <w:keepNext w:val="0"/>
        <w:keepLines w:val="0"/>
        <w:pageBreakBefore w:val="0"/>
        <w:widowControl/>
        <w:kinsoku/>
        <w:wordWrap/>
        <w:overflowPunct/>
        <w:topLinePunct w:val="0"/>
        <w:autoSpaceDE/>
        <w:autoSpaceDN/>
        <w:bidi w:val="0"/>
        <w:spacing w:line="420" w:lineRule="exact"/>
        <w:ind w:firstLine="420"/>
        <w:jc w:val="left"/>
        <w:textAlignment w:val="auto"/>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1、采购代理机构名称：大地工程咨询有限公司</w:t>
      </w:r>
    </w:p>
    <w:p>
      <w:pPr>
        <w:keepNext w:val="0"/>
        <w:keepLines w:val="0"/>
        <w:pageBreakBefore w:val="0"/>
        <w:widowControl/>
        <w:kinsoku/>
        <w:wordWrap/>
        <w:overflowPunct/>
        <w:topLinePunct w:val="0"/>
        <w:autoSpaceDE/>
        <w:autoSpaceDN/>
        <w:bidi w:val="0"/>
        <w:spacing w:line="420" w:lineRule="exact"/>
        <w:ind w:firstLine="420"/>
        <w:jc w:val="left"/>
        <w:textAlignment w:val="auto"/>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联系人：</w:t>
      </w:r>
      <w:r>
        <w:rPr>
          <w:rFonts w:hint="eastAsia" w:asciiTheme="majorEastAsia" w:hAnsiTheme="majorEastAsia" w:eastAsiaTheme="majorEastAsia" w:cstheme="majorEastAsia"/>
          <w:kern w:val="0"/>
          <w:sz w:val="24"/>
          <w:lang w:val="en-US" w:eastAsia="zh-CN"/>
        </w:rPr>
        <w:t>费雯亚</w:t>
      </w:r>
      <w:r>
        <w:rPr>
          <w:rFonts w:hint="eastAsia" w:asciiTheme="majorEastAsia" w:hAnsiTheme="majorEastAsia" w:eastAsiaTheme="majorEastAsia" w:cstheme="majorEastAsia"/>
          <w:kern w:val="0"/>
          <w:sz w:val="24"/>
        </w:rPr>
        <w:t xml:space="preserve">          </w:t>
      </w:r>
      <w:r>
        <w:rPr>
          <w:rFonts w:hint="eastAsia" w:asciiTheme="majorEastAsia" w:hAnsiTheme="majorEastAsia" w:eastAsiaTheme="majorEastAsia" w:cstheme="majorEastAsia"/>
          <w:kern w:val="0"/>
          <w:sz w:val="24"/>
          <w:lang w:val="en-US" w:eastAsia="zh-CN"/>
        </w:rPr>
        <w:t xml:space="preserve">   </w:t>
      </w:r>
      <w:r>
        <w:rPr>
          <w:rFonts w:hint="eastAsia" w:asciiTheme="majorEastAsia" w:hAnsiTheme="majorEastAsia" w:eastAsiaTheme="majorEastAsia" w:cstheme="majorEastAsia"/>
          <w:kern w:val="0"/>
          <w:sz w:val="24"/>
        </w:rPr>
        <w:t xml:space="preserve">    联系电话：0572-2068197</w:t>
      </w:r>
    </w:p>
    <w:p>
      <w:pPr>
        <w:keepNext w:val="0"/>
        <w:keepLines w:val="0"/>
        <w:pageBreakBefore w:val="0"/>
        <w:widowControl/>
        <w:kinsoku/>
        <w:wordWrap/>
        <w:overflowPunct/>
        <w:topLinePunct w:val="0"/>
        <w:autoSpaceDE/>
        <w:autoSpaceDN/>
        <w:bidi w:val="0"/>
        <w:spacing w:line="420" w:lineRule="exact"/>
        <w:ind w:firstLine="420"/>
        <w:jc w:val="left"/>
        <w:textAlignment w:val="auto"/>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地址：湖州市吴兴区蜀山路199号4号楼2楼</w:t>
      </w:r>
    </w:p>
    <w:p>
      <w:pPr>
        <w:keepNext w:val="0"/>
        <w:keepLines w:val="0"/>
        <w:pageBreakBefore w:val="0"/>
        <w:widowControl/>
        <w:kinsoku/>
        <w:wordWrap/>
        <w:overflowPunct/>
        <w:topLinePunct w:val="0"/>
        <w:autoSpaceDE/>
        <w:autoSpaceDN/>
        <w:bidi w:val="0"/>
        <w:spacing w:line="420" w:lineRule="exact"/>
        <w:ind w:firstLine="420"/>
        <w:jc w:val="left"/>
        <w:textAlignment w:val="auto"/>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2、采购人名称：湖州市吴兴区人民政府湖东街道办事处</w:t>
      </w:r>
    </w:p>
    <w:p>
      <w:pPr>
        <w:keepNext w:val="0"/>
        <w:keepLines w:val="0"/>
        <w:pageBreakBefore w:val="0"/>
        <w:widowControl/>
        <w:kinsoku/>
        <w:wordWrap/>
        <w:overflowPunct/>
        <w:topLinePunct w:val="0"/>
        <w:autoSpaceDE/>
        <w:autoSpaceDN/>
        <w:bidi w:val="0"/>
        <w:spacing w:line="420" w:lineRule="exact"/>
        <w:ind w:firstLine="420"/>
        <w:jc w:val="left"/>
        <w:textAlignment w:val="auto"/>
        <w:rPr>
          <w:rFonts w:hint="default" w:asciiTheme="majorEastAsia" w:hAnsiTheme="majorEastAsia" w:eastAsiaTheme="majorEastAsia" w:cstheme="majorEastAsia"/>
          <w:kern w:val="0"/>
          <w:sz w:val="24"/>
          <w:lang w:val="en-US" w:eastAsia="zh-CN"/>
        </w:rPr>
      </w:pPr>
      <w:r>
        <w:rPr>
          <w:rFonts w:hint="eastAsia" w:asciiTheme="majorEastAsia" w:hAnsiTheme="majorEastAsia" w:eastAsiaTheme="majorEastAsia" w:cstheme="majorEastAsia"/>
          <w:kern w:val="0"/>
          <w:sz w:val="24"/>
          <w:lang w:val="zh-CN"/>
        </w:rPr>
        <w:t>联系人：</w:t>
      </w:r>
      <w:r>
        <w:rPr>
          <w:rFonts w:hint="eastAsia" w:asciiTheme="majorEastAsia" w:hAnsiTheme="majorEastAsia" w:eastAsiaTheme="majorEastAsia" w:cstheme="majorEastAsia"/>
          <w:kern w:val="0"/>
          <w:sz w:val="24"/>
          <w:lang w:val="en-US" w:eastAsia="zh-CN"/>
        </w:rPr>
        <w:t>汪莉</w:t>
      </w:r>
      <w:r>
        <w:rPr>
          <w:rFonts w:hint="eastAsia" w:asciiTheme="majorEastAsia" w:hAnsiTheme="majorEastAsia" w:eastAsiaTheme="majorEastAsia" w:cstheme="majorEastAsia"/>
          <w:kern w:val="0"/>
          <w:sz w:val="24"/>
          <w:lang w:val="zh-CN"/>
        </w:rPr>
        <w:t xml:space="preserve">                   </w:t>
      </w:r>
      <w:r>
        <w:rPr>
          <w:rFonts w:hint="eastAsia" w:asciiTheme="majorEastAsia" w:hAnsiTheme="majorEastAsia" w:eastAsiaTheme="majorEastAsia" w:cstheme="majorEastAsia"/>
          <w:color w:val="auto"/>
          <w:kern w:val="0"/>
          <w:sz w:val="24"/>
          <w:lang w:bidi="en-US"/>
        </w:rPr>
        <w:t>联系电话</w:t>
      </w:r>
      <w:r>
        <w:rPr>
          <w:rFonts w:hint="eastAsia" w:asciiTheme="majorEastAsia" w:hAnsiTheme="majorEastAsia" w:eastAsiaTheme="majorEastAsia" w:cstheme="majorEastAsia"/>
          <w:kern w:val="0"/>
          <w:sz w:val="24"/>
          <w:lang w:val="zh-CN"/>
        </w:rPr>
        <w:t>：</w:t>
      </w:r>
      <w:r>
        <w:rPr>
          <w:rFonts w:hint="eastAsia" w:asciiTheme="majorEastAsia" w:hAnsiTheme="majorEastAsia" w:eastAsiaTheme="majorEastAsia" w:cstheme="majorEastAsia"/>
          <w:kern w:val="0"/>
          <w:sz w:val="24"/>
          <w:lang w:val="en-US" w:eastAsia="zh-CN"/>
        </w:rPr>
        <w:t>13906720785</w:t>
      </w:r>
    </w:p>
    <w:p>
      <w:pPr>
        <w:keepNext w:val="0"/>
        <w:keepLines w:val="0"/>
        <w:pageBreakBefore w:val="0"/>
        <w:widowControl/>
        <w:numPr>
          <w:ilvl w:val="0"/>
          <w:numId w:val="6"/>
        </w:numPr>
        <w:kinsoku/>
        <w:wordWrap/>
        <w:overflowPunct/>
        <w:topLinePunct w:val="0"/>
        <w:autoSpaceDE/>
        <w:autoSpaceDN/>
        <w:bidi w:val="0"/>
        <w:spacing w:line="420" w:lineRule="exact"/>
        <w:ind w:firstLine="420"/>
        <w:jc w:val="left"/>
        <w:textAlignment w:val="auto"/>
        <w:rPr>
          <w:rFonts w:asciiTheme="majorEastAsia" w:hAnsiTheme="majorEastAsia" w:eastAsiaTheme="majorEastAsia" w:cstheme="majorEastAsia"/>
          <w:kern w:val="0"/>
          <w:sz w:val="24"/>
          <w:lang w:bidi="en-US"/>
        </w:rPr>
      </w:pPr>
      <w:r>
        <w:rPr>
          <w:rFonts w:hint="eastAsia" w:asciiTheme="majorEastAsia" w:hAnsiTheme="majorEastAsia" w:eastAsiaTheme="majorEastAsia" w:cstheme="majorEastAsia"/>
          <w:kern w:val="0"/>
          <w:sz w:val="24"/>
        </w:rPr>
        <w:t>同</w:t>
      </w:r>
      <w:r>
        <w:rPr>
          <w:rFonts w:hint="eastAsia" w:asciiTheme="majorEastAsia" w:hAnsiTheme="majorEastAsia" w:eastAsiaTheme="majorEastAsia" w:cstheme="majorEastAsia"/>
          <w:kern w:val="0"/>
          <w:sz w:val="24"/>
          <w:lang w:bidi="en-US"/>
        </w:rPr>
        <w:t>政府采购行政监管及投诉受理部门：</w:t>
      </w:r>
      <w:r>
        <w:rPr>
          <w:rFonts w:hint="eastAsia" w:ascii="宋体" w:hAnsi="宋体" w:cs="宋体"/>
          <w:sz w:val="24"/>
          <w:lang w:eastAsia="zh-CN"/>
        </w:rPr>
        <w:t>吴兴区财政局政府采购监管科</w:t>
      </w:r>
      <w:r>
        <w:rPr>
          <w:rFonts w:hint="eastAsia" w:asciiTheme="majorEastAsia" w:hAnsiTheme="majorEastAsia" w:eastAsiaTheme="majorEastAsia" w:cstheme="majorEastAsia"/>
          <w:kern w:val="0"/>
          <w:sz w:val="24"/>
          <w:lang w:bidi="en-US"/>
        </w:rPr>
        <w:t xml:space="preserve">；   </w:t>
      </w:r>
    </w:p>
    <w:p>
      <w:pPr>
        <w:keepNext w:val="0"/>
        <w:keepLines w:val="0"/>
        <w:pageBreakBefore w:val="0"/>
        <w:widowControl/>
        <w:kinsoku/>
        <w:wordWrap/>
        <w:overflowPunct/>
        <w:topLinePunct w:val="0"/>
        <w:autoSpaceDE/>
        <w:autoSpaceDN/>
        <w:bidi w:val="0"/>
        <w:spacing w:line="420" w:lineRule="exact"/>
        <w:ind w:firstLine="480" w:firstLineChars="200"/>
        <w:jc w:val="left"/>
        <w:textAlignment w:val="auto"/>
        <w:rPr>
          <w:rFonts w:hint="default" w:asciiTheme="majorEastAsia" w:hAnsiTheme="majorEastAsia" w:eastAsiaTheme="majorEastAsia" w:cstheme="majorEastAsia"/>
          <w:color w:val="auto"/>
          <w:kern w:val="0"/>
          <w:sz w:val="24"/>
          <w:lang w:val="en-US" w:eastAsia="zh-CN" w:bidi="en-US"/>
        </w:rPr>
      </w:pPr>
      <w:r>
        <w:rPr>
          <w:rFonts w:hint="eastAsia" w:asciiTheme="majorEastAsia" w:hAnsiTheme="majorEastAsia" w:eastAsiaTheme="majorEastAsia" w:cstheme="majorEastAsia"/>
          <w:color w:val="auto"/>
          <w:kern w:val="0"/>
          <w:sz w:val="24"/>
          <w:lang w:bidi="en-US"/>
        </w:rPr>
        <w:t>联系人：</w:t>
      </w:r>
      <w:r>
        <w:rPr>
          <w:rFonts w:hint="eastAsia" w:asciiTheme="majorEastAsia" w:hAnsiTheme="majorEastAsia" w:eastAsiaTheme="majorEastAsia" w:cstheme="majorEastAsia"/>
          <w:color w:val="auto"/>
          <w:kern w:val="0"/>
          <w:sz w:val="24"/>
          <w:lang w:val="en-US" w:eastAsia="zh-CN" w:bidi="en-US"/>
        </w:rPr>
        <w:t>沈老师</w:t>
      </w:r>
      <w:r>
        <w:rPr>
          <w:rFonts w:hint="eastAsia" w:asciiTheme="majorEastAsia" w:hAnsiTheme="majorEastAsia" w:eastAsiaTheme="majorEastAsia" w:cstheme="majorEastAsia"/>
          <w:color w:val="auto"/>
          <w:kern w:val="0"/>
          <w:sz w:val="24"/>
          <w:lang w:bidi="en-US"/>
        </w:rPr>
        <w:t xml:space="preserve">          </w:t>
      </w:r>
      <w:r>
        <w:rPr>
          <w:rFonts w:hint="eastAsia" w:asciiTheme="majorEastAsia" w:hAnsiTheme="majorEastAsia" w:eastAsiaTheme="majorEastAsia" w:cstheme="majorEastAsia"/>
          <w:color w:val="auto"/>
          <w:kern w:val="0"/>
          <w:sz w:val="24"/>
          <w:lang w:val="en-US" w:eastAsia="zh-CN" w:bidi="en-US"/>
        </w:rPr>
        <w:t xml:space="preserve"> </w:t>
      </w:r>
      <w:r>
        <w:rPr>
          <w:rFonts w:hint="eastAsia" w:asciiTheme="majorEastAsia" w:hAnsiTheme="majorEastAsia" w:eastAsiaTheme="majorEastAsia" w:cstheme="majorEastAsia"/>
          <w:color w:val="auto"/>
          <w:kern w:val="0"/>
          <w:sz w:val="24"/>
          <w:lang w:bidi="en-US"/>
        </w:rPr>
        <w:t xml:space="preserve">      联系电话：0572-2</w:t>
      </w:r>
      <w:r>
        <w:rPr>
          <w:rFonts w:hint="eastAsia" w:asciiTheme="majorEastAsia" w:hAnsiTheme="majorEastAsia" w:eastAsiaTheme="majorEastAsia" w:cstheme="majorEastAsia"/>
          <w:color w:val="auto"/>
          <w:kern w:val="0"/>
          <w:sz w:val="24"/>
          <w:lang w:val="en-US" w:eastAsia="zh-CN" w:bidi="en-US"/>
        </w:rPr>
        <w:t>289702</w:t>
      </w:r>
    </w:p>
    <w:p>
      <w:pPr>
        <w:keepNext w:val="0"/>
        <w:keepLines w:val="0"/>
        <w:pageBreakBefore w:val="0"/>
        <w:widowControl/>
        <w:numPr>
          <w:ilvl w:val="0"/>
          <w:numId w:val="6"/>
        </w:numPr>
        <w:kinsoku/>
        <w:wordWrap/>
        <w:overflowPunct/>
        <w:topLinePunct w:val="0"/>
        <w:autoSpaceDE/>
        <w:autoSpaceDN/>
        <w:bidi w:val="0"/>
        <w:spacing w:line="420" w:lineRule="exact"/>
        <w:ind w:firstLine="420"/>
        <w:jc w:val="left"/>
        <w:textAlignment w:val="auto"/>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kern w:val="0"/>
          <w:sz w:val="24"/>
        </w:rPr>
        <w:t>质疑函接收人：</w:t>
      </w:r>
      <w:r>
        <w:rPr>
          <w:rFonts w:hint="eastAsia" w:asciiTheme="majorEastAsia" w:hAnsiTheme="majorEastAsia" w:eastAsiaTheme="majorEastAsia" w:cstheme="majorEastAsia"/>
          <w:color w:val="auto"/>
          <w:kern w:val="0"/>
          <w:sz w:val="24"/>
          <w:lang w:val="zh-CN"/>
        </w:rPr>
        <w:t xml:space="preserve">王先生 </w:t>
      </w:r>
      <w:r>
        <w:rPr>
          <w:rFonts w:hint="eastAsia" w:asciiTheme="majorEastAsia" w:hAnsiTheme="majorEastAsia" w:eastAsiaTheme="majorEastAsia" w:cstheme="majorEastAsia"/>
          <w:color w:val="auto"/>
          <w:kern w:val="0"/>
          <w:sz w:val="24"/>
          <w:lang w:val="en-US" w:eastAsia="zh-CN"/>
        </w:rPr>
        <w:t xml:space="preserve">      </w:t>
      </w:r>
      <w:r>
        <w:rPr>
          <w:rFonts w:hint="eastAsia" w:asciiTheme="majorEastAsia" w:hAnsiTheme="majorEastAsia" w:eastAsiaTheme="majorEastAsia" w:cstheme="majorEastAsia"/>
          <w:color w:val="auto"/>
          <w:kern w:val="0"/>
          <w:sz w:val="24"/>
        </w:rPr>
        <w:t xml:space="preserve"> </w:t>
      </w:r>
      <w:r>
        <w:rPr>
          <w:rFonts w:hint="eastAsia" w:asciiTheme="majorEastAsia" w:hAnsiTheme="majorEastAsia" w:eastAsiaTheme="majorEastAsia" w:cstheme="majorEastAsia"/>
          <w:color w:val="auto"/>
          <w:kern w:val="0"/>
          <w:sz w:val="24"/>
          <w:lang w:bidi="en-US"/>
        </w:rPr>
        <w:t>联系电话</w:t>
      </w:r>
      <w:r>
        <w:rPr>
          <w:rFonts w:hint="eastAsia" w:asciiTheme="majorEastAsia" w:hAnsiTheme="majorEastAsia" w:eastAsiaTheme="majorEastAsia" w:cstheme="majorEastAsia"/>
          <w:color w:val="auto"/>
          <w:sz w:val="24"/>
        </w:rPr>
        <w:t>：</w:t>
      </w:r>
      <w:r>
        <w:rPr>
          <w:rFonts w:hint="eastAsia" w:asciiTheme="majorEastAsia" w:hAnsiTheme="majorEastAsia" w:eastAsiaTheme="majorEastAsia" w:cstheme="majorEastAsia"/>
          <w:color w:val="auto"/>
          <w:kern w:val="0"/>
          <w:sz w:val="24"/>
          <w:lang w:val="zh-CN"/>
        </w:rPr>
        <w:t>15857238572</w:t>
      </w:r>
    </w:p>
    <w:p>
      <w:pPr>
        <w:keepNext w:val="0"/>
        <w:keepLines w:val="0"/>
        <w:pageBreakBefore w:val="0"/>
        <w:widowControl/>
        <w:numPr>
          <w:ilvl w:val="0"/>
          <w:numId w:val="6"/>
        </w:numPr>
        <w:kinsoku/>
        <w:wordWrap/>
        <w:overflowPunct/>
        <w:topLinePunct w:val="0"/>
        <w:autoSpaceDE/>
        <w:autoSpaceDN/>
        <w:bidi w:val="0"/>
        <w:spacing w:line="420" w:lineRule="exact"/>
        <w:ind w:firstLine="420"/>
        <w:jc w:val="left"/>
        <w:textAlignment w:val="auto"/>
        <w:rPr>
          <w:rFonts w:asciiTheme="majorEastAsia" w:hAnsiTheme="majorEastAsia" w:eastAsiaTheme="majorEastAsia" w:cstheme="majorEastAsia"/>
          <w:color w:val="auto"/>
          <w:kern w:val="0"/>
          <w:sz w:val="24"/>
        </w:rPr>
      </w:pPr>
      <w:r>
        <w:rPr>
          <w:rFonts w:hint="eastAsia" w:asciiTheme="majorEastAsia" w:hAnsiTheme="majorEastAsia" w:eastAsiaTheme="majorEastAsia" w:cstheme="majorEastAsia"/>
          <w:color w:val="auto"/>
          <w:kern w:val="0"/>
          <w:sz w:val="24"/>
        </w:rPr>
        <w:t>政采云平台技术支持热线咨询</w:t>
      </w:r>
    </w:p>
    <w:p>
      <w:pPr>
        <w:keepNext w:val="0"/>
        <w:keepLines w:val="0"/>
        <w:pageBreakBefore w:val="0"/>
        <w:kinsoku/>
        <w:wordWrap/>
        <w:overflowPunct/>
        <w:topLinePunct w:val="0"/>
        <w:autoSpaceDE/>
        <w:autoSpaceDN/>
        <w:bidi w:val="0"/>
        <w:adjustRightInd w:val="0"/>
        <w:snapToGrid w:val="0"/>
        <w:spacing w:line="420" w:lineRule="exact"/>
        <w:ind w:firstLine="480" w:firstLineChars="200"/>
        <w:textAlignment w:val="auto"/>
        <w:rPr>
          <w:rFonts w:asciiTheme="majorEastAsia" w:hAnsiTheme="majorEastAsia" w:eastAsiaTheme="majorEastAsia" w:cstheme="majorEastAsia"/>
          <w:color w:val="auto"/>
          <w:kern w:val="0"/>
          <w:sz w:val="24"/>
        </w:rPr>
      </w:pPr>
      <w:r>
        <w:rPr>
          <w:rFonts w:hint="eastAsia" w:asciiTheme="majorEastAsia" w:hAnsiTheme="majorEastAsia" w:eastAsiaTheme="majorEastAsia" w:cstheme="majorEastAsia"/>
          <w:color w:val="auto"/>
          <w:kern w:val="0"/>
          <w:sz w:val="24"/>
        </w:rPr>
        <w:t>联系方式：400-881-7190</w:t>
      </w:r>
    </w:p>
    <w:p>
      <w:pPr>
        <w:keepNext w:val="0"/>
        <w:keepLines w:val="0"/>
        <w:pageBreakBefore w:val="0"/>
        <w:kinsoku/>
        <w:wordWrap/>
        <w:overflowPunct/>
        <w:topLinePunct w:val="0"/>
        <w:autoSpaceDE/>
        <w:autoSpaceDN/>
        <w:bidi w:val="0"/>
        <w:adjustRightInd w:val="0"/>
        <w:snapToGrid w:val="0"/>
        <w:spacing w:line="420" w:lineRule="exact"/>
        <w:textAlignment w:val="auto"/>
        <w:rPr>
          <w:rFonts w:asciiTheme="majorEastAsia" w:hAnsiTheme="majorEastAsia" w:eastAsiaTheme="majorEastAsia" w:cstheme="majorEastAsia"/>
          <w:color w:val="auto"/>
          <w:kern w:val="0"/>
          <w:sz w:val="24"/>
          <w:highlight w:val="yellow"/>
        </w:rPr>
      </w:pPr>
    </w:p>
    <w:p>
      <w:pPr>
        <w:pStyle w:val="2"/>
      </w:pPr>
    </w:p>
    <w:p>
      <w:pPr>
        <w:keepNext w:val="0"/>
        <w:keepLines w:val="0"/>
        <w:pageBreakBefore w:val="0"/>
        <w:kinsoku/>
        <w:wordWrap/>
        <w:overflowPunct/>
        <w:topLinePunct w:val="0"/>
        <w:autoSpaceDE/>
        <w:autoSpaceDN/>
        <w:bidi w:val="0"/>
        <w:adjustRightInd w:val="0"/>
        <w:snapToGrid w:val="0"/>
        <w:spacing w:line="420" w:lineRule="exact"/>
        <w:jc w:val="right"/>
        <w:textAlignment w:val="auto"/>
        <w:rPr>
          <w:rFonts w:asciiTheme="majorEastAsia" w:hAnsiTheme="majorEastAsia" w:eastAsiaTheme="majorEastAsia" w:cstheme="majorEastAsia"/>
          <w:color w:val="auto"/>
          <w:kern w:val="0"/>
          <w:sz w:val="24"/>
        </w:rPr>
      </w:pPr>
      <w:r>
        <w:rPr>
          <w:rFonts w:hint="eastAsia" w:asciiTheme="majorEastAsia" w:hAnsiTheme="majorEastAsia" w:eastAsiaTheme="majorEastAsia" w:cstheme="majorEastAsia"/>
          <w:color w:val="auto"/>
          <w:kern w:val="0"/>
          <w:sz w:val="24"/>
        </w:rPr>
        <w:t>湖州市吴兴区人民政府湖东街道办事处</w:t>
      </w:r>
    </w:p>
    <w:p>
      <w:pPr>
        <w:keepNext w:val="0"/>
        <w:keepLines w:val="0"/>
        <w:pageBreakBefore w:val="0"/>
        <w:kinsoku/>
        <w:wordWrap/>
        <w:overflowPunct/>
        <w:topLinePunct w:val="0"/>
        <w:autoSpaceDE/>
        <w:autoSpaceDN/>
        <w:bidi w:val="0"/>
        <w:adjustRightInd w:val="0"/>
        <w:snapToGrid w:val="0"/>
        <w:spacing w:line="420" w:lineRule="exact"/>
        <w:jc w:val="right"/>
        <w:textAlignment w:val="auto"/>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大地工程咨询有限公司</w:t>
      </w:r>
    </w:p>
    <w:p>
      <w:pPr>
        <w:keepNext w:val="0"/>
        <w:keepLines w:val="0"/>
        <w:pageBreakBefore w:val="0"/>
        <w:kinsoku/>
        <w:wordWrap/>
        <w:overflowPunct/>
        <w:topLinePunct w:val="0"/>
        <w:autoSpaceDE/>
        <w:autoSpaceDN/>
        <w:bidi w:val="0"/>
        <w:adjustRightInd w:val="0"/>
        <w:snapToGrid w:val="0"/>
        <w:spacing w:line="420" w:lineRule="exact"/>
        <w:jc w:val="right"/>
        <w:textAlignment w:val="auto"/>
        <w:rPr>
          <w:rFonts w:asciiTheme="majorEastAsia" w:hAnsiTheme="majorEastAsia" w:eastAsiaTheme="majorEastAsia" w:cstheme="majorEastAsia"/>
          <w:b/>
          <w:bCs/>
          <w:color w:val="auto"/>
          <w:sz w:val="24"/>
        </w:rPr>
      </w:pPr>
      <w:r>
        <w:rPr>
          <w:rFonts w:hint="eastAsia" w:asciiTheme="majorEastAsia" w:hAnsiTheme="majorEastAsia" w:eastAsiaTheme="majorEastAsia" w:cstheme="majorEastAsia"/>
          <w:color w:val="auto"/>
          <w:sz w:val="24"/>
        </w:rPr>
        <w:t>2020年</w:t>
      </w:r>
      <w:r>
        <w:rPr>
          <w:rFonts w:hint="eastAsia" w:asciiTheme="majorEastAsia" w:hAnsiTheme="majorEastAsia" w:eastAsiaTheme="majorEastAsia" w:cstheme="majorEastAsia"/>
          <w:color w:val="auto"/>
          <w:sz w:val="24"/>
          <w:lang w:val="en-US" w:eastAsia="zh-CN"/>
        </w:rPr>
        <w:t>7</w:t>
      </w:r>
      <w:r>
        <w:rPr>
          <w:rFonts w:hint="eastAsia" w:asciiTheme="majorEastAsia" w:hAnsiTheme="majorEastAsia" w:eastAsiaTheme="majorEastAsia" w:cstheme="majorEastAsia"/>
          <w:color w:val="auto"/>
          <w:sz w:val="24"/>
        </w:rPr>
        <w:t>月</w:t>
      </w:r>
      <w:r>
        <w:rPr>
          <w:rFonts w:hint="eastAsia" w:asciiTheme="majorEastAsia" w:hAnsiTheme="majorEastAsia" w:eastAsiaTheme="majorEastAsia" w:cstheme="majorEastAsia"/>
          <w:color w:val="auto"/>
          <w:sz w:val="24"/>
          <w:lang w:val="en-US" w:eastAsia="zh-CN"/>
        </w:rPr>
        <w:t>13</w:t>
      </w:r>
      <w:r>
        <w:rPr>
          <w:rFonts w:hint="eastAsia" w:asciiTheme="majorEastAsia" w:hAnsiTheme="majorEastAsia" w:eastAsiaTheme="majorEastAsia" w:cstheme="majorEastAsia"/>
          <w:color w:val="auto"/>
          <w:sz w:val="24"/>
        </w:rPr>
        <w:t>日</w:t>
      </w:r>
    </w:p>
    <w:p>
      <w:pPr>
        <w:spacing w:beforeLines="50" w:afterLines="50"/>
        <w:jc w:val="center"/>
        <w:outlineLvl w:val="0"/>
        <w:rPr>
          <w:rFonts w:asciiTheme="majorEastAsia" w:hAnsiTheme="majorEastAsia" w:eastAsiaTheme="majorEastAsia" w:cstheme="majorEastAsia"/>
          <w:b/>
          <w:bCs/>
          <w:sz w:val="30"/>
          <w:szCs w:val="30"/>
        </w:rPr>
      </w:pPr>
    </w:p>
    <w:p>
      <w:pPr>
        <w:rPr>
          <w:rFonts w:asciiTheme="majorEastAsia" w:hAnsiTheme="majorEastAsia" w:eastAsiaTheme="majorEastAsia" w:cstheme="majorEastAsia"/>
          <w:b/>
          <w:bCs/>
          <w:sz w:val="30"/>
          <w:szCs w:val="30"/>
        </w:rPr>
      </w:pPr>
    </w:p>
    <w:p>
      <w:pPr>
        <w:pStyle w:val="2"/>
        <w:rPr>
          <w:rFonts w:asciiTheme="majorEastAsia" w:hAnsiTheme="majorEastAsia" w:eastAsiaTheme="majorEastAsia" w:cstheme="majorEastAsia"/>
          <w:sz w:val="30"/>
          <w:szCs w:val="30"/>
        </w:rPr>
      </w:pPr>
    </w:p>
    <w:p>
      <w:pPr>
        <w:rPr>
          <w:rFonts w:asciiTheme="majorEastAsia" w:hAnsiTheme="majorEastAsia" w:eastAsiaTheme="majorEastAsia" w:cstheme="majorEastAsia"/>
          <w:b/>
          <w:bCs/>
          <w:sz w:val="30"/>
          <w:szCs w:val="30"/>
        </w:rPr>
      </w:pPr>
    </w:p>
    <w:p>
      <w:pPr>
        <w:pStyle w:val="2"/>
        <w:rPr>
          <w:rFonts w:asciiTheme="majorEastAsia" w:hAnsiTheme="majorEastAsia" w:eastAsiaTheme="majorEastAsia" w:cstheme="majorEastAsia"/>
          <w:sz w:val="30"/>
          <w:szCs w:val="30"/>
        </w:rPr>
      </w:pPr>
    </w:p>
    <w:p>
      <w:pPr>
        <w:rPr>
          <w:rFonts w:asciiTheme="majorEastAsia" w:hAnsiTheme="majorEastAsia" w:eastAsiaTheme="majorEastAsia" w:cstheme="majorEastAsia"/>
          <w:sz w:val="30"/>
          <w:szCs w:val="30"/>
        </w:rPr>
      </w:pPr>
    </w:p>
    <w:p>
      <w:pPr>
        <w:pStyle w:val="2"/>
        <w:rPr>
          <w:rFonts w:asciiTheme="majorEastAsia" w:hAnsiTheme="majorEastAsia" w:eastAsiaTheme="majorEastAsia" w:cstheme="majorEastAsia"/>
          <w:sz w:val="30"/>
          <w:szCs w:val="30"/>
        </w:rPr>
      </w:pPr>
    </w:p>
    <w:p>
      <w:pPr>
        <w:pStyle w:val="2"/>
      </w:pPr>
    </w:p>
    <w:p/>
    <w:p>
      <w:pPr>
        <w:rPr>
          <w:rFonts w:asciiTheme="majorEastAsia" w:hAnsiTheme="majorEastAsia" w:eastAsiaTheme="majorEastAsia" w:cstheme="majorEastAsia"/>
          <w:b/>
          <w:bCs/>
          <w:sz w:val="30"/>
          <w:szCs w:val="30"/>
        </w:rPr>
      </w:pPr>
    </w:p>
    <w:p>
      <w:pPr>
        <w:pStyle w:val="33"/>
        <w:snapToGrid w:val="0"/>
        <w:spacing w:after="119" w:line="394" w:lineRule="exact"/>
        <w:ind w:firstLine="0" w:firstLineChars="0"/>
        <w:contextualSpacing/>
        <w:jc w:val="center"/>
        <w:rPr>
          <w:rFonts w:hint="eastAsia" w:asciiTheme="majorEastAsia" w:hAnsiTheme="majorEastAsia" w:eastAsiaTheme="majorEastAsia" w:cstheme="majorEastAsia"/>
          <w:b/>
          <w:bCs/>
          <w:sz w:val="40"/>
          <w:szCs w:val="36"/>
        </w:rPr>
      </w:pPr>
    </w:p>
    <w:p>
      <w:pPr>
        <w:pStyle w:val="33"/>
        <w:snapToGrid w:val="0"/>
        <w:spacing w:after="119" w:line="394" w:lineRule="exact"/>
        <w:ind w:firstLine="0" w:firstLineChars="0"/>
        <w:contextualSpacing/>
        <w:jc w:val="center"/>
        <w:rPr>
          <w:rFonts w:asciiTheme="majorEastAsia" w:hAnsiTheme="majorEastAsia" w:eastAsiaTheme="majorEastAsia" w:cstheme="majorEastAsia"/>
          <w:b/>
          <w:bCs/>
          <w:sz w:val="40"/>
          <w:szCs w:val="36"/>
        </w:rPr>
      </w:pPr>
      <w:r>
        <w:rPr>
          <w:rFonts w:hint="eastAsia" w:asciiTheme="majorEastAsia" w:hAnsiTheme="majorEastAsia" w:eastAsiaTheme="majorEastAsia" w:cstheme="majorEastAsia"/>
          <w:b/>
          <w:bCs/>
          <w:sz w:val="40"/>
          <w:szCs w:val="36"/>
        </w:rPr>
        <w:t>第二章、招标需求</w:t>
      </w:r>
      <w:bookmarkStart w:id="2" w:name="_Toc29879"/>
    </w:p>
    <w:bookmarkEnd w:id="2"/>
    <w:p>
      <w:pPr>
        <w:spacing w:line="420" w:lineRule="exact"/>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一、招标单位名称：湖州市吴兴区人民政府湖东街道办事处</w:t>
      </w:r>
    </w:p>
    <w:p>
      <w:pPr>
        <w:spacing w:line="420" w:lineRule="exact"/>
        <w:rPr>
          <w:rFonts w:hint="eastAsia" w:asciiTheme="majorEastAsia" w:hAnsiTheme="majorEastAsia" w:eastAsiaTheme="majorEastAsia" w:cstheme="majorEastAsia"/>
          <w:bCs/>
          <w:sz w:val="24"/>
          <w:lang w:eastAsia="zh-CN"/>
        </w:rPr>
      </w:pPr>
      <w:r>
        <w:rPr>
          <w:rFonts w:hint="eastAsia" w:asciiTheme="majorEastAsia" w:hAnsiTheme="majorEastAsia" w:eastAsiaTheme="majorEastAsia" w:cstheme="majorEastAsia"/>
          <w:bCs/>
          <w:sz w:val="24"/>
        </w:rPr>
        <w:t>二、招标项目：</w:t>
      </w:r>
      <w:r>
        <w:rPr>
          <w:rFonts w:hint="eastAsia" w:asciiTheme="majorEastAsia" w:hAnsiTheme="majorEastAsia" w:eastAsiaTheme="majorEastAsia" w:cstheme="majorEastAsia"/>
          <w:bCs/>
          <w:sz w:val="24"/>
          <w:lang w:eastAsia="zh-CN"/>
        </w:rPr>
        <w:t>湖东街道零星维修项目</w:t>
      </w:r>
    </w:p>
    <w:p>
      <w:pPr>
        <w:spacing w:line="420" w:lineRule="exact"/>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三、招标需求</w:t>
      </w:r>
    </w:p>
    <w:p>
      <w:pPr>
        <w:spacing w:line="420" w:lineRule="exact"/>
        <w:ind w:firstLine="470" w:firstLineChars="196"/>
        <w:rPr>
          <w:rFonts w:asciiTheme="majorEastAsia" w:hAnsiTheme="majorEastAsia" w:eastAsiaTheme="majorEastAsia" w:cstheme="majorEastAsia"/>
          <w:b/>
          <w:bCs/>
          <w:color w:val="auto"/>
          <w:sz w:val="24"/>
        </w:rPr>
      </w:pPr>
      <w:r>
        <w:rPr>
          <w:rFonts w:hint="eastAsia" w:asciiTheme="majorEastAsia" w:hAnsiTheme="majorEastAsia" w:eastAsiaTheme="majorEastAsia" w:cstheme="majorEastAsia"/>
          <w:color w:val="auto"/>
          <w:sz w:val="24"/>
        </w:rPr>
        <w:t>3.1、</w:t>
      </w:r>
      <w:r>
        <w:rPr>
          <w:rFonts w:hint="eastAsia" w:asciiTheme="majorEastAsia" w:hAnsiTheme="majorEastAsia" w:eastAsiaTheme="majorEastAsia" w:cstheme="majorEastAsia"/>
          <w:b/>
          <w:color w:val="auto"/>
          <w:kern w:val="0"/>
          <w:sz w:val="24"/>
          <w:u w:val="single"/>
          <w:lang w:eastAsia="zh-CN"/>
        </w:rPr>
        <w:t>湖东街道零星维修项目</w:t>
      </w:r>
    </w:p>
    <w:p>
      <w:pPr>
        <w:spacing w:line="420" w:lineRule="exact"/>
        <w:ind w:firstLine="472" w:firstLineChars="196"/>
        <w:rPr>
          <w:rFonts w:asciiTheme="majorEastAsia" w:hAnsiTheme="majorEastAsia" w:eastAsiaTheme="majorEastAsia" w:cstheme="majorEastAsia"/>
          <w:b/>
          <w:bCs/>
          <w:color w:val="auto"/>
          <w:sz w:val="24"/>
        </w:rPr>
      </w:pPr>
      <w:r>
        <w:rPr>
          <w:rFonts w:hint="eastAsia" w:asciiTheme="majorEastAsia" w:hAnsiTheme="majorEastAsia" w:eastAsiaTheme="majorEastAsia" w:cstheme="majorEastAsia"/>
          <w:b/>
          <w:bCs/>
          <w:color w:val="auto"/>
          <w:sz w:val="24"/>
        </w:rPr>
        <w:t>标项一、二：</w:t>
      </w:r>
    </w:p>
    <w:p>
      <w:pPr>
        <w:spacing w:line="420" w:lineRule="exact"/>
        <w:ind w:firstLine="472" w:firstLineChars="196"/>
        <w:rPr>
          <w:rFonts w:asciiTheme="majorEastAsia" w:hAnsiTheme="majorEastAsia" w:eastAsiaTheme="majorEastAsia" w:cstheme="majorEastAsia"/>
          <w:b/>
          <w:bCs/>
          <w:color w:val="auto"/>
          <w:sz w:val="24"/>
        </w:rPr>
      </w:pPr>
      <w:r>
        <w:rPr>
          <w:rFonts w:hint="eastAsia" w:asciiTheme="majorEastAsia" w:hAnsiTheme="majorEastAsia" w:eastAsiaTheme="majorEastAsia" w:cstheme="majorEastAsia"/>
          <w:b/>
          <w:bCs/>
          <w:color w:val="auto"/>
          <w:sz w:val="24"/>
        </w:rPr>
        <w:t>包括：1、消防检修、应急抢修，2、市政道路、人行道、排水管网、路灯、室外配套、场地平整、道路及道路附属物、桥梁维修、桥梁及桥梁附属物、给排水管道及其他市政工程，3、零星绿化、绿化补植、绿化养护工程等。</w:t>
      </w:r>
    </w:p>
    <w:p>
      <w:pPr>
        <w:spacing w:line="420" w:lineRule="exact"/>
        <w:ind w:firstLine="472" w:firstLineChars="196"/>
        <w:rPr>
          <w:rFonts w:asciiTheme="majorEastAsia" w:hAnsiTheme="majorEastAsia" w:eastAsiaTheme="majorEastAsia" w:cstheme="majorEastAsia"/>
          <w:b/>
          <w:bCs/>
          <w:color w:val="auto"/>
          <w:sz w:val="24"/>
        </w:rPr>
      </w:pPr>
      <w:r>
        <w:rPr>
          <w:rFonts w:hint="eastAsia" w:asciiTheme="majorEastAsia" w:hAnsiTheme="majorEastAsia" w:eastAsiaTheme="majorEastAsia" w:cstheme="majorEastAsia"/>
          <w:b/>
          <w:bCs/>
          <w:color w:val="auto"/>
          <w:sz w:val="24"/>
        </w:rPr>
        <w:t>标项三：</w:t>
      </w:r>
    </w:p>
    <w:p>
      <w:pPr>
        <w:spacing w:line="420" w:lineRule="exact"/>
        <w:ind w:firstLine="472" w:firstLineChars="196"/>
        <w:rPr>
          <w:color w:val="auto"/>
        </w:rPr>
      </w:pPr>
      <w:r>
        <w:rPr>
          <w:rFonts w:hint="eastAsia" w:asciiTheme="majorEastAsia" w:hAnsiTheme="majorEastAsia" w:eastAsiaTheme="majorEastAsia" w:cstheme="majorEastAsia"/>
          <w:b/>
          <w:bCs/>
          <w:color w:val="auto"/>
          <w:sz w:val="24"/>
        </w:rPr>
        <w:t>包括：安置房房屋建筑零星维修、土建安装维修（含房屋渗漏水等）修补项目及其他建筑工程等。</w:t>
      </w:r>
    </w:p>
    <w:p>
      <w:pPr>
        <w:spacing w:line="420" w:lineRule="exact"/>
        <w:ind w:firstLine="470" w:firstLineChars="196"/>
        <w:rPr>
          <w:rFonts w:asciiTheme="majorEastAsia" w:hAnsiTheme="majorEastAsia" w:eastAsiaTheme="majorEastAsia" w:cstheme="majorEastAsia"/>
          <w:bCs/>
          <w:sz w:val="24"/>
        </w:rPr>
      </w:pPr>
      <w:r>
        <w:rPr>
          <w:rFonts w:hint="eastAsia" w:asciiTheme="majorEastAsia" w:hAnsiTheme="majorEastAsia" w:eastAsiaTheme="majorEastAsia" w:cstheme="majorEastAsia"/>
          <w:sz w:val="24"/>
        </w:rPr>
        <w:t>维修时不得中断交通，维修的时间、区域顺序应无条件服从业主的安排；项目主要位于中心城区，安全、文明、交通施工措施要求高，投标报价时应充分考虑。</w:t>
      </w:r>
    </w:p>
    <w:p>
      <w:pPr>
        <w:spacing w:line="42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3.2、要求质量标准：合格。</w:t>
      </w:r>
    </w:p>
    <w:p>
      <w:pPr>
        <w:spacing w:line="42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3.3、承包方式：包工包料，包机械。</w:t>
      </w:r>
    </w:p>
    <w:p>
      <w:pPr>
        <w:shd w:val="clear"/>
        <w:adjustRightInd w:val="0"/>
        <w:snapToGrid w:val="0"/>
        <w:spacing w:line="420" w:lineRule="exact"/>
        <w:ind w:firstLine="388" w:firstLineChars="162"/>
        <w:rPr>
          <w:rFonts w:asciiTheme="majorEastAsia" w:hAnsiTheme="majorEastAsia" w:eastAsiaTheme="majorEastAsia" w:cstheme="majorEastAsia"/>
          <w:color w:val="auto"/>
          <w:sz w:val="24"/>
          <w:highlight w:val="cyan"/>
          <w:shd w:val="clear" w:color="FFFFFF" w:fill="D9D9D9"/>
        </w:rPr>
      </w:pPr>
      <w:r>
        <w:rPr>
          <w:rFonts w:hint="eastAsia" w:asciiTheme="majorEastAsia" w:hAnsiTheme="majorEastAsia" w:eastAsiaTheme="majorEastAsia" w:cstheme="majorEastAsia"/>
          <w:color w:val="auto"/>
          <w:sz w:val="24"/>
          <w:highlight w:val="cyan"/>
          <w:shd w:val="clear" w:color="FFFFFF" w:fill="D9D9D9"/>
        </w:rPr>
        <w:t xml:space="preserve"> 3.4、本次招标服务年限为两年。</w:t>
      </w:r>
    </w:p>
    <w:p>
      <w:pPr>
        <w:spacing w:line="42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3.5、零星维修费用的最终报价为本项目维修管理工作二个年度的费用，包括：含招标文件所确定的全部工作内容、项目开办费、临时办公场所、仓储、专用工具费用以及投标人为完成上述内容所必须的材料、劳务、机械投入、利润、税金及政策文件规定的各项所需的全部费用及投标人认为完成本招标文件规定内容所需发生的其它一切费用。</w:t>
      </w:r>
    </w:p>
    <w:p>
      <w:pPr>
        <w:spacing w:line="42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3.6、如遇洪灾、雪灾、风灾等自然灾害的特殊情况发生，若中标人有力量，招标人将与中标人另行协商签订补充合同。</w:t>
      </w:r>
    </w:p>
    <w:p>
      <w:pPr>
        <w:spacing w:line="42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3.7人员配置：</w:t>
      </w:r>
    </w:p>
    <w:p>
      <w:pPr>
        <w:numPr>
          <w:ilvl w:val="0"/>
          <w:numId w:val="0"/>
        </w:numPr>
        <w:spacing w:line="420" w:lineRule="exact"/>
        <w:ind w:firstLine="480" w:firstLineChars="200"/>
        <w:rPr>
          <w:rFonts w:hint="eastAsia" w:asciiTheme="majorEastAsia" w:hAnsiTheme="majorEastAsia" w:eastAsiaTheme="majorEastAsia" w:cstheme="majorEastAsia"/>
          <w:sz w:val="24"/>
          <w:highlight w:val="yellow"/>
        </w:rPr>
      </w:pPr>
      <w:r>
        <w:rPr>
          <w:rFonts w:hint="eastAsia" w:asciiTheme="majorEastAsia" w:hAnsiTheme="majorEastAsia" w:eastAsiaTheme="majorEastAsia" w:cstheme="majorEastAsia"/>
          <w:sz w:val="24"/>
          <w:highlight w:val="yellow"/>
          <w:lang w:val="en-US" w:eastAsia="zh-CN"/>
        </w:rPr>
        <w:t>3.7.1</w:t>
      </w:r>
      <w:r>
        <w:rPr>
          <w:rFonts w:hint="eastAsia" w:asciiTheme="majorEastAsia" w:hAnsiTheme="majorEastAsia" w:eastAsiaTheme="majorEastAsia" w:cstheme="majorEastAsia"/>
          <w:sz w:val="24"/>
          <w:highlight w:val="yellow"/>
        </w:rPr>
        <w:t>项目负责人资质类别要求：</w:t>
      </w:r>
    </w:p>
    <w:p>
      <w:pPr>
        <w:numPr>
          <w:ilvl w:val="0"/>
          <w:numId w:val="0"/>
        </w:numPr>
        <w:spacing w:line="420" w:lineRule="exact"/>
        <w:ind w:firstLine="480" w:firstLineChars="200"/>
        <w:rPr>
          <w:rFonts w:hint="eastAsia" w:asciiTheme="majorEastAsia" w:hAnsiTheme="majorEastAsia" w:eastAsiaTheme="majorEastAsia" w:cstheme="majorEastAsia"/>
          <w:sz w:val="24"/>
          <w:highlight w:val="yellow"/>
        </w:rPr>
      </w:pPr>
      <w:r>
        <w:rPr>
          <w:rFonts w:hint="eastAsia" w:asciiTheme="majorEastAsia" w:hAnsiTheme="majorEastAsia" w:eastAsiaTheme="majorEastAsia" w:cstheme="majorEastAsia"/>
          <w:sz w:val="24"/>
          <w:highlight w:val="yellow"/>
          <w:lang w:val="en-US" w:eastAsia="zh-CN"/>
        </w:rPr>
        <w:t>3.7.1.1标项一、二：</w:t>
      </w:r>
      <w:r>
        <w:rPr>
          <w:rFonts w:hint="eastAsia" w:asciiTheme="majorEastAsia" w:hAnsiTheme="majorEastAsia" w:eastAsiaTheme="majorEastAsia" w:cstheme="majorEastAsia"/>
          <w:sz w:val="24"/>
          <w:highlight w:val="yellow"/>
        </w:rPr>
        <w:t>市政工程注册建造师二级及以上，且具备B证（浙江省外企业拟投标项目负责人须进浙备案）；</w:t>
      </w:r>
    </w:p>
    <w:p>
      <w:pPr>
        <w:numPr>
          <w:ilvl w:val="0"/>
          <w:numId w:val="0"/>
        </w:numPr>
        <w:spacing w:line="420" w:lineRule="exact"/>
        <w:ind w:firstLine="480" w:firstLineChars="200"/>
        <w:rPr>
          <w:rFonts w:hint="eastAsia" w:asciiTheme="majorEastAsia" w:hAnsiTheme="majorEastAsia" w:eastAsiaTheme="majorEastAsia" w:cstheme="majorEastAsia"/>
          <w:sz w:val="24"/>
          <w:highlight w:val="yellow"/>
        </w:rPr>
      </w:pPr>
      <w:r>
        <w:rPr>
          <w:rFonts w:hint="eastAsia" w:asciiTheme="majorEastAsia" w:hAnsiTheme="majorEastAsia" w:eastAsiaTheme="majorEastAsia" w:cstheme="majorEastAsia"/>
          <w:sz w:val="24"/>
          <w:highlight w:val="yellow"/>
          <w:lang w:val="en-US" w:eastAsia="zh-CN"/>
        </w:rPr>
        <w:t>3.7.1.2标项三：建筑</w:t>
      </w:r>
      <w:r>
        <w:rPr>
          <w:rFonts w:hint="eastAsia" w:asciiTheme="majorEastAsia" w:hAnsiTheme="majorEastAsia" w:eastAsiaTheme="majorEastAsia" w:cstheme="majorEastAsia"/>
          <w:sz w:val="24"/>
          <w:highlight w:val="yellow"/>
        </w:rPr>
        <w:t>工程注册建造师二级及以上，且具备B证（浙江省外企业拟投标项目负责人须进浙备案）；</w:t>
      </w:r>
    </w:p>
    <w:p>
      <w:pPr>
        <w:numPr>
          <w:ilvl w:val="0"/>
          <w:numId w:val="0"/>
        </w:numPr>
        <w:spacing w:line="42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highlight w:val="yellow"/>
          <w:lang w:val="en-US" w:eastAsia="zh-CN"/>
        </w:rPr>
        <w:t>3.7.2</w:t>
      </w:r>
      <w:r>
        <w:rPr>
          <w:rFonts w:hint="eastAsia" w:asciiTheme="majorEastAsia" w:hAnsiTheme="majorEastAsia" w:eastAsiaTheme="majorEastAsia" w:cstheme="majorEastAsia"/>
          <w:sz w:val="24"/>
          <w:highlight w:val="yellow"/>
        </w:rPr>
        <w:t>项目管理机构配备情况及配备人员证书【必须配备项目技术负责人、施工员、质量员、材料员、资料员，安全员（可以使用安全生产考核C证为上岗证），1人1岗，不得兼任】；</w:t>
      </w:r>
    </w:p>
    <w:p>
      <w:pPr>
        <w:spacing w:line="42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3.8投标人根据本次零星维修的特征（现场踏勘），自行配置。</w:t>
      </w:r>
    </w:p>
    <w:p>
      <w:pPr>
        <w:spacing w:line="420" w:lineRule="exact"/>
        <w:ind w:firstLine="480" w:firstLineChars="200"/>
        <w:rPr>
          <w:rFonts w:asciiTheme="majorEastAsia" w:hAnsiTheme="majorEastAsia" w:eastAsiaTheme="majorEastAsia" w:cstheme="majorEastAsia"/>
          <w:bCs/>
          <w:sz w:val="24"/>
        </w:rPr>
      </w:pPr>
      <w:r>
        <w:rPr>
          <w:rFonts w:hint="eastAsia" w:asciiTheme="majorEastAsia" w:hAnsiTheme="majorEastAsia" w:eastAsiaTheme="majorEastAsia" w:cstheme="majorEastAsia"/>
          <w:sz w:val="24"/>
        </w:rPr>
        <w:t>3.9</w:t>
      </w:r>
      <w:r>
        <w:rPr>
          <w:rFonts w:hint="eastAsia" w:asciiTheme="majorEastAsia" w:hAnsiTheme="majorEastAsia" w:eastAsiaTheme="majorEastAsia" w:cstheme="majorEastAsia"/>
          <w:bCs/>
          <w:sz w:val="24"/>
        </w:rPr>
        <w:t>投标人应根据场地条件、工程特点、施工需要及现场安全生产、文明施工的要求，做好施工现场总平面布置的设计，施工现场总平面布置的设计方案经监理单位及招标人的审核认可后方能实施。工程现场所有施工道路、加工场地、材料堆放场地、机械设备停放场地、周边临时围挡、办公用房、仓储用房、门卫及其它辅助用房等临时设施均由投标人按照相关规范、规定的要求自行建造搭设，并应征得监理单位、招标人的认可。投标人需办公区域与施工生产区域必须严格分离，且各区域的布局必须满足现场消防安全的要求。现场布置涉及与其他施工单位有交叉、冲突的，由投标人自行与相关单位协商解决。工程建设场地内严禁布置、搭建施工人员的住宿用房及厨房、食堂等。上述各项内容所涉及的各项费用由投标人在投标报价时给予充分考虑，招标人不再支付与此相关的任何费用。</w:t>
      </w:r>
    </w:p>
    <w:p>
      <w:pPr>
        <w:spacing w:line="420" w:lineRule="exact"/>
        <w:ind w:firstLine="480" w:firstLineChars="200"/>
        <w:rPr>
          <w:rFonts w:asciiTheme="majorEastAsia" w:hAnsiTheme="majorEastAsia" w:eastAsiaTheme="majorEastAsia" w:cstheme="majorEastAsia"/>
          <w:bCs/>
          <w:sz w:val="24"/>
        </w:rPr>
      </w:pPr>
      <w:r>
        <w:rPr>
          <w:rFonts w:hint="eastAsia" w:asciiTheme="majorEastAsia" w:hAnsiTheme="majorEastAsia" w:eastAsiaTheme="majorEastAsia" w:cstheme="majorEastAsia"/>
          <w:sz w:val="24"/>
        </w:rPr>
        <w:t>3.10</w:t>
      </w:r>
      <w:r>
        <w:rPr>
          <w:rFonts w:hint="eastAsia" w:asciiTheme="majorEastAsia" w:hAnsiTheme="majorEastAsia" w:eastAsiaTheme="majorEastAsia" w:cstheme="majorEastAsia"/>
          <w:bCs/>
          <w:sz w:val="24"/>
        </w:rPr>
        <w:t>在节假日及业主认为必要的期间内，需对工程现场及周边环境卫生有一定的要求，投标人应服从并按要求完成任务，相应的费用由投标单位在投标时综合考虑在投标报价中，发生后不再单独计价。在整个施工期间，凡遇到政府指令要求暂停施工的情况（如重大社会活动、重大体育赛事、重要考试、城市管理相关重要检查等），投标人必须按照政府相关部门的要求停止施工，连续停工时间超过8小时的，招标人同意相应顺延工期，但招标人不承担该类停工可能涉及的成本及费用增加（政府主管部门发文明确由招标人承担费用的除外）。在整个施工期间，因重大社会活动、重大体育赛事、城市管理相关重要检查、领导视察、行业内相关检查等情况，需要投标人对施工现场及外围环境进行整理、清扫、美化的，投标人必须无条件服从政府相关部门、招标人、监理单位的管理与安排，在限定时间内完成相关工作，所涉及的相关费用由投标人承担，投标人在投标报价时对此给予充分考虑，招标人不再支付与此相关的任何费用。</w:t>
      </w:r>
    </w:p>
    <w:p>
      <w:pPr>
        <w:spacing w:line="420" w:lineRule="exact"/>
        <w:ind w:firstLine="470" w:firstLineChars="196"/>
        <w:rPr>
          <w:rFonts w:asciiTheme="majorEastAsia" w:hAnsiTheme="majorEastAsia" w:eastAsiaTheme="majorEastAsia" w:cstheme="majorEastAsia"/>
          <w:bCs/>
          <w:sz w:val="24"/>
        </w:rPr>
      </w:pPr>
      <w:r>
        <w:rPr>
          <w:rFonts w:hint="eastAsia"/>
          <w:bCs/>
          <w:color w:val="0000FF"/>
          <w:sz w:val="24"/>
        </w:rPr>
        <w:t>3.11本工程采用费率，综合费用费率报价</w:t>
      </w:r>
      <w:r>
        <w:rPr>
          <w:rFonts w:hint="eastAsia"/>
          <w:bCs/>
          <w:color w:val="0000FF"/>
          <w:sz w:val="24"/>
          <w:lang w:eastAsia="zh-CN"/>
        </w:rPr>
        <w:t>最高限价</w:t>
      </w:r>
      <w:r>
        <w:rPr>
          <w:rFonts w:hint="eastAsia"/>
          <w:bCs/>
          <w:color w:val="0000FF"/>
          <w:sz w:val="24"/>
        </w:rPr>
        <w:t>为30%</w:t>
      </w:r>
      <w:r>
        <w:rPr>
          <w:rFonts w:hint="eastAsia"/>
          <w:bCs/>
          <w:color w:val="0000FF"/>
          <w:sz w:val="24"/>
          <w:lang w:eastAsia="zh-CN"/>
        </w:rPr>
        <w:t>，</w:t>
      </w:r>
      <w:r>
        <w:rPr>
          <w:rFonts w:hint="eastAsia"/>
          <w:bCs/>
          <w:color w:val="0000FF"/>
          <w:sz w:val="24"/>
        </w:rPr>
        <w:t>（含30%</w:t>
      </w:r>
      <w:r>
        <w:rPr>
          <w:rFonts w:hint="eastAsia"/>
          <w:bCs/>
          <w:color w:val="0000FF"/>
          <w:sz w:val="24"/>
          <w:lang w:eastAsia="zh-CN"/>
        </w:rPr>
        <w:t>，</w:t>
      </w:r>
      <w:r>
        <w:rPr>
          <w:rFonts w:hint="eastAsia"/>
          <w:bCs/>
          <w:color w:val="0000FF"/>
          <w:sz w:val="24"/>
          <w:lang w:val="en-US" w:eastAsia="zh-CN"/>
        </w:rPr>
        <w:t>不含0%）超出30%为无效。</w:t>
      </w:r>
      <w:r>
        <w:rPr>
          <w:rFonts w:hint="eastAsia"/>
          <w:bCs/>
          <w:color w:val="auto"/>
          <w:sz w:val="24"/>
          <w:lang w:eastAsia="zh-CN"/>
        </w:rPr>
        <w:t>（</w:t>
      </w:r>
      <w:r>
        <w:rPr>
          <w:rFonts w:hint="eastAsia"/>
          <w:bCs/>
          <w:color w:val="auto"/>
          <w:sz w:val="24"/>
          <w:lang w:val="en-US" w:eastAsia="zh-CN"/>
        </w:rPr>
        <w:t>本次报价以</w:t>
      </w:r>
      <w:r>
        <w:rPr>
          <w:rFonts w:hint="eastAsia"/>
          <w:bCs/>
          <w:color w:val="auto"/>
          <w:sz w:val="24"/>
          <w:u w:val="single"/>
          <w:lang w:val="en-US" w:eastAsia="zh-CN"/>
        </w:rPr>
        <w:t>A%</w:t>
      </w:r>
      <w:r>
        <w:rPr>
          <w:rFonts w:hint="eastAsia"/>
          <w:bCs/>
          <w:color w:val="auto"/>
          <w:sz w:val="24"/>
          <w:lang w:val="en-US" w:eastAsia="zh-CN"/>
        </w:rPr>
        <w:t>体现，其中A值为整数，不允许有小数点，否则按废标处理）。</w:t>
      </w:r>
      <w:r>
        <w:rPr>
          <w:rFonts w:hint="eastAsia" w:asciiTheme="majorEastAsia" w:hAnsiTheme="majorEastAsia" w:eastAsiaTheme="majorEastAsia" w:cstheme="majorEastAsia"/>
          <w:bCs/>
          <w:sz w:val="24"/>
        </w:rPr>
        <w:t>以定额人工+机械费为基数计取。各投标人根据自身实力进行报价。综合费用费率包括</w:t>
      </w:r>
      <w:r>
        <w:rPr>
          <w:rFonts w:hint="eastAsia" w:asciiTheme="majorEastAsia" w:hAnsiTheme="majorEastAsia" w:eastAsiaTheme="majorEastAsia" w:cstheme="majorEastAsia"/>
          <w:bCs/>
          <w:sz w:val="24"/>
          <w:lang w:eastAsia="zh-CN"/>
        </w:rPr>
        <w:t>：</w:t>
      </w:r>
      <w:r>
        <w:rPr>
          <w:rFonts w:hint="eastAsia" w:asciiTheme="majorEastAsia" w:hAnsiTheme="majorEastAsia" w:eastAsiaTheme="majorEastAsia" w:cstheme="majorEastAsia"/>
          <w:bCs/>
          <w:sz w:val="24"/>
          <w:lang w:val="en-US" w:eastAsia="zh-CN"/>
        </w:rPr>
        <w:t>施工组织管理费（不含安全文明措施费）、</w:t>
      </w:r>
      <w:r>
        <w:rPr>
          <w:rFonts w:hint="eastAsia" w:asciiTheme="majorEastAsia" w:hAnsiTheme="majorEastAsia" w:eastAsiaTheme="majorEastAsia" w:cstheme="majorEastAsia"/>
          <w:bCs/>
          <w:sz w:val="24"/>
        </w:rPr>
        <w:t>企业管理费（含意外伤害保险费）、利润。</w:t>
      </w:r>
      <w:r>
        <w:rPr>
          <w:rFonts w:hint="eastAsia" w:asciiTheme="majorEastAsia" w:hAnsiTheme="majorEastAsia" w:eastAsiaTheme="majorEastAsia" w:cstheme="majorEastAsia"/>
          <w:bCs/>
          <w:sz w:val="24"/>
          <w:lang w:val="en-US" w:eastAsia="zh-CN"/>
        </w:rPr>
        <w:t>安全文明措施费</w:t>
      </w:r>
      <w:r>
        <w:rPr>
          <w:rFonts w:hint="eastAsia" w:asciiTheme="majorEastAsia" w:hAnsiTheme="majorEastAsia" w:eastAsiaTheme="majorEastAsia" w:cstheme="majorEastAsia"/>
          <w:bCs/>
          <w:sz w:val="24"/>
        </w:rPr>
        <w:t>、规费、税金作为不可竞争费用</w:t>
      </w:r>
      <w:r>
        <w:rPr>
          <w:rFonts w:hint="eastAsia" w:asciiTheme="majorEastAsia" w:hAnsiTheme="majorEastAsia" w:eastAsiaTheme="majorEastAsia" w:cstheme="majorEastAsia"/>
          <w:bCs/>
          <w:sz w:val="24"/>
          <w:lang w:eastAsia="zh-CN"/>
        </w:rPr>
        <w:t>（</w:t>
      </w:r>
      <w:r>
        <w:rPr>
          <w:rFonts w:hint="eastAsia" w:asciiTheme="majorEastAsia" w:hAnsiTheme="majorEastAsia" w:eastAsiaTheme="majorEastAsia" w:cstheme="majorEastAsia"/>
          <w:bCs/>
          <w:sz w:val="24"/>
          <w:lang w:val="en-US" w:eastAsia="zh-CN"/>
        </w:rPr>
        <w:t>不在本次报价范围内</w:t>
      </w:r>
      <w:r>
        <w:rPr>
          <w:rFonts w:hint="eastAsia" w:asciiTheme="majorEastAsia" w:hAnsiTheme="majorEastAsia" w:eastAsiaTheme="majorEastAsia" w:cstheme="majorEastAsia"/>
          <w:bCs/>
          <w:sz w:val="24"/>
          <w:lang w:eastAsia="zh-CN"/>
        </w:rPr>
        <w:t>）</w:t>
      </w:r>
      <w:r>
        <w:rPr>
          <w:rFonts w:hint="eastAsia" w:asciiTheme="majorEastAsia" w:hAnsiTheme="majorEastAsia" w:eastAsiaTheme="majorEastAsia" w:cstheme="majorEastAsia"/>
          <w:bCs/>
          <w:sz w:val="24"/>
        </w:rPr>
        <w:t>，按《浙江省建设工程</w:t>
      </w:r>
      <w:r>
        <w:rPr>
          <w:rFonts w:hint="eastAsia" w:asciiTheme="majorEastAsia" w:hAnsiTheme="majorEastAsia" w:eastAsiaTheme="majorEastAsia" w:cstheme="majorEastAsia"/>
          <w:bCs/>
          <w:sz w:val="24"/>
          <w:lang w:val="en-US" w:eastAsia="zh-CN"/>
        </w:rPr>
        <w:t>计价规则</w:t>
      </w:r>
      <w:r>
        <w:rPr>
          <w:rFonts w:hint="eastAsia" w:asciiTheme="majorEastAsia" w:hAnsiTheme="majorEastAsia" w:eastAsiaTheme="majorEastAsia" w:cstheme="majorEastAsia"/>
          <w:bCs/>
          <w:sz w:val="24"/>
        </w:rPr>
        <w:t>》（2018版）规定的程序另行计取。</w:t>
      </w:r>
    </w:p>
    <w:p>
      <w:pPr>
        <w:spacing w:line="420" w:lineRule="exact"/>
        <w:ind w:firstLine="470" w:firstLineChars="196"/>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3.12本工程结算价格按（浙江省建设工程计价</w:t>
      </w:r>
      <w:r>
        <w:rPr>
          <w:rFonts w:hint="eastAsia" w:asciiTheme="majorEastAsia" w:hAnsiTheme="majorEastAsia" w:eastAsiaTheme="majorEastAsia" w:cstheme="majorEastAsia"/>
          <w:bCs/>
          <w:sz w:val="24"/>
          <w:lang w:val="en-US" w:eastAsia="zh-CN"/>
        </w:rPr>
        <w:t>依据</w:t>
      </w:r>
      <w:r>
        <w:rPr>
          <w:rFonts w:hint="eastAsia" w:asciiTheme="majorEastAsia" w:hAnsiTheme="majorEastAsia" w:eastAsiaTheme="majorEastAsia" w:cstheme="majorEastAsia"/>
          <w:bCs/>
          <w:sz w:val="24"/>
        </w:rPr>
        <w:t>2018版）以及有关政策性文件规定、投标人的投标费率、《浙江省建设工程</w:t>
      </w:r>
      <w:r>
        <w:rPr>
          <w:rFonts w:hint="eastAsia" w:asciiTheme="majorEastAsia" w:hAnsiTheme="majorEastAsia" w:eastAsiaTheme="majorEastAsia" w:cstheme="majorEastAsia"/>
          <w:bCs/>
          <w:sz w:val="24"/>
          <w:lang w:val="en-US" w:eastAsia="zh-CN"/>
        </w:rPr>
        <w:t>计价规则</w:t>
      </w:r>
      <w:r>
        <w:rPr>
          <w:rFonts w:hint="eastAsia" w:asciiTheme="majorEastAsia" w:hAnsiTheme="majorEastAsia" w:eastAsiaTheme="majorEastAsia" w:cstheme="majorEastAsia"/>
          <w:bCs/>
          <w:sz w:val="24"/>
        </w:rPr>
        <w:t>》（2018版）规定的规费、税金，按规定程序计算。材料价格、人工费按照施工期当月《湖州市建设工程造价信息》计取，维修施工所用材料均应在业主或总监的指导下进行采购。</w:t>
      </w:r>
    </w:p>
    <w:p>
      <w:pPr>
        <w:spacing w:line="420" w:lineRule="exact"/>
        <w:ind w:firstLine="470" w:firstLineChars="196"/>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3.13中标单位在施工前需向建设单位提交施工组织设计，施工组织设计中，针对工期，各投标单位应综合自身情况，详细说明工期控制的关键节点时间，和相对应的关键技术、工艺和保障措施；</w:t>
      </w:r>
    </w:p>
    <w:p>
      <w:pPr>
        <w:spacing w:line="420" w:lineRule="exact"/>
        <w:ind w:firstLine="470" w:firstLineChars="196"/>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3.14中标单位在工程实际施工时须严格按照施工规范及设计要求进行，按照工程建设的需要，统一服从业主及监理的现场管理，并对进场的周边已施工好的设施加以保护，若因自身原因造成已完设施损失的，其修复等相关费用由中标单位承担。</w:t>
      </w:r>
    </w:p>
    <w:p>
      <w:pPr>
        <w:spacing w:line="420" w:lineRule="exact"/>
        <w:ind w:firstLine="470" w:firstLineChars="196"/>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3.15招标人会定期或不定期进行质量检查，如发现质量问题或不满足甲方要求，中标单位需立即整改，整改费用由中标单位自行承担。</w:t>
      </w:r>
    </w:p>
    <w:p>
      <w:pPr>
        <w:spacing w:line="420" w:lineRule="exact"/>
        <w:ind w:firstLine="470" w:firstLineChars="196"/>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3.16中标单位严格执行有关文明施工的规定，要求中标单位负责对现场文明施工进行分片包干管理，负责到任。不违章指挥，不蛮干。施工现场坚持工完料清，垃圾杂物集中堆放，及时处理。若违反规定，中标单位应承担相应费用。</w:t>
      </w:r>
    </w:p>
    <w:p>
      <w:pPr>
        <w:spacing w:line="420" w:lineRule="exact"/>
        <w:ind w:firstLine="470" w:firstLineChars="196"/>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3.17 如中标人在合同期内未达到招标人服务要求或有重大不良事件发生，招标人有权终止合同。</w:t>
      </w:r>
    </w:p>
    <w:p>
      <w:pPr>
        <w:spacing w:line="420" w:lineRule="exact"/>
        <w:ind w:firstLine="470" w:firstLineChars="196"/>
        <w:rPr>
          <w:rFonts w:asciiTheme="majorEastAsia" w:hAnsiTheme="majorEastAsia" w:eastAsiaTheme="majorEastAsia" w:cstheme="majorEastAsia"/>
          <w:bCs/>
          <w:color w:val="FF0000"/>
          <w:sz w:val="24"/>
        </w:rPr>
      </w:pPr>
      <w:r>
        <w:rPr>
          <w:rFonts w:hint="eastAsia" w:asciiTheme="majorEastAsia" w:hAnsiTheme="majorEastAsia" w:eastAsiaTheme="majorEastAsia" w:cstheme="majorEastAsia"/>
          <w:bCs/>
          <w:color w:val="FF0000"/>
          <w:sz w:val="24"/>
        </w:rPr>
        <w:t>3.18采购预算</w:t>
      </w:r>
      <w:r>
        <w:rPr>
          <w:rFonts w:hint="eastAsia" w:asciiTheme="majorEastAsia" w:hAnsiTheme="majorEastAsia" w:eastAsiaTheme="majorEastAsia" w:cstheme="majorEastAsia"/>
          <w:bCs/>
          <w:color w:val="FF0000"/>
          <w:sz w:val="24"/>
          <w:lang w:val="en-US" w:eastAsia="zh-CN"/>
        </w:rPr>
        <w:t>金额</w:t>
      </w:r>
      <w:r>
        <w:rPr>
          <w:rFonts w:hint="eastAsia" w:asciiTheme="majorEastAsia" w:hAnsiTheme="majorEastAsia" w:eastAsiaTheme="majorEastAsia" w:cstheme="majorEastAsia"/>
          <w:bCs/>
          <w:color w:val="FF0000"/>
          <w:sz w:val="24"/>
        </w:rPr>
        <w:t>仅作为本次项目</w:t>
      </w:r>
      <w:r>
        <w:rPr>
          <w:rFonts w:hint="eastAsia" w:asciiTheme="majorEastAsia" w:hAnsiTheme="majorEastAsia" w:eastAsiaTheme="majorEastAsia" w:cstheme="majorEastAsia"/>
          <w:bCs/>
          <w:color w:val="FF0000"/>
          <w:sz w:val="24"/>
          <w:lang w:val="en-US" w:eastAsia="zh-CN"/>
        </w:rPr>
        <w:t>支付预付款及缴纳工程履约保证金用</w:t>
      </w:r>
      <w:r>
        <w:rPr>
          <w:rFonts w:hint="eastAsia" w:asciiTheme="majorEastAsia" w:hAnsiTheme="majorEastAsia" w:eastAsiaTheme="majorEastAsia" w:cstheme="majorEastAsia"/>
          <w:bCs/>
          <w:color w:val="FF0000"/>
          <w:sz w:val="24"/>
        </w:rPr>
        <w:t>，最终工程量以实际发生，经审计为准。请投标单位在投标前综合考虑该因素发生的风险，该风险一旦发生由投标单位自行承担。</w:t>
      </w:r>
    </w:p>
    <w:p>
      <w:pPr>
        <w:spacing w:line="420" w:lineRule="exact"/>
        <w:ind w:firstLine="470" w:firstLineChars="196"/>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3.19投标人在施工前应踏勘现场，充分了解、熟悉工程现场及相关情况，分析可能影响工程施工的各种因素，在施工方案及施工组织设计中，充分考虑好各种施工组织措施及施工技术措施。投标人在工程施工过程中应充分考虑与其他单位交叉施工对工程施工的不利影响，施工过程中出现的与相关单位、个人的矛盾、纠纷及索赔等，均由投标人自行负责处理。上述各项内容所涉及的相关各项费用由投标人考虑在投标报价内，一旦进场施工后，不得因现场场地、施工条件等客观因素向招标人提出相关补偿与索赔。</w:t>
      </w:r>
    </w:p>
    <w:p>
      <w:pPr>
        <w:spacing w:line="420" w:lineRule="exact"/>
        <w:ind w:firstLine="480" w:firstLineChars="20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在整个施工期间，工程车辆进出现场的道路交通行为，应服从交警、行政执法等部门的管理，由投标人办理道路交通运输相关的手续，由投标人支付办理手续所需的费用。投标人应在投标前仔细踏看工程现场及周边环境，调查摸清工程现场位置、外围道路状况、交通限制等情况，投标时充分考虑由于交通运输限制对工程施工进度、成本、质量、安全等带来的不利影响。在整个施工过程中，由投标人负责场地内外道路的保洁工作，应安排专人对出入口及场地外施工影响范围内的市政道路进行清扫、冲洗，全过程确保出入口及外围道路无泥土、砂石、污水等留存，清洁标准应符合环卫、城管等部门的要求。上述各项内容所涉及的各项费用由投标人在投标报价时给予充分考虑，招标人不再支付与此相关的任何费用。</w:t>
      </w:r>
    </w:p>
    <w:p>
      <w:pPr>
        <w:spacing w:line="420" w:lineRule="exact"/>
        <w:ind w:firstLine="480" w:firstLineChars="20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3.20投标人应充分考虑施工过程中水平运输与垂直运输的具体方案，确保施工机械、设施设备、相关措施足量合理布置，满足实际施工需要。如投标人根据工程施工的要求需自行安装相关机械设备的，机械设备的布置及安装应征得业监理单位、招标人的认可，且必须符合安全生产、文明施工的要求。安装过程中涉及的脚手架及围护设施应及时跟进，投标人如需利用其他单位已搭设的脚手架及围护设施，投标人应自行与该单位协商处理。如因工程施工需要，投标人自行搭设脚手架及围护设施，应征得监理单位、招标人的认可，且必须符合安全生产、文明施工的要求。上述各项内容所涉及的各项费用由投标人在投标报价时给予充分考虑，招标人不再支付除定额外的其他费用。</w:t>
      </w:r>
    </w:p>
    <w:p>
      <w:pPr>
        <w:spacing w:line="420" w:lineRule="exact"/>
        <w:ind w:firstLine="480" w:firstLineChars="200"/>
        <w:rPr>
          <w:bCs/>
          <w:sz w:val="24"/>
        </w:rPr>
      </w:pPr>
      <w:r>
        <w:rPr>
          <w:rFonts w:hint="eastAsia"/>
          <w:bCs/>
          <w:sz w:val="24"/>
        </w:rPr>
        <w:t>3.21在落实施工前或施工过程中，投标人可根据相关技术标准、工程特点、客观条件、自身经验等对设计文件提出优化调整的建议（增加或取消部分工程子项、增加或减少部分工程量、调整部分工程的具体做法等），但调整建议必须经设计单位、监理单位、招标人等的书面确认后方能实施。对投标人擅自调整工程做法、增加工程子项或增加工程量的情况，设计单位、监理单位、招标人均不予认可，增加工程子项或增加工程量涉及的费用及工程质量、安全方面的责任均由中标人自行承担；对投标人擅自调整工程做法、取消工程子项或减少工程量的情况，设计单位、监理单位、招标人亦均不予认可，取消工程子项或减少工程量所对应的费用将由招标人在结算审计时在结算款中直接扣除，且工程质量、安全方面的责任均由投标人自行承担。招标人及监理单位将根据投标人擅自增加或取消部分工程子项、增加或减少部分工程量、调整部分工程的具体做法等所造成的对工程质量、安全状况、使用功能等带来的影响程度，有权对投标人进行每次3000~30000元的经济扣罚（在当期工程款中直接扣除），并保留对投标人追究相关责任及进行经济索赔的权力。</w:t>
      </w:r>
    </w:p>
    <w:p>
      <w:pPr>
        <w:spacing w:line="420" w:lineRule="exact"/>
        <w:ind w:firstLine="480" w:firstLineChars="200"/>
        <w:rPr>
          <w:bCs/>
          <w:sz w:val="24"/>
        </w:rPr>
      </w:pPr>
      <w:r>
        <w:rPr>
          <w:rFonts w:hint="eastAsia"/>
          <w:bCs/>
          <w:sz w:val="24"/>
        </w:rPr>
        <w:t>3.22投标人在施工过程中应自行负责已完工程的成品保护工作，因成品保护工作不到位造成损坏的，投标人应及时修复并确保工程质量达到国家、省施工验收规范、质量评定标准及有关规定、招标文件及施工图纸中的有关技术要求等。投标人同时应注意对其他各单位工程成品的保护，如对其他各单位的工程造成损坏的，投标人应自行负责修复或与其他各单位协商处理。</w:t>
      </w:r>
    </w:p>
    <w:p>
      <w:pPr>
        <w:spacing w:line="420" w:lineRule="exact"/>
        <w:ind w:firstLine="480" w:firstLineChars="200"/>
        <w:rPr>
          <w:bCs/>
          <w:sz w:val="24"/>
        </w:rPr>
      </w:pPr>
      <w:r>
        <w:rPr>
          <w:rFonts w:hint="eastAsia"/>
          <w:bCs/>
          <w:sz w:val="24"/>
        </w:rPr>
        <w:t>3.23工程竣工后，根据招投标文件、施工合同及其它相关规定，达到竣工验收条件的，招标人将按程序组织工程竣工验收。验收通过后，将继续由投标人负责对工程实体及现场的看护、管理、成品保护，招标人要求投标人将工程移交给招标人时，投标人应及时进行移交，但投标人必须确保工程质量与状态不低于竣工验收时的标准。在工程移交完成前发生的看护、管理及整修等费用均由投标人自行承担。工程质量保修期自工程完成移交之日起开始计算（保修合同核实）。工程竣工移交后，投标人须按施工合同约定，严格履行质量保修责任与义务。招标人就工程质量问题通知投标人到场查看或维修的，投标人必须在24小时内（特别紧急的情况须按照招标人要求的时间）安排专业人员到场，并落实对质量问题的查看、维修、解决问题。24小时后（特别紧急的情况下在限定时间内）投标人仍未安排专业人员到场查看、维修、解决问题的，招标人有权另行安排其它单位人员到场查看、维修、解决问题，所涉及的所有费用，招标人将直接从投标人的工程结算款或保修款内扣除。招标人有权根据投标人未能按时到场查看、维修、解决问题而造成的不良后果程度，对投标人追究相关责任并进行经济索赔。</w:t>
      </w:r>
    </w:p>
    <w:p>
      <w:pPr>
        <w:spacing w:line="420" w:lineRule="exact"/>
        <w:ind w:firstLine="480" w:firstLineChars="200"/>
        <w:rPr>
          <w:bCs/>
          <w:sz w:val="24"/>
        </w:rPr>
      </w:pPr>
      <w:r>
        <w:rPr>
          <w:rFonts w:hint="eastAsia"/>
          <w:bCs/>
          <w:sz w:val="24"/>
        </w:rPr>
        <w:t>3.24承包人的雇员及设备的保险等保险取费由投标单位自行考虑。</w:t>
      </w:r>
    </w:p>
    <w:p>
      <w:pPr>
        <w:spacing w:line="420" w:lineRule="exact"/>
        <w:ind w:firstLine="480" w:firstLineChars="200"/>
        <w:rPr>
          <w:bCs/>
          <w:sz w:val="24"/>
        </w:rPr>
      </w:pPr>
      <w:r>
        <w:rPr>
          <w:rFonts w:hint="eastAsia"/>
          <w:bCs/>
          <w:sz w:val="24"/>
        </w:rPr>
        <w:t>3.25考虑工期重叠，工作内容多，要求各工作面平行施工，投标人在施工组织设计编写时，要对人员组织、机械投入、资金保障、原材料组织等投标人认为必要的各种保障措施进行针对性的说明。</w:t>
      </w:r>
    </w:p>
    <w:p>
      <w:pPr>
        <w:spacing w:line="420" w:lineRule="exact"/>
        <w:ind w:firstLine="480" w:firstLineChars="200"/>
        <w:rPr>
          <w:bCs/>
          <w:sz w:val="24"/>
        </w:rPr>
      </w:pPr>
      <w:r>
        <w:rPr>
          <w:rFonts w:hint="eastAsia"/>
          <w:bCs/>
          <w:sz w:val="24"/>
        </w:rPr>
        <w:t>3.26因恶劣天气或不可抗力事件对人工、材料、机械设备造成的影响（如窝工等），由此所造成的经济损失由施工方自行考虑解决，业主不予受理，造成工期影响的可视情况顺延。</w:t>
      </w:r>
    </w:p>
    <w:p>
      <w:pPr>
        <w:spacing w:line="420" w:lineRule="exact"/>
        <w:ind w:firstLine="480" w:firstLineChars="200"/>
        <w:rPr>
          <w:bCs/>
          <w:sz w:val="24"/>
        </w:rPr>
      </w:pPr>
      <w:r>
        <w:rPr>
          <w:rFonts w:hint="eastAsia"/>
          <w:bCs/>
          <w:sz w:val="24"/>
        </w:rPr>
        <w:t>3.27招标人将不单独为投标人提供施工用水、用电。投标人可通过其它合法途径接水、接电，施工用水、用电所涉及的费用由投标人自行与其它提供用水、用电的单位结算。所有供水管道、阀门、龙头等供水设施设备及所有配电线路、配电柜、配电箱等供电设施设备均由投标人根据施工需要及安全生产、文明施工的要求自行布置、安装，由投标人在施工全过程内对用水、用电安全全面负责。上述各项内容所涉及的各项费用由投标人在投标报价时给予充分考虑，招标人不再支付与此相关的任何费用。</w:t>
      </w:r>
    </w:p>
    <w:p>
      <w:pPr>
        <w:spacing w:line="420" w:lineRule="exact"/>
        <w:ind w:firstLine="480" w:firstLineChars="200"/>
        <w:rPr>
          <w:bCs/>
          <w:sz w:val="24"/>
        </w:rPr>
      </w:pPr>
      <w:r>
        <w:rPr>
          <w:rFonts w:hint="eastAsia"/>
          <w:bCs/>
          <w:sz w:val="24"/>
        </w:rPr>
        <w:t>3.28在整个施工期间（从投标人进场开始至工程竣工后向招标人移交完成时止），施工场地范围内均不得设置民工生活区，除门卫室可安排少量门岗值班人员住宿外，其它任何场所、部位均不得有人员住宿。招标人及监理单位将不定期地对现场人员住宿情况进行检查，凡发现除门卫室外有人员住宿的，则按1000元/人·次对投标人进行经济扣罚。在整个施工期间，整个施工现场均不得出现烧饭、烧菜等情况，所有施工人员及管理人员的就餐均应在施工现场之外解决。招标人及监理单位将不定期地对现场烧饭、烧菜情况进行检查，凡发现有烧饭、烧菜现象的，则按1000元/处·次对投标人进行经济扣罚。各项扣罚款项均在当期工程款中直接扣除。</w:t>
      </w:r>
    </w:p>
    <w:p>
      <w:pPr>
        <w:spacing w:line="420" w:lineRule="exact"/>
        <w:ind w:firstLine="480" w:firstLineChars="200"/>
        <w:rPr>
          <w:bCs/>
          <w:sz w:val="24"/>
        </w:rPr>
      </w:pPr>
      <w:r>
        <w:rPr>
          <w:rFonts w:hint="eastAsia"/>
          <w:bCs/>
          <w:sz w:val="24"/>
        </w:rPr>
        <w:t>3.29中标人在与招标人签订施工合同的同时必须与招标人签订《工程建设廉政合同》。招标人将在本项目实施过程中全面开展“廉政文化进工程”活动，投标人须按照招标人的要求，配合做好相关宣传、布置、接待等工作，相关费用由施工单位在投标报价时在相关措施费内给予充分考虑，招标人不再支付与此相关的任何费用。</w:t>
      </w:r>
    </w:p>
    <w:p>
      <w:pPr>
        <w:spacing w:line="420" w:lineRule="exact"/>
        <w:ind w:firstLine="480" w:firstLineChars="200"/>
        <w:rPr>
          <w:bCs/>
          <w:sz w:val="24"/>
        </w:rPr>
      </w:pPr>
      <w:r>
        <w:rPr>
          <w:rFonts w:hint="eastAsia"/>
          <w:bCs/>
          <w:sz w:val="24"/>
        </w:rPr>
        <w:t>3.30投标人应做好现场施工噪音控制、环境卫生、安全警示等工作，并负责与环保、交通、城管等部门的沟通协调工作，做好现场秩序的维护。投标人应对施工现场周边各种公用或私有设施加以保护，如有损坏，由投标人自行承担责任并负责修复。如因投标人原因造成纠纷、赔款受到处罚或因此而引起招标人经济损失的，均由投标人承担责任。施工单位因扬尘、噪声、环境卫生等原因造成有12345投诉的，施工方需积极处理，且招标人有权对施工方每次处罚1万元。</w:t>
      </w:r>
    </w:p>
    <w:p>
      <w:pPr>
        <w:spacing w:line="420" w:lineRule="exact"/>
        <w:ind w:firstLine="480" w:firstLineChars="200"/>
        <w:rPr>
          <w:bCs/>
          <w:sz w:val="24"/>
        </w:rPr>
      </w:pPr>
      <w:r>
        <w:rPr>
          <w:rFonts w:hint="eastAsia"/>
          <w:bCs/>
          <w:sz w:val="24"/>
        </w:rPr>
        <w:t>3.31投标人应通过科学的施工组织，合理安排各道工序、各项工程的施工，尽量避免夜间施工。确因技术要求、客观因素影响需要进行夜间施工的，投标人应服从环保、行政执法等部门的管理，自行办理夜间施工准许手续，并积极主动处理好工地周边相关单位、个人的意见与投诉，自行支付办理手续及处理矛盾、问题应支付的费用。上述内容所涉及的各项费用由投标人在投标报价时给予充分考虑，招标人不再支付与此相关的任何费用。</w:t>
      </w:r>
    </w:p>
    <w:p>
      <w:pPr>
        <w:spacing w:line="420" w:lineRule="exact"/>
        <w:ind w:firstLine="480" w:firstLineChars="200"/>
        <w:rPr>
          <w:rFonts w:hint="default" w:eastAsia="宋体"/>
          <w:bCs/>
          <w:sz w:val="24"/>
          <w:lang w:val="en-US" w:eastAsia="zh-CN"/>
        </w:rPr>
      </w:pPr>
      <w:r>
        <w:rPr>
          <w:rFonts w:hint="eastAsia"/>
          <w:bCs/>
          <w:sz w:val="24"/>
          <w:lang w:val="en-US" w:eastAsia="zh-CN"/>
        </w:rPr>
        <w:t>3.32本项目标项一、标项二的任一中标单位在合同履行过程中未按采购单位要求按时完成维修任务或完成质量没有达到要求的，采购单位有权将维修任务交由另一标项的中标单位进行施工。</w:t>
      </w:r>
    </w:p>
    <w:p>
      <w:pPr>
        <w:spacing w:line="420" w:lineRule="exact"/>
        <w:ind w:firstLine="480" w:firstLineChars="200"/>
        <w:rPr>
          <w:bCs/>
          <w:sz w:val="24"/>
        </w:rPr>
      </w:pPr>
      <w:r>
        <w:rPr>
          <w:rFonts w:hint="eastAsia"/>
          <w:bCs/>
          <w:sz w:val="24"/>
        </w:rPr>
        <w:t>3.3</w:t>
      </w:r>
      <w:r>
        <w:rPr>
          <w:rFonts w:hint="eastAsia"/>
          <w:bCs/>
          <w:sz w:val="24"/>
          <w:lang w:val="en-US" w:eastAsia="zh-CN"/>
        </w:rPr>
        <w:t>3</w:t>
      </w:r>
      <w:r>
        <w:rPr>
          <w:rFonts w:hint="eastAsia"/>
          <w:bCs/>
          <w:sz w:val="24"/>
        </w:rPr>
        <w:t>各类检测费用自行计入报价,不另计取。</w:t>
      </w:r>
    </w:p>
    <w:p>
      <w:pPr>
        <w:spacing w:line="420" w:lineRule="exact"/>
        <w:ind w:firstLine="480" w:firstLineChars="200"/>
        <w:rPr>
          <w:bCs/>
          <w:color w:val="FF0000"/>
          <w:sz w:val="24"/>
        </w:rPr>
      </w:pPr>
      <w:r>
        <w:rPr>
          <w:rFonts w:hint="eastAsia"/>
          <w:bCs/>
          <w:color w:val="FF0000"/>
          <w:sz w:val="24"/>
        </w:rPr>
        <w:t>3.3</w:t>
      </w:r>
      <w:r>
        <w:rPr>
          <w:rFonts w:hint="eastAsia"/>
          <w:bCs/>
          <w:color w:val="FF0000"/>
          <w:sz w:val="24"/>
          <w:lang w:val="en-US" w:eastAsia="zh-CN"/>
        </w:rPr>
        <w:t>4</w:t>
      </w:r>
      <w:r>
        <w:rPr>
          <w:rFonts w:hint="eastAsia"/>
          <w:bCs/>
          <w:color w:val="FF0000"/>
          <w:sz w:val="24"/>
        </w:rPr>
        <w:t>单个项目零星维修工程限额不超过</w:t>
      </w:r>
      <w:r>
        <w:rPr>
          <w:rFonts w:hint="eastAsia"/>
          <w:bCs/>
          <w:color w:val="FF0000"/>
          <w:sz w:val="24"/>
          <w:lang w:val="en-US" w:eastAsia="zh-CN"/>
        </w:rPr>
        <w:t>30</w:t>
      </w:r>
      <w:r>
        <w:rPr>
          <w:rFonts w:hint="eastAsia"/>
          <w:bCs/>
          <w:color w:val="FF0000"/>
          <w:sz w:val="24"/>
        </w:rPr>
        <w:t>万元。</w:t>
      </w:r>
    </w:p>
    <w:p>
      <w:pPr>
        <w:spacing w:line="420" w:lineRule="exact"/>
        <w:ind w:firstLine="420" w:firstLineChars="200"/>
        <w:rPr>
          <w:b/>
          <w:bCs/>
          <w:color w:val="FF0000"/>
          <w:sz w:val="24"/>
        </w:rPr>
      </w:pPr>
      <w:r>
        <w:rPr>
          <w:rFonts w:hint="eastAsia" w:ascii="宋体"/>
          <w:color w:val="FF0000"/>
        </w:rPr>
        <w:t>▲</w:t>
      </w:r>
      <w:r>
        <w:rPr>
          <w:rFonts w:hint="eastAsia"/>
          <w:b/>
          <w:bCs/>
          <w:color w:val="FF0000"/>
          <w:sz w:val="24"/>
        </w:rPr>
        <w:t>3.35投标人中标后在湖东街道辖区设立服务网点（面积至少150m</w:t>
      </w:r>
      <w:r>
        <w:rPr>
          <w:rFonts w:hint="eastAsia"/>
          <w:b/>
          <w:bCs/>
          <w:color w:val="FF0000"/>
          <w:sz w:val="24"/>
          <w:vertAlign w:val="superscript"/>
        </w:rPr>
        <w:t>2</w:t>
      </w:r>
      <w:r>
        <w:rPr>
          <w:rFonts w:hint="eastAsia"/>
          <w:b/>
          <w:bCs/>
          <w:color w:val="FF0000"/>
          <w:sz w:val="24"/>
        </w:rPr>
        <w:t>）。驻点人员应包括班组长、水电工、泥工、普通用工等</w:t>
      </w:r>
    </w:p>
    <w:p>
      <w:pPr>
        <w:spacing w:line="420" w:lineRule="exact"/>
        <w:rPr>
          <w:sz w:val="24"/>
        </w:rPr>
      </w:pPr>
      <w:r>
        <w:rPr>
          <w:rFonts w:hint="eastAsia"/>
          <w:b/>
          <w:bCs/>
          <w:sz w:val="28"/>
          <w:szCs w:val="28"/>
        </w:rPr>
        <w:t>四、工程安全事项及违约责任</w:t>
      </w:r>
    </w:p>
    <w:p>
      <w:pPr>
        <w:widowControl/>
        <w:tabs>
          <w:tab w:val="left" w:pos="0"/>
          <w:tab w:val="left" w:pos="993"/>
          <w:tab w:val="left" w:pos="1134"/>
        </w:tabs>
        <w:spacing w:line="420" w:lineRule="exact"/>
        <w:ind w:firstLine="480" w:firstLineChars="200"/>
        <w:rPr>
          <w:rFonts w:ascii="宋体" w:hAnsi="宋体"/>
          <w:sz w:val="24"/>
        </w:rPr>
      </w:pPr>
      <w:r>
        <w:rPr>
          <w:rFonts w:ascii="宋体" w:hAnsi="宋体"/>
          <w:sz w:val="24"/>
        </w:rPr>
        <w:t>4.1</w:t>
      </w:r>
      <w:r>
        <w:rPr>
          <w:rFonts w:hint="eastAsia" w:ascii="宋体" w:hAnsi="宋体"/>
          <w:sz w:val="24"/>
        </w:rPr>
        <w:t>承包人应严格执行各项国家有关规定，有关技术人员必须持证上岗，专人专职负责安全。</w:t>
      </w:r>
    </w:p>
    <w:p>
      <w:pPr>
        <w:widowControl/>
        <w:tabs>
          <w:tab w:val="left" w:pos="0"/>
          <w:tab w:val="left" w:pos="993"/>
          <w:tab w:val="left" w:pos="1134"/>
        </w:tabs>
        <w:spacing w:line="420" w:lineRule="exact"/>
        <w:ind w:firstLine="480" w:firstLineChars="200"/>
        <w:rPr>
          <w:rFonts w:ascii="宋体" w:hAnsi="宋体"/>
          <w:sz w:val="24"/>
        </w:rPr>
      </w:pPr>
      <w:r>
        <w:rPr>
          <w:rFonts w:ascii="宋体" w:hAnsi="宋体"/>
          <w:sz w:val="24"/>
        </w:rPr>
        <w:t>4.2</w:t>
      </w:r>
      <w:r>
        <w:rPr>
          <w:rFonts w:hint="eastAsia" w:ascii="宋体" w:hAnsi="宋体"/>
          <w:sz w:val="24"/>
        </w:rPr>
        <w:t>承包人应严格按国家有关规定，为本项目所有维修人员办理相关保险事宜（如工伤保险等）。</w:t>
      </w:r>
    </w:p>
    <w:p>
      <w:pPr>
        <w:widowControl/>
        <w:tabs>
          <w:tab w:val="left" w:pos="0"/>
          <w:tab w:val="left" w:pos="993"/>
          <w:tab w:val="left" w:pos="1134"/>
        </w:tabs>
        <w:spacing w:line="420" w:lineRule="exact"/>
        <w:ind w:firstLine="480" w:firstLineChars="200"/>
        <w:rPr>
          <w:rFonts w:ascii="宋体" w:hAnsi="宋体"/>
          <w:sz w:val="24"/>
        </w:rPr>
      </w:pPr>
      <w:r>
        <w:rPr>
          <w:rFonts w:ascii="宋体" w:hAnsi="宋体"/>
          <w:sz w:val="24"/>
        </w:rPr>
        <w:t>4.3</w:t>
      </w:r>
      <w:r>
        <w:rPr>
          <w:rFonts w:hint="eastAsia" w:ascii="宋体" w:hAnsi="宋体"/>
          <w:sz w:val="24"/>
        </w:rPr>
        <w:t>承包人应实施严格的各类安全防护措施，切实做好安民告示，设置必要的施工警戒标志，线杆保护措施，制定保障人员出行安全畅通的保证措施，做好施工照明、看守和警卫工作，有毒气体防护措施和电源电线安全保护措施，并对维修工程现场的安全负责，接受招标人和监理单位的现场代表对安全措施的监督。承包人在维修期间，若发生与本工程相关的安全事故和治安纠纷事件，一切法律和经济责任均由中标单位承担，招标人概不负责。由于承包人安全措施不力、维修工作不到位、违反安全操作规程而导致责任事故或伤害，所发生的费用均由承包人自负，招标人保留追究责任的权利。</w:t>
      </w:r>
    </w:p>
    <w:p>
      <w:pPr>
        <w:widowControl/>
        <w:tabs>
          <w:tab w:val="left" w:pos="0"/>
          <w:tab w:val="left" w:pos="993"/>
          <w:tab w:val="left" w:pos="1134"/>
        </w:tabs>
        <w:spacing w:line="420" w:lineRule="exact"/>
        <w:ind w:firstLine="480" w:firstLineChars="200"/>
        <w:rPr>
          <w:rFonts w:ascii="宋体" w:hAnsi="宋体"/>
          <w:sz w:val="24"/>
        </w:rPr>
      </w:pPr>
      <w:r>
        <w:rPr>
          <w:rFonts w:ascii="宋体" w:hAnsi="宋体"/>
          <w:sz w:val="24"/>
        </w:rPr>
        <w:t>4.4</w:t>
      </w:r>
      <w:r>
        <w:rPr>
          <w:rFonts w:hint="eastAsia" w:ascii="宋体" w:hAnsi="宋体"/>
          <w:sz w:val="24"/>
        </w:rPr>
        <w:t>维修期间承包人应做好抗灾减灾应急预案，密切注意气象预报，及时采取防范措施，防止暴风雨、洪水、雷电、冰冻等造成工程损害，承包人不得以除地震等不可抗力以外的自然灾害为由提出索赔要求。</w:t>
      </w:r>
    </w:p>
    <w:p>
      <w:pPr>
        <w:widowControl/>
        <w:tabs>
          <w:tab w:val="left" w:pos="0"/>
          <w:tab w:val="left" w:pos="993"/>
          <w:tab w:val="left" w:pos="1134"/>
        </w:tabs>
        <w:spacing w:line="420" w:lineRule="exact"/>
        <w:ind w:firstLine="480" w:firstLineChars="200"/>
        <w:rPr>
          <w:rFonts w:ascii="宋体" w:hAnsi="宋体"/>
          <w:sz w:val="24"/>
        </w:rPr>
      </w:pPr>
      <w:r>
        <w:rPr>
          <w:rFonts w:ascii="宋体" w:hAnsi="宋体"/>
          <w:sz w:val="24"/>
        </w:rPr>
        <w:t>4.5</w:t>
      </w:r>
      <w:r>
        <w:rPr>
          <w:rFonts w:hint="eastAsia" w:ascii="宋体" w:hAnsi="宋体"/>
          <w:sz w:val="24"/>
        </w:rPr>
        <w:t>维修过程中，承包人必须按投标时提供的人员配置，合理安排劳动力，未详之处按劳动法相关规定处理。</w:t>
      </w:r>
    </w:p>
    <w:p>
      <w:pPr>
        <w:spacing w:line="420" w:lineRule="exact"/>
        <w:rPr>
          <w:b/>
          <w:bCs/>
          <w:sz w:val="28"/>
          <w:szCs w:val="28"/>
        </w:rPr>
      </w:pPr>
      <w:r>
        <w:rPr>
          <w:rFonts w:hint="eastAsia"/>
          <w:b/>
          <w:bCs/>
          <w:sz w:val="28"/>
          <w:szCs w:val="28"/>
        </w:rPr>
        <w:t>五、工程建设标准</w:t>
      </w:r>
    </w:p>
    <w:p>
      <w:pPr>
        <w:pStyle w:val="7"/>
        <w:spacing w:line="420" w:lineRule="exact"/>
        <w:ind w:firstLine="480" w:firstLineChars="200"/>
        <w:rPr>
          <w:sz w:val="24"/>
        </w:rPr>
      </w:pPr>
      <w:r>
        <w:rPr>
          <w:sz w:val="24"/>
        </w:rPr>
        <w:t>1</w:t>
      </w:r>
      <w:r>
        <w:rPr>
          <w:rFonts w:hint="eastAsia"/>
          <w:sz w:val="24"/>
        </w:rPr>
        <w:t>、本章所列的技术规范为完成本招标项目所需的最低技术标准规范，投标人可选择高于本章所列技术标准规范要求的企业技术标准，但投标人需提供所采用的企业技术标准高于本章所列技术标准规范的相关证明材料。</w:t>
      </w:r>
    </w:p>
    <w:p>
      <w:pPr>
        <w:pStyle w:val="7"/>
        <w:spacing w:line="420" w:lineRule="exact"/>
        <w:ind w:firstLine="480" w:firstLineChars="200"/>
        <w:rPr>
          <w:sz w:val="24"/>
        </w:rPr>
      </w:pPr>
      <w:r>
        <w:rPr>
          <w:sz w:val="24"/>
        </w:rPr>
        <w:t>2</w:t>
      </w:r>
      <w:r>
        <w:rPr>
          <w:rFonts w:hint="eastAsia"/>
          <w:sz w:val="24"/>
        </w:rPr>
        <w:t>、本工程所用的规范与合同条件、图纸的规定和要求是一致的，应互相对照阅读和使用。如果规范与图纸中有明显未提到的任何细节或在涉及到规范中任何条款的叙述中没有明显的规定，都应认为指的是采用质量管理单位可以接受的建筑工程中的习惯做法。规范执行中，某些条文如有不明确的，其解释权应属于质量管理单位，但须符合合同条件中的相应规定。各分项分部工程均应严格按图纸的规定和要求，或质量管理单位的指令进行施工，对图纸的任何变更，均应报质量管理单位批准。</w:t>
      </w:r>
    </w:p>
    <w:p>
      <w:pPr>
        <w:spacing w:line="420" w:lineRule="exact"/>
        <w:ind w:firstLine="480" w:firstLineChars="200"/>
        <w:rPr>
          <w:sz w:val="24"/>
        </w:rPr>
      </w:pPr>
      <w:r>
        <w:rPr>
          <w:sz w:val="24"/>
        </w:rPr>
        <w:t>3</w:t>
      </w:r>
      <w:r>
        <w:rPr>
          <w:rFonts w:hint="eastAsia"/>
          <w:sz w:val="24"/>
        </w:rPr>
        <w:t>、本工程采用的主要技术规范如下：</w:t>
      </w:r>
    </w:p>
    <w:p>
      <w:pPr>
        <w:pStyle w:val="7"/>
        <w:spacing w:line="420" w:lineRule="exact"/>
        <w:rPr>
          <w:sz w:val="24"/>
        </w:rPr>
      </w:pPr>
      <w:r>
        <w:rPr>
          <w:sz w:val="24"/>
        </w:rPr>
        <w:t>1</w:t>
      </w:r>
      <w:r>
        <w:rPr>
          <w:rFonts w:hint="eastAsia"/>
          <w:sz w:val="24"/>
        </w:rPr>
        <w:t>、《城镇道路养护技术规范》（</w:t>
      </w:r>
      <w:r>
        <w:rPr>
          <w:sz w:val="24"/>
        </w:rPr>
        <w:t>CJJ36</w:t>
      </w:r>
      <w:r>
        <w:rPr>
          <w:rFonts w:hint="eastAsia"/>
          <w:sz w:val="24"/>
        </w:rPr>
        <w:t>）</w:t>
      </w:r>
    </w:p>
    <w:p>
      <w:pPr>
        <w:pStyle w:val="7"/>
        <w:spacing w:line="420" w:lineRule="exact"/>
        <w:rPr>
          <w:sz w:val="24"/>
        </w:rPr>
      </w:pPr>
      <w:r>
        <w:rPr>
          <w:sz w:val="24"/>
        </w:rPr>
        <w:t>2</w:t>
      </w:r>
      <w:r>
        <w:rPr>
          <w:rFonts w:hint="eastAsia"/>
          <w:sz w:val="24"/>
        </w:rPr>
        <w:t>、《城市桥梁养护技术规范》（</w:t>
      </w:r>
      <w:r>
        <w:rPr>
          <w:sz w:val="24"/>
        </w:rPr>
        <w:t>CJJ99</w:t>
      </w:r>
      <w:r>
        <w:rPr>
          <w:rFonts w:hint="eastAsia"/>
          <w:sz w:val="24"/>
        </w:rPr>
        <w:t>）</w:t>
      </w:r>
    </w:p>
    <w:p>
      <w:pPr>
        <w:pStyle w:val="7"/>
        <w:spacing w:line="420" w:lineRule="exact"/>
        <w:rPr>
          <w:sz w:val="24"/>
        </w:rPr>
      </w:pPr>
      <w:r>
        <w:rPr>
          <w:sz w:val="24"/>
        </w:rPr>
        <w:t>3</w:t>
      </w:r>
      <w:r>
        <w:rPr>
          <w:rFonts w:hint="eastAsia"/>
          <w:sz w:val="24"/>
        </w:rPr>
        <w:t>、《城镇排水管道维护安全技术规程》（</w:t>
      </w:r>
      <w:r>
        <w:rPr>
          <w:sz w:val="24"/>
        </w:rPr>
        <w:t>CJJ 6</w:t>
      </w:r>
      <w:r>
        <w:rPr>
          <w:rFonts w:hint="eastAsia"/>
          <w:sz w:val="24"/>
        </w:rPr>
        <w:t>）</w:t>
      </w:r>
    </w:p>
    <w:p>
      <w:pPr>
        <w:pStyle w:val="7"/>
        <w:spacing w:line="420" w:lineRule="exact"/>
        <w:ind w:left="479" w:leftChars="228" w:firstLine="0"/>
        <w:rPr>
          <w:sz w:val="24"/>
        </w:rPr>
      </w:pPr>
      <w:r>
        <w:rPr>
          <w:sz w:val="24"/>
        </w:rPr>
        <w:t>4</w:t>
      </w:r>
      <w:r>
        <w:rPr>
          <w:rFonts w:hint="eastAsia"/>
          <w:sz w:val="24"/>
        </w:rPr>
        <w:t>、《城镇排水管渠与泵站维护技术规程》（</w:t>
      </w:r>
      <w:r>
        <w:rPr>
          <w:sz w:val="24"/>
        </w:rPr>
        <w:t>CJJ 68</w:t>
      </w:r>
      <w:r>
        <w:rPr>
          <w:rFonts w:hint="eastAsia"/>
          <w:sz w:val="24"/>
        </w:rPr>
        <w:t>）</w:t>
      </w:r>
    </w:p>
    <w:p>
      <w:pPr>
        <w:pStyle w:val="7"/>
        <w:spacing w:line="420" w:lineRule="exact"/>
        <w:ind w:left="479" w:leftChars="228" w:firstLine="0"/>
        <w:rPr>
          <w:sz w:val="24"/>
        </w:rPr>
      </w:pPr>
      <w:r>
        <w:rPr>
          <w:sz w:val="24"/>
        </w:rPr>
        <w:t>5</w:t>
      </w:r>
      <w:r>
        <w:rPr>
          <w:rFonts w:hint="eastAsia"/>
          <w:sz w:val="24"/>
        </w:rPr>
        <w:t>、《给水排水构筑物施工及验收规范》</w:t>
      </w:r>
      <w:r>
        <w:rPr>
          <w:sz w:val="24"/>
        </w:rPr>
        <w:tab/>
      </w:r>
      <w:r>
        <w:rPr>
          <w:sz w:val="24"/>
        </w:rPr>
        <w:t>GBJ141</w:t>
      </w:r>
    </w:p>
    <w:p>
      <w:pPr>
        <w:pStyle w:val="7"/>
        <w:spacing w:line="420" w:lineRule="exact"/>
        <w:ind w:left="479" w:leftChars="228" w:firstLine="0"/>
        <w:rPr>
          <w:sz w:val="24"/>
        </w:rPr>
      </w:pPr>
      <w:r>
        <w:rPr>
          <w:sz w:val="24"/>
        </w:rPr>
        <w:t>6</w:t>
      </w:r>
      <w:r>
        <w:rPr>
          <w:rFonts w:hint="eastAsia"/>
          <w:sz w:val="24"/>
        </w:rPr>
        <w:t>、《市政道路工程质量检验评定标准》</w:t>
      </w:r>
      <w:r>
        <w:rPr>
          <w:sz w:val="24"/>
        </w:rPr>
        <w:tab/>
      </w:r>
      <w:r>
        <w:rPr>
          <w:sz w:val="24"/>
        </w:rPr>
        <w:t>CJJ1</w:t>
      </w:r>
    </w:p>
    <w:p>
      <w:pPr>
        <w:pStyle w:val="7"/>
        <w:spacing w:line="420" w:lineRule="exact"/>
        <w:ind w:left="479" w:leftChars="228" w:firstLine="0"/>
        <w:rPr>
          <w:sz w:val="24"/>
        </w:rPr>
      </w:pPr>
      <w:r>
        <w:rPr>
          <w:sz w:val="24"/>
        </w:rPr>
        <w:t>7</w:t>
      </w:r>
      <w:r>
        <w:rPr>
          <w:rFonts w:hint="eastAsia"/>
          <w:sz w:val="24"/>
        </w:rPr>
        <w:t>、《市政桥梁工程质量检验评定标准》</w:t>
      </w:r>
      <w:r>
        <w:rPr>
          <w:sz w:val="24"/>
        </w:rPr>
        <w:tab/>
      </w:r>
      <w:r>
        <w:rPr>
          <w:sz w:val="24"/>
        </w:rPr>
        <w:t>CJJ2</w:t>
      </w:r>
    </w:p>
    <w:p>
      <w:pPr>
        <w:pStyle w:val="7"/>
        <w:spacing w:line="420" w:lineRule="exact"/>
        <w:ind w:left="479" w:leftChars="228" w:firstLine="0"/>
        <w:rPr>
          <w:sz w:val="24"/>
        </w:rPr>
      </w:pPr>
      <w:r>
        <w:rPr>
          <w:sz w:val="24"/>
        </w:rPr>
        <w:t>8</w:t>
      </w:r>
      <w:r>
        <w:rPr>
          <w:rFonts w:hint="eastAsia"/>
          <w:sz w:val="24"/>
        </w:rPr>
        <w:t>、《市政排水管渠工程质量检验评定标准》</w:t>
      </w:r>
      <w:r>
        <w:rPr>
          <w:sz w:val="24"/>
        </w:rPr>
        <w:tab/>
      </w:r>
      <w:r>
        <w:rPr>
          <w:sz w:val="24"/>
        </w:rPr>
        <w:t>CJJ3</w:t>
      </w:r>
    </w:p>
    <w:p>
      <w:pPr>
        <w:pStyle w:val="7"/>
        <w:spacing w:line="420" w:lineRule="exact"/>
        <w:ind w:left="479" w:leftChars="228" w:firstLine="0"/>
        <w:rPr>
          <w:sz w:val="24"/>
        </w:rPr>
      </w:pPr>
      <w:r>
        <w:rPr>
          <w:sz w:val="24"/>
        </w:rPr>
        <w:t>9</w:t>
      </w:r>
      <w:r>
        <w:rPr>
          <w:rFonts w:hint="eastAsia"/>
          <w:sz w:val="24"/>
        </w:rPr>
        <w:t>、《粉煤灰石灰道路基层施工及验收规程》</w:t>
      </w:r>
      <w:r>
        <w:rPr>
          <w:sz w:val="24"/>
        </w:rPr>
        <w:tab/>
      </w:r>
      <w:r>
        <w:rPr>
          <w:sz w:val="24"/>
        </w:rPr>
        <w:t>CJJ44</w:t>
      </w:r>
    </w:p>
    <w:p>
      <w:pPr>
        <w:pStyle w:val="7"/>
        <w:spacing w:line="420" w:lineRule="exact"/>
        <w:ind w:left="479" w:leftChars="228" w:firstLine="0"/>
        <w:rPr>
          <w:sz w:val="24"/>
        </w:rPr>
      </w:pPr>
      <w:r>
        <w:rPr>
          <w:sz w:val="24"/>
        </w:rPr>
        <w:t>10</w:t>
      </w:r>
      <w:r>
        <w:rPr>
          <w:rFonts w:hint="eastAsia"/>
          <w:sz w:val="24"/>
        </w:rPr>
        <w:t>、《城市道路路基工程施工及验收规程》</w:t>
      </w:r>
      <w:r>
        <w:rPr>
          <w:sz w:val="24"/>
        </w:rPr>
        <w:tab/>
      </w:r>
      <w:r>
        <w:rPr>
          <w:sz w:val="24"/>
        </w:rPr>
        <w:t>CJJ4</w:t>
      </w:r>
    </w:p>
    <w:p>
      <w:pPr>
        <w:pStyle w:val="7"/>
        <w:spacing w:line="420" w:lineRule="exact"/>
        <w:ind w:left="479" w:leftChars="228" w:firstLine="0"/>
        <w:rPr>
          <w:sz w:val="24"/>
        </w:rPr>
      </w:pPr>
      <w:r>
        <w:rPr>
          <w:sz w:val="24"/>
        </w:rPr>
        <w:t>11</w:t>
      </w:r>
      <w:r>
        <w:rPr>
          <w:rFonts w:hint="eastAsia"/>
          <w:sz w:val="24"/>
        </w:rPr>
        <w:t>、《沥青路面施工及验收规程》</w:t>
      </w:r>
      <w:r>
        <w:rPr>
          <w:sz w:val="24"/>
        </w:rPr>
        <w:tab/>
      </w:r>
      <w:r>
        <w:rPr>
          <w:sz w:val="24"/>
        </w:rPr>
        <w:t>GB50092</w:t>
      </w:r>
    </w:p>
    <w:p>
      <w:pPr>
        <w:pStyle w:val="7"/>
        <w:spacing w:line="420" w:lineRule="exact"/>
        <w:ind w:firstLine="480" w:firstLineChars="200"/>
        <w:rPr>
          <w:sz w:val="24"/>
        </w:rPr>
      </w:pPr>
      <w:r>
        <w:rPr>
          <w:sz w:val="24"/>
        </w:rPr>
        <w:t>12</w:t>
      </w:r>
      <w:r>
        <w:rPr>
          <w:rFonts w:hint="eastAsia"/>
          <w:sz w:val="24"/>
        </w:rPr>
        <w:t>、《给水排水管道工程施工及验收规程》</w:t>
      </w:r>
      <w:r>
        <w:rPr>
          <w:sz w:val="24"/>
        </w:rPr>
        <w:tab/>
      </w:r>
      <w:r>
        <w:rPr>
          <w:sz w:val="24"/>
        </w:rPr>
        <w:t>GB5026</w:t>
      </w:r>
    </w:p>
    <w:p>
      <w:pPr>
        <w:pStyle w:val="7"/>
        <w:spacing w:line="420" w:lineRule="exact"/>
        <w:ind w:left="479" w:leftChars="228" w:firstLine="0"/>
        <w:rPr>
          <w:sz w:val="24"/>
        </w:rPr>
      </w:pPr>
      <w:r>
        <w:rPr>
          <w:sz w:val="24"/>
        </w:rPr>
        <w:t>13</w:t>
      </w:r>
      <w:r>
        <w:rPr>
          <w:rFonts w:hint="eastAsia"/>
          <w:sz w:val="24"/>
        </w:rPr>
        <w:t>、《地下防水工程施工质量验收标准》（</w:t>
      </w:r>
      <w:r>
        <w:rPr>
          <w:sz w:val="24"/>
        </w:rPr>
        <w:t>GB50208</w:t>
      </w:r>
      <w:r>
        <w:rPr>
          <w:rFonts w:hint="eastAsia"/>
          <w:sz w:val="24"/>
        </w:rPr>
        <w:t>）；</w:t>
      </w:r>
    </w:p>
    <w:p>
      <w:pPr>
        <w:pStyle w:val="7"/>
        <w:spacing w:line="420" w:lineRule="exact"/>
        <w:ind w:left="479" w:leftChars="228" w:firstLine="0"/>
        <w:rPr>
          <w:sz w:val="24"/>
        </w:rPr>
      </w:pPr>
      <w:r>
        <w:rPr>
          <w:sz w:val="24"/>
        </w:rPr>
        <w:t>14</w:t>
      </w:r>
      <w:r>
        <w:rPr>
          <w:rFonts w:hint="eastAsia"/>
          <w:sz w:val="24"/>
        </w:rPr>
        <w:t>、《建筑地基基础工程施工质量验收规范》（</w:t>
      </w:r>
      <w:r>
        <w:rPr>
          <w:sz w:val="24"/>
        </w:rPr>
        <w:t>GB50202</w:t>
      </w:r>
      <w:r>
        <w:rPr>
          <w:rFonts w:hint="eastAsia"/>
          <w:sz w:val="24"/>
        </w:rPr>
        <w:t>）；</w:t>
      </w:r>
    </w:p>
    <w:p>
      <w:pPr>
        <w:pStyle w:val="7"/>
        <w:spacing w:line="420" w:lineRule="exact"/>
        <w:ind w:left="479" w:leftChars="228" w:firstLine="0"/>
        <w:rPr>
          <w:sz w:val="24"/>
        </w:rPr>
      </w:pPr>
      <w:r>
        <w:rPr>
          <w:sz w:val="24"/>
        </w:rPr>
        <w:t>15</w:t>
      </w:r>
      <w:r>
        <w:rPr>
          <w:rFonts w:hint="eastAsia"/>
          <w:sz w:val="24"/>
        </w:rPr>
        <w:t>、《建设工程施工现场供用电安全规范》（</w:t>
      </w:r>
      <w:r>
        <w:rPr>
          <w:sz w:val="24"/>
        </w:rPr>
        <w:t>GB50194</w:t>
      </w:r>
      <w:r>
        <w:rPr>
          <w:rFonts w:hint="eastAsia"/>
          <w:sz w:val="24"/>
        </w:rPr>
        <w:t>）</w:t>
      </w:r>
      <w:r>
        <w:rPr>
          <w:sz w:val="24"/>
        </w:rPr>
        <w:t>;</w:t>
      </w:r>
    </w:p>
    <w:p>
      <w:pPr>
        <w:pStyle w:val="7"/>
        <w:spacing w:line="420" w:lineRule="exact"/>
        <w:ind w:left="479" w:leftChars="228" w:firstLine="0"/>
        <w:rPr>
          <w:sz w:val="24"/>
        </w:rPr>
      </w:pPr>
      <w:r>
        <w:rPr>
          <w:sz w:val="24"/>
        </w:rPr>
        <w:t>16</w:t>
      </w:r>
      <w:r>
        <w:rPr>
          <w:rFonts w:hint="eastAsia"/>
          <w:sz w:val="24"/>
        </w:rPr>
        <w:t>、《工程建设标准强制性条文》</w:t>
      </w:r>
      <w:r>
        <w:rPr>
          <w:sz w:val="24"/>
        </w:rPr>
        <w:t>(</w:t>
      </w:r>
      <w:r>
        <w:rPr>
          <w:rFonts w:hint="eastAsia"/>
          <w:sz w:val="24"/>
        </w:rPr>
        <w:t>城市建设部分</w:t>
      </w:r>
      <w:r>
        <w:rPr>
          <w:sz w:val="24"/>
        </w:rPr>
        <w:t>)</w:t>
      </w:r>
      <w:r>
        <w:rPr>
          <w:rFonts w:hint="eastAsia"/>
          <w:sz w:val="24"/>
        </w:rPr>
        <w:t>；</w:t>
      </w:r>
    </w:p>
    <w:p>
      <w:pPr>
        <w:pStyle w:val="7"/>
        <w:spacing w:line="420" w:lineRule="exact"/>
        <w:ind w:left="479" w:leftChars="228" w:firstLine="0"/>
        <w:rPr>
          <w:sz w:val="24"/>
        </w:rPr>
      </w:pPr>
      <w:r>
        <w:rPr>
          <w:sz w:val="24"/>
        </w:rPr>
        <w:t>17</w:t>
      </w:r>
      <w:r>
        <w:rPr>
          <w:rFonts w:hint="eastAsia"/>
          <w:sz w:val="24"/>
        </w:rPr>
        <w:t>、《公路桥涵施工技术规范》（</w:t>
      </w:r>
      <w:r>
        <w:rPr>
          <w:sz w:val="24"/>
        </w:rPr>
        <w:t>JTJ041</w:t>
      </w:r>
      <w:r>
        <w:rPr>
          <w:rFonts w:hint="eastAsia"/>
          <w:sz w:val="24"/>
        </w:rPr>
        <w:t>）；</w:t>
      </w:r>
    </w:p>
    <w:p>
      <w:pPr>
        <w:pStyle w:val="7"/>
        <w:spacing w:line="420" w:lineRule="exact"/>
        <w:ind w:left="479" w:leftChars="228" w:firstLine="0"/>
        <w:rPr>
          <w:sz w:val="24"/>
        </w:rPr>
      </w:pPr>
      <w:r>
        <w:rPr>
          <w:sz w:val="24"/>
        </w:rPr>
        <w:t>18</w:t>
      </w:r>
      <w:r>
        <w:rPr>
          <w:rFonts w:hint="eastAsia"/>
          <w:sz w:val="24"/>
        </w:rPr>
        <w:t>、《机械回填施工工艺标准》（</w:t>
      </w:r>
      <w:r>
        <w:rPr>
          <w:sz w:val="24"/>
        </w:rPr>
        <w:t>J103</w:t>
      </w:r>
      <w:r>
        <w:rPr>
          <w:rFonts w:hint="eastAsia"/>
          <w:sz w:val="24"/>
        </w:rPr>
        <w:t>）；</w:t>
      </w:r>
    </w:p>
    <w:p>
      <w:pPr>
        <w:pStyle w:val="7"/>
        <w:spacing w:line="420" w:lineRule="exact"/>
        <w:ind w:left="479" w:leftChars="228" w:firstLine="0"/>
        <w:rPr>
          <w:sz w:val="24"/>
        </w:rPr>
      </w:pPr>
      <w:r>
        <w:rPr>
          <w:sz w:val="24"/>
        </w:rPr>
        <w:t>19</w:t>
      </w:r>
      <w:r>
        <w:rPr>
          <w:rFonts w:hint="eastAsia"/>
          <w:sz w:val="24"/>
        </w:rPr>
        <w:t>、《建筑电气安装工程施工质量验收规范》（</w:t>
      </w:r>
      <w:r>
        <w:rPr>
          <w:sz w:val="24"/>
        </w:rPr>
        <w:t>GB50303</w:t>
      </w:r>
      <w:r>
        <w:rPr>
          <w:rFonts w:hint="eastAsia"/>
          <w:sz w:val="24"/>
        </w:rPr>
        <w:t>）</w:t>
      </w:r>
    </w:p>
    <w:p>
      <w:pPr>
        <w:pStyle w:val="7"/>
        <w:spacing w:line="420" w:lineRule="exact"/>
        <w:ind w:left="479" w:leftChars="228" w:firstLine="0"/>
        <w:rPr>
          <w:sz w:val="24"/>
        </w:rPr>
      </w:pPr>
      <w:r>
        <w:rPr>
          <w:sz w:val="24"/>
        </w:rPr>
        <w:t>20</w:t>
      </w:r>
      <w:r>
        <w:rPr>
          <w:rFonts w:hint="eastAsia"/>
          <w:sz w:val="24"/>
        </w:rPr>
        <w:t>、浙江省标准《建筑基坑工程技术规程》（</w:t>
      </w:r>
      <w:r>
        <w:rPr>
          <w:sz w:val="24"/>
        </w:rPr>
        <w:t>DB33/T1008</w:t>
      </w:r>
      <w:r>
        <w:rPr>
          <w:rFonts w:hint="eastAsia"/>
          <w:sz w:val="24"/>
        </w:rPr>
        <w:t>）</w:t>
      </w:r>
      <w:r>
        <w:rPr>
          <w:sz w:val="24"/>
        </w:rPr>
        <w:t>;</w:t>
      </w:r>
    </w:p>
    <w:p>
      <w:pPr>
        <w:pStyle w:val="7"/>
        <w:spacing w:line="420" w:lineRule="exact"/>
        <w:ind w:left="479" w:leftChars="228" w:firstLine="0"/>
        <w:rPr>
          <w:sz w:val="24"/>
        </w:rPr>
      </w:pPr>
      <w:r>
        <w:rPr>
          <w:sz w:val="24"/>
        </w:rPr>
        <w:t>21</w:t>
      </w:r>
      <w:r>
        <w:rPr>
          <w:rFonts w:hint="eastAsia"/>
          <w:sz w:val="24"/>
        </w:rPr>
        <w:t>、《砌体工程施工质量验收规程》（</w:t>
      </w:r>
      <w:r>
        <w:rPr>
          <w:sz w:val="24"/>
        </w:rPr>
        <w:t>GB50203</w:t>
      </w:r>
      <w:r>
        <w:rPr>
          <w:rFonts w:hint="eastAsia"/>
          <w:sz w:val="24"/>
        </w:rPr>
        <w:t>）；</w:t>
      </w:r>
    </w:p>
    <w:p>
      <w:pPr>
        <w:pStyle w:val="7"/>
        <w:spacing w:line="420" w:lineRule="exact"/>
        <w:ind w:left="479" w:leftChars="228" w:firstLine="0"/>
        <w:rPr>
          <w:sz w:val="24"/>
        </w:rPr>
      </w:pPr>
      <w:r>
        <w:rPr>
          <w:sz w:val="24"/>
        </w:rPr>
        <w:t>22</w:t>
      </w:r>
      <w:r>
        <w:rPr>
          <w:rFonts w:hint="eastAsia"/>
          <w:sz w:val="24"/>
        </w:rPr>
        <w:t>、《混凝土结构施工质量验收规范》（</w:t>
      </w:r>
      <w:r>
        <w:rPr>
          <w:sz w:val="24"/>
        </w:rPr>
        <w:t>GB50204</w:t>
      </w:r>
      <w:r>
        <w:rPr>
          <w:rFonts w:hint="eastAsia"/>
          <w:sz w:val="24"/>
        </w:rPr>
        <w:t>）；</w:t>
      </w:r>
    </w:p>
    <w:p>
      <w:pPr>
        <w:pStyle w:val="7"/>
        <w:spacing w:line="420" w:lineRule="exact"/>
        <w:ind w:left="479" w:leftChars="228" w:firstLine="0"/>
        <w:rPr>
          <w:sz w:val="24"/>
        </w:rPr>
      </w:pPr>
      <w:r>
        <w:rPr>
          <w:sz w:val="24"/>
        </w:rPr>
        <w:t>23</w:t>
      </w:r>
      <w:r>
        <w:rPr>
          <w:rFonts w:hint="eastAsia"/>
          <w:sz w:val="24"/>
        </w:rPr>
        <w:t>、《建筑工程施工质量验收统一标准》（</w:t>
      </w:r>
      <w:r>
        <w:rPr>
          <w:sz w:val="24"/>
        </w:rPr>
        <w:t>GB50300</w:t>
      </w:r>
      <w:r>
        <w:rPr>
          <w:rFonts w:hint="eastAsia"/>
          <w:sz w:val="24"/>
        </w:rPr>
        <w:t>）</w:t>
      </w:r>
    </w:p>
    <w:p>
      <w:pPr>
        <w:pStyle w:val="7"/>
        <w:spacing w:line="420" w:lineRule="exact"/>
        <w:ind w:left="479" w:leftChars="228" w:firstLine="0"/>
        <w:rPr>
          <w:sz w:val="24"/>
        </w:rPr>
      </w:pPr>
      <w:r>
        <w:rPr>
          <w:sz w:val="24"/>
        </w:rPr>
        <w:t>24</w:t>
      </w:r>
      <w:r>
        <w:rPr>
          <w:rFonts w:hint="eastAsia"/>
          <w:sz w:val="24"/>
        </w:rPr>
        <w:t>、《建筑地基基础工程施工质量验收规范》（</w:t>
      </w:r>
      <w:r>
        <w:rPr>
          <w:sz w:val="24"/>
        </w:rPr>
        <w:t>GB50202</w:t>
      </w:r>
      <w:r>
        <w:rPr>
          <w:rFonts w:hint="eastAsia"/>
          <w:sz w:val="24"/>
        </w:rPr>
        <w:t>）</w:t>
      </w:r>
    </w:p>
    <w:p>
      <w:pPr>
        <w:pStyle w:val="7"/>
        <w:spacing w:line="420" w:lineRule="exact"/>
        <w:ind w:left="479" w:leftChars="228" w:firstLine="0"/>
        <w:rPr>
          <w:sz w:val="24"/>
        </w:rPr>
      </w:pPr>
      <w:r>
        <w:rPr>
          <w:sz w:val="24"/>
        </w:rPr>
        <w:t>25</w:t>
      </w:r>
      <w:r>
        <w:rPr>
          <w:rFonts w:hint="eastAsia"/>
          <w:sz w:val="24"/>
        </w:rPr>
        <w:t>、《建设工程工程量计价规范》（</w:t>
      </w:r>
      <w:r>
        <w:rPr>
          <w:sz w:val="24"/>
        </w:rPr>
        <w:t>GB50500</w:t>
      </w:r>
      <w:r>
        <w:rPr>
          <w:rFonts w:hint="eastAsia"/>
          <w:sz w:val="24"/>
        </w:rPr>
        <w:t>）</w:t>
      </w:r>
    </w:p>
    <w:p>
      <w:pPr>
        <w:pStyle w:val="7"/>
        <w:spacing w:line="420" w:lineRule="exact"/>
        <w:ind w:firstLine="540" w:firstLineChars="225"/>
        <w:rPr>
          <w:sz w:val="24"/>
        </w:rPr>
      </w:pPr>
      <w:r>
        <w:rPr>
          <w:sz w:val="24"/>
        </w:rPr>
        <w:t>26</w:t>
      </w:r>
      <w:r>
        <w:rPr>
          <w:rFonts w:hint="eastAsia"/>
          <w:sz w:val="24"/>
        </w:rPr>
        <w:t>、《城镇道路养护技术规范》（</w:t>
      </w:r>
      <w:r>
        <w:rPr>
          <w:sz w:val="24"/>
        </w:rPr>
        <w:t>CJJ36</w:t>
      </w:r>
      <w:r>
        <w:rPr>
          <w:rFonts w:hint="eastAsia"/>
          <w:sz w:val="24"/>
        </w:rPr>
        <w:t>）</w:t>
      </w:r>
    </w:p>
    <w:p>
      <w:pPr>
        <w:pStyle w:val="7"/>
        <w:spacing w:line="420" w:lineRule="exact"/>
        <w:ind w:firstLine="540" w:firstLineChars="225"/>
        <w:rPr>
          <w:sz w:val="24"/>
        </w:rPr>
      </w:pPr>
      <w:r>
        <w:rPr>
          <w:sz w:val="24"/>
        </w:rPr>
        <w:t>27</w:t>
      </w:r>
      <w:r>
        <w:rPr>
          <w:rFonts w:hint="eastAsia"/>
          <w:sz w:val="24"/>
        </w:rPr>
        <w:t>、《城市桥梁养护技术规范》（</w:t>
      </w:r>
      <w:r>
        <w:rPr>
          <w:sz w:val="24"/>
        </w:rPr>
        <w:t>CJJ99</w:t>
      </w:r>
      <w:r>
        <w:rPr>
          <w:rFonts w:hint="eastAsia"/>
          <w:sz w:val="24"/>
        </w:rPr>
        <w:t>）</w:t>
      </w:r>
    </w:p>
    <w:p>
      <w:pPr>
        <w:pStyle w:val="7"/>
        <w:spacing w:line="420" w:lineRule="exact"/>
        <w:ind w:firstLine="540" w:firstLineChars="225"/>
        <w:rPr>
          <w:sz w:val="24"/>
        </w:rPr>
      </w:pPr>
      <w:r>
        <w:rPr>
          <w:sz w:val="24"/>
        </w:rPr>
        <w:t>28</w:t>
      </w:r>
      <w:r>
        <w:rPr>
          <w:rFonts w:hint="eastAsia"/>
          <w:sz w:val="24"/>
        </w:rPr>
        <w:t>、《城镇排水管道维护安全技术规程》（</w:t>
      </w:r>
      <w:r>
        <w:rPr>
          <w:sz w:val="24"/>
        </w:rPr>
        <w:t>CJJ 6</w:t>
      </w:r>
      <w:r>
        <w:rPr>
          <w:rFonts w:hint="eastAsia"/>
          <w:sz w:val="24"/>
        </w:rPr>
        <w:t>）</w:t>
      </w:r>
    </w:p>
    <w:p>
      <w:pPr>
        <w:pStyle w:val="7"/>
        <w:spacing w:line="420" w:lineRule="exact"/>
        <w:ind w:firstLine="540" w:firstLineChars="225"/>
        <w:rPr>
          <w:sz w:val="24"/>
        </w:rPr>
      </w:pPr>
      <w:r>
        <w:rPr>
          <w:sz w:val="24"/>
        </w:rPr>
        <w:t>29</w:t>
      </w:r>
      <w:r>
        <w:rPr>
          <w:rFonts w:hint="eastAsia"/>
          <w:sz w:val="24"/>
        </w:rPr>
        <w:t>、《城镇排水管渠与泵站维护技术规程》（</w:t>
      </w:r>
      <w:r>
        <w:rPr>
          <w:sz w:val="24"/>
        </w:rPr>
        <w:t>CJJ 68</w:t>
      </w:r>
      <w:r>
        <w:rPr>
          <w:rFonts w:hint="eastAsia"/>
          <w:sz w:val="24"/>
        </w:rPr>
        <w:t>）</w:t>
      </w:r>
    </w:p>
    <w:p>
      <w:pPr>
        <w:pStyle w:val="7"/>
        <w:spacing w:line="420" w:lineRule="exact"/>
        <w:ind w:firstLine="540" w:firstLineChars="225"/>
        <w:rPr>
          <w:sz w:val="24"/>
        </w:rPr>
      </w:pPr>
      <w:r>
        <w:rPr>
          <w:sz w:val="24"/>
        </w:rPr>
        <w:t>30</w:t>
      </w:r>
      <w:r>
        <w:rPr>
          <w:rFonts w:hint="eastAsia"/>
          <w:sz w:val="24"/>
        </w:rPr>
        <w:t>、……</w:t>
      </w:r>
    </w:p>
    <w:p>
      <w:pPr>
        <w:spacing w:line="420" w:lineRule="exact"/>
        <w:ind w:firstLine="480" w:firstLineChars="200"/>
        <w:rPr>
          <w:sz w:val="24"/>
        </w:rPr>
      </w:pPr>
      <w:r>
        <w:rPr>
          <w:rFonts w:hint="eastAsia"/>
          <w:sz w:val="24"/>
        </w:rPr>
        <w:t>本工程同时执行国家及本省、市现行施工及验收规范和质量评定标准，以及有关条例、实施办法等。</w:t>
      </w:r>
    </w:p>
    <w:p>
      <w:pPr>
        <w:spacing w:line="420" w:lineRule="exact"/>
        <w:ind w:firstLine="480" w:firstLineChars="200"/>
        <w:rPr>
          <w:sz w:val="24"/>
        </w:rPr>
      </w:pPr>
      <w:r>
        <w:rPr>
          <w:rFonts w:hint="eastAsia"/>
          <w:sz w:val="24"/>
        </w:rPr>
        <w:t>当适用于本合同工程的几种标准与规范出现意义不明或不一致时，应由质量管理单位作出解释和校正，并就此向承包人发出指令。除非本规范另有规定，在发生分歧时，根据合同条款规定应按以下顺序优先考虑：</w:t>
      </w:r>
    </w:p>
    <w:p>
      <w:pPr>
        <w:spacing w:line="420" w:lineRule="exact"/>
        <w:ind w:firstLine="480" w:firstLineChars="200"/>
        <w:rPr>
          <w:sz w:val="24"/>
        </w:rPr>
      </w:pPr>
      <w:r>
        <w:rPr>
          <w:rFonts w:hint="eastAsia"/>
          <w:sz w:val="24"/>
        </w:rPr>
        <w:t>（1）本工程建设标准。</w:t>
      </w:r>
    </w:p>
    <w:p>
      <w:pPr>
        <w:spacing w:line="420" w:lineRule="exact"/>
        <w:ind w:firstLine="480" w:firstLineChars="200"/>
        <w:rPr>
          <w:sz w:val="24"/>
        </w:rPr>
      </w:pPr>
      <w:r>
        <w:rPr>
          <w:rFonts w:hint="eastAsia"/>
          <w:sz w:val="24"/>
        </w:rPr>
        <w:t>（2）中华人民共和国国家标准和规范。</w:t>
      </w:r>
    </w:p>
    <w:p>
      <w:pPr>
        <w:spacing w:line="420" w:lineRule="exact"/>
        <w:ind w:firstLine="480" w:firstLineChars="200"/>
        <w:rPr>
          <w:sz w:val="24"/>
        </w:rPr>
      </w:pPr>
      <w:r>
        <w:rPr>
          <w:rFonts w:hint="eastAsia"/>
          <w:sz w:val="24"/>
        </w:rPr>
        <w:t>（3）中华人民共和国有关部委的标准和规范。</w:t>
      </w:r>
    </w:p>
    <w:p>
      <w:pPr>
        <w:spacing w:line="420" w:lineRule="exact"/>
        <w:ind w:firstLine="480" w:firstLineChars="200"/>
        <w:rPr>
          <w:sz w:val="24"/>
        </w:rPr>
      </w:pPr>
      <w:r>
        <w:rPr>
          <w:rFonts w:hint="eastAsia"/>
          <w:sz w:val="24"/>
        </w:rPr>
        <w:t>（4）其他国家官方、团体或协会颁布的标准和规范。</w:t>
      </w:r>
    </w:p>
    <w:p>
      <w:pPr>
        <w:spacing w:beforeLines="50" w:afterLines="50"/>
        <w:outlineLvl w:val="0"/>
        <w:rPr>
          <w:rFonts w:ascii="仿宋" w:hAnsi="仿宋" w:eastAsia="仿宋" w:cs="仿宋"/>
          <w:b/>
          <w:bCs/>
          <w:sz w:val="24"/>
        </w:rPr>
      </w:pPr>
    </w:p>
    <w:p>
      <w:pPr>
        <w:spacing w:beforeLines="50" w:afterLines="50"/>
        <w:jc w:val="center"/>
        <w:outlineLvl w:val="0"/>
        <w:rPr>
          <w:rFonts w:ascii="仿宋" w:hAnsi="仿宋" w:eastAsia="仿宋" w:cs="仿宋"/>
          <w:b/>
          <w:bCs/>
          <w:sz w:val="24"/>
        </w:rPr>
      </w:pPr>
      <w:bookmarkStart w:id="3" w:name="_Toc7306"/>
    </w:p>
    <w:p>
      <w:pPr>
        <w:pStyle w:val="2"/>
        <w:rPr>
          <w:rFonts w:ascii="仿宋" w:hAnsi="仿宋" w:eastAsia="仿宋" w:cs="仿宋"/>
          <w:sz w:val="24"/>
        </w:rPr>
      </w:pPr>
    </w:p>
    <w:p>
      <w:pPr>
        <w:rPr>
          <w:rFonts w:ascii="仿宋" w:hAnsi="仿宋" w:eastAsia="仿宋" w:cs="仿宋"/>
          <w:b/>
          <w:bCs/>
          <w:sz w:val="24"/>
        </w:rPr>
      </w:pPr>
    </w:p>
    <w:p>
      <w:pPr>
        <w:pStyle w:val="2"/>
        <w:rPr>
          <w:rFonts w:ascii="仿宋" w:hAnsi="仿宋" w:eastAsia="仿宋" w:cs="仿宋"/>
          <w:sz w:val="24"/>
        </w:rPr>
      </w:pPr>
    </w:p>
    <w:p>
      <w:pPr>
        <w:rPr>
          <w:rFonts w:ascii="仿宋" w:hAnsi="仿宋" w:eastAsia="仿宋" w:cs="仿宋"/>
          <w:b/>
          <w:bCs/>
          <w:sz w:val="24"/>
        </w:rPr>
      </w:pPr>
    </w:p>
    <w:p>
      <w:pPr>
        <w:pStyle w:val="2"/>
        <w:rPr>
          <w:rFonts w:ascii="仿宋" w:hAnsi="仿宋" w:eastAsia="仿宋" w:cs="仿宋"/>
          <w:sz w:val="24"/>
        </w:rPr>
      </w:pPr>
    </w:p>
    <w:p>
      <w:pPr>
        <w:rPr>
          <w:rFonts w:ascii="仿宋" w:hAnsi="仿宋" w:eastAsia="仿宋" w:cs="仿宋"/>
          <w:b/>
          <w:bCs/>
          <w:sz w:val="24"/>
        </w:rPr>
      </w:pPr>
    </w:p>
    <w:p>
      <w:pPr>
        <w:pStyle w:val="2"/>
        <w:rPr>
          <w:rFonts w:ascii="仿宋" w:hAnsi="仿宋" w:eastAsia="仿宋" w:cs="仿宋"/>
          <w:sz w:val="24"/>
        </w:rPr>
      </w:pPr>
    </w:p>
    <w:p>
      <w:pPr>
        <w:rPr>
          <w:rFonts w:ascii="仿宋" w:hAnsi="仿宋" w:eastAsia="仿宋" w:cs="仿宋"/>
          <w:b/>
          <w:bCs/>
          <w:sz w:val="24"/>
        </w:rPr>
      </w:pPr>
    </w:p>
    <w:p>
      <w:pPr>
        <w:pStyle w:val="2"/>
        <w:rPr>
          <w:rFonts w:ascii="仿宋" w:hAnsi="仿宋" w:eastAsia="仿宋" w:cs="仿宋"/>
          <w:sz w:val="24"/>
        </w:rPr>
      </w:pPr>
    </w:p>
    <w:p>
      <w:pPr>
        <w:rPr>
          <w:rFonts w:ascii="仿宋" w:hAnsi="仿宋" w:eastAsia="仿宋" w:cs="仿宋"/>
          <w:b/>
          <w:bCs/>
          <w:sz w:val="24"/>
        </w:rPr>
      </w:pPr>
    </w:p>
    <w:p>
      <w:pPr>
        <w:spacing w:beforeLines="50" w:afterLines="50"/>
        <w:jc w:val="both"/>
        <w:outlineLvl w:val="0"/>
        <w:rPr>
          <w:rFonts w:hint="eastAsia" w:ascii="仿宋" w:hAnsi="仿宋" w:eastAsia="仿宋" w:cs="仿宋"/>
          <w:b/>
          <w:bCs/>
          <w:sz w:val="24"/>
        </w:rPr>
      </w:pPr>
    </w:p>
    <w:p>
      <w:pPr>
        <w:spacing w:beforeLines="50" w:afterLines="50"/>
        <w:jc w:val="center"/>
        <w:outlineLvl w:val="0"/>
        <w:rPr>
          <w:rFonts w:ascii="仿宋" w:hAnsi="仿宋" w:eastAsia="仿宋" w:cs="仿宋"/>
          <w:b/>
          <w:bCs/>
          <w:sz w:val="24"/>
        </w:rPr>
      </w:pPr>
      <w:r>
        <w:rPr>
          <w:rFonts w:hint="eastAsia" w:ascii="仿宋" w:hAnsi="仿宋" w:eastAsia="仿宋" w:cs="仿宋"/>
          <w:b/>
          <w:bCs/>
          <w:sz w:val="24"/>
        </w:rPr>
        <w:t>第三章、投标人须知</w:t>
      </w:r>
      <w:bookmarkEnd w:id="3"/>
    </w:p>
    <w:p>
      <w:pPr>
        <w:spacing w:line="400" w:lineRule="exact"/>
        <w:jc w:val="center"/>
        <w:outlineLvl w:val="1"/>
        <w:rPr>
          <w:rFonts w:hint="eastAsia" w:ascii="仿宋" w:hAnsi="仿宋" w:eastAsia="仿宋" w:cs="仿宋"/>
          <w:b/>
          <w:sz w:val="24"/>
        </w:rPr>
      </w:pPr>
      <w:bookmarkStart w:id="4" w:name="_Toc293916001"/>
      <w:bookmarkStart w:id="5" w:name="_Toc293916870"/>
      <w:bookmarkStart w:id="6" w:name="_Toc424544532"/>
      <w:bookmarkStart w:id="7" w:name="_Toc177870535"/>
      <w:bookmarkStart w:id="8" w:name="_Toc293916352"/>
      <w:bookmarkStart w:id="9" w:name="_Toc28038"/>
      <w:bookmarkStart w:id="10" w:name="_Toc14140"/>
      <w:bookmarkStart w:id="11" w:name="_Toc424544811"/>
      <w:bookmarkStart w:id="12" w:name="_Toc293917016"/>
      <w:r>
        <w:rPr>
          <w:rFonts w:hint="eastAsia" w:ascii="仿宋" w:hAnsi="仿宋" w:eastAsia="仿宋" w:cs="仿宋"/>
          <w:b/>
          <w:sz w:val="24"/>
        </w:rPr>
        <w:t>投标须知前附表</w:t>
      </w:r>
      <w:bookmarkEnd w:id="4"/>
      <w:bookmarkEnd w:id="5"/>
      <w:bookmarkEnd w:id="6"/>
      <w:bookmarkEnd w:id="7"/>
      <w:bookmarkEnd w:id="8"/>
      <w:bookmarkEnd w:id="9"/>
      <w:bookmarkEnd w:id="10"/>
      <w:bookmarkEnd w:id="11"/>
      <w:bookmarkEnd w:id="12"/>
    </w:p>
    <w:tbl>
      <w:tblPr>
        <w:tblStyle w:val="24"/>
        <w:tblW w:w="996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64"/>
        <w:gridCol w:w="899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964" w:type="dxa"/>
            <w:vAlign w:val="center"/>
          </w:tcPr>
          <w:p>
            <w:pPr>
              <w:adjustRightInd w:val="0"/>
              <w:snapToGrid w:val="0"/>
              <w:spacing w:line="400" w:lineRule="exact"/>
              <w:jc w:val="center"/>
              <w:rPr>
                <w:rFonts w:hint="eastAsia" w:ascii="仿宋" w:hAnsi="仿宋" w:eastAsia="仿宋" w:cs="仿宋"/>
                <w:b/>
                <w:sz w:val="24"/>
              </w:rPr>
            </w:pPr>
            <w:r>
              <w:rPr>
                <w:rFonts w:hint="eastAsia" w:ascii="仿宋" w:hAnsi="仿宋" w:eastAsia="仿宋" w:cs="仿宋"/>
                <w:b/>
                <w:sz w:val="24"/>
              </w:rPr>
              <w:t>序号</w:t>
            </w:r>
          </w:p>
        </w:tc>
        <w:tc>
          <w:tcPr>
            <w:tcW w:w="8998" w:type="dxa"/>
            <w:vAlign w:val="center"/>
          </w:tcPr>
          <w:p>
            <w:pPr>
              <w:adjustRightInd w:val="0"/>
              <w:snapToGrid w:val="0"/>
              <w:spacing w:line="400" w:lineRule="exact"/>
              <w:jc w:val="center"/>
              <w:rPr>
                <w:rFonts w:hint="eastAsia" w:ascii="仿宋" w:hAnsi="仿宋" w:eastAsia="仿宋" w:cs="仿宋"/>
                <w:b/>
                <w:sz w:val="24"/>
              </w:rPr>
            </w:pPr>
            <w:r>
              <w:rPr>
                <w:rFonts w:hint="eastAsia" w:ascii="仿宋" w:hAnsi="仿宋" w:eastAsia="仿宋" w:cs="仿宋"/>
                <w:b/>
                <w:sz w:val="24"/>
              </w:rPr>
              <w:t>内容、要求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64" w:type="dxa"/>
            <w:vAlign w:val="center"/>
          </w:tcPr>
          <w:p>
            <w:pPr>
              <w:adjustRightInd w:val="0"/>
              <w:snapToGrid w:val="0"/>
              <w:spacing w:line="400" w:lineRule="exact"/>
              <w:jc w:val="center"/>
              <w:rPr>
                <w:rFonts w:hint="eastAsia" w:ascii="仿宋" w:hAnsi="仿宋" w:eastAsia="仿宋" w:cs="仿宋"/>
                <w:sz w:val="24"/>
              </w:rPr>
            </w:pPr>
            <w:r>
              <w:rPr>
                <w:rFonts w:hint="eastAsia" w:ascii="仿宋" w:hAnsi="仿宋" w:eastAsia="仿宋" w:cs="仿宋"/>
                <w:sz w:val="24"/>
              </w:rPr>
              <w:t>1</w:t>
            </w:r>
          </w:p>
        </w:tc>
        <w:tc>
          <w:tcPr>
            <w:tcW w:w="8998" w:type="dxa"/>
            <w:vAlign w:val="center"/>
          </w:tcPr>
          <w:p>
            <w:pPr>
              <w:adjustRightInd w:val="0"/>
              <w:snapToGrid w:val="0"/>
              <w:spacing w:line="400" w:lineRule="exact"/>
              <w:rPr>
                <w:rFonts w:hint="eastAsia" w:ascii="仿宋" w:hAnsi="仿宋" w:eastAsia="仿宋" w:cs="仿宋"/>
                <w:color w:val="auto"/>
                <w:sz w:val="24"/>
              </w:rPr>
            </w:pPr>
            <w:r>
              <w:rPr>
                <w:rFonts w:hint="eastAsia" w:ascii="仿宋" w:hAnsi="仿宋" w:eastAsia="仿宋" w:cs="仿宋"/>
                <w:color w:val="auto"/>
                <w:sz w:val="24"/>
              </w:rPr>
              <w:t>项目名称：</w:t>
            </w:r>
            <w:r>
              <w:rPr>
                <w:rFonts w:hint="eastAsia" w:ascii="仿宋" w:hAnsi="仿宋" w:eastAsia="仿宋" w:cs="仿宋"/>
                <w:b/>
                <w:color w:val="auto"/>
                <w:kern w:val="0"/>
                <w:sz w:val="24"/>
                <w:u w:val="none"/>
                <w:lang w:eastAsia="zh-CN"/>
              </w:rPr>
              <w:t>湖东街道零星维修项目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64" w:type="dxa"/>
            <w:vAlign w:val="center"/>
          </w:tcPr>
          <w:p>
            <w:pPr>
              <w:adjustRightInd w:val="0"/>
              <w:snapToGrid w:val="0"/>
              <w:spacing w:line="400" w:lineRule="exact"/>
              <w:jc w:val="center"/>
              <w:rPr>
                <w:rFonts w:hint="eastAsia" w:ascii="仿宋" w:hAnsi="仿宋" w:eastAsia="仿宋" w:cs="仿宋"/>
                <w:sz w:val="24"/>
              </w:rPr>
            </w:pPr>
            <w:r>
              <w:rPr>
                <w:rFonts w:hint="eastAsia" w:ascii="仿宋" w:hAnsi="仿宋" w:eastAsia="仿宋" w:cs="仿宋"/>
                <w:sz w:val="24"/>
              </w:rPr>
              <w:t>2</w:t>
            </w:r>
          </w:p>
        </w:tc>
        <w:tc>
          <w:tcPr>
            <w:tcW w:w="8998" w:type="dxa"/>
            <w:vAlign w:val="center"/>
          </w:tcPr>
          <w:p>
            <w:pPr>
              <w:adjustRightInd w:val="0"/>
              <w:snapToGrid w:val="0"/>
              <w:spacing w:line="400" w:lineRule="exact"/>
              <w:rPr>
                <w:rFonts w:hint="eastAsia" w:ascii="仿宋" w:hAnsi="仿宋" w:eastAsia="仿宋" w:cs="仿宋"/>
                <w:color w:val="auto"/>
                <w:sz w:val="24"/>
              </w:rPr>
            </w:pPr>
            <w:r>
              <w:rPr>
                <w:rFonts w:hint="eastAsia" w:ascii="仿宋" w:hAnsi="仿宋" w:eastAsia="仿宋" w:cs="仿宋"/>
                <w:color w:val="auto"/>
                <w:sz w:val="24"/>
              </w:rPr>
              <w:t>采购内容：详见第二章招标需求部分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964" w:type="dxa"/>
            <w:vMerge w:val="restart"/>
            <w:vAlign w:val="center"/>
          </w:tcPr>
          <w:p>
            <w:pPr>
              <w:adjustRightInd w:val="0"/>
              <w:snapToGrid w:val="0"/>
              <w:spacing w:line="400" w:lineRule="exact"/>
              <w:jc w:val="center"/>
              <w:rPr>
                <w:rFonts w:hint="eastAsia" w:ascii="仿宋" w:hAnsi="仿宋" w:eastAsia="仿宋" w:cs="仿宋"/>
                <w:sz w:val="24"/>
              </w:rPr>
            </w:pPr>
            <w:r>
              <w:rPr>
                <w:rFonts w:hint="eastAsia" w:ascii="仿宋" w:hAnsi="仿宋" w:eastAsia="仿宋" w:cs="仿宋"/>
                <w:sz w:val="24"/>
              </w:rPr>
              <w:t>3</w:t>
            </w:r>
          </w:p>
        </w:tc>
        <w:tc>
          <w:tcPr>
            <w:tcW w:w="8998" w:type="dxa"/>
            <w:vAlign w:val="center"/>
          </w:tcPr>
          <w:p>
            <w:pPr>
              <w:adjustRightInd w:val="0"/>
              <w:snapToGrid w:val="0"/>
              <w:spacing w:line="400" w:lineRule="exact"/>
              <w:rPr>
                <w:rFonts w:hint="eastAsia" w:ascii="仿宋" w:hAnsi="仿宋" w:eastAsia="仿宋" w:cs="仿宋"/>
                <w:color w:val="auto"/>
                <w:sz w:val="24"/>
              </w:rPr>
            </w:pPr>
            <w:r>
              <w:rPr>
                <w:rFonts w:hint="eastAsia" w:ascii="仿宋" w:hAnsi="仿宋" w:eastAsia="仿宋" w:cs="仿宋"/>
                <w:color w:val="auto"/>
                <w:sz w:val="24"/>
              </w:rPr>
              <w:t>投标报价及费用：</w:t>
            </w:r>
          </w:p>
          <w:p>
            <w:pPr>
              <w:adjustRightInd w:val="0"/>
              <w:snapToGrid w:val="0"/>
              <w:spacing w:line="400" w:lineRule="exact"/>
              <w:rPr>
                <w:rFonts w:hint="eastAsia" w:ascii="仿宋" w:hAnsi="仿宋" w:eastAsia="仿宋" w:cs="仿宋"/>
                <w:color w:val="auto"/>
                <w:sz w:val="24"/>
              </w:rPr>
            </w:pPr>
            <w:r>
              <w:rPr>
                <w:rFonts w:hint="eastAsia" w:ascii="仿宋" w:hAnsi="仿宋" w:eastAsia="仿宋" w:cs="仿宋"/>
                <w:color w:val="auto"/>
                <w:sz w:val="24"/>
              </w:rPr>
              <w:t>1、本项目投标应以人民币报价；</w:t>
            </w:r>
          </w:p>
          <w:p>
            <w:pPr>
              <w:adjustRightInd w:val="0"/>
              <w:snapToGrid w:val="0"/>
              <w:spacing w:line="400" w:lineRule="exact"/>
              <w:rPr>
                <w:rFonts w:hint="eastAsia" w:ascii="仿宋" w:hAnsi="仿宋" w:eastAsia="仿宋" w:cs="仿宋"/>
                <w:color w:val="auto"/>
                <w:sz w:val="24"/>
              </w:rPr>
            </w:pPr>
            <w:r>
              <w:rPr>
                <w:rFonts w:hint="eastAsia" w:ascii="仿宋" w:hAnsi="仿宋" w:eastAsia="仿宋" w:cs="仿宋"/>
                <w:color w:val="auto"/>
                <w:sz w:val="24"/>
              </w:rPr>
              <w:t>2、不论投标结果如何，投标人均应自行承担所有与投标有关的全部费用；</w:t>
            </w:r>
          </w:p>
          <w:p>
            <w:pPr>
              <w:widowControl/>
              <w:spacing w:line="360" w:lineRule="exact"/>
              <w:jc w:val="left"/>
              <w:rPr>
                <w:rFonts w:hint="eastAsia" w:ascii="仿宋" w:hAnsi="仿宋" w:eastAsia="仿宋" w:cs="仿宋"/>
                <w:color w:val="auto"/>
                <w:kern w:val="0"/>
                <w:sz w:val="24"/>
              </w:rPr>
            </w:pPr>
            <w:r>
              <w:rPr>
                <w:rFonts w:hint="eastAsia" w:ascii="仿宋" w:hAnsi="仿宋" w:eastAsia="仿宋" w:cs="仿宋"/>
                <w:bCs/>
                <w:color w:val="auto"/>
                <w:kern w:val="0"/>
                <w:sz w:val="24"/>
              </w:rPr>
              <w:t>3、本项目招标代理费</w:t>
            </w:r>
            <w:r>
              <w:rPr>
                <w:rFonts w:hint="eastAsia" w:ascii="仿宋" w:hAnsi="仿宋" w:eastAsia="仿宋" w:cs="仿宋"/>
                <w:color w:val="auto"/>
                <w:sz w:val="24"/>
              </w:rPr>
              <w:t>标段一：按</w:t>
            </w:r>
            <w:r>
              <w:rPr>
                <w:rFonts w:hint="eastAsia" w:ascii="仿宋" w:hAnsi="仿宋" w:eastAsia="仿宋" w:cs="仿宋"/>
                <w:color w:val="auto"/>
                <w:sz w:val="24"/>
                <w:lang w:val="en-US" w:eastAsia="zh-CN"/>
              </w:rPr>
              <w:t>伍万</w:t>
            </w:r>
            <w:r>
              <w:rPr>
                <w:rFonts w:hint="eastAsia" w:ascii="仿宋" w:hAnsi="仿宋" w:eastAsia="仿宋" w:cs="仿宋"/>
                <w:color w:val="auto"/>
                <w:sz w:val="24"/>
              </w:rPr>
              <w:t>元整，标段二：按</w:t>
            </w:r>
            <w:r>
              <w:rPr>
                <w:rFonts w:hint="eastAsia" w:ascii="仿宋" w:hAnsi="仿宋" w:eastAsia="仿宋" w:cs="仿宋"/>
                <w:color w:val="auto"/>
                <w:sz w:val="24"/>
                <w:lang w:val="en-US" w:eastAsia="zh-CN"/>
              </w:rPr>
              <w:t>伍万</w:t>
            </w:r>
            <w:r>
              <w:rPr>
                <w:rFonts w:hint="eastAsia" w:ascii="仿宋" w:hAnsi="仿宋" w:eastAsia="仿宋" w:cs="仿宋"/>
                <w:color w:val="auto"/>
                <w:sz w:val="24"/>
              </w:rPr>
              <w:t>元整，标段三：按</w:t>
            </w:r>
            <w:r>
              <w:rPr>
                <w:rFonts w:hint="eastAsia" w:ascii="仿宋" w:hAnsi="仿宋" w:eastAsia="仿宋" w:cs="仿宋"/>
                <w:color w:val="auto"/>
                <w:sz w:val="24"/>
                <w:lang w:val="en-US" w:eastAsia="zh-CN"/>
              </w:rPr>
              <w:t>伍万</w:t>
            </w:r>
            <w:r>
              <w:rPr>
                <w:rFonts w:hint="eastAsia" w:ascii="仿宋" w:hAnsi="仿宋" w:eastAsia="仿宋" w:cs="仿宋"/>
                <w:color w:val="auto"/>
                <w:sz w:val="24"/>
              </w:rPr>
              <w:t>元整，由中标供应商全额支付，投标供应商应自行考虑列入投标报价。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964" w:type="dxa"/>
            <w:vMerge w:val="continue"/>
            <w:vAlign w:val="center"/>
          </w:tcPr>
          <w:p>
            <w:pPr>
              <w:adjustRightInd w:val="0"/>
              <w:snapToGrid w:val="0"/>
              <w:spacing w:line="400" w:lineRule="exact"/>
              <w:jc w:val="center"/>
              <w:rPr>
                <w:rFonts w:hint="eastAsia" w:ascii="仿宋" w:hAnsi="仿宋" w:eastAsia="仿宋" w:cs="仿宋"/>
                <w:sz w:val="24"/>
              </w:rPr>
            </w:pPr>
          </w:p>
        </w:tc>
        <w:tc>
          <w:tcPr>
            <w:tcW w:w="8998" w:type="dxa"/>
            <w:vAlign w:val="center"/>
          </w:tcPr>
          <w:p>
            <w:pPr>
              <w:snapToGrid w:val="0"/>
              <w:spacing w:line="360" w:lineRule="auto"/>
              <w:rPr>
                <w:rFonts w:hint="eastAsia" w:ascii="仿宋" w:hAnsi="仿宋" w:eastAsia="仿宋" w:cs="仿宋"/>
                <w:bCs/>
                <w:sz w:val="24"/>
              </w:rPr>
            </w:pPr>
            <w:r>
              <w:rPr>
                <w:rFonts w:hint="eastAsia" w:ascii="仿宋" w:hAnsi="仿宋" w:eastAsia="仿宋" w:cs="仿宋"/>
                <w:bCs/>
                <w:sz w:val="24"/>
              </w:rPr>
              <w:t>代理费交纳方式：可以是汇款或转账形式；</w:t>
            </w:r>
          </w:p>
          <w:p>
            <w:pPr>
              <w:snapToGrid w:val="0"/>
              <w:spacing w:line="360" w:lineRule="auto"/>
              <w:rPr>
                <w:rFonts w:hint="eastAsia" w:ascii="仿宋" w:hAnsi="仿宋" w:eastAsia="仿宋" w:cs="仿宋"/>
                <w:bCs/>
                <w:sz w:val="24"/>
              </w:rPr>
            </w:pPr>
            <w:r>
              <w:rPr>
                <w:rFonts w:hint="eastAsia" w:ascii="仿宋" w:hAnsi="仿宋" w:eastAsia="仿宋" w:cs="仿宋"/>
                <w:bCs/>
                <w:sz w:val="24"/>
              </w:rPr>
              <w:t>收款人名称：大地工程咨询有限公司湖州分公司；</w:t>
            </w:r>
          </w:p>
          <w:p>
            <w:pPr>
              <w:snapToGrid w:val="0"/>
              <w:spacing w:line="360" w:lineRule="auto"/>
              <w:rPr>
                <w:rFonts w:hint="eastAsia" w:ascii="仿宋" w:hAnsi="仿宋" w:eastAsia="仿宋" w:cs="仿宋"/>
                <w:bCs/>
                <w:sz w:val="24"/>
              </w:rPr>
            </w:pPr>
            <w:r>
              <w:rPr>
                <w:rFonts w:hint="eastAsia" w:ascii="仿宋" w:hAnsi="仿宋" w:eastAsia="仿宋" w:cs="仿宋"/>
                <w:bCs/>
                <w:sz w:val="24"/>
              </w:rPr>
              <w:t>开户银行：湖州吴兴农村商业银行股份有限公司城东支行；</w:t>
            </w:r>
          </w:p>
          <w:p>
            <w:pPr>
              <w:widowControl/>
              <w:spacing w:line="360" w:lineRule="exact"/>
              <w:jc w:val="left"/>
              <w:rPr>
                <w:rFonts w:hint="eastAsia" w:ascii="仿宋" w:hAnsi="仿宋" w:eastAsia="仿宋" w:cs="仿宋"/>
                <w:sz w:val="24"/>
              </w:rPr>
            </w:pPr>
            <w:r>
              <w:rPr>
                <w:rFonts w:hint="eastAsia" w:ascii="仿宋" w:hAnsi="仿宋" w:eastAsia="仿宋" w:cs="仿宋"/>
                <w:bCs/>
                <w:sz w:val="24"/>
              </w:rPr>
              <w:t>银行账号：201000217915394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3" w:hRule="atLeast"/>
          <w:jc w:val="center"/>
        </w:trPr>
        <w:tc>
          <w:tcPr>
            <w:tcW w:w="964" w:type="dxa"/>
            <w:vAlign w:val="center"/>
          </w:tcPr>
          <w:p>
            <w:pPr>
              <w:adjustRightInd w:val="0"/>
              <w:snapToGrid w:val="0"/>
              <w:spacing w:line="400" w:lineRule="exact"/>
              <w:jc w:val="center"/>
              <w:rPr>
                <w:rFonts w:hint="eastAsia" w:ascii="仿宋" w:hAnsi="仿宋" w:eastAsia="仿宋" w:cs="仿宋"/>
                <w:sz w:val="24"/>
              </w:rPr>
            </w:pPr>
            <w:r>
              <w:rPr>
                <w:rFonts w:hint="eastAsia" w:ascii="仿宋" w:hAnsi="仿宋" w:eastAsia="仿宋" w:cs="仿宋"/>
                <w:sz w:val="24"/>
              </w:rPr>
              <w:t>4</w:t>
            </w:r>
          </w:p>
        </w:tc>
        <w:tc>
          <w:tcPr>
            <w:tcW w:w="8998" w:type="dxa"/>
            <w:vAlign w:val="center"/>
          </w:tcPr>
          <w:p>
            <w:pPr>
              <w:autoSpaceDE w:val="0"/>
              <w:autoSpaceDN w:val="0"/>
              <w:adjustRightInd w:val="0"/>
              <w:snapToGrid w:val="0"/>
              <w:spacing w:line="400" w:lineRule="exact"/>
              <w:textAlignment w:val="bottom"/>
              <w:rPr>
                <w:rFonts w:hint="eastAsia" w:ascii="仿宋" w:hAnsi="仿宋" w:eastAsia="仿宋" w:cs="仿宋"/>
                <w:sz w:val="24"/>
              </w:rPr>
            </w:pPr>
            <w:r>
              <w:rPr>
                <w:rFonts w:hint="eastAsia" w:ascii="仿宋" w:hAnsi="仿宋" w:eastAsia="仿宋" w:cs="仿宋"/>
                <w:color w:val="000000"/>
                <w:sz w:val="24"/>
              </w:rPr>
              <w:t>答疑与澄清：供货商如认为招标文件表述不清晰、存在歧视性或者其他违法内容的，可以在知道或者应知其权益受到损害之日起7个工作日内以书面形式要求采购人作出书面解释、澄清或者向采购人提出书面质疑，根据《中华人民共和国财政部令第 94 号-政府采购质疑和投诉办法》第十条第二款规定，供应商在法定质疑期内须一次性提出针对同一采购程序环节的质疑，否则采购代理机构有权拒绝第一次质疑以外其他所有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64" w:type="dxa"/>
            <w:vAlign w:val="center"/>
          </w:tcPr>
          <w:p>
            <w:pPr>
              <w:adjustRightInd w:val="0"/>
              <w:snapToGrid w:val="0"/>
              <w:spacing w:line="400" w:lineRule="exact"/>
              <w:jc w:val="center"/>
              <w:rPr>
                <w:rFonts w:hint="eastAsia" w:ascii="仿宋" w:hAnsi="仿宋" w:eastAsia="仿宋" w:cs="仿宋"/>
                <w:sz w:val="24"/>
              </w:rPr>
            </w:pPr>
            <w:r>
              <w:rPr>
                <w:rFonts w:hint="eastAsia" w:ascii="仿宋" w:hAnsi="仿宋" w:eastAsia="仿宋" w:cs="仿宋"/>
                <w:sz w:val="24"/>
              </w:rPr>
              <w:t>5</w:t>
            </w:r>
          </w:p>
        </w:tc>
        <w:tc>
          <w:tcPr>
            <w:tcW w:w="8998" w:type="dxa"/>
            <w:vAlign w:val="center"/>
          </w:tcPr>
          <w:p>
            <w:pPr>
              <w:autoSpaceDE w:val="0"/>
              <w:autoSpaceDN w:val="0"/>
              <w:adjustRightInd w:val="0"/>
              <w:snapToGrid w:val="0"/>
              <w:spacing w:line="400" w:lineRule="exact"/>
              <w:textAlignment w:val="bottom"/>
              <w:rPr>
                <w:rFonts w:hint="eastAsia" w:ascii="仿宋" w:hAnsi="仿宋" w:eastAsia="仿宋" w:cs="仿宋"/>
                <w:bCs/>
                <w:sz w:val="24"/>
              </w:rPr>
            </w:pPr>
            <w:r>
              <w:rPr>
                <w:rFonts w:hint="eastAsia" w:ascii="仿宋" w:hAnsi="仿宋" w:eastAsia="仿宋" w:cs="仿宋"/>
                <w:bCs/>
                <w:sz w:val="24"/>
              </w:rPr>
              <w:t>投标文件组成：</w:t>
            </w:r>
          </w:p>
          <w:p>
            <w:pPr>
              <w:autoSpaceDE w:val="0"/>
              <w:autoSpaceDN w:val="0"/>
              <w:adjustRightInd w:val="0"/>
              <w:snapToGrid w:val="0"/>
              <w:spacing w:line="400" w:lineRule="exact"/>
              <w:textAlignment w:val="bottom"/>
              <w:rPr>
                <w:rFonts w:hint="eastAsia" w:ascii="仿宋" w:hAnsi="仿宋" w:eastAsia="仿宋" w:cs="仿宋"/>
                <w:bCs/>
                <w:sz w:val="24"/>
              </w:rPr>
            </w:pPr>
            <w:r>
              <w:rPr>
                <w:rFonts w:hint="eastAsia" w:ascii="仿宋" w:hAnsi="仿宋" w:eastAsia="仿宋" w:cs="仿宋"/>
                <w:bCs/>
                <w:sz w:val="24"/>
              </w:rPr>
              <w:t>1、电子投标文件（包括“电子加密投标文件”和“备份投标文件”，在投标文件编制完成后同时生成）</w:t>
            </w:r>
          </w:p>
          <w:p>
            <w:pPr>
              <w:autoSpaceDE w:val="0"/>
              <w:autoSpaceDN w:val="0"/>
              <w:adjustRightInd w:val="0"/>
              <w:snapToGrid w:val="0"/>
              <w:spacing w:line="400" w:lineRule="exact"/>
              <w:textAlignment w:val="bottom"/>
              <w:rPr>
                <w:rFonts w:hint="eastAsia" w:ascii="仿宋" w:hAnsi="仿宋" w:eastAsia="仿宋" w:cs="仿宋"/>
                <w:bCs/>
                <w:sz w:val="24"/>
              </w:rPr>
            </w:pPr>
            <w:r>
              <w:rPr>
                <w:rFonts w:hint="eastAsia" w:ascii="仿宋" w:hAnsi="仿宋" w:eastAsia="仿宋" w:cs="仿宋"/>
                <w:bCs/>
                <w:sz w:val="24"/>
              </w:rPr>
              <w:t>2、“电子加密投标文件”是指通过“政采云电子交易客户端”完成投标文件编制后生成并加密的数据电文形式的投标文件。</w:t>
            </w:r>
          </w:p>
          <w:p>
            <w:pPr>
              <w:autoSpaceDE w:val="0"/>
              <w:autoSpaceDN w:val="0"/>
              <w:adjustRightInd w:val="0"/>
              <w:snapToGrid w:val="0"/>
              <w:spacing w:line="400" w:lineRule="exact"/>
              <w:textAlignment w:val="bottom"/>
              <w:rPr>
                <w:rFonts w:hint="eastAsia" w:ascii="仿宋" w:hAnsi="仿宋" w:eastAsia="仿宋" w:cs="仿宋"/>
                <w:bCs/>
                <w:sz w:val="24"/>
              </w:rPr>
            </w:pPr>
            <w:r>
              <w:rPr>
                <w:rFonts w:hint="eastAsia" w:ascii="仿宋" w:hAnsi="仿宋" w:eastAsia="仿宋" w:cs="仿宋"/>
                <w:bCs/>
                <w:sz w:val="24"/>
              </w:rPr>
              <w:t>3、“备份投标文件”是指与“电子加密投标文件”同时生成的数据电文形式的电子文件（备份标书），其他方式编制的备份投标文件视为无效备份投标文件。仅在出现解密异常情况下使用。</w:t>
            </w:r>
          </w:p>
          <w:p>
            <w:pPr>
              <w:autoSpaceDE w:val="0"/>
              <w:autoSpaceDN w:val="0"/>
              <w:adjustRightInd w:val="0"/>
              <w:snapToGrid w:val="0"/>
              <w:spacing w:line="400" w:lineRule="exact"/>
              <w:textAlignment w:val="bottom"/>
              <w:rPr>
                <w:rFonts w:hint="eastAsia" w:ascii="仿宋" w:hAnsi="仿宋" w:eastAsia="仿宋" w:cs="仿宋"/>
                <w:bCs/>
                <w:sz w:val="24"/>
              </w:rPr>
            </w:pPr>
            <w:r>
              <w:rPr>
                <w:rFonts w:hint="eastAsia" w:ascii="仿宋" w:hAnsi="仿宋" w:eastAsia="仿宋" w:cs="仿宋"/>
                <w:bCs/>
                <w:sz w:val="24"/>
              </w:rPr>
              <w:t>4、中标后，中标单位需在领取中标通知书时，向招标代理机构提交与投标时电子投</w:t>
            </w:r>
          </w:p>
          <w:p>
            <w:pPr>
              <w:autoSpaceDE w:val="0"/>
              <w:autoSpaceDN w:val="0"/>
              <w:adjustRightInd w:val="0"/>
              <w:snapToGrid w:val="0"/>
              <w:spacing w:line="400" w:lineRule="exact"/>
              <w:textAlignment w:val="bottom"/>
              <w:rPr>
                <w:rFonts w:hint="eastAsia" w:ascii="仿宋" w:hAnsi="仿宋" w:eastAsia="仿宋" w:cs="仿宋"/>
                <w:b/>
                <w:sz w:val="24"/>
              </w:rPr>
            </w:pPr>
            <w:r>
              <w:rPr>
                <w:rFonts w:hint="eastAsia" w:ascii="仿宋" w:hAnsi="仿宋" w:eastAsia="仿宋" w:cs="仿宋"/>
                <w:bCs/>
                <w:sz w:val="24"/>
              </w:rPr>
              <w:t>标文件一致的纸质版本一式三份（按照招标文件要求签字盖章）。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964" w:type="dxa"/>
            <w:vAlign w:val="center"/>
          </w:tcPr>
          <w:p>
            <w:pPr>
              <w:adjustRightInd w:val="0"/>
              <w:snapToGrid w:val="0"/>
              <w:spacing w:line="400" w:lineRule="exact"/>
              <w:jc w:val="center"/>
              <w:rPr>
                <w:rFonts w:hint="eastAsia" w:ascii="仿宋" w:hAnsi="仿宋" w:eastAsia="仿宋" w:cs="仿宋"/>
                <w:sz w:val="24"/>
              </w:rPr>
            </w:pPr>
            <w:r>
              <w:rPr>
                <w:rFonts w:hint="eastAsia" w:ascii="仿宋" w:hAnsi="仿宋" w:eastAsia="仿宋" w:cs="仿宋"/>
                <w:sz w:val="24"/>
              </w:rPr>
              <w:t>6</w:t>
            </w:r>
          </w:p>
        </w:tc>
        <w:tc>
          <w:tcPr>
            <w:tcW w:w="8998" w:type="dxa"/>
            <w:vAlign w:val="center"/>
          </w:tcPr>
          <w:p>
            <w:pPr>
              <w:rPr>
                <w:rFonts w:hint="eastAsia" w:ascii="仿宋" w:hAnsi="仿宋" w:eastAsia="仿宋" w:cs="仿宋"/>
                <w:bCs/>
                <w:sz w:val="24"/>
              </w:rPr>
            </w:pPr>
            <w:r>
              <w:rPr>
                <w:rFonts w:hint="eastAsia" w:ascii="仿宋" w:hAnsi="仿宋" w:eastAsia="仿宋" w:cs="仿宋"/>
                <w:bCs/>
                <w:sz w:val="24"/>
              </w:rPr>
              <w:t>投标文件份数：</w:t>
            </w:r>
          </w:p>
          <w:p>
            <w:pPr>
              <w:rPr>
                <w:rFonts w:hint="eastAsia" w:ascii="仿宋" w:hAnsi="仿宋" w:eastAsia="仿宋" w:cs="仿宋"/>
                <w:bCs/>
                <w:sz w:val="24"/>
              </w:rPr>
            </w:pPr>
            <w:r>
              <w:rPr>
                <w:rFonts w:hint="eastAsia" w:ascii="仿宋" w:hAnsi="仿宋" w:eastAsia="仿宋" w:cs="仿宋"/>
                <w:bCs/>
                <w:sz w:val="24"/>
              </w:rPr>
              <w:t>1、“电子加密投标文件”：在线上传递交一份。</w:t>
            </w:r>
          </w:p>
          <w:p>
            <w:pPr>
              <w:rPr>
                <w:rFonts w:hint="eastAsia" w:ascii="仿宋" w:hAnsi="仿宋" w:eastAsia="仿宋" w:cs="仿宋"/>
                <w:bCs/>
                <w:sz w:val="24"/>
              </w:rPr>
            </w:pPr>
            <w:r>
              <w:rPr>
                <w:rFonts w:hint="eastAsia" w:ascii="仿宋" w:hAnsi="仿宋" w:eastAsia="仿宋" w:cs="仿宋"/>
                <w:bCs/>
                <w:sz w:val="24"/>
              </w:rPr>
              <w:t>2、“备份投标文件”：密封包装后（邮寄形式）投标截止时间前递交、一份数据电子备份投标文件（U 盘）：以 U 盘形式提供的数据电子备份投标文件格式及内容须与政采云平台项目采购-电子交易操作指南中制作、加密并递交的电子投标文件格式及内容一致。递交主要有以下两种方式：</w:t>
            </w:r>
          </w:p>
          <w:p>
            <w:pPr>
              <w:rPr>
                <w:rFonts w:hint="eastAsia" w:ascii="仿宋" w:hAnsi="仿宋" w:eastAsia="仿宋" w:cs="仿宋"/>
                <w:bCs/>
                <w:sz w:val="24"/>
              </w:rPr>
            </w:pPr>
            <w:r>
              <w:rPr>
                <w:rFonts w:hint="eastAsia" w:ascii="仿宋" w:hAnsi="仿宋" w:eastAsia="仿宋" w:cs="仿宋"/>
                <w:bCs/>
                <w:sz w:val="24"/>
              </w:rPr>
              <w:t>（1）因疫情原因，本项目原则上采用不见面的形式开标，投标供应商可以邮寄形式在投标截止时间前递交以介质（U 盘）存储的数据电文形式的“备份投标文件”，供应商应对提供的数据电子备份投标文件（U 盘）进行加密处理，若需要启用数据电子备份投标文件（U 盘）时，再由供应商告知采购人及采购代理机构加密信息进行解密。“备份投标文件”应当密封包装并在包装上标注投标项目名称、投标单位名称、联系电话并加盖公章。邮寄地址为：</w:t>
            </w:r>
            <w:r>
              <w:rPr>
                <w:rFonts w:hint="eastAsia" w:ascii="仿宋" w:hAnsi="仿宋" w:eastAsia="仿宋" w:cs="仿宋"/>
                <w:kern w:val="0"/>
                <w:sz w:val="24"/>
              </w:rPr>
              <w:t>大地工程咨询有限公司（湖州市吴兴区蜀山路199号4号楼2楼），</w:t>
            </w:r>
            <w:r>
              <w:rPr>
                <w:rFonts w:hint="eastAsia" w:ascii="仿宋" w:hAnsi="仿宋" w:eastAsia="仿宋" w:cs="仿宋"/>
                <w:bCs/>
                <w:sz w:val="24"/>
              </w:rPr>
              <w:t>邮寄截止时间：</w:t>
            </w:r>
            <w:r>
              <w:rPr>
                <w:rFonts w:hint="eastAsia" w:ascii="仿宋" w:hAnsi="仿宋" w:eastAsia="仿宋" w:cs="仿宋"/>
                <w:b/>
                <w:sz w:val="24"/>
              </w:rPr>
              <w:t>供应商应于2020 年</w:t>
            </w:r>
            <w:r>
              <w:rPr>
                <w:rFonts w:hint="eastAsia" w:ascii="仿宋" w:hAnsi="仿宋" w:eastAsia="仿宋" w:cs="仿宋"/>
                <w:b/>
                <w:sz w:val="24"/>
                <w:lang w:val="en-US" w:eastAsia="zh-CN"/>
              </w:rPr>
              <w:t>8</w:t>
            </w:r>
            <w:r>
              <w:rPr>
                <w:rFonts w:hint="eastAsia" w:ascii="仿宋" w:hAnsi="仿宋" w:eastAsia="仿宋" w:cs="仿宋"/>
                <w:b/>
                <w:sz w:val="24"/>
              </w:rPr>
              <w:t>月</w:t>
            </w:r>
            <w:r>
              <w:rPr>
                <w:rFonts w:hint="eastAsia" w:ascii="仿宋" w:hAnsi="仿宋" w:eastAsia="仿宋" w:cs="仿宋"/>
                <w:b/>
                <w:sz w:val="24"/>
                <w:lang w:val="en-US" w:eastAsia="zh-CN"/>
              </w:rPr>
              <w:t>4</w:t>
            </w:r>
            <w:r>
              <w:rPr>
                <w:rFonts w:hint="eastAsia" w:ascii="仿宋" w:hAnsi="仿宋" w:eastAsia="仿宋" w:cs="仿宋"/>
                <w:b/>
                <w:sz w:val="24"/>
              </w:rPr>
              <w:t>日下午 17:00 时前准时送达</w:t>
            </w:r>
            <w:r>
              <w:rPr>
                <w:rFonts w:hint="eastAsia" w:ascii="仿宋" w:hAnsi="仿宋" w:eastAsia="仿宋" w:cs="仿宋"/>
                <w:bCs/>
                <w:sz w:val="24"/>
              </w:rPr>
              <w:t>，拒绝到付。（以收件人实际签收时间为准，收件人签收后将予以回执，回执单采用图片形式发送给投标人确认，该回执单仅作为投标人邮寄的包裹送达时间的依据），逾期送达的将拒绝接收。</w:t>
            </w:r>
          </w:p>
          <w:p>
            <w:pPr>
              <w:rPr>
                <w:rFonts w:hint="eastAsia" w:ascii="仿宋" w:hAnsi="仿宋" w:eastAsia="仿宋" w:cs="仿宋"/>
                <w:bCs/>
                <w:sz w:val="24"/>
              </w:rPr>
            </w:pPr>
            <w:r>
              <w:rPr>
                <w:rFonts w:hint="eastAsia" w:ascii="仿宋" w:hAnsi="仿宋" w:eastAsia="仿宋" w:cs="仿宋"/>
                <w:bCs/>
                <w:sz w:val="24"/>
              </w:rPr>
              <w:t>（2）若供应商派授权代表出席开标会议（授权代表必须携带身份证、法人授权委托书或法人身份证明文书等有效证明文件以及最近一个月个人社保缴纳证明文件。未携带有效证明文件或未提供社保缴纳证明文件的，其投标文件将被拒绝），数据电子备份投标文件（U 盘）应在投标截止时间前送达，超过投标截止时间前送达的，按未提</w:t>
            </w:r>
          </w:p>
          <w:p>
            <w:pPr>
              <w:rPr>
                <w:rFonts w:hint="eastAsia" w:ascii="仿宋" w:hAnsi="仿宋" w:eastAsia="仿宋" w:cs="仿宋"/>
                <w:b/>
                <w:sz w:val="24"/>
              </w:rPr>
            </w:pPr>
            <w:r>
              <w:rPr>
                <w:rFonts w:hint="eastAsia" w:ascii="仿宋" w:hAnsi="仿宋" w:eastAsia="仿宋" w:cs="仿宋"/>
                <w:bCs/>
                <w:sz w:val="24"/>
              </w:rPr>
              <w:t>供处理。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964" w:type="dxa"/>
            <w:vAlign w:val="center"/>
          </w:tcPr>
          <w:p>
            <w:pPr>
              <w:adjustRightInd w:val="0"/>
              <w:snapToGrid w:val="0"/>
              <w:spacing w:line="400" w:lineRule="exact"/>
              <w:jc w:val="center"/>
              <w:rPr>
                <w:rFonts w:hint="eastAsia" w:ascii="仿宋" w:hAnsi="仿宋" w:eastAsia="仿宋" w:cs="仿宋"/>
                <w:sz w:val="24"/>
              </w:rPr>
            </w:pPr>
            <w:r>
              <w:rPr>
                <w:rFonts w:hint="eastAsia" w:ascii="仿宋" w:hAnsi="仿宋" w:eastAsia="仿宋" w:cs="仿宋"/>
                <w:sz w:val="24"/>
              </w:rPr>
              <w:t>7</w:t>
            </w:r>
          </w:p>
        </w:tc>
        <w:tc>
          <w:tcPr>
            <w:tcW w:w="8998" w:type="dxa"/>
            <w:vAlign w:val="center"/>
          </w:tcPr>
          <w:p>
            <w:pPr>
              <w:rPr>
                <w:rFonts w:hint="eastAsia" w:ascii="仿宋" w:hAnsi="仿宋" w:eastAsia="仿宋" w:cs="仿宋"/>
                <w:bCs/>
                <w:sz w:val="24"/>
              </w:rPr>
            </w:pPr>
            <w:r>
              <w:rPr>
                <w:rFonts w:hint="eastAsia" w:ascii="仿宋" w:hAnsi="仿宋" w:eastAsia="仿宋" w:cs="仿宋"/>
                <w:bCs/>
                <w:sz w:val="24"/>
              </w:rPr>
              <w:t>电子加密投标文件的解密和异常情况处理：</w:t>
            </w:r>
          </w:p>
          <w:p>
            <w:pPr>
              <w:rPr>
                <w:rFonts w:hint="eastAsia" w:ascii="仿宋" w:hAnsi="仿宋" w:eastAsia="仿宋" w:cs="仿宋"/>
                <w:bCs/>
                <w:sz w:val="24"/>
              </w:rPr>
            </w:pPr>
            <w:r>
              <w:rPr>
                <w:rFonts w:hint="eastAsia" w:ascii="仿宋" w:hAnsi="仿宋" w:eastAsia="仿宋" w:cs="仿宋"/>
                <w:bCs/>
                <w:sz w:val="24"/>
              </w:rPr>
              <w:t>（1）开标后，采购组织机构将向各投标供应商发出“电子加密投标文件”的解密通知，各投标供应商代表应当在接到解密通知后 30 分钟内自行完成“电子加密投标文件”的在线解密。</w:t>
            </w:r>
          </w:p>
          <w:p>
            <w:pPr>
              <w:rPr>
                <w:rFonts w:hint="eastAsia" w:ascii="仿宋" w:hAnsi="仿宋" w:eastAsia="仿宋" w:cs="仿宋"/>
                <w:bCs/>
                <w:sz w:val="24"/>
              </w:rPr>
            </w:pPr>
            <w:r>
              <w:rPr>
                <w:rFonts w:hint="eastAsia" w:ascii="仿宋" w:hAnsi="仿宋" w:eastAsia="仿宋" w:cs="仿宋"/>
                <w:bCs/>
                <w:sz w:val="24"/>
              </w:rPr>
              <w:t>（2）通过“政府采购云平台”成功上传递交的“电子加密投标文件”无法按时解密， 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rPr>
                <w:rFonts w:hint="eastAsia" w:ascii="仿宋" w:hAnsi="仿宋" w:eastAsia="仿宋" w:cs="仿宋"/>
                <w:bCs/>
                <w:sz w:val="24"/>
              </w:rPr>
            </w:pPr>
            <w:r>
              <w:rPr>
                <w:rFonts w:hint="eastAsia" w:ascii="仿宋" w:hAnsi="仿宋" w:eastAsia="仿宋" w:cs="仿宋"/>
                <w:bCs/>
                <w:sz w:val="24"/>
              </w:rPr>
              <w:t>（3）投标截止时间前，投标供应商仅递交了“备份投标文件”而未将电子加密投标</w:t>
            </w:r>
          </w:p>
          <w:p>
            <w:pPr>
              <w:rPr>
                <w:rFonts w:hint="eastAsia" w:ascii="仿宋" w:hAnsi="仿宋" w:eastAsia="仿宋" w:cs="仿宋"/>
                <w:b/>
                <w:sz w:val="24"/>
              </w:rPr>
            </w:pPr>
            <w:r>
              <w:rPr>
                <w:rFonts w:hint="eastAsia" w:ascii="仿宋" w:hAnsi="仿宋" w:eastAsia="仿宋" w:cs="仿宋"/>
                <w:bCs/>
                <w:sz w:val="24"/>
              </w:rPr>
              <w:t>文件上传至“政府采购云平台”的，投标无效。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964" w:type="dxa"/>
            <w:vAlign w:val="center"/>
          </w:tcPr>
          <w:p>
            <w:pPr>
              <w:adjustRightInd w:val="0"/>
              <w:snapToGrid w:val="0"/>
              <w:spacing w:line="400" w:lineRule="exact"/>
              <w:jc w:val="center"/>
              <w:rPr>
                <w:rFonts w:hint="eastAsia" w:ascii="仿宋" w:hAnsi="仿宋" w:eastAsia="仿宋" w:cs="仿宋"/>
                <w:sz w:val="24"/>
              </w:rPr>
            </w:pPr>
            <w:r>
              <w:rPr>
                <w:rFonts w:hint="eastAsia" w:ascii="仿宋" w:hAnsi="仿宋" w:eastAsia="仿宋" w:cs="仿宋"/>
                <w:sz w:val="24"/>
              </w:rPr>
              <w:t>8</w:t>
            </w:r>
          </w:p>
        </w:tc>
        <w:tc>
          <w:tcPr>
            <w:tcW w:w="8998" w:type="dxa"/>
            <w:vAlign w:val="center"/>
          </w:tcPr>
          <w:p>
            <w:pPr>
              <w:autoSpaceDE w:val="0"/>
              <w:autoSpaceDN w:val="0"/>
              <w:adjustRightInd w:val="0"/>
              <w:snapToGrid w:val="0"/>
              <w:spacing w:line="400" w:lineRule="exact"/>
              <w:textAlignment w:val="bottom"/>
              <w:rPr>
                <w:rFonts w:hint="eastAsia" w:ascii="仿宋" w:hAnsi="仿宋" w:eastAsia="仿宋" w:cs="仿宋"/>
                <w:b/>
                <w:sz w:val="24"/>
              </w:rPr>
            </w:pPr>
            <w:r>
              <w:rPr>
                <w:rFonts w:hint="eastAsia" w:ascii="仿宋" w:hAnsi="仿宋" w:eastAsia="仿宋" w:cs="仿宋"/>
                <w:b/>
                <w:sz w:val="24"/>
              </w:rPr>
              <w:t>资格审查资料原件递交：</w:t>
            </w:r>
          </w:p>
          <w:p>
            <w:pPr>
              <w:numPr>
                <w:ilvl w:val="0"/>
                <w:numId w:val="7"/>
              </w:numPr>
              <w:rPr>
                <w:rFonts w:hint="eastAsia" w:ascii="仿宋" w:hAnsi="仿宋" w:eastAsia="仿宋" w:cs="仿宋"/>
                <w:sz w:val="24"/>
              </w:rPr>
            </w:pPr>
            <w:r>
              <w:rPr>
                <w:rFonts w:hint="eastAsia" w:ascii="仿宋" w:hAnsi="仿宋" w:eastAsia="仿宋" w:cs="仿宋"/>
                <w:kern w:val="0"/>
                <w:sz w:val="24"/>
              </w:rPr>
              <w:t>法人营业执照或“三证合一”的营业执照或“五证合一”的营业执照</w:t>
            </w:r>
            <w:r>
              <w:rPr>
                <w:rFonts w:hint="eastAsia" w:ascii="仿宋" w:hAnsi="仿宋" w:eastAsia="仿宋" w:cs="仿宋"/>
                <w:sz w:val="24"/>
              </w:rPr>
              <w:t>副本；</w:t>
            </w:r>
            <w:r>
              <w:rPr>
                <w:rFonts w:hint="eastAsia" w:ascii="仿宋" w:hAnsi="仿宋" w:eastAsia="仿宋" w:cs="仿宋"/>
                <w:sz w:val="24"/>
                <w:lang w:val="en-US" w:eastAsia="zh-CN"/>
              </w:rPr>
              <w:t>2、资质证书3</w:t>
            </w:r>
            <w:r>
              <w:rPr>
                <w:rFonts w:hint="eastAsia" w:ascii="仿宋" w:hAnsi="仿宋" w:eastAsia="仿宋" w:cs="仿宋"/>
                <w:sz w:val="24"/>
              </w:rPr>
              <w:t>、法定代表人身份证明书和法定代表人授权书；</w:t>
            </w:r>
            <w:r>
              <w:rPr>
                <w:rFonts w:hint="eastAsia" w:ascii="仿宋" w:hAnsi="仿宋" w:eastAsia="仿宋" w:cs="仿宋"/>
                <w:sz w:val="24"/>
                <w:lang w:val="en-US" w:eastAsia="zh-CN"/>
              </w:rPr>
              <w:t>4</w:t>
            </w:r>
            <w:r>
              <w:rPr>
                <w:rFonts w:hint="eastAsia" w:ascii="仿宋" w:hAnsi="仿宋" w:eastAsia="仿宋" w:cs="仿宋"/>
                <w:sz w:val="24"/>
              </w:rPr>
              <w:t xml:space="preserve">、授权代表身份证； </w:t>
            </w:r>
            <w:r>
              <w:rPr>
                <w:rFonts w:hint="eastAsia" w:ascii="仿宋" w:hAnsi="仿宋" w:eastAsia="仿宋" w:cs="仿宋"/>
                <w:sz w:val="24"/>
                <w:lang w:val="en-US" w:eastAsia="zh-CN"/>
              </w:rPr>
              <w:t>5</w:t>
            </w:r>
            <w:r>
              <w:rPr>
                <w:rFonts w:hint="eastAsia" w:ascii="仿宋" w:hAnsi="仿宋" w:eastAsia="仿宋" w:cs="仿宋"/>
                <w:sz w:val="24"/>
              </w:rPr>
              <w:t>、授权代表社保缴费凭证或花名册；</w:t>
            </w:r>
          </w:p>
          <w:p>
            <w:pPr>
              <w:rPr>
                <w:rFonts w:hint="eastAsia" w:ascii="仿宋" w:hAnsi="仿宋" w:eastAsia="仿宋" w:cs="仿宋"/>
                <w:b/>
                <w:sz w:val="24"/>
              </w:rPr>
            </w:pPr>
            <w:r>
              <w:rPr>
                <w:rFonts w:hint="eastAsia" w:ascii="仿宋" w:hAnsi="仿宋" w:eastAsia="仿宋" w:cs="仿宋"/>
                <w:b/>
                <w:sz w:val="24"/>
              </w:rPr>
              <w:t>备注:</w:t>
            </w:r>
          </w:p>
          <w:p>
            <w:pPr>
              <w:rPr>
                <w:rFonts w:hint="eastAsia" w:ascii="仿宋" w:hAnsi="仿宋" w:eastAsia="仿宋" w:cs="仿宋"/>
                <w:b/>
                <w:sz w:val="24"/>
              </w:rPr>
            </w:pPr>
            <w:r>
              <w:rPr>
                <w:rFonts w:hint="eastAsia" w:ascii="仿宋" w:hAnsi="仿宋" w:eastAsia="仿宋" w:cs="仿宋"/>
                <w:b/>
                <w:sz w:val="24"/>
              </w:rPr>
              <w:t>1、投标人为浙江政府采购网注册供应商的资格审查时可不携带营业执照副本原件。届时采购人和采购代理机构将通过浙江政府采购网进行现场核对。</w:t>
            </w:r>
          </w:p>
          <w:p>
            <w:pPr>
              <w:rPr>
                <w:rFonts w:hint="eastAsia" w:ascii="仿宋" w:hAnsi="仿宋" w:eastAsia="仿宋" w:cs="仿宋"/>
                <w:b/>
                <w:sz w:val="24"/>
              </w:rPr>
            </w:pPr>
            <w:r>
              <w:rPr>
                <w:rFonts w:hint="eastAsia" w:ascii="仿宋" w:hAnsi="仿宋" w:eastAsia="仿宋" w:cs="仿宋"/>
                <w:b/>
                <w:sz w:val="24"/>
              </w:rPr>
              <w:t>2、投标截止时间止，投标人将以上资料原件原件拍照发送至452246299@qq.com，以供资格审查时之用。届时未提供的将可能资格审查不通过，其风险由投标人自行承担。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964" w:type="dxa"/>
            <w:vAlign w:val="center"/>
          </w:tcPr>
          <w:p>
            <w:pPr>
              <w:adjustRightInd w:val="0"/>
              <w:snapToGrid w:val="0"/>
              <w:spacing w:line="400" w:lineRule="exact"/>
              <w:jc w:val="center"/>
              <w:rPr>
                <w:rFonts w:hint="eastAsia" w:ascii="仿宋" w:hAnsi="仿宋" w:eastAsia="仿宋" w:cs="仿宋"/>
                <w:sz w:val="24"/>
              </w:rPr>
            </w:pPr>
            <w:r>
              <w:rPr>
                <w:rFonts w:hint="eastAsia" w:ascii="仿宋" w:hAnsi="仿宋" w:eastAsia="仿宋" w:cs="仿宋"/>
                <w:sz w:val="24"/>
              </w:rPr>
              <w:t>9</w:t>
            </w:r>
          </w:p>
        </w:tc>
        <w:tc>
          <w:tcPr>
            <w:tcW w:w="8998" w:type="dxa"/>
            <w:vAlign w:val="center"/>
          </w:tcPr>
          <w:p>
            <w:pPr>
              <w:adjustRightInd w:val="0"/>
              <w:snapToGrid w:val="0"/>
              <w:spacing w:line="400" w:lineRule="exact"/>
              <w:rPr>
                <w:rFonts w:hint="eastAsia" w:ascii="仿宋" w:hAnsi="仿宋" w:eastAsia="仿宋" w:cs="仿宋"/>
                <w:sz w:val="24"/>
                <w:lang w:eastAsia="zh-CN"/>
              </w:rPr>
            </w:pPr>
            <w:r>
              <w:rPr>
                <w:rFonts w:hint="eastAsia" w:ascii="仿宋" w:hAnsi="仿宋" w:eastAsia="仿宋" w:cs="仿宋"/>
                <w:sz w:val="24"/>
              </w:rPr>
              <w:t>投标截止时间及地点：投标人应于</w:t>
            </w:r>
            <w:r>
              <w:rPr>
                <w:rFonts w:hint="eastAsia" w:ascii="仿宋" w:hAnsi="仿宋" w:eastAsia="仿宋" w:cs="仿宋"/>
                <w:b/>
                <w:color w:val="0000FF"/>
                <w:sz w:val="24"/>
                <w:u w:val="single"/>
              </w:rPr>
              <w:t>2020</w:t>
            </w:r>
            <w:r>
              <w:rPr>
                <w:rFonts w:hint="eastAsia" w:ascii="仿宋" w:hAnsi="仿宋" w:eastAsia="仿宋" w:cs="仿宋"/>
                <w:bCs/>
                <w:color w:val="0000FF"/>
                <w:sz w:val="24"/>
              </w:rPr>
              <w:t>年</w:t>
            </w:r>
            <w:r>
              <w:rPr>
                <w:rFonts w:hint="eastAsia" w:ascii="仿宋" w:hAnsi="仿宋" w:eastAsia="仿宋" w:cs="仿宋"/>
                <w:b/>
                <w:color w:val="0000FF"/>
                <w:sz w:val="24"/>
                <w:u w:val="single"/>
                <w:lang w:val="en-US" w:eastAsia="zh-CN"/>
              </w:rPr>
              <w:t>8</w:t>
            </w:r>
            <w:r>
              <w:rPr>
                <w:rFonts w:hint="eastAsia" w:ascii="仿宋" w:hAnsi="仿宋" w:eastAsia="仿宋" w:cs="仿宋"/>
                <w:color w:val="0000FF"/>
                <w:sz w:val="24"/>
              </w:rPr>
              <w:t>月</w:t>
            </w:r>
            <w:r>
              <w:rPr>
                <w:rFonts w:hint="eastAsia" w:ascii="仿宋" w:hAnsi="仿宋" w:eastAsia="仿宋" w:cs="仿宋"/>
                <w:b/>
                <w:bCs/>
                <w:color w:val="0000FF"/>
                <w:sz w:val="24"/>
                <w:u w:val="single"/>
                <w:lang w:val="en-US" w:eastAsia="zh-CN"/>
              </w:rPr>
              <w:t>5</w:t>
            </w:r>
            <w:r>
              <w:rPr>
                <w:rFonts w:hint="eastAsia" w:ascii="仿宋" w:hAnsi="仿宋" w:eastAsia="仿宋" w:cs="仿宋"/>
                <w:color w:val="0000FF"/>
                <w:sz w:val="24"/>
              </w:rPr>
              <w:t>日</w:t>
            </w:r>
            <w:r>
              <w:rPr>
                <w:rFonts w:hint="eastAsia" w:ascii="仿宋" w:hAnsi="仿宋" w:eastAsia="仿宋" w:cs="仿宋"/>
                <w:b/>
                <w:color w:val="0000FF"/>
                <w:sz w:val="24"/>
                <w:u w:val="single"/>
                <w:lang w:val="en-US" w:eastAsia="zh-CN"/>
              </w:rPr>
              <w:t>9</w:t>
            </w:r>
            <w:r>
              <w:rPr>
                <w:rFonts w:hint="eastAsia" w:ascii="仿宋" w:hAnsi="仿宋" w:eastAsia="仿宋" w:cs="仿宋"/>
                <w:b/>
                <w:color w:val="0000FF"/>
                <w:sz w:val="24"/>
                <w:u w:val="single"/>
              </w:rPr>
              <w:t xml:space="preserve">:00 </w:t>
            </w:r>
            <w:r>
              <w:rPr>
                <w:rFonts w:hint="eastAsia" w:ascii="仿宋" w:hAnsi="仿宋" w:eastAsia="仿宋" w:cs="仿宋"/>
                <w:sz w:val="24"/>
              </w:rPr>
              <w:t>时前将投标文件密封送交到湖州市吴兴区公共资源交易中心（湖州市吴兴区区府路1188号总部自由港E幢4楼）40</w:t>
            </w:r>
            <w:r>
              <w:rPr>
                <w:rFonts w:hint="eastAsia" w:ascii="仿宋" w:hAnsi="仿宋" w:eastAsia="仿宋" w:cs="仿宋"/>
                <w:sz w:val="24"/>
                <w:lang w:val="en-US" w:eastAsia="zh-CN"/>
              </w:rPr>
              <w:t>1</w:t>
            </w:r>
            <w:r>
              <w:rPr>
                <w:rFonts w:hint="eastAsia" w:ascii="仿宋" w:hAnsi="仿宋" w:eastAsia="仿宋" w:cs="仿宋"/>
                <w:sz w:val="24"/>
              </w:rPr>
              <w:t>开标室</w:t>
            </w:r>
            <w:r>
              <w:rPr>
                <w:rFonts w:hint="eastAsia" w:ascii="仿宋" w:hAnsi="仿宋" w:eastAsia="仿宋" w:cs="仿宋"/>
                <w:sz w:val="24"/>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964" w:type="dxa"/>
            <w:vAlign w:val="center"/>
          </w:tcPr>
          <w:p>
            <w:pPr>
              <w:adjustRightInd w:val="0"/>
              <w:snapToGrid w:val="0"/>
              <w:spacing w:line="400" w:lineRule="exact"/>
              <w:jc w:val="center"/>
              <w:rPr>
                <w:rFonts w:hint="eastAsia" w:ascii="仿宋" w:hAnsi="仿宋" w:eastAsia="仿宋" w:cs="仿宋"/>
                <w:sz w:val="24"/>
              </w:rPr>
            </w:pPr>
            <w:r>
              <w:rPr>
                <w:rFonts w:hint="eastAsia" w:ascii="仿宋" w:hAnsi="仿宋" w:eastAsia="仿宋" w:cs="仿宋"/>
                <w:sz w:val="24"/>
              </w:rPr>
              <w:t>10</w:t>
            </w:r>
          </w:p>
        </w:tc>
        <w:tc>
          <w:tcPr>
            <w:tcW w:w="8998" w:type="dxa"/>
            <w:vAlign w:val="center"/>
          </w:tcPr>
          <w:p>
            <w:pPr>
              <w:adjustRightInd w:val="0"/>
              <w:snapToGrid w:val="0"/>
              <w:spacing w:line="400" w:lineRule="exact"/>
              <w:rPr>
                <w:rFonts w:hint="eastAsia" w:ascii="仿宋" w:hAnsi="仿宋" w:eastAsia="仿宋" w:cs="仿宋"/>
                <w:sz w:val="24"/>
                <w:lang w:eastAsia="zh-CN"/>
              </w:rPr>
            </w:pPr>
            <w:r>
              <w:rPr>
                <w:rFonts w:hint="eastAsia" w:ascii="仿宋" w:hAnsi="仿宋" w:eastAsia="仿宋" w:cs="仿宋"/>
                <w:sz w:val="24"/>
              </w:rPr>
              <w:t>开标时间及地点：本次招标将于</w:t>
            </w:r>
            <w:r>
              <w:rPr>
                <w:rFonts w:hint="eastAsia" w:ascii="仿宋" w:hAnsi="仿宋" w:eastAsia="仿宋" w:cs="仿宋"/>
                <w:b/>
                <w:color w:val="0000FF"/>
                <w:sz w:val="24"/>
                <w:u w:val="single"/>
              </w:rPr>
              <w:t>2020</w:t>
            </w:r>
            <w:r>
              <w:rPr>
                <w:rFonts w:hint="eastAsia" w:ascii="仿宋" w:hAnsi="仿宋" w:eastAsia="仿宋" w:cs="仿宋"/>
                <w:bCs/>
                <w:color w:val="0000FF"/>
                <w:sz w:val="24"/>
              </w:rPr>
              <w:t>年</w:t>
            </w:r>
            <w:r>
              <w:rPr>
                <w:rFonts w:hint="eastAsia" w:ascii="仿宋" w:hAnsi="仿宋" w:eastAsia="仿宋" w:cs="仿宋"/>
                <w:b/>
                <w:color w:val="0000FF"/>
                <w:sz w:val="24"/>
                <w:u w:val="single"/>
                <w:lang w:val="en-US" w:eastAsia="zh-CN"/>
              </w:rPr>
              <w:t>8</w:t>
            </w:r>
            <w:r>
              <w:rPr>
                <w:rFonts w:hint="eastAsia" w:ascii="仿宋" w:hAnsi="仿宋" w:eastAsia="仿宋" w:cs="仿宋"/>
                <w:color w:val="0000FF"/>
                <w:sz w:val="24"/>
              </w:rPr>
              <w:t>月</w:t>
            </w:r>
            <w:r>
              <w:rPr>
                <w:rFonts w:hint="eastAsia" w:ascii="仿宋" w:hAnsi="仿宋" w:eastAsia="仿宋" w:cs="仿宋"/>
                <w:b/>
                <w:bCs/>
                <w:color w:val="0000FF"/>
                <w:sz w:val="24"/>
                <w:u w:val="single"/>
                <w:lang w:val="en-US" w:eastAsia="zh-CN"/>
              </w:rPr>
              <w:t>5</w:t>
            </w:r>
            <w:r>
              <w:rPr>
                <w:rFonts w:hint="eastAsia" w:ascii="仿宋" w:hAnsi="仿宋" w:eastAsia="仿宋" w:cs="仿宋"/>
                <w:color w:val="0000FF"/>
                <w:sz w:val="24"/>
              </w:rPr>
              <w:t>日</w:t>
            </w:r>
            <w:r>
              <w:rPr>
                <w:rFonts w:hint="eastAsia" w:ascii="仿宋" w:hAnsi="仿宋" w:eastAsia="仿宋" w:cs="仿宋"/>
                <w:b/>
                <w:color w:val="0000FF"/>
                <w:sz w:val="24"/>
                <w:u w:val="single"/>
              </w:rPr>
              <w:t xml:space="preserve"> </w:t>
            </w:r>
            <w:r>
              <w:rPr>
                <w:rFonts w:hint="eastAsia" w:ascii="仿宋" w:hAnsi="仿宋" w:eastAsia="仿宋" w:cs="仿宋"/>
                <w:b/>
                <w:color w:val="0000FF"/>
                <w:sz w:val="24"/>
                <w:u w:val="single"/>
                <w:lang w:val="en-US" w:eastAsia="zh-CN"/>
              </w:rPr>
              <w:t>9</w:t>
            </w:r>
            <w:r>
              <w:rPr>
                <w:rFonts w:hint="eastAsia" w:ascii="仿宋" w:hAnsi="仿宋" w:eastAsia="仿宋" w:cs="仿宋"/>
                <w:b/>
                <w:color w:val="0000FF"/>
                <w:sz w:val="24"/>
                <w:u w:val="single"/>
              </w:rPr>
              <w:t xml:space="preserve">:00 </w:t>
            </w:r>
            <w:r>
              <w:rPr>
                <w:rFonts w:hint="eastAsia" w:ascii="仿宋" w:hAnsi="仿宋" w:eastAsia="仿宋" w:cs="仿宋"/>
                <w:sz w:val="24"/>
              </w:rPr>
              <w:t>时在湖州市吴兴区公共资源交易中心（湖州市吴兴区区府路1188号总部自由港E幢4楼）40</w:t>
            </w:r>
            <w:r>
              <w:rPr>
                <w:rFonts w:hint="eastAsia" w:ascii="仿宋" w:hAnsi="仿宋" w:eastAsia="仿宋" w:cs="仿宋"/>
                <w:sz w:val="24"/>
                <w:lang w:val="en-US" w:eastAsia="zh-CN"/>
              </w:rPr>
              <w:t>1</w:t>
            </w:r>
            <w:r>
              <w:rPr>
                <w:rFonts w:hint="eastAsia" w:ascii="仿宋" w:hAnsi="仿宋" w:eastAsia="仿宋" w:cs="仿宋"/>
                <w:sz w:val="24"/>
              </w:rPr>
              <w:t>开标室</w:t>
            </w:r>
            <w:r>
              <w:rPr>
                <w:rFonts w:hint="eastAsia" w:ascii="仿宋" w:hAnsi="仿宋" w:eastAsia="仿宋" w:cs="仿宋"/>
                <w:sz w:val="24"/>
                <w:lang w:eastAsia="zh-CN"/>
              </w:rPr>
              <w:t>。</w:t>
            </w:r>
          </w:p>
          <w:p>
            <w:pPr>
              <w:adjustRightInd w:val="0"/>
              <w:snapToGrid w:val="0"/>
              <w:spacing w:line="400" w:lineRule="exact"/>
              <w:rPr>
                <w:rFonts w:hint="eastAsia" w:ascii="仿宋" w:hAnsi="仿宋" w:eastAsia="仿宋" w:cs="仿宋"/>
                <w:b/>
                <w:bCs/>
                <w:sz w:val="24"/>
                <w:u w:val="single"/>
              </w:rPr>
            </w:pPr>
            <w:r>
              <w:rPr>
                <w:rFonts w:hint="eastAsia" w:ascii="仿宋" w:hAnsi="仿宋" w:eastAsia="仿宋" w:cs="仿宋"/>
                <w:b/>
                <w:bCs/>
                <w:sz w:val="24"/>
                <w:u w:val="single"/>
              </w:rPr>
              <w:t>仅提供备份投标文件的，投标无效。</w:t>
            </w:r>
          </w:p>
          <w:p>
            <w:pPr>
              <w:adjustRightInd w:val="0"/>
              <w:snapToGrid w:val="0"/>
              <w:spacing w:line="400" w:lineRule="exact"/>
              <w:rPr>
                <w:rFonts w:hint="eastAsia" w:ascii="仿宋" w:hAnsi="仿宋" w:eastAsia="仿宋" w:cs="仿宋"/>
                <w:sz w:val="24"/>
              </w:rPr>
            </w:pPr>
            <w:r>
              <w:rPr>
                <w:rFonts w:hint="eastAsia" w:ascii="仿宋" w:hAnsi="仿宋" w:eastAsia="仿宋" w:cs="仿宋"/>
                <w:b/>
                <w:bCs/>
                <w:sz w:val="24"/>
                <w:u w:val="single"/>
              </w:rPr>
              <w:t>未提供备份投标文件，造成项目开评标活动无法进行下去的，相关风险由投标人自行承担。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64" w:type="dxa"/>
            <w:vAlign w:val="center"/>
          </w:tcPr>
          <w:p>
            <w:pPr>
              <w:adjustRightInd w:val="0"/>
              <w:snapToGrid w:val="0"/>
              <w:spacing w:line="400" w:lineRule="exact"/>
              <w:jc w:val="center"/>
              <w:rPr>
                <w:rFonts w:hint="eastAsia" w:ascii="仿宋" w:hAnsi="仿宋" w:eastAsia="仿宋" w:cs="仿宋"/>
                <w:sz w:val="24"/>
              </w:rPr>
            </w:pPr>
            <w:r>
              <w:rPr>
                <w:rFonts w:hint="eastAsia" w:ascii="仿宋" w:hAnsi="仿宋" w:eastAsia="仿宋" w:cs="仿宋"/>
                <w:sz w:val="24"/>
              </w:rPr>
              <w:t>11</w:t>
            </w:r>
          </w:p>
        </w:tc>
        <w:tc>
          <w:tcPr>
            <w:tcW w:w="8998" w:type="dxa"/>
            <w:vAlign w:val="center"/>
          </w:tcPr>
          <w:p>
            <w:pPr>
              <w:autoSpaceDE w:val="0"/>
              <w:autoSpaceDN w:val="0"/>
              <w:adjustRightInd w:val="0"/>
              <w:snapToGrid w:val="0"/>
              <w:spacing w:line="400" w:lineRule="exact"/>
              <w:textAlignment w:val="bottom"/>
              <w:rPr>
                <w:rFonts w:hint="eastAsia" w:ascii="仿宋" w:hAnsi="仿宋" w:eastAsia="仿宋" w:cs="仿宋"/>
                <w:sz w:val="24"/>
              </w:rPr>
            </w:pPr>
            <w:r>
              <w:rPr>
                <w:rFonts w:hint="eastAsia" w:ascii="仿宋" w:hAnsi="仿宋" w:eastAsia="仿宋" w:cs="仿宋"/>
                <w:sz w:val="24"/>
              </w:rPr>
              <w:t>评标办法及标准：按照招标文件第四章评标办法及评分标准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3" w:hRule="atLeast"/>
          <w:jc w:val="center"/>
        </w:trPr>
        <w:tc>
          <w:tcPr>
            <w:tcW w:w="964" w:type="dxa"/>
            <w:vAlign w:val="center"/>
          </w:tcPr>
          <w:p>
            <w:pPr>
              <w:adjustRightInd w:val="0"/>
              <w:snapToGrid w:val="0"/>
              <w:spacing w:line="400" w:lineRule="exact"/>
              <w:jc w:val="center"/>
              <w:rPr>
                <w:rFonts w:hint="eastAsia" w:ascii="仿宋" w:hAnsi="仿宋" w:eastAsia="仿宋" w:cs="仿宋"/>
                <w:sz w:val="24"/>
              </w:rPr>
            </w:pPr>
            <w:r>
              <w:rPr>
                <w:rFonts w:hint="eastAsia" w:ascii="仿宋" w:hAnsi="仿宋" w:eastAsia="仿宋" w:cs="仿宋"/>
                <w:sz w:val="24"/>
              </w:rPr>
              <w:t>12</w:t>
            </w:r>
          </w:p>
        </w:tc>
        <w:tc>
          <w:tcPr>
            <w:tcW w:w="8998" w:type="dxa"/>
            <w:vAlign w:val="center"/>
          </w:tcPr>
          <w:p>
            <w:pPr>
              <w:autoSpaceDE w:val="0"/>
              <w:autoSpaceDN w:val="0"/>
              <w:adjustRightInd w:val="0"/>
              <w:snapToGrid w:val="0"/>
              <w:spacing w:line="400" w:lineRule="exact"/>
              <w:textAlignment w:val="bottom"/>
              <w:rPr>
                <w:rFonts w:hint="eastAsia" w:ascii="仿宋" w:hAnsi="仿宋" w:eastAsia="仿宋" w:cs="仿宋"/>
                <w:sz w:val="24"/>
              </w:rPr>
            </w:pPr>
            <w:r>
              <w:rPr>
                <w:rFonts w:hint="eastAsia" w:ascii="仿宋" w:hAnsi="仿宋" w:eastAsia="仿宋" w:cs="仿宋"/>
                <w:sz w:val="24"/>
              </w:rPr>
              <w:t>中标公告及中标通知书：评标结束，采购人确认采购结果后，中标公告发布于</w:t>
            </w:r>
          </w:p>
          <w:p>
            <w:pPr>
              <w:autoSpaceDE w:val="0"/>
              <w:autoSpaceDN w:val="0"/>
              <w:adjustRightInd w:val="0"/>
              <w:snapToGrid w:val="0"/>
              <w:spacing w:line="400" w:lineRule="exact"/>
              <w:textAlignment w:val="bottom"/>
              <w:rPr>
                <w:rFonts w:hint="eastAsia" w:ascii="仿宋" w:hAnsi="仿宋" w:eastAsia="仿宋" w:cs="仿宋"/>
                <w:sz w:val="24"/>
              </w:rPr>
            </w:pPr>
            <w:r>
              <w:rPr>
                <w:rFonts w:hint="eastAsia" w:ascii="仿宋" w:hAnsi="仿宋" w:eastAsia="仿宋" w:cs="仿宋"/>
                <w:sz w:val="24"/>
              </w:rPr>
              <w:t>浙江政府采购网（</w:t>
            </w:r>
            <w:r>
              <w:rPr>
                <w:rFonts w:hint="eastAsia" w:ascii="仿宋" w:hAnsi="仿宋" w:eastAsia="仿宋" w:cs="仿宋"/>
              </w:rPr>
              <w:fldChar w:fldCharType="begin"/>
            </w:r>
            <w:r>
              <w:rPr>
                <w:rFonts w:hint="eastAsia" w:ascii="仿宋" w:hAnsi="仿宋" w:eastAsia="仿宋" w:cs="仿宋"/>
              </w:rPr>
              <w:instrText xml:space="preserve"> HYPERLINK "http://www.zjzfcg.gov.cn" </w:instrText>
            </w:r>
            <w:r>
              <w:rPr>
                <w:rFonts w:hint="eastAsia" w:ascii="仿宋" w:hAnsi="仿宋" w:eastAsia="仿宋" w:cs="仿宋"/>
              </w:rPr>
              <w:fldChar w:fldCharType="separate"/>
            </w:r>
            <w:r>
              <w:rPr>
                <w:rStyle w:val="28"/>
                <w:rFonts w:hint="eastAsia" w:ascii="仿宋" w:hAnsi="仿宋" w:eastAsia="仿宋" w:cs="仿宋"/>
                <w:color w:val="auto"/>
                <w:sz w:val="24"/>
              </w:rPr>
              <w:t>http://www.zjzfcg.gov.cn</w:t>
            </w:r>
            <w:r>
              <w:rPr>
                <w:rStyle w:val="28"/>
                <w:rFonts w:hint="eastAsia" w:ascii="仿宋" w:hAnsi="仿宋" w:eastAsia="仿宋" w:cs="仿宋"/>
                <w:color w:val="auto"/>
                <w:sz w:val="24"/>
              </w:rPr>
              <w:fldChar w:fldCharType="end"/>
            </w:r>
            <w:r>
              <w:rPr>
                <w:rFonts w:hint="eastAsia" w:ascii="仿宋" w:hAnsi="仿宋" w:eastAsia="仿宋" w:cs="仿宋"/>
                <w:sz w:val="24"/>
              </w:rPr>
              <w:t>）</w:t>
            </w:r>
          </w:p>
          <w:p>
            <w:pPr>
              <w:autoSpaceDE w:val="0"/>
              <w:autoSpaceDN w:val="0"/>
              <w:adjustRightInd w:val="0"/>
              <w:snapToGrid w:val="0"/>
              <w:spacing w:line="400" w:lineRule="exact"/>
              <w:textAlignment w:val="bottom"/>
              <w:rPr>
                <w:rFonts w:hint="eastAsia" w:ascii="仿宋" w:hAnsi="仿宋" w:eastAsia="仿宋" w:cs="仿宋"/>
                <w:sz w:val="24"/>
              </w:rPr>
            </w:pPr>
            <w:r>
              <w:rPr>
                <w:rFonts w:hint="eastAsia" w:ascii="仿宋" w:hAnsi="仿宋" w:eastAsia="仿宋" w:cs="仿宋"/>
                <w:sz w:val="24"/>
              </w:rPr>
              <w:t>湖州市</w:t>
            </w:r>
            <w:r>
              <w:rPr>
                <w:rFonts w:hint="eastAsia" w:ascii="仿宋" w:hAnsi="仿宋" w:eastAsia="仿宋" w:cs="仿宋"/>
                <w:sz w:val="24"/>
                <w:lang w:val="en-US" w:eastAsia="zh-CN"/>
              </w:rPr>
              <w:t>吴兴区</w:t>
            </w:r>
            <w:r>
              <w:rPr>
                <w:rFonts w:hint="eastAsia" w:ascii="仿宋" w:hAnsi="仿宋" w:eastAsia="仿宋" w:cs="仿宋"/>
                <w:sz w:val="24"/>
              </w:rPr>
              <w:t>公共资源交易网站（http://ggzy.wuxing.gov.cn/）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64" w:type="dxa"/>
            <w:vAlign w:val="center"/>
          </w:tcPr>
          <w:p>
            <w:pPr>
              <w:adjustRightInd w:val="0"/>
              <w:snapToGrid w:val="0"/>
              <w:spacing w:line="400" w:lineRule="exact"/>
              <w:jc w:val="center"/>
              <w:rPr>
                <w:rFonts w:hint="eastAsia" w:ascii="仿宋" w:hAnsi="仿宋" w:eastAsia="仿宋" w:cs="仿宋"/>
                <w:sz w:val="24"/>
              </w:rPr>
            </w:pPr>
            <w:r>
              <w:rPr>
                <w:rFonts w:hint="eastAsia" w:ascii="仿宋" w:hAnsi="仿宋" w:eastAsia="仿宋" w:cs="仿宋"/>
                <w:sz w:val="24"/>
              </w:rPr>
              <w:t>13</w:t>
            </w:r>
          </w:p>
        </w:tc>
        <w:tc>
          <w:tcPr>
            <w:tcW w:w="8998" w:type="dxa"/>
            <w:vAlign w:val="center"/>
          </w:tcPr>
          <w:p>
            <w:pPr>
              <w:autoSpaceDE w:val="0"/>
              <w:autoSpaceDN w:val="0"/>
              <w:adjustRightInd w:val="0"/>
              <w:snapToGrid w:val="0"/>
              <w:spacing w:line="400" w:lineRule="exact"/>
              <w:textAlignment w:val="bottom"/>
              <w:rPr>
                <w:rFonts w:hint="eastAsia" w:ascii="仿宋" w:hAnsi="仿宋" w:eastAsia="仿宋" w:cs="仿宋"/>
                <w:sz w:val="24"/>
              </w:rPr>
            </w:pPr>
            <w:r>
              <w:rPr>
                <w:rFonts w:hint="eastAsia" w:ascii="仿宋" w:hAnsi="仿宋" w:eastAsia="仿宋" w:cs="仿宋"/>
                <w:sz w:val="24"/>
              </w:rPr>
              <w:t>签订合同：中标通知书发出后30天内。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64" w:type="dxa"/>
            <w:vAlign w:val="center"/>
          </w:tcPr>
          <w:p>
            <w:pPr>
              <w:adjustRightInd w:val="0"/>
              <w:snapToGrid w:val="0"/>
              <w:spacing w:line="400" w:lineRule="exact"/>
              <w:jc w:val="center"/>
              <w:rPr>
                <w:rFonts w:hint="eastAsia" w:ascii="仿宋" w:hAnsi="仿宋" w:eastAsia="仿宋" w:cs="仿宋"/>
                <w:sz w:val="24"/>
              </w:rPr>
            </w:pPr>
            <w:r>
              <w:rPr>
                <w:rFonts w:hint="eastAsia" w:ascii="仿宋" w:hAnsi="仿宋" w:eastAsia="仿宋" w:cs="仿宋"/>
                <w:sz w:val="24"/>
              </w:rPr>
              <w:t>14</w:t>
            </w:r>
          </w:p>
        </w:tc>
        <w:tc>
          <w:tcPr>
            <w:tcW w:w="8998" w:type="dxa"/>
            <w:vAlign w:val="center"/>
          </w:tcPr>
          <w:p>
            <w:pPr>
              <w:autoSpaceDE w:val="0"/>
              <w:autoSpaceDN w:val="0"/>
              <w:adjustRightInd w:val="0"/>
              <w:snapToGrid w:val="0"/>
              <w:spacing w:line="400" w:lineRule="exact"/>
              <w:textAlignment w:val="bottom"/>
              <w:rPr>
                <w:rFonts w:hint="eastAsia" w:ascii="仿宋" w:hAnsi="仿宋" w:eastAsia="仿宋" w:cs="仿宋"/>
                <w:sz w:val="24"/>
              </w:rPr>
            </w:pPr>
            <w:r>
              <w:rPr>
                <w:rFonts w:hint="eastAsia" w:ascii="仿宋" w:hAnsi="仿宋" w:eastAsia="仿宋" w:cs="仿宋"/>
                <w:sz w:val="24"/>
              </w:rPr>
              <w:t>采购资金来源：财政拨款，已落实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64" w:type="dxa"/>
            <w:vAlign w:val="center"/>
          </w:tcPr>
          <w:p>
            <w:pPr>
              <w:adjustRightInd w:val="0"/>
              <w:snapToGrid w:val="0"/>
              <w:spacing w:line="400" w:lineRule="exact"/>
              <w:jc w:val="center"/>
              <w:rPr>
                <w:rFonts w:hint="eastAsia" w:ascii="仿宋" w:hAnsi="仿宋" w:eastAsia="仿宋" w:cs="仿宋"/>
                <w:sz w:val="24"/>
              </w:rPr>
            </w:pPr>
            <w:r>
              <w:rPr>
                <w:rFonts w:hint="eastAsia" w:ascii="仿宋" w:hAnsi="仿宋" w:eastAsia="仿宋" w:cs="仿宋"/>
                <w:sz w:val="24"/>
              </w:rPr>
              <w:t>15</w:t>
            </w:r>
          </w:p>
        </w:tc>
        <w:tc>
          <w:tcPr>
            <w:tcW w:w="8998" w:type="dxa"/>
            <w:vAlign w:val="center"/>
          </w:tcPr>
          <w:p>
            <w:pPr>
              <w:autoSpaceDE w:val="0"/>
              <w:autoSpaceDN w:val="0"/>
              <w:adjustRightInd w:val="0"/>
              <w:snapToGrid w:val="0"/>
              <w:spacing w:line="400" w:lineRule="exact"/>
              <w:textAlignment w:val="bottom"/>
              <w:rPr>
                <w:rFonts w:hint="eastAsia" w:ascii="仿宋" w:hAnsi="仿宋" w:eastAsia="仿宋" w:cs="仿宋"/>
                <w:color w:val="auto"/>
                <w:sz w:val="24"/>
              </w:rPr>
            </w:pPr>
            <w:r>
              <w:rPr>
                <w:rFonts w:hint="eastAsia" w:ascii="仿宋" w:hAnsi="仿宋" w:eastAsia="仿宋" w:cs="仿宋"/>
                <w:color w:val="auto"/>
                <w:sz w:val="24"/>
              </w:rPr>
              <w:t>履约保证金：</w:t>
            </w:r>
            <w:r>
              <w:rPr>
                <w:rFonts w:hint="eastAsia" w:ascii="仿宋" w:hAnsi="仿宋" w:eastAsia="仿宋" w:cs="仿宋"/>
                <w:color w:val="auto"/>
                <w:sz w:val="24"/>
                <w:lang w:val="en-US" w:eastAsia="zh-CN"/>
              </w:rPr>
              <w:t>壹佰</w:t>
            </w:r>
            <w:r>
              <w:rPr>
                <w:rFonts w:hint="eastAsia" w:ascii="仿宋" w:hAnsi="仿宋" w:eastAsia="仿宋" w:cs="仿宋"/>
                <w:color w:val="auto"/>
                <w:sz w:val="24"/>
              </w:rPr>
              <w:t>万元，合同履行完毕后30日内无息退还。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64" w:type="dxa"/>
            <w:vAlign w:val="center"/>
          </w:tcPr>
          <w:p>
            <w:pPr>
              <w:adjustRightInd w:val="0"/>
              <w:snapToGrid w:val="0"/>
              <w:spacing w:line="400" w:lineRule="exact"/>
              <w:jc w:val="center"/>
              <w:rPr>
                <w:rFonts w:hint="eastAsia" w:ascii="仿宋" w:hAnsi="仿宋" w:eastAsia="仿宋" w:cs="仿宋"/>
                <w:sz w:val="24"/>
              </w:rPr>
            </w:pPr>
            <w:r>
              <w:rPr>
                <w:rFonts w:hint="eastAsia" w:ascii="仿宋" w:hAnsi="仿宋" w:eastAsia="仿宋" w:cs="仿宋"/>
                <w:sz w:val="24"/>
              </w:rPr>
              <w:t>16</w:t>
            </w:r>
          </w:p>
        </w:tc>
        <w:tc>
          <w:tcPr>
            <w:tcW w:w="8998" w:type="dxa"/>
            <w:vAlign w:val="center"/>
          </w:tcPr>
          <w:p>
            <w:pPr>
              <w:autoSpaceDE w:val="0"/>
              <w:autoSpaceDN w:val="0"/>
              <w:adjustRightInd w:val="0"/>
              <w:snapToGrid w:val="0"/>
              <w:spacing w:line="400" w:lineRule="exact"/>
              <w:textAlignment w:val="bottom"/>
              <w:rPr>
                <w:rFonts w:hint="eastAsia" w:ascii="仿宋" w:hAnsi="仿宋" w:eastAsia="仿宋" w:cs="仿宋"/>
                <w:color w:val="auto"/>
                <w:sz w:val="24"/>
                <w:lang w:val="en-US" w:eastAsia="zh-CN"/>
              </w:rPr>
            </w:pPr>
            <w:r>
              <w:rPr>
                <w:rFonts w:hint="eastAsia" w:ascii="仿宋" w:hAnsi="仿宋" w:eastAsia="仿宋" w:cs="仿宋"/>
                <w:color w:val="auto"/>
                <w:sz w:val="24"/>
              </w:rPr>
              <w:t>付款方式</w:t>
            </w:r>
            <w:r>
              <w:rPr>
                <w:rFonts w:hint="eastAsia" w:ascii="仿宋" w:hAnsi="仿宋" w:eastAsia="仿宋" w:cs="仿宋"/>
                <w:color w:val="auto"/>
                <w:sz w:val="24"/>
                <w:highlight w:val="none"/>
              </w:rPr>
              <w:t>：</w:t>
            </w:r>
            <w:r>
              <w:rPr>
                <w:rFonts w:hint="eastAsia" w:ascii="仿宋" w:hAnsi="仿宋" w:eastAsia="仿宋" w:cs="仿宋"/>
                <w:b/>
                <w:bCs/>
                <w:color w:val="auto"/>
                <w:sz w:val="24"/>
                <w:highlight w:val="none"/>
              </w:rPr>
              <w:t>采购人自采购合同生效及具备实施条件后</w:t>
            </w:r>
            <w:r>
              <w:rPr>
                <w:rFonts w:hint="eastAsia" w:ascii="仿宋" w:hAnsi="仿宋" w:eastAsia="仿宋" w:cs="仿宋"/>
                <w:b/>
                <w:bCs/>
                <w:color w:val="auto"/>
                <w:sz w:val="24"/>
                <w:highlight w:val="none"/>
                <w:lang w:val="en-US" w:eastAsia="zh-CN"/>
              </w:rPr>
              <w:t>15</w:t>
            </w:r>
            <w:r>
              <w:rPr>
                <w:rFonts w:hint="eastAsia" w:ascii="仿宋" w:hAnsi="仿宋" w:eastAsia="仿宋" w:cs="仿宋"/>
                <w:b/>
                <w:bCs/>
                <w:color w:val="auto"/>
                <w:sz w:val="24"/>
                <w:highlight w:val="none"/>
              </w:rPr>
              <w:t>日内支付预付款，即</w:t>
            </w:r>
            <w:r>
              <w:rPr>
                <w:rFonts w:hint="eastAsia" w:ascii="仿宋" w:hAnsi="仿宋" w:eastAsia="仿宋" w:cs="仿宋"/>
                <w:b/>
                <w:bCs/>
                <w:color w:val="auto"/>
                <w:sz w:val="24"/>
                <w:highlight w:val="none"/>
                <w:lang w:val="en-US" w:eastAsia="zh-CN"/>
              </w:rPr>
              <w:t>预算</w:t>
            </w:r>
            <w:r>
              <w:rPr>
                <w:rFonts w:hint="eastAsia" w:ascii="仿宋" w:hAnsi="仿宋" w:eastAsia="仿宋" w:cs="仿宋"/>
                <w:b/>
                <w:bCs/>
                <w:color w:val="auto"/>
                <w:sz w:val="24"/>
                <w:highlight w:val="none"/>
              </w:rPr>
              <w:t>金额的</w:t>
            </w:r>
            <w:r>
              <w:rPr>
                <w:rFonts w:hint="eastAsia" w:ascii="仿宋" w:hAnsi="仿宋" w:eastAsia="仿宋" w:cs="仿宋"/>
                <w:b/>
                <w:bCs/>
                <w:color w:val="auto"/>
                <w:sz w:val="24"/>
                <w:highlight w:val="none"/>
                <w:lang w:val="en-US" w:eastAsia="zh-CN"/>
              </w:rPr>
              <w:t>1</w:t>
            </w:r>
            <w:r>
              <w:rPr>
                <w:rFonts w:hint="eastAsia" w:ascii="仿宋" w:hAnsi="仿宋" w:eastAsia="仿宋" w:cs="仿宋"/>
                <w:b/>
                <w:bCs/>
                <w:color w:val="auto"/>
                <w:sz w:val="24"/>
                <w:highlight w:val="none"/>
              </w:rPr>
              <w:t>0%。</w:t>
            </w:r>
            <w:r>
              <w:rPr>
                <w:rFonts w:hint="eastAsia" w:ascii="仿宋" w:hAnsi="仿宋" w:eastAsia="仿宋" w:cs="仿宋"/>
                <w:b/>
                <w:bCs/>
                <w:color w:val="auto"/>
                <w:sz w:val="24"/>
              </w:rPr>
              <w:t>具体项目以发包人派发施工任务为准，实行按实结算制（支付时间、支付项目、付款方式以发包人为准</w:t>
            </w:r>
            <w:r>
              <w:rPr>
                <w:rFonts w:hint="eastAsia" w:ascii="仿宋" w:hAnsi="仿宋" w:eastAsia="仿宋" w:cs="仿宋"/>
                <w:b/>
                <w:bCs/>
                <w:color w:val="auto"/>
                <w:sz w:val="24"/>
                <w:lang w:eastAsia="zh-CN"/>
              </w:rPr>
              <w:t>，一般年底支付</w:t>
            </w:r>
            <w:r>
              <w:rPr>
                <w:rFonts w:hint="eastAsia" w:ascii="仿宋" w:hAnsi="仿宋" w:eastAsia="仿宋" w:cs="仿宋"/>
                <w:b/>
                <w:bCs/>
                <w:color w:val="auto"/>
                <w:sz w:val="24"/>
              </w:rPr>
              <w:t>），合同期</w:t>
            </w:r>
            <w:r>
              <w:rPr>
                <w:rFonts w:hint="eastAsia" w:ascii="仿宋" w:hAnsi="仿宋" w:eastAsia="仿宋" w:cs="仿宋"/>
                <w:b/>
                <w:bCs/>
                <w:color w:val="auto"/>
                <w:sz w:val="24"/>
                <w:lang w:eastAsia="zh-CN"/>
              </w:rPr>
              <w:t>内</w:t>
            </w:r>
            <w:r>
              <w:rPr>
                <w:rFonts w:hint="eastAsia" w:ascii="仿宋" w:hAnsi="仿宋" w:eastAsia="仿宋" w:cs="仿宋"/>
                <w:b/>
                <w:bCs/>
                <w:color w:val="auto"/>
                <w:sz w:val="24"/>
              </w:rPr>
              <w:t>以承包人完成该服务期内所有项目的结算审计报告总额乘以75%作为当年发包人支付工程款的付款依据。</w:t>
            </w:r>
            <w:r>
              <w:rPr>
                <w:rFonts w:hint="eastAsia" w:ascii="仿宋" w:hAnsi="仿宋" w:eastAsia="仿宋" w:cs="仿宋"/>
                <w:b/>
                <w:bCs/>
                <w:color w:val="auto"/>
                <w:sz w:val="24"/>
                <w:lang w:val="en-US" w:eastAsia="zh-CN"/>
              </w:rPr>
              <w:t>剩余25%合同履行完毕后30日内付清。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64" w:type="dxa"/>
            <w:vAlign w:val="center"/>
          </w:tcPr>
          <w:p>
            <w:pPr>
              <w:adjustRightInd w:val="0"/>
              <w:snapToGrid w:val="0"/>
              <w:spacing w:line="400" w:lineRule="exact"/>
              <w:jc w:val="center"/>
              <w:rPr>
                <w:rFonts w:hint="eastAsia" w:ascii="仿宋" w:hAnsi="仿宋" w:eastAsia="仿宋" w:cs="仿宋"/>
                <w:sz w:val="24"/>
              </w:rPr>
            </w:pPr>
            <w:r>
              <w:rPr>
                <w:rFonts w:hint="eastAsia" w:ascii="仿宋" w:hAnsi="仿宋" w:eastAsia="仿宋" w:cs="仿宋"/>
                <w:sz w:val="24"/>
              </w:rPr>
              <w:t>17</w:t>
            </w:r>
          </w:p>
        </w:tc>
        <w:tc>
          <w:tcPr>
            <w:tcW w:w="8998" w:type="dxa"/>
            <w:vAlign w:val="center"/>
          </w:tcPr>
          <w:p>
            <w:pPr>
              <w:adjustRightInd w:val="0"/>
              <w:snapToGrid w:val="0"/>
              <w:spacing w:line="400" w:lineRule="exact"/>
              <w:rPr>
                <w:rFonts w:hint="eastAsia" w:ascii="仿宋" w:hAnsi="仿宋" w:eastAsia="仿宋" w:cs="仿宋"/>
                <w:sz w:val="24"/>
              </w:rPr>
            </w:pPr>
            <w:r>
              <w:rPr>
                <w:rFonts w:hint="eastAsia" w:ascii="仿宋" w:hAnsi="仿宋" w:eastAsia="仿宋" w:cs="仿宋"/>
                <w:sz w:val="24"/>
              </w:rPr>
              <w:t>投标文件有效期：</w:t>
            </w:r>
            <w:r>
              <w:rPr>
                <w:rFonts w:hint="eastAsia" w:ascii="仿宋" w:hAnsi="仿宋" w:eastAsia="仿宋" w:cs="仿宋"/>
                <w:sz w:val="24"/>
                <w:u w:val="single"/>
              </w:rPr>
              <w:t>90</w:t>
            </w:r>
            <w:r>
              <w:rPr>
                <w:rFonts w:hint="eastAsia" w:ascii="仿宋" w:hAnsi="仿宋" w:eastAsia="仿宋" w:cs="仿宋"/>
                <w:sz w:val="24"/>
              </w:rPr>
              <w:t xml:space="preserve"> 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64" w:type="dxa"/>
            <w:vAlign w:val="center"/>
          </w:tcPr>
          <w:p>
            <w:pPr>
              <w:adjustRightInd w:val="0"/>
              <w:snapToGrid w:val="0"/>
              <w:spacing w:line="400" w:lineRule="exact"/>
              <w:jc w:val="center"/>
              <w:rPr>
                <w:rFonts w:hint="eastAsia" w:ascii="仿宋" w:hAnsi="仿宋" w:eastAsia="仿宋" w:cs="仿宋"/>
                <w:sz w:val="24"/>
              </w:rPr>
            </w:pPr>
            <w:r>
              <w:rPr>
                <w:rFonts w:hint="eastAsia" w:ascii="仿宋" w:hAnsi="仿宋" w:eastAsia="仿宋" w:cs="仿宋"/>
                <w:sz w:val="24"/>
              </w:rPr>
              <w:t>18</w:t>
            </w:r>
          </w:p>
        </w:tc>
        <w:tc>
          <w:tcPr>
            <w:tcW w:w="8998" w:type="dxa"/>
            <w:vAlign w:val="center"/>
          </w:tcPr>
          <w:p>
            <w:pPr>
              <w:adjustRightInd w:val="0"/>
              <w:snapToGrid w:val="0"/>
              <w:spacing w:line="400" w:lineRule="exact"/>
              <w:rPr>
                <w:rFonts w:hint="eastAsia" w:ascii="仿宋" w:hAnsi="仿宋" w:eastAsia="仿宋" w:cs="仿宋"/>
                <w:sz w:val="24"/>
              </w:rPr>
            </w:pPr>
            <w:r>
              <w:rPr>
                <w:rFonts w:hint="eastAsia" w:ascii="仿宋" w:hAnsi="仿宋" w:eastAsia="仿宋" w:cs="仿宋"/>
                <w:sz w:val="24"/>
              </w:rPr>
              <w:t>解释：本招标文件的解释权属于招标采购单位</w:t>
            </w:r>
          </w:p>
        </w:tc>
      </w:tr>
    </w:tbl>
    <w:p>
      <w:pPr>
        <w:spacing w:line="400" w:lineRule="exact"/>
        <w:outlineLvl w:val="1"/>
        <w:rPr>
          <w:rFonts w:ascii="仿宋" w:hAnsi="仿宋" w:eastAsia="仿宋" w:cs="仿宋"/>
          <w:b/>
          <w:bCs/>
          <w:sz w:val="24"/>
        </w:rPr>
      </w:pPr>
      <w:bookmarkStart w:id="13" w:name="_Toc424544533"/>
      <w:bookmarkStart w:id="14" w:name="_Toc293916353"/>
      <w:bookmarkStart w:id="15" w:name="_Toc21625"/>
      <w:bookmarkStart w:id="16" w:name="_Toc293916002"/>
      <w:bookmarkStart w:id="17" w:name="_Toc293917017"/>
      <w:bookmarkStart w:id="18" w:name="_Toc293916871"/>
      <w:bookmarkStart w:id="19" w:name="_Toc424544812"/>
      <w:bookmarkStart w:id="20" w:name="_Toc177870536"/>
      <w:r>
        <w:rPr>
          <w:rFonts w:hint="eastAsia" w:ascii="仿宋" w:hAnsi="仿宋" w:eastAsia="仿宋" w:cs="仿宋"/>
          <w:b/>
          <w:bCs/>
          <w:sz w:val="24"/>
        </w:rPr>
        <w:t>一、总  则</w:t>
      </w:r>
      <w:bookmarkEnd w:id="13"/>
      <w:bookmarkEnd w:id="14"/>
      <w:bookmarkEnd w:id="15"/>
      <w:bookmarkEnd w:id="16"/>
      <w:bookmarkEnd w:id="17"/>
      <w:bookmarkEnd w:id="18"/>
      <w:bookmarkEnd w:id="19"/>
      <w:bookmarkEnd w:id="20"/>
    </w:p>
    <w:p>
      <w:pPr>
        <w:adjustRightInd w:val="0"/>
        <w:snapToGrid w:val="0"/>
        <w:spacing w:line="400" w:lineRule="exact"/>
        <w:jc w:val="left"/>
        <w:rPr>
          <w:rFonts w:ascii="仿宋" w:hAnsi="仿宋" w:eastAsia="仿宋" w:cs="仿宋"/>
          <w:b/>
          <w:sz w:val="24"/>
        </w:rPr>
      </w:pPr>
      <w:bookmarkStart w:id="21" w:name="_Toc293916003"/>
      <w:bookmarkStart w:id="22" w:name="_Toc293916354"/>
      <w:bookmarkStart w:id="23" w:name="_Toc177824939"/>
      <w:bookmarkStart w:id="24" w:name="_Toc177825120"/>
      <w:bookmarkStart w:id="25" w:name="_Toc177870537"/>
      <w:bookmarkStart w:id="26" w:name="_Toc177824872"/>
      <w:r>
        <w:rPr>
          <w:rFonts w:hint="eastAsia" w:ascii="仿宋" w:hAnsi="仿宋" w:eastAsia="仿宋" w:cs="仿宋"/>
          <w:b/>
          <w:sz w:val="24"/>
        </w:rPr>
        <w:t>（一）适用范围</w:t>
      </w:r>
      <w:bookmarkEnd w:id="21"/>
      <w:bookmarkEnd w:id="22"/>
      <w:bookmarkEnd w:id="23"/>
      <w:bookmarkEnd w:id="24"/>
      <w:bookmarkEnd w:id="25"/>
      <w:bookmarkEnd w:id="26"/>
    </w:p>
    <w:p>
      <w:pPr>
        <w:adjustRightInd w:val="0"/>
        <w:snapToGrid w:val="0"/>
        <w:spacing w:line="40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本招标文件适用于</w:t>
      </w:r>
      <w:r>
        <w:rPr>
          <w:rFonts w:hint="eastAsia" w:ascii="仿宋" w:hAnsi="仿宋" w:eastAsia="仿宋" w:cs="仿宋"/>
          <w:b/>
          <w:color w:val="auto"/>
          <w:kern w:val="0"/>
          <w:sz w:val="24"/>
          <w:u w:val="single"/>
          <w:lang w:eastAsia="zh-CN"/>
        </w:rPr>
        <w:t>湖东街道零星维修项目</w:t>
      </w:r>
      <w:r>
        <w:rPr>
          <w:rFonts w:hint="eastAsia" w:ascii="仿宋" w:hAnsi="仿宋" w:eastAsia="仿宋" w:cs="仿宋"/>
          <w:color w:val="auto"/>
          <w:sz w:val="24"/>
        </w:rPr>
        <w:t>的招标、评标、定标、验收、合同履约、付款等（法律、法规另有规定的，从其规定）。</w:t>
      </w:r>
    </w:p>
    <w:p>
      <w:pPr>
        <w:adjustRightInd w:val="0"/>
        <w:snapToGrid w:val="0"/>
        <w:spacing w:line="400" w:lineRule="exact"/>
        <w:jc w:val="left"/>
        <w:rPr>
          <w:rFonts w:hint="eastAsia" w:ascii="仿宋" w:hAnsi="仿宋" w:eastAsia="仿宋" w:cs="仿宋"/>
          <w:b/>
          <w:sz w:val="24"/>
        </w:rPr>
      </w:pPr>
      <w:bookmarkStart w:id="27" w:name="_Toc177870538"/>
      <w:bookmarkStart w:id="28" w:name="_Toc177824940"/>
      <w:bookmarkStart w:id="29" w:name="_Toc177825121"/>
      <w:bookmarkStart w:id="30" w:name="_Toc293916355"/>
      <w:bookmarkStart w:id="31" w:name="_Toc177824873"/>
      <w:bookmarkStart w:id="32" w:name="_Toc293916004"/>
      <w:r>
        <w:rPr>
          <w:rFonts w:hint="eastAsia" w:ascii="仿宋" w:hAnsi="仿宋" w:eastAsia="仿宋" w:cs="仿宋"/>
          <w:b/>
          <w:sz w:val="24"/>
        </w:rPr>
        <w:t>（二）定义</w:t>
      </w:r>
      <w:bookmarkEnd w:id="27"/>
      <w:bookmarkEnd w:id="28"/>
      <w:bookmarkEnd w:id="29"/>
      <w:bookmarkEnd w:id="30"/>
      <w:bookmarkEnd w:id="31"/>
      <w:bookmarkEnd w:id="32"/>
    </w:p>
    <w:p>
      <w:pPr>
        <w:adjustRightInd w:val="0"/>
        <w:snapToGrid w:val="0"/>
        <w:spacing w:line="400" w:lineRule="exact"/>
        <w:jc w:val="left"/>
        <w:rPr>
          <w:rFonts w:hint="eastAsia" w:ascii="仿宋" w:hAnsi="仿宋" w:eastAsia="仿宋" w:cs="仿宋"/>
          <w:sz w:val="24"/>
        </w:rPr>
      </w:pPr>
      <w:bookmarkStart w:id="33" w:name="_Toc293916005"/>
      <w:bookmarkStart w:id="34" w:name="_Toc293916356"/>
      <w:bookmarkStart w:id="35" w:name="_Toc177870539"/>
      <w:bookmarkStart w:id="36" w:name="_Toc293916012"/>
      <w:bookmarkStart w:id="37" w:name="_Toc293916363"/>
      <w:r>
        <w:rPr>
          <w:rFonts w:hint="eastAsia" w:ascii="仿宋" w:hAnsi="仿宋" w:eastAsia="仿宋" w:cs="仿宋"/>
          <w:sz w:val="24"/>
        </w:rPr>
        <w:t>1、</w:t>
      </w:r>
      <w:bookmarkEnd w:id="33"/>
      <w:bookmarkEnd w:id="34"/>
      <w:r>
        <w:rPr>
          <w:rFonts w:hint="eastAsia" w:ascii="仿宋" w:hAnsi="仿宋" w:eastAsia="仿宋" w:cs="仿宋"/>
          <w:sz w:val="24"/>
        </w:rPr>
        <w:t>“采购人”系指</w:t>
      </w:r>
      <w:r>
        <w:rPr>
          <w:rFonts w:hint="eastAsia" w:ascii="仿宋" w:hAnsi="仿宋" w:eastAsia="仿宋" w:cs="仿宋"/>
          <w:b/>
          <w:bCs/>
          <w:sz w:val="24"/>
          <w:u w:val="single"/>
        </w:rPr>
        <w:t>湖州市吴兴区人民政府湖东街道办事处</w:t>
      </w:r>
      <w:r>
        <w:rPr>
          <w:rFonts w:hint="eastAsia" w:ascii="仿宋" w:hAnsi="仿宋" w:eastAsia="仿宋" w:cs="仿宋"/>
          <w:sz w:val="24"/>
        </w:rPr>
        <w:t>。</w:t>
      </w:r>
    </w:p>
    <w:p>
      <w:pPr>
        <w:adjustRightInd w:val="0"/>
        <w:snapToGrid w:val="0"/>
        <w:spacing w:line="400" w:lineRule="exact"/>
        <w:jc w:val="left"/>
        <w:rPr>
          <w:rFonts w:hint="eastAsia" w:ascii="仿宋" w:hAnsi="仿宋" w:eastAsia="仿宋" w:cs="仿宋"/>
          <w:sz w:val="24"/>
        </w:rPr>
      </w:pPr>
      <w:r>
        <w:rPr>
          <w:rFonts w:hint="eastAsia" w:ascii="仿宋" w:hAnsi="仿宋" w:eastAsia="仿宋" w:cs="仿宋"/>
          <w:bCs/>
          <w:sz w:val="24"/>
        </w:rPr>
        <w:t>2、“采购代理机构”系指</w:t>
      </w:r>
      <w:r>
        <w:rPr>
          <w:rFonts w:hint="eastAsia" w:ascii="仿宋" w:hAnsi="仿宋" w:eastAsia="仿宋" w:cs="仿宋"/>
          <w:b/>
          <w:sz w:val="24"/>
          <w:u w:val="single"/>
        </w:rPr>
        <w:t>大地工程咨询有限公司</w:t>
      </w:r>
      <w:r>
        <w:rPr>
          <w:rFonts w:hint="eastAsia" w:ascii="仿宋" w:hAnsi="仿宋" w:eastAsia="仿宋" w:cs="仿宋"/>
          <w:bCs/>
          <w:sz w:val="24"/>
        </w:rPr>
        <w:t>。</w:t>
      </w:r>
    </w:p>
    <w:p>
      <w:pPr>
        <w:adjustRightInd w:val="0"/>
        <w:snapToGrid w:val="0"/>
        <w:spacing w:line="400" w:lineRule="exact"/>
        <w:jc w:val="left"/>
        <w:rPr>
          <w:rFonts w:hint="eastAsia" w:ascii="仿宋" w:hAnsi="仿宋" w:eastAsia="仿宋" w:cs="仿宋"/>
          <w:b/>
          <w:sz w:val="24"/>
        </w:rPr>
      </w:pPr>
      <w:r>
        <w:rPr>
          <w:rFonts w:hint="eastAsia" w:ascii="仿宋" w:hAnsi="仿宋" w:eastAsia="仿宋" w:cs="仿宋"/>
          <w:sz w:val="24"/>
        </w:rPr>
        <w:t>3、“投标人”系指向采购人、采购代理机构提交投标文件的单位。</w:t>
      </w:r>
    </w:p>
    <w:p>
      <w:pPr>
        <w:adjustRightInd w:val="0"/>
        <w:snapToGrid w:val="0"/>
        <w:spacing w:line="400" w:lineRule="exact"/>
        <w:jc w:val="left"/>
        <w:rPr>
          <w:rFonts w:hint="eastAsia" w:ascii="仿宋" w:hAnsi="仿宋" w:eastAsia="仿宋" w:cs="仿宋"/>
          <w:b/>
          <w:sz w:val="24"/>
        </w:rPr>
      </w:pPr>
      <w:bookmarkStart w:id="38" w:name="_Toc293916357"/>
      <w:bookmarkStart w:id="39" w:name="_Toc293916006"/>
      <w:r>
        <w:rPr>
          <w:rFonts w:hint="eastAsia" w:ascii="仿宋" w:hAnsi="仿宋" w:eastAsia="仿宋" w:cs="仿宋"/>
          <w:sz w:val="24"/>
        </w:rPr>
        <w:t>4、</w:t>
      </w:r>
      <w:bookmarkEnd w:id="38"/>
      <w:bookmarkEnd w:id="39"/>
      <w:r>
        <w:rPr>
          <w:rFonts w:hint="eastAsia" w:ascii="仿宋" w:hAnsi="仿宋" w:eastAsia="仿宋" w:cs="仿宋"/>
          <w:sz w:val="24"/>
        </w:rPr>
        <w:t>“产品”系指供方按招标文件规定，须向采购人提供的一切设备、保险、税金、备品备件、工具、手册及其它有关技术资料和材料。</w:t>
      </w:r>
    </w:p>
    <w:p>
      <w:pPr>
        <w:adjustRightInd w:val="0"/>
        <w:snapToGrid w:val="0"/>
        <w:spacing w:line="400" w:lineRule="exact"/>
        <w:jc w:val="left"/>
        <w:rPr>
          <w:rFonts w:hint="eastAsia" w:ascii="仿宋" w:hAnsi="仿宋" w:eastAsia="仿宋" w:cs="仿宋"/>
          <w:b/>
          <w:sz w:val="24"/>
        </w:rPr>
      </w:pPr>
      <w:bookmarkStart w:id="40" w:name="_Toc293916007"/>
      <w:bookmarkStart w:id="41" w:name="_Toc293916358"/>
      <w:r>
        <w:rPr>
          <w:rFonts w:hint="eastAsia" w:ascii="仿宋" w:hAnsi="仿宋" w:eastAsia="仿宋" w:cs="仿宋"/>
          <w:sz w:val="24"/>
        </w:rPr>
        <w:t>5、</w:t>
      </w:r>
      <w:bookmarkEnd w:id="40"/>
      <w:bookmarkEnd w:id="41"/>
      <w:bookmarkStart w:id="42" w:name="_Toc293916008"/>
      <w:bookmarkStart w:id="43" w:name="_Toc293916359"/>
      <w:r>
        <w:rPr>
          <w:rFonts w:hint="eastAsia" w:ascii="仿宋" w:hAnsi="仿宋" w:eastAsia="仿宋" w:cs="仿宋"/>
          <w:sz w:val="24"/>
        </w:rPr>
        <w:t>“服务”系指招标文件规定投标人须承担的安装、调试、技术协助、校准、培训、技术指导以及其他类似的义务。</w:t>
      </w:r>
      <w:bookmarkEnd w:id="42"/>
      <w:bookmarkEnd w:id="43"/>
    </w:p>
    <w:p>
      <w:pPr>
        <w:adjustRightInd w:val="0"/>
        <w:snapToGrid w:val="0"/>
        <w:spacing w:line="400" w:lineRule="exact"/>
        <w:jc w:val="left"/>
        <w:rPr>
          <w:rFonts w:ascii="仿宋" w:hAnsi="仿宋" w:eastAsia="仿宋" w:cs="仿宋"/>
          <w:b/>
          <w:sz w:val="24"/>
        </w:rPr>
      </w:pPr>
      <w:bookmarkStart w:id="44" w:name="_Toc293916360"/>
      <w:bookmarkStart w:id="45" w:name="_Toc293916009"/>
      <w:r>
        <w:rPr>
          <w:rFonts w:hint="eastAsia" w:ascii="仿宋" w:hAnsi="仿宋" w:eastAsia="仿宋" w:cs="仿宋"/>
          <w:sz w:val="24"/>
        </w:rPr>
        <w:t>6、“项目”系指投标人按招标文件规定向采购人提供的产品和服务。</w:t>
      </w:r>
      <w:bookmarkEnd w:id="44"/>
      <w:bookmarkEnd w:id="45"/>
    </w:p>
    <w:p>
      <w:pPr>
        <w:adjustRightInd w:val="0"/>
        <w:snapToGrid w:val="0"/>
        <w:spacing w:line="400" w:lineRule="exact"/>
        <w:jc w:val="left"/>
        <w:rPr>
          <w:rFonts w:ascii="仿宋" w:hAnsi="仿宋" w:eastAsia="仿宋" w:cs="仿宋"/>
          <w:b/>
          <w:sz w:val="24"/>
        </w:rPr>
      </w:pPr>
      <w:bookmarkStart w:id="46" w:name="_Toc293916361"/>
      <w:bookmarkStart w:id="47" w:name="_Toc293916010"/>
      <w:r>
        <w:rPr>
          <w:rFonts w:hint="eastAsia" w:ascii="仿宋" w:hAnsi="仿宋" w:eastAsia="仿宋" w:cs="仿宋"/>
          <w:sz w:val="24"/>
        </w:rPr>
        <w:t>7、“书面形式”包括信函、传真、电子文档等。</w:t>
      </w:r>
      <w:bookmarkEnd w:id="46"/>
      <w:bookmarkEnd w:id="47"/>
    </w:p>
    <w:p>
      <w:pPr>
        <w:adjustRightInd w:val="0"/>
        <w:snapToGrid w:val="0"/>
        <w:spacing w:line="400" w:lineRule="exact"/>
        <w:jc w:val="left"/>
        <w:rPr>
          <w:rFonts w:ascii="仿宋" w:hAnsi="仿宋" w:eastAsia="仿宋" w:cs="仿宋"/>
          <w:b/>
          <w:sz w:val="24"/>
        </w:rPr>
      </w:pPr>
      <w:bookmarkStart w:id="48" w:name="_Toc293916362"/>
      <w:bookmarkStart w:id="49" w:name="_Toc293916011"/>
      <w:r>
        <w:rPr>
          <w:rFonts w:hint="eastAsia" w:ascii="仿宋" w:hAnsi="仿宋" w:eastAsia="仿宋" w:cs="仿宋"/>
          <w:sz w:val="24"/>
        </w:rPr>
        <w:t>8、“▲”系指实质性要求条款。</w:t>
      </w:r>
      <w:bookmarkEnd w:id="48"/>
      <w:bookmarkEnd w:id="49"/>
    </w:p>
    <w:p>
      <w:pPr>
        <w:adjustRightInd w:val="0"/>
        <w:snapToGrid w:val="0"/>
        <w:spacing w:line="400" w:lineRule="exact"/>
        <w:jc w:val="left"/>
        <w:rPr>
          <w:rFonts w:ascii="仿宋" w:hAnsi="仿宋" w:eastAsia="仿宋" w:cs="仿宋"/>
          <w:b/>
          <w:sz w:val="24"/>
        </w:rPr>
      </w:pPr>
      <w:r>
        <w:rPr>
          <w:rFonts w:hint="eastAsia" w:ascii="仿宋" w:hAnsi="仿宋" w:eastAsia="仿宋" w:cs="仿宋"/>
          <w:b/>
          <w:sz w:val="24"/>
        </w:rPr>
        <w:t>（三）招标方式</w:t>
      </w:r>
      <w:bookmarkEnd w:id="35"/>
      <w:r>
        <w:rPr>
          <w:rFonts w:hint="eastAsia" w:ascii="仿宋" w:hAnsi="仿宋" w:eastAsia="仿宋" w:cs="仿宋"/>
          <w:b/>
          <w:sz w:val="24"/>
        </w:rPr>
        <w:t>：</w:t>
      </w:r>
      <w:bookmarkEnd w:id="36"/>
      <w:bookmarkEnd w:id="37"/>
    </w:p>
    <w:p>
      <w:pPr>
        <w:adjustRightInd w:val="0"/>
        <w:snapToGrid w:val="0"/>
        <w:spacing w:line="400" w:lineRule="exact"/>
        <w:ind w:firstLine="480" w:firstLineChars="200"/>
        <w:jc w:val="left"/>
        <w:rPr>
          <w:rFonts w:ascii="仿宋" w:hAnsi="仿宋" w:eastAsia="仿宋" w:cs="仿宋"/>
          <w:sz w:val="24"/>
        </w:rPr>
      </w:pPr>
      <w:r>
        <w:rPr>
          <w:rFonts w:hint="eastAsia" w:ascii="仿宋" w:hAnsi="仿宋" w:eastAsia="仿宋" w:cs="仿宋"/>
          <w:sz w:val="24"/>
        </w:rPr>
        <w:t>1、本次招标采用公开招标方式进行。</w:t>
      </w:r>
    </w:p>
    <w:p>
      <w:pPr>
        <w:adjustRightInd w:val="0"/>
        <w:snapToGrid w:val="0"/>
        <w:spacing w:line="400" w:lineRule="exact"/>
        <w:ind w:firstLine="480" w:firstLineChars="200"/>
        <w:jc w:val="left"/>
        <w:rPr>
          <w:rFonts w:ascii="仿宋" w:hAnsi="仿宋" w:eastAsia="仿宋" w:cs="仿宋"/>
          <w:sz w:val="24"/>
        </w:rPr>
      </w:pPr>
      <w:r>
        <w:rPr>
          <w:rFonts w:hint="eastAsia" w:ascii="仿宋" w:hAnsi="仿宋" w:eastAsia="仿宋" w:cs="仿宋"/>
          <w:sz w:val="24"/>
        </w:rPr>
        <w:t>2、本次招标设定预算价，预算价由采购人确定并在招标文件中明确。</w:t>
      </w:r>
    </w:p>
    <w:p>
      <w:pPr>
        <w:adjustRightInd w:val="0"/>
        <w:snapToGrid w:val="0"/>
        <w:spacing w:line="400" w:lineRule="exact"/>
        <w:jc w:val="left"/>
        <w:rPr>
          <w:rFonts w:ascii="仿宋" w:hAnsi="仿宋" w:eastAsia="仿宋" w:cs="仿宋"/>
          <w:b/>
          <w:sz w:val="24"/>
        </w:rPr>
      </w:pPr>
      <w:bookmarkStart w:id="50" w:name="_Toc177824941"/>
      <w:bookmarkStart w:id="51" w:name="_Toc177870540"/>
      <w:bookmarkStart w:id="52" w:name="_Toc177825122"/>
      <w:bookmarkStart w:id="53" w:name="_Toc293916013"/>
      <w:bookmarkStart w:id="54" w:name="_Toc177824874"/>
      <w:bookmarkStart w:id="55" w:name="_Toc293916364"/>
      <w:r>
        <w:rPr>
          <w:rFonts w:hint="eastAsia" w:ascii="仿宋" w:hAnsi="仿宋" w:eastAsia="仿宋" w:cs="仿宋"/>
          <w:b/>
          <w:sz w:val="24"/>
        </w:rPr>
        <w:t>（四）投标委托</w:t>
      </w:r>
      <w:bookmarkEnd w:id="50"/>
      <w:bookmarkEnd w:id="51"/>
      <w:bookmarkEnd w:id="52"/>
      <w:bookmarkEnd w:id="53"/>
      <w:bookmarkEnd w:id="54"/>
      <w:bookmarkEnd w:id="55"/>
    </w:p>
    <w:p>
      <w:pPr>
        <w:pStyle w:val="11"/>
        <w:adjustRightInd w:val="0"/>
        <w:snapToGrid w:val="0"/>
        <w:spacing w:line="400" w:lineRule="exact"/>
        <w:ind w:firstLine="480" w:firstLineChars="200"/>
        <w:jc w:val="left"/>
        <w:rPr>
          <w:rFonts w:ascii="仿宋" w:hAnsi="仿宋" w:eastAsia="仿宋" w:cs="仿宋"/>
          <w:spacing w:val="0"/>
          <w:sz w:val="24"/>
          <w:szCs w:val="24"/>
        </w:rPr>
      </w:pPr>
      <w:r>
        <w:rPr>
          <w:rFonts w:hint="eastAsia" w:ascii="仿宋" w:hAnsi="仿宋" w:eastAsia="仿宋" w:cs="仿宋"/>
          <w:spacing w:val="0"/>
          <w:sz w:val="24"/>
          <w:szCs w:val="24"/>
        </w:rPr>
        <w:t>投标人代表须携带居民身份证。如投标人代表不是法定代表人，须有法定代表人出具的授权委托书（正本用原件，副本用复印件，格式见第六章）。</w:t>
      </w:r>
    </w:p>
    <w:p>
      <w:pPr>
        <w:adjustRightInd w:val="0"/>
        <w:snapToGrid w:val="0"/>
        <w:spacing w:line="400" w:lineRule="exact"/>
        <w:jc w:val="left"/>
        <w:rPr>
          <w:rFonts w:ascii="仿宋" w:hAnsi="仿宋" w:eastAsia="仿宋" w:cs="仿宋"/>
          <w:b/>
          <w:sz w:val="24"/>
        </w:rPr>
      </w:pPr>
      <w:bookmarkStart w:id="56" w:name="_Toc293916014"/>
      <w:bookmarkStart w:id="57" w:name="_Toc177825123"/>
      <w:bookmarkStart w:id="58" w:name="_Toc177824875"/>
      <w:bookmarkStart w:id="59" w:name="_Toc293916365"/>
      <w:bookmarkStart w:id="60" w:name="_Toc177824942"/>
      <w:bookmarkStart w:id="61" w:name="_Toc177870541"/>
      <w:r>
        <w:rPr>
          <w:rFonts w:hint="eastAsia" w:ascii="仿宋" w:hAnsi="仿宋" w:eastAsia="仿宋" w:cs="仿宋"/>
          <w:b/>
          <w:sz w:val="24"/>
        </w:rPr>
        <w:t>（五）投标费用</w:t>
      </w:r>
      <w:bookmarkEnd w:id="56"/>
      <w:bookmarkEnd w:id="57"/>
      <w:bookmarkEnd w:id="58"/>
      <w:bookmarkEnd w:id="59"/>
      <w:bookmarkEnd w:id="60"/>
      <w:bookmarkEnd w:id="61"/>
    </w:p>
    <w:p>
      <w:pPr>
        <w:adjustRightInd w:val="0"/>
        <w:snapToGrid w:val="0"/>
        <w:spacing w:line="400" w:lineRule="exact"/>
        <w:ind w:firstLine="480" w:firstLineChars="200"/>
        <w:jc w:val="left"/>
        <w:rPr>
          <w:rFonts w:ascii="仿宋" w:hAnsi="仿宋" w:eastAsia="仿宋" w:cs="仿宋"/>
          <w:sz w:val="24"/>
        </w:rPr>
      </w:pPr>
      <w:r>
        <w:rPr>
          <w:rFonts w:hint="eastAsia" w:ascii="仿宋" w:hAnsi="仿宋" w:eastAsia="仿宋" w:cs="仿宋"/>
          <w:sz w:val="24"/>
        </w:rPr>
        <w:t>不论投标结果如何，投标人均应自行承担所有与投标有关的全部费用。</w:t>
      </w:r>
    </w:p>
    <w:p>
      <w:pPr>
        <w:adjustRightInd w:val="0"/>
        <w:snapToGrid w:val="0"/>
        <w:spacing w:line="400" w:lineRule="exact"/>
        <w:jc w:val="left"/>
        <w:rPr>
          <w:rFonts w:ascii="仿宋" w:hAnsi="仿宋" w:eastAsia="仿宋" w:cs="仿宋"/>
          <w:b/>
          <w:sz w:val="24"/>
        </w:rPr>
      </w:pPr>
      <w:r>
        <w:rPr>
          <w:rFonts w:hint="eastAsia" w:ascii="仿宋" w:hAnsi="仿宋" w:eastAsia="仿宋" w:cs="仿宋"/>
          <w:b/>
          <w:sz w:val="24"/>
        </w:rPr>
        <w:t>（六）合格投标人的资格要求</w:t>
      </w:r>
    </w:p>
    <w:p>
      <w:pPr>
        <w:adjustRightInd w:val="0"/>
        <w:snapToGrid w:val="0"/>
        <w:spacing w:line="400" w:lineRule="exact"/>
        <w:ind w:firstLine="480" w:firstLineChars="200"/>
        <w:jc w:val="left"/>
        <w:rPr>
          <w:rFonts w:ascii="仿宋" w:hAnsi="仿宋" w:eastAsia="仿宋" w:cs="仿宋"/>
          <w:sz w:val="24"/>
        </w:rPr>
      </w:pPr>
      <w:r>
        <w:rPr>
          <w:rFonts w:hint="eastAsia" w:ascii="仿宋" w:hAnsi="仿宋" w:eastAsia="仿宋" w:cs="仿宋"/>
          <w:sz w:val="24"/>
        </w:rPr>
        <w:t>符合第一章第四条的规定。</w:t>
      </w:r>
    </w:p>
    <w:p>
      <w:pPr>
        <w:adjustRightInd w:val="0"/>
        <w:snapToGrid w:val="0"/>
        <w:spacing w:line="400" w:lineRule="exact"/>
        <w:jc w:val="left"/>
        <w:rPr>
          <w:rFonts w:ascii="仿宋" w:hAnsi="仿宋" w:eastAsia="仿宋" w:cs="仿宋"/>
          <w:b/>
          <w:sz w:val="24"/>
        </w:rPr>
      </w:pPr>
      <w:r>
        <w:rPr>
          <w:rFonts w:hint="eastAsia" w:ascii="仿宋" w:hAnsi="仿宋" w:eastAsia="仿宋" w:cs="仿宋"/>
          <w:b/>
          <w:sz w:val="24"/>
        </w:rPr>
        <w:t>（七）转包与分包</w:t>
      </w:r>
    </w:p>
    <w:p>
      <w:pPr>
        <w:adjustRightInd w:val="0"/>
        <w:snapToGrid w:val="0"/>
        <w:spacing w:line="400" w:lineRule="exact"/>
        <w:ind w:firstLine="480" w:firstLineChars="200"/>
        <w:rPr>
          <w:rFonts w:ascii="仿宋" w:hAnsi="仿宋" w:eastAsia="仿宋" w:cs="仿宋"/>
          <w:kern w:val="0"/>
          <w:sz w:val="24"/>
        </w:rPr>
      </w:pPr>
      <w:r>
        <w:rPr>
          <w:rFonts w:hint="eastAsia" w:ascii="仿宋" w:hAnsi="仿宋" w:eastAsia="仿宋" w:cs="仿宋"/>
          <w:kern w:val="0"/>
          <w:sz w:val="24"/>
        </w:rPr>
        <w:t>本项目不允许转包或分包。</w:t>
      </w:r>
    </w:p>
    <w:p>
      <w:pPr>
        <w:adjustRightInd w:val="0"/>
        <w:snapToGrid w:val="0"/>
        <w:spacing w:line="400" w:lineRule="exact"/>
        <w:rPr>
          <w:rFonts w:ascii="仿宋" w:hAnsi="仿宋" w:eastAsia="仿宋" w:cs="仿宋"/>
          <w:b/>
          <w:sz w:val="24"/>
        </w:rPr>
      </w:pPr>
      <w:r>
        <w:rPr>
          <w:rFonts w:hint="eastAsia" w:ascii="仿宋" w:hAnsi="仿宋" w:eastAsia="仿宋" w:cs="仿宋"/>
          <w:b/>
          <w:sz w:val="24"/>
        </w:rPr>
        <w:t>（</w:t>
      </w:r>
      <w:r>
        <w:rPr>
          <w:rFonts w:hint="eastAsia" w:ascii="仿宋" w:hAnsi="仿宋" w:eastAsia="仿宋" w:cs="仿宋"/>
          <w:b/>
          <w:kern w:val="0"/>
          <w:sz w:val="24"/>
        </w:rPr>
        <w:t>八</w:t>
      </w:r>
      <w:r>
        <w:rPr>
          <w:rFonts w:hint="eastAsia" w:ascii="仿宋" w:hAnsi="仿宋" w:eastAsia="仿宋" w:cs="仿宋"/>
          <w:b/>
          <w:sz w:val="24"/>
        </w:rPr>
        <w:t>）</w:t>
      </w:r>
      <w:bookmarkStart w:id="62" w:name="_Toc177870542"/>
      <w:r>
        <w:rPr>
          <w:rFonts w:hint="eastAsia" w:ascii="仿宋" w:hAnsi="仿宋" w:eastAsia="仿宋" w:cs="仿宋"/>
          <w:b/>
          <w:sz w:val="24"/>
        </w:rPr>
        <w:t>特别说明：</w:t>
      </w:r>
      <w:bookmarkEnd w:id="62"/>
    </w:p>
    <w:p>
      <w:pPr>
        <w:adjustRightInd w:val="0"/>
        <w:snapToGrid w:val="0"/>
        <w:spacing w:line="480" w:lineRule="exact"/>
        <w:ind w:left="220"/>
        <w:rPr>
          <w:rFonts w:ascii="仿宋" w:hAnsi="仿宋" w:eastAsia="仿宋" w:cs="仿宋"/>
          <w:sz w:val="24"/>
        </w:rPr>
      </w:pPr>
      <w:bookmarkStart w:id="63" w:name="_Toc177870543"/>
      <w:r>
        <w:rPr>
          <w:rFonts w:hint="eastAsia" w:ascii="仿宋" w:hAnsi="仿宋" w:eastAsia="仿宋" w:cs="仿宋"/>
          <w:sz w:val="24"/>
        </w:rPr>
        <w:t>▲1.多家供应商参加投标，如其中两家或两家以上供应商的法定代表人为同一人或相互之间存在投资关系且达到控股的，同时提供的是同一品牌产品的，应当按一个供应商认定。评审时，取其中通过资格审查后的报价最低一家为有效供应商；当报价相同时，则以技术标最优一家为有效供应商；均相同时，由评标委员会集体讨论决定。</w:t>
      </w:r>
    </w:p>
    <w:p>
      <w:pPr>
        <w:adjustRightInd w:val="0"/>
        <w:snapToGrid w:val="0"/>
        <w:spacing w:line="480" w:lineRule="exact"/>
        <w:ind w:left="220"/>
        <w:rPr>
          <w:rFonts w:ascii="仿宋" w:hAnsi="仿宋" w:eastAsia="仿宋" w:cs="仿宋"/>
          <w:sz w:val="24"/>
        </w:rPr>
      </w:pPr>
      <w:r>
        <w:rPr>
          <w:rFonts w:hint="eastAsia" w:ascii="仿宋" w:hAnsi="仿宋" w:eastAsia="仿宋" w:cs="仿宋"/>
          <w:sz w:val="24"/>
        </w:rPr>
        <w:t>▲2.投标人投标所使用的资格、信誉、荣誉、业绩与企业认证必须为本法人所拥有。投标人投标所使用的采购项目实施人员必须为本法人员工（或必须为本法人或控股公司正式员工）。</w:t>
      </w:r>
    </w:p>
    <w:p>
      <w:pPr>
        <w:adjustRightInd w:val="0"/>
        <w:snapToGrid w:val="0"/>
        <w:spacing w:line="480" w:lineRule="exact"/>
        <w:ind w:left="220"/>
        <w:rPr>
          <w:rFonts w:ascii="仿宋" w:hAnsi="仿宋" w:eastAsia="仿宋" w:cs="仿宋"/>
          <w:sz w:val="24"/>
        </w:rPr>
      </w:pPr>
      <w:r>
        <w:rPr>
          <w:rFonts w:hint="eastAsia" w:ascii="仿宋" w:hAnsi="仿宋" w:eastAsia="仿宋" w:cs="仿宋"/>
          <w:sz w:val="24"/>
        </w:rPr>
        <w:t>▲3.投标人应仔细阅读招标文件的所有内容，按照招标文件的要求提交投标文件，并对所提供的全部资料的真实性承担法律责任。</w:t>
      </w:r>
    </w:p>
    <w:p>
      <w:pPr>
        <w:adjustRightInd w:val="0"/>
        <w:snapToGrid w:val="0"/>
        <w:spacing w:line="480" w:lineRule="exact"/>
        <w:ind w:left="220"/>
        <w:rPr>
          <w:rFonts w:ascii="仿宋" w:hAnsi="仿宋" w:eastAsia="仿宋" w:cs="仿宋"/>
          <w:sz w:val="24"/>
        </w:rPr>
      </w:pPr>
      <w:r>
        <w:rPr>
          <w:rFonts w:hint="eastAsia" w:ascii="仿宋" w:hAnsi="仿宋" w:eastAsia="仿宋" w:cs="仿宋"/>
          <w:sz w:val="24"/>
        </w:rPr>
        <w:t>▲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djustRightInd w:val="0"/>
        <w:snapToGrid w:val="0"/>
        <w:spacing w:line="400" w:lineRule="exact"/>
        <w:rPr>
          <w:rFonts w:ascii="仿宋" w:hAnsi="仿宋" w:eastAsia="仿宋" w:cs="仿宋"/>
          <w:b/>
          <w:bCs/>
          <w:sz w:val="24"/>
        </w:rPr>
      </w:pPr>
      <w:r>
        <w:rPr>
          <w:rFonts w:hint="eastAsia" w:ascii="仿宋" w:hAnsi="仿宋" w:eastAsia="仿宋" w:cs="仿宋"/>
          <w:b/>
          <w:kern w:val="0"/>
          <w:sz w:val="24"/>
        </w:rPr>
        <w:t>（九）</w:t>
      </w:r>
      <w:r>
        <w:rPr>
          <w:rFonts w:hint="eastAsia" w:ascii="仿宋" w:hAnsi="仿宋" w:eastAsia="仿宋" w:cs="仿宋"/>
          <w:b/>
          <w:bCs/>
          <w:sz w:val="24"/>
        </w:rPr>
        <w:t>质疑</w:t>
      </w:r>
      <w:bookmarkEnd w:id="63"/>
      <w:r>
        <w:rPr>
          <w:rFonts w:hint="eastAsia" w:ascii="仿宋" w:hAnsi="仿宋" w:eastAsia="仿宋" w:cs="仿宋"/>
          <w:b/>
          <w:bCs/>
          <w:sz w:val="24"/>
        </w:rPr>
        <w:t>和投诉</w:t>
      </w:r>
    </w:p>
    <w:p>
      <w:pPr>
        <w:spacing w:line="400" w:lineRule="exact"/>
        <w:ind w:firstLine="480" w:firstLineChars="200"/>
        <w:jc w:val="left"/>
        <w:outlineLvl w:val="1"/>
        <w:rPr>
          <w:rFonts w:ascii="仿宋" w:hAnsi="仿宋" w:eastAsia="仿宋" w:cs="仿宋"/>
          <w:bCs/>
          <w:sz w:val="24"/>
        </w:rPr>
      </w:pPr>
      <w:bookmarkStart w:id="64" w:name="_Toc22586"/>
      <w:bookmarkStart w:id="65" w:name="_Toc1792"/>
      <w:bookmarkStart w:id="66" w:name="_Toc424544813"/>
      <w:bookmarkStart w:id="67" w:name="_Toc293916872"/>
      <w:bookmarkStart w:id="68" w:name="_Toc293917018"/>
      <w:bookmarkStart w:id="69" w:name="_Toc293916015"/>
      <w:bookmarkStart w:id="70" w:name="_Toc424544534"/>
      <w:bookmarkStart w:id="71" w:name="_Toc177870544"/>
      <w:bookmarkStart w:id="72" w:name="_Toc293916366"/>
      <w:r>
        <w:rPr>
          <w:rFonts w:hint="eastAsia" w:ascii="仿宋" w:hAnsi="仿宋" w:eastAsia="仿宋" w:cs="仿宋"/>
          <w:bCs/>
          <w:sz w:val="24"/>
        </w:rPr>
        <w:t>根据《中华人民共和国财政部令第94号-政府采购质疑和投诉办法》第二章规定。</w:t>
      </w:r>
      <w:bookmarkEnd w:id="64"/>
      <w:bookmarkEnd w:id="65"/>
    </w:p>
    <w:p>
      <w:pPr>
        <w:spacing w:line="400" w:lineRule="exact"/>
        <w:ind w:firstLine="480" w:firstLineChars="200"/>
        <w:jc w:val="left"/>
        <w:outlineLvl w:val="1"/>
        <w:rPr>
          <w:rFonts w:ascii="仿宋" w:hAnsi="仿宋" w:eastAsia="仿宋" w:cs="仿宋"/>
          <w:bCs/>
          <w:sz w:val="24"/>
        </w:rPr>
      </w:pPr>
      <w:bookmarkStart w:id="73" w:name="_Toc4153"/>
      <w:bookmarkStart w:id="74" w:name="_Toc22127"/>
      <w:r>
        <w:rPr>
          <w:rFonts w:hint="eastAsia" w:ascii="仿宋" w:hAnsi="仿宋" w:eastAsia="仿宋" w:cs="仿宋"/>
          <w:bCs/>
          <w:sz w:val="24"/>
        </w:rPr>
        <w:t>1.供应商认为采购文件、采购过程、中标或者中标结果使自己的权益受到损害的，可以在知道或者应知其权益受到损害之日起7个工作日内，以书面形式向采购人、采购代理机构提出质疑。采购文件可以要求供应商在法定质疑期内一次性提出针对同一采购程序环节的质疑。</w:t>
      </w:r>
      <w:bookmarkEnd w:id="73"/>
      <w:bookmarkEnd w:id="74"/>
    </w:p>
    <w:p>
      <w:pPr>
        <w:spacing w:line="400" w:lineRule="exact"/>
        <w:ind w:firstLine="480" w:firstLineChars="200"/>
        <w:jc w:val="left"/>
        <w:outlineLvl w:val="1"/>
        <w:rPr>
          <w:rFonts w:ascii="仿宋" w:hAnsi="仿宋" w:eastAsia="仿宋" w:cs="仿宋"/>
          <w:bCs/>
          <w:sz w:val="24"/>
        </w:rPr>
      </w:pPr>
      <w:bookmarkStart w:id="75" w:name="_Toc23909"/>
      <w:bookmarkStart w:id="76" w:name="_Toc7080"/>
      <w:r>
        <w:rPr>
          <w:rFonts w:hint="eastAsia" w:ascii="仿宋" w:hAnsi="仿宋" w:eastAsia="仿宋" w:cs="仿宋"/>
          <w:bCs/>
          <w:sz w:val="24"/>
        </w:rPr>
        <w:t>2.提出质疑的供应商（以下简称质疑供应商）应当是参与所质疑项目采购活动的供应商。</w:t>
      </w:r>
      <w:bookmarkEnd w:id="75"/>
      <w:bookmarkEnd w:id="76"/>
    </w:p>
    <w:p>
      <w:pPr>
        <w:spacing w:line="400" w:lineRule="exact"/>
        <w:ind w:firstLine="480" w:firstLineChars="200"/>
        <w:jc w:val="left"/>
        <w:outlineLvl w:val="1"/>
        <w:rPr>
          <w:rFonts w:ascii="仿宋" w:hAnsi="仿宋" w:eastAsia="仿宋" w:cs="仿宋"/>
          <w:bCs/>
          <w:sz w:val="24"/>
        </w:rPr>
      </w:pPr>
      <w:bookmarkStart w:id="77" w:name="_Toc6554"/>
      <w:bookmarkStart w:id="78" w:name="_Toc4762"/>
      <w:r>
        <w:rPr>
          <w:rFonts w:hint="eastAsia" w:ascii="仿宋" w:hAnsi="仿宋" w:eastAsia="仿宋" w:cs="仿宋"/>
          <w:bCs/>
          <w:sz w:val="24"/>
        </w:rPr>
        <w:t>潜在供应商已依法获取其可质疑的采购文件的，可以对该文件提出质疑。对采购文件提出质疑的，应当在获取采购文件或者采购文件公告期限届满之日起7个工作日内提出。</w:t>
      </w:r>
      <w:bookmarkEnd w:id="77"/>
      <w:bookmarkEnd w:id="78"/>
    </w:p>
    <w:p>
      <w:pPr>
        <w:spacing w:line="400" w:lineRule="exact"/>
        <w:ind w:firstLine="480" w:firstLineChars="200"/>
        <w:jc w:val="left"/>
        <w:outlineLvl w:val="1"/>
        <w:rPr>
          <w:rFonts w:ascii="仿宋" w:hAnsi="仿宋" w:eastAsia="仿宋" w:cs="仿宋"/>
          <w:bCs/>
          <w:sz w:val="24"/>
        </w:rPr>
      </w:pPr>
      <w:bookmarkStart w:id="79" w:name="_Toc30304"/>
      <w:bookmarkStart w:id="80" w:name="_Toc12347"/>
      <w:r>
        <w:rPr>
          <w:rFonts w:hint="eastAsia" w:ascii="仿宋" w:hAnsi="仿宋" w:eastAsia="仿宋" w:cs="仿宋"/>
          <w:bCs/>
          <w:sz w:val="24"/>
        </w:rPr>
        <w:t>3.供应商提出质疑应当提交质疑函和必要的证明材料。质疑函应当包括下列内容:</w:t>
      </w:r>
      <w:bookmarkEnd w:id="79"/>
      <w:bookmarkEnd w:id="80"/>
    </w:p>
    <w:p>
      <w:pPr>
        <w:spacing w:line="400" w:lineRule="exact"/>
        <w:ind w:firstLine="480" w:firstLineChars="200"/>
        <w:jc w:val="left"/>
        <w:outlineLvl w:val="1"/>
        <w:rPr>
          <w:rFonts w:ascii="仿宋" w:hAnsi="仿宋" w:eastAsia="仿宋" w:cs="仿宋"/>
          <w:bCs/>
          <w:sz w:val="24"/>
        </w:rPr>
      </w:pPr>
      <w:bookmarkStart w:id="81" w:name="_Toc23534"/>
      <w:bookmarkStart w:id="82" w:name="_Toc10060"/>
      <w:r>
        <w:rPr>
          <w:rFonts w:hint="eastAsia" w:ascii="仿宋" w:hAnsi="仿宋" w:eastAsia="仿宋" w:cs="仿宋"/>
          <w:bCs/>
          <w:sz w:val="24"/>
        </w:rPr>
        <w:t>（1）供应商的姓名或者名称、地址、邮编、联系人及联系电话；</w:t>
      </w:r>
      <w:bookmarkEnd w:id="81"/>
      <w:bookmarkEnd w:id="82"/>
    </w:p>
    <w:p>
      <w:pPr>
        <w:spacing w:line="400" w:lineRule="exact"/>
        <w:ind w:firstLine="480" w:firstLineChars="200"/>
        <w:jc w:val="left"/>
        <w:outlineLvl w:val="1"/>
        <w:rPr>
          <w:rFonts w:ascii="仿宋" w:hAnsi="仿宋" w:eastAsia="仿宋" w:cs="仿宋"/>
          <w:bCs/>
          <w:sz w:val="24"/>
        </w:rPr>
      </w:pPr>
      <w:bookmarkStart w:id="83" w:name="_Toc31539"/>
      <w:bookmarkStart w:id="84" w:name="_Toc30871"/>
      <w:r>
        <w:rPr>
          <w:rFonts w:hint="eastAsia" w:ascii="仿宋" w:hAnsi="仿宋" w:eastAsia="仿宋" w:cs="仿宋"/>
          <w:bCs/>
          <w:sz w:val="24"/>
        </w:rPr>
        <w:t>（2）质疑项目的名称、编号；</w:t>
      </w:r>
      <w:bookmarkEnd w:id="83"/>
      <w:bookmarkEnd w:id="84"/>
    </w:p>
    <w:p>
      <w:pPr>
        <w:spacing w:line="400" w:lineRule="exact"/>
        <w:ind w:firstLine="480" w:firstLineChars="200"/>
        <w:jc w:val="left"/>
        <w:outlineLvl w:val="1"/>
        <w:rPr>
          <w:rFonts w:ascii="仿宋" w:hAnsi="仿宋" w:eastAsia="仿宋" w:cs="仿宋"/>
          <w:bCs/>
          <w:sz w:val="24"/>
        </w:rPr>
      </w:pPr>
      <w:bookmarkStart w:id="85" w:name="_Toc22108"/>
      <w:bookmarkStart w:id="86" w:name="_Toc31444"/>
      <w:r>
        <w:rPr>
          <w:rFonts w:hint="eastAsia" w:ascii="仿宋" w:hAnsi="仿宋" w:eastAsia="仿宋" w:cs="仿宋"/>
          <w:bCs/>
          <w:sz w:val="24"/>
        </w:rPr>
        <w:t>（3）具体、明确的质疑事项和与质疑事项相关的请求；</w:t>
      </w:r>
      <w:bookmarkEnd w:id="85"/>
      <w:bookmarkEnd w:id="86"/>
    </w:p>
    <w:p>
      <w:pPr>
        <w:spacing w:line="400" w:lineRule="exact"/>
        <w:ind w:firstLine="480" w:firstLineChars="200"/>
        <w:jc w:val="left"/>
        <w:outlineLvl w:val="1"/>
        <w:rPr>
          <w:rFonts w:ascii="仿宋" w:hAnsi="仿宋" w:eastAsia="仿宋" w:cs="仿宋"/>
          <w:bCs/>
          <w:sz w:val="24"/>
        </w:rPr>
      </w:pPr>
      <w:bookmarkStart w:id="87" w:name="_Toc27360"/>
      <w:bookmarkStart w:id="88" w:name="_Toc31155"/>
      <w:r>
        <w:rPr>
          <w:rFonts w:hint="eastAsia" w:ascii="仿宋" w:hAnsi="仿宋" w:eastAsia="仿宋" w:cs="仿宋"/>
          <w:bCs/>
          <w:sz w:val="24"/>
        </w:rPr>
        <w:t>（4）事实依据；</w:t>
      </w:r>
      <w:bookmarkEnd w:id="87"/>
      <w:bookmarkEnd w:id="88"/>
    </w:p>
    <w:p>
      <w:pPr>
        <w:spacing w:line="400" w:lineRule="exact"/>
        <w:ind w:firstLine="480" w:firstLineChars="200"/>
        <w:jc w:val="left"/>
        <w:outlineLvl w:val="1"/>
        <w:rPr>
          <w:rFonts w:ascii="仿宋" w:hAnsi="仿宋" w:eastAsia="仿宋" w:cs="仿宋"/>
          <w:bCs/>
          <w:sz w:val="24"/>
        </w:rPr>
      </w:pPr>
      <w:bookmarkStart w:id="89" w:name="_Toc1259"/>
      <w:bookmarkStart w:id="90" w:name="_Toc30751"/>
      <w:r>
        <w:rPr>
          <w:rFonts w:hint="eastAsia" w:ascii="仿宋" w:hAnsi="仿宋" w:eastAsia="仿宋" w:cs="仿宋"/>
          <w:bCs/>
          <w:sz w:val="24"/>
        </w:rPr>
        <w:t>（5）必要的法律依据；</w:t>
      </w:r>
      <w:bookmarkEnd w:id="89"/>
      <w:bookmarkEnd w:id="90"/>
    </w:p>
    <w:p>
      <w:pPr>
        <w:spacing w:line="400" w:lineRule="exact"/>
        <w:ind w:firstLine="480" w:firstLineChars="200"/>
        <w:jc w:val="left"/>
        <w:outlineLvl w:val="1"/>
        <w:rPr>
          <w:rFonts w:ascii="仿宋" w:hAnsi="仿宋" w:eastAsia="仿宋" w:cs="仿宋"/>
          <w:bCs/>
          <w:sz w:val="24"/>
        </w:rPr>
      </w:pPr>
      <w:bookmarkStart w:id="91" w:name="_Toc2173"/>
      <w:bookmarkStart w:id="92" w:name="_Toc13100"/>
      <w:r>
        <w:rPr>
          <w:rFonts w:hint="eastAsia" w:ascii="仿宋" w:hAnsi="仿宋" w:eastAsia="仿宋" w:cs="仿宋"/>
          <w:bCs/>
          <w:sz w:val="24"/>
        </w:rPr>
        <w:t>（6）提出质疑的日期。</w:t>
      </w:r>
      <w:bookmarkEnd w:id="91"/>
      <w:bookmarkEnd w:id="92"/>
    </w:p>
    <w:p>
      <w:pPr>
        <w:spacing w:line="400" w:lineRule="exact"/>
        <w:ind w:firstLine="480" w:firstLineChars="200"/>
        <w:jc w:val="left"/>
        <w:outlineLvl w:val="1"/>
        <w:rPr>
          <w:rFonts w:ascii="仿宋" w:hAnsi="仿宋" w:eastAsia="仿宋" w:cs="仿宋"/>
          <w:bCs/>
          <w:sz w:val="24"/>
        </w:rPr>
      </w:pPr>
      <w:bookmarkStart w:id="93" w:name="_Toc16199"/>
      <w:bookmarkStart w:id="94" w:name="_Toc10456"/>
      <w:r>
        <w:rPr>
          <w:rFonts w:hint="eastAsia" w:ascii="仿宋" w:hAnsi="仿宋" w:eastAsia="仿宋" w:cs="仿宋"/>
          <w:bCs/>
          <w:sz w:val="24"/>
        </w:rPr>
        <w:t>供应商为自然人的，应当由本人签字；供应商为法人或者其他组织的，应当由法定代表人、主要负责人，或者其授权代表签字或者盖章，并加盖公章。</w:t>
      </w:r>
      <w:bookmarkEnd w:id="93"/>
      <w:bookmarkEnd w:id="94"/>
    </w:p>
    <w:p>
      <w:pPr>
        <w:spacing w:line="400" w:lineRule="exact"/>
        <w:ind w:firstLine="480" w:firstLineChars="200"/>
        <w:jc w:val="left"/>
        <w:outlineLvl w:val="1"/>
        <w:rPr>
          <w:rFonts w:ascii="仿宋" w:hAnsi="仿宋" w:eastAsia="仿宋" w:cs="仿宋"/>
          <w:bCs/>
          <w:sz w:val="24"/>
        </w:rPr>
      </w:pPr>
      <w:bookmarkStart w:id="95" w:name="_Toc9677"/>
      <w:bookmarkStart w:id="96" w:name="_Toc729"/>
      <w:r>
        <w:rPr>
          <w:rFonts w:hint="eastAsia" w:ascii="仿宋" w:hAnsi="仿宋" w:eastAsia="仿宋" w:cs="仿宋"/>
          <w:bCs/>
          <w:sz w:val="24"/>
        </w:rPr>
        <w:t>4.采购人、采购代理机构不得拒收质疑供应商在法定质疑期内发出的质疑函，应当在收到质疑函后7个工作日内作出答复，并以书面形式通知质疑供应商和其他有关供应商。</w:t>
      </w:r>
      <w:bookmarkEnd w:id="95"/>
      <w:bookmarkEnd w:id="96"/>
    </w:p>
    <w:p>
      <w:pPr>
        <w:spacing w:line="400" w:lineRule="exact"/>
        <w:ind w:firstLine="480" w:firstLineChars="200"/>
        <w:jc w:val="left"/>
        <w:outlineLvl w:val="1"/>
        <w:rPr>
          <w:rFonts w:ascii="仿宋" w:hAnsi="仿宋" w:eastAsia="仿宋" w:cs="仿宋"/>
          <w:bCs/>
          <w:sz w:val="24"/>
        </w:rPr>
      </w:pPr>
      <w:bookmarkStart w:id="97" w:name="_Toc23983"/>
      <w:bookmarkStart w:id="98" w:name="_Toc15109"/>
      <w:r>
        <w:rPr>
          <w:rFonts w:hint="eastAsia" w:ascii="仿宋" w:hAnsi="仿宋" w:eastAsia="仿宋" w:cs="仿宋"/>
          <w:bCs/>
          <w:sz w:val="24"/>
        </w:rPr>
        <w:t>5.供应商对评审过程、中标或者中标结果提出质疑的，采购人、采购代理机构可以组织原评标委员会、竞争性谈判小组、询价小组或者竞争性磋商小组协助答复质疑。</w:t>
      </w:r>
      <w:bookmarkEnd w:id="97"/>
      <w:bookmarkEnd w:id="98"/>
    </w:p>
    <w:p>
      <w:pPr>
        <w:spacing w:line="400" w:lineRule="exact"/>
        <w:ind w:firstLine="480" w:firstLineChars="200"/>
        <w:jc w:val="left"/>
        <w:outlineLvl w:val="1"/>
        <w:rPr>
          <w:rFonts w:ascii="仿宋" w:hAnsi="仿宋" w:eastAsia="仿宋" w:cs="仿宋"/>
          <w:bCs/>
          <w:sz w:val="24"/>
        </w:rPr>
      </w:pPr>
      <w:bookmarkStart w:id="99" w:name="_Toc4023"/>
      <w:bookmarkStart w:id="100" w:name="_Toc6600"/>
      <w:r>
        <w:rPr>
          <w:rFonts w:hint="eastAsia" w:ascii="仿宋" w:hAnsi="仿宋" w:eastAsia="仿宋" w:cs="仿宋"/>
          <w:bCs/>
          <w:sz w:val="24"/>
        </w:rPr>
        <w:t>6.质疑答复应当包括下列内容：</w:t>
      </w:r>
      <w:bookmarkEnd w:id="99"/>
      <w:bookmarkEnd w:id="100"/>
    </w:p>
    <w:p>
      <w:pPr>
        <w:spacing w:line="400" w:lineRule="exact"/>
        <w:ind w:firstLine="480" w:firstLineChars="200"/>
        <w:jc w:val="left"/>
        <w:outlineLvl w:val="1"/>
        <w:rPr>
          <w:rFonts w:ascii="仿宋" w:hAnsi="仿宋" w:eastAsia="仿宋" w:cs="仿宋"/>
          <w:bCs/>
          <w:sz w:val="24"/>
        </w:rPr>
      </w:pPr>
      <w:bookmarkStart w:id="101" w:name="_Toc30683"/>
      <w:bookmarkStart w:id="102" w:name="_Toc31431"/>
      <w:r>
        <w:rPr>
          <w:rFonts w:hint="eastAsia" w:ascii="仿宋" w:hAnsi="仿宋" w:eastAsia="仿宋" w:cs="仿宋"/>
          <w:bCs/>
          <w:sz w:val="24"/>
        </w:rPr>
        <w:t>（1）质疑供应商的姓名或者名称；</w:t>
      </w:r>
      <w:bookmarkEnd w:id="101"/>
      <w:bookmarkEnd w:id="102"/>
    </w:p>
    <w:p>
      <w:pPr>
        <w:spacing w:line="400" w:lineRule="exact"/>
        <w:ind w:firstLine="480" w:firstLineChars="200"/>
        <w:jc w:val="left"/>
        <w:outlineLvl w:val="1"/>
        <w:rPr>
          <w:rFonts w:ascii="仿宋" w:hAnsi="仿宋" w:eastAsia="仿宋" w:cs="仿宋"/>
          <w:bCs/>
          <w:sz w:val="24"/>
        </w:rPr>
      </w:pPr>
      <w:bookmarkStart w:id="103" w:name="_Toc32251"/>
      <w:bookmarkStart w:id="104" w:name="_Toc19347"/>
      <w:r>
        <w:rPr>
          <w:rFonts w:hint="eastAsia" w:ascii="仿宋" w:hAnsi="仿宋" w:eastAsia="仿宋" w:cs="仿宋"/>
          <w:bCs/>
          <w:sz w:val="24"/>
        </w:rPr>
        <w:t>（2）收到质疑函的日期、质疑项目名称及编号；</w:t>
      </w:r>
      <w:bookmarkEnd w:id="103"/>
      <w:bookmarkEnd w:id="104"/>
    </w:p>
    <w:p>
      <w:pPr>
        <w:spacing w:line="400" w:lineRule="exact"/>
        <w:ind w:firstLine="480" w:firstLineChars="200"/>
        <w:jc w:val="left"/>
        <w:outlineLvl w:val="1"/>
        <w:rPr>
          <w:rFonts w:ascii="仿宋" w:hAnsi="仿宋" w:eastAsia="仿宋" w:cs="仿宋"/>
          <w:bCs/>
          <w:sz w:val="24"/>
        </w:rPr>
      </w:pPr>
      <w:bookmarkStart w:id="105" w:name="_Toc8938"/>
      <w:bookmarkStart w:id="106" w:name="_Toc7234"/>
      <w:r>
        <w:rPr>
          <w:rFonts w:hint="eastAsia" w:ascii="仿宋" w:hAnsi="仿宋" w:eastAsia="仿宋" w:cs="仿宋"/>
          <w:bCs/>
          <w:sz w:val="24"/>
        </w:rPr>
        <w:t>（3）质疑事项、质疑答复的具体内容、事实依据和法律依据；</w:t>
      </w:r>
      <w:bookmarkEnd w:id="105"/>
      <w:bookmarkEnd w:id="106"/>
    </w:p>
    <w:p>
      <w:pPr>
        <w:spacing w:line="400" w:lineRule="exact"/>
        <w:ind w:firstLine="480" w:firstLineChars="200"/>
        <w:jc w:val="left"/>
        <w:outlineLvl w:val="1"/>
        <w:rPr>
          <w:rFonts w:ascii="仿宋" w:hAnsi="仿宋" w:eastAsia="仿宋" w:cs="仿宋"/>
          <w:bCs/>
          <w:sz w:val="24"/>
        </w:rPr>
      </w:pPr>
      <w:bookmarkStart w:id="107" w:name="_Toc14954"/>
      <w:bookmarkStart w:id="108" w:name="_Toc160"/>
      <w:r>
        <w:rPr>
          <w:rFonts w:hint="eastAsia" w:ascii="仿宋" w:hAnsi="仿宋" w:eastAsia="仿宋" w:cs="仿宋"/>
          <w:bCs/>
          <w:sz w:val="24"/>
        </w:rPr>
        <w:t>（4）告知质疑供应商依法投诉的权利；</w:t>
      </w:r>
      <w:bookmarkEnd w:id="107"/>
      <w:bookmarkEnd w:id="108"/>
    </w:p>
    <w:p>
      <w:pPr>
        <w:spacing w:line="400" w:lineRule="exact"/>
        <w:ind w:firstLine="480" w:firstLineChars="200"/>
        <w:jc w:val="left"/>
        <w:outlineLvl w:val="1"/>
        <w:rPr>
          <w:rFonts w:ascii="仿宋" w:hAnsi="仿宋" w:eastAsia="仿宋" w:cs="仿宋"/>
          <w:bCs/>
          <w:sz w:val="24"/>
        </w:rPr>
      </w:pPr>
      <w:bookmarkStart w:id="109" w:name="_Toc5159"/>
      <w:bookmarkStart w:id="110" w:name="_Toc14710"/>
      <w:r>
        <w:rPr>
          <w:rFonts w:hint="eastAsia" w:ascii="仿宋" w:hAnsi="仿宋" w:eastAsia="仿宋" w:cs="仿宋"/>
          <w:bCs/>
          <w:sz w:val="24"/>
        </w:rPr>
        <w:t>（5）质疑答复人名称；</w:t>
      </w:r>
      <w:bookmarkEnd w:id="109"/>
      <w:bookmarkEnd w:id="110"/>
    </w:p>
    <w:p>
      <w:pPr>
        <w:spacing w:line="400" w:lineRule="exact"/>
        <w:ind w:firstLine="480" w:firstLineChars="200"/>
        <w:jc w:val="left"/>
        <w:outlineLvl w:val="1"/>
        <w:rPr>
          <w:rFonts w:ascii="仿宋" w:hAnsi="仿宋" w:eastAsia="仿宋" w:cs="仿宋"/>
          <w:bCs/>
          <w:sz w:val="24"/>
        </w:rPr>
      </w:pPr>
      <w:bookmarkStart w:id="111" w:name="_Toc19648"/>
      <w:bookmarkStart w:id="112" w:name="_Toc24960"/>
      <w:r>
        <w:rPr>
          <w:rFonts w:hint="eastAsia" w:ascii="仿宋" w:hAnsi="仿宋" w:eastAsia="仿宋" w:cs="仿宋"/>
          <w:bCs/>
          <w:sz w:val="24"/>
        </w:rPr>
        <w:t>（6）答复质疑的日期。</w:t>
      </w:r>
      <w:bookmarkEnd w:id="111"/>
      <w:bookmarkEnd w:id="112"/>
    </w:p>
    <w:p>
      <w:pPr>
        <w:spacing w:line="400" w:lineRule="exact"/>
        <w:ind w:firstLine="480" w:firstLineChars="200"/>
        <w:jc w:val="left"/>
        <w:outlineLvl w:val="1"/>
        <w:rPr>
          <w:rFonts w:ascii="仿宋" w:hAnsi="仿宋" w:eastAsia="仿宋" w:cs="仿宋"/>
          <w:bCs/>
          <w:sz w:val="24"/>
        </w:rPr>
      </w:pPr>
      <w:bookmarkStart w:id="113" w:name="_Toc22645"/>
      <w:bookmarkStart w:id="114" w:name="_Toc27193"/>
      <w:r>
        <w:rPr>
          <w:rFonts w:hint="eastAsia" w:ascii="仿宋" w:hAnsi="仿宋" w:eastAsia="仿宋" w:cs="仿宋"/>
          <w:bCs/>
          <w:sz w:val="24"/>
        </w:rPr>
        <w:t>质疑答复的内容不得涉及商业秘密。</w:t>
      </w:r>
      <w:bookmarkEnd w:id="113"/>
      <w:bookmarkEnd w:id="114"/>
    </w:p>
    <w:p>
      <w:pPr>
        <w:spacing w:line="400" w:lineRule="exact"/>
        <w:ind w:firstLine="480" w:firstLineChars="200"/>
        <w:jc w:val="left"/>
        <w:outlineLvl w:val="1"/>
        <w:rPr>
          <w:rFonts w:ascii="仿宋" w:hAnsi="仿宋" w:eastAsia="仿宋" w:cs="仿宋"/>
          <w:bCs/>
          <w:sz w:val="24"/>
        </w:rPr>
      </w:pPr>
      <w:bookmarkStart w:id="115" w:name="_Toc12879"/>
      <w:bookmarkStart w:id="116" w:name="_Toc12784"/>
      <w:r>
        <w:rPr>
          <w:rFonts w:hint="eastAsia" w:ascii="仿宋" w:hAnsi="仿宋" w:eastAsia="仿宋" w:cs="仿宋"/>
          <w:bCs/>
          <w:sz w:val="24"/>
        </w:rPr>
        <w:t>7.采购人、采购代理机构认为供应商质疑不成立，或者成立但未对中标、中标结果构成影响的，继续开展采购活动；认为供应商质疑成立且影响或者可能影响中标、中标结果的，按照下列情况处理：</w:t>
      </w:r>
      <w:bookmarkEnd w:id="115"/>
      <w:bookmarkEnd w:id="116"/>
    </w:p>
    <w:p>
      <w:pPr>
        <w:spacing w:line="400" w:lineRule="exact"/>
        <w:ind w:firstLine="480" w:firstLineChars="200"/>
        <w:jc w:val="left"/>
        <w:outlineLvl w:val="1"/>
        <w:rPr>
          <w:rFonts w:ascii="仿宋" w:hAnsi="仿宋" w:eastAsia="仿宋" w:cs="仿宋"/>
          <w:bCs/>
          <w:sz w:val="24"/>
        </w:rPr>
      </w:pPr>
      <w:bookmarkStart w:id="117" w:name="_Toc1219"/>
      <w:bookmarkStart w:id="118" w:name="_Toc22679"/>
      <w:r>
        <w:rPr>
          <w:rFonts w:hint="eastAsia" w:ascii="仿宋" w:hAnsi="仿宋" w:eastAsia="仿宋" w:cs="仿宋"/>
          <w:bCs/>
          <w:sz w:val="24"/>
        </w:rPr>
        <w:t>（1）对采购文件提出的质疑，依法通过澄清或者修改可以继续开展采购活动的，澄清或者修改采购文件后继续开展采购活动；否则应当修改采购文件后重新开展采购活动。</w:t>
      </w:r>
      <w:bookmarkEnd w:id="117"/>
      <w:bookmarkEnd w:id="118"/>
    </w:p>
    <w:p>
      <w:pPr>
        <w:spacing w:line="400" w:lineRule="exact"/>
        <w:ind w:firstLine="480" w:firstLineChars="200"/>
        <w:jc w:val="left"/>
        <w:outlineLvl w:val="1"/>
        <w:rPr>
          <w:rFonts w:ascii="仿宋" w:hAnsi="仿宋" w:eastAsia="仿宋" w:cs="仿宋"/>
          <w:bCs/>
          <w:sz w:val="24"/>
        </w:rPr>
      </w:pPr>
      <w:bookmarkStart w:id="119" w:name="_Toc22730"/>
      <w:bookmarkStart w:id="120" w:name="_Toc4273"/>
      <w:r>
        <w:rPr>
          <w:rFonts w:hint="eastAsia" w:ascii="仿宋" w:hAnsi="仿宋" w:eastAsia="仿宋" w:cs="仿宋"/>
          <w:bCs/>
          <w:sz w:val="24"/>
        </w:rPr>
        <w:t>（2）对采购过程、中标或者中标结果提出的质疑，合格供应商符合法定数量时，可以从合格的中标或者中标候选人中另行确定中标、中标供应商的，应当依法另行确定中标、中标供应商；否则应当重新开展采购活动。</w:t>
      </w:r>
      <w:bookmarkEnd w:id="119"/>
      <w:bookmarkEnd w:id="120"/>
    </w:p>
    <w:p>
      <w:pPr>
        <w:spacing w:line="400" w:lineRule="exact"/>
        <w:ind w:firstLine="480" w:firstLineChars="200"/>
        <w:outlineLvl w:val="1"/>
        <w:rPr>
          <w:rFonts w:ascii="仿宋" w:hAnsi="仿宋" w:eastAsia="仿宋" w:cs="仿宋"/>
          <w:bCs/>
          <w:sz w:val="24"/>
        </w:rPr>
      </w:pPr>
      <w:bookmarkStart w:id="121" w:name="_Toc30779"/>
      <w:bookmarkStart w:id="122" w:name="_Toc13284"/>
      <w:r>
        <w:rPr>
          <w:rFonts w:hint="eastAsia" w:ascii="仿宋" w:hAnsi="仿宋" w:eastAsia="仿宋" w:cs="仿宋"/>
          <w:bCs/>
          <w:sz w:val="24"/>
        </w:rPr>
        <w:t>质疑答复导致中标、中标结果改变的，采购人或者采购代理机构应当将有关情况书面报告本级财政部门。</w:t>
      </w:r>
      <w:bookmarkEnd w:id="121"/>
      <w:r>
        <w:rPr>
          <w:rFonts w:hint="eastAsia" w:ascii="仿宋" w:hAnsi="仿宋" w:eastAsia="仿宋" w:cs="仿宋"/>
          <w:bCs/>
          <w:sz w:val="24"/>
        </w:rPr>
        <w:t>质疑供应商对采购人、采购代理机构的答复不满意，或者采购人、采购代理机构未在规定时间内作出答复的，可以在答复期满后</w:t>
      </w:r>
      <w:r>
        <w:rPr>
          <w:rFonts w:hint="eastAsia" w:ascii="仿宋" w:hAnsi="仿宋" w:eastAsia="仿宋" w:cs="仿宋"/>
          <w:bCs/>
          <w:sz w:val="24"/>
          <w:lang w:val="en-US" w:eastAsia="zh-CN"/>
        </w:rPr>
        <w:t>5</w:t>
      </w:r>
      <w:r>
        <w:rPr>
          <w:rFonts w:hint="eastAsia" w:ascii="仿宋" w:hAnsi="仿宋" w:eastAsia="仿宋" w:cs="仿宋"/>
          <w:bCs/>
          <w:sz w:val="24"/>
        </w:rPr>
        <w:t>个工作日内向本办法第六条规定的财政部门提起投诉。</w:t>
      </w:r>
      <w:bookmarkEnd w:id="122"/>
    </w:p>
    <w:p>
      <w:pPr>
        <w:spacing w:line="400" w:lineRule="exact"/>
        <w:ind w:firstLine="480" w:firstLineChars="200"/>
        <w:outlineLvl w:val="1"/>
        <w:rPr>
          <w:rFonts w:ascii="仿宋" w:hAnsi="仿宋" w:eastAsia="仿宋" w:cs="仿宋"/>
          <w:bCs/>
          <w:sz w:val="24"/>
        </w:rPr>
      </w:pPr>
      <w:bookmarkStart w:id="123" w:name="_Toc14524"/>
      <w:r>
        <w:rPr>
          <w:rFonts w:hint="eastAsia" w:ascii="仿宋" w:hAnsi="仿宋" w:eastAsia="仿宋" w:cs="仿宋"/>
          <w:bCs/>
          <w:sz w:val="24"/>
        </w:rPr>
        <w:t>疫情防控期间，政府采购供应商可以通过登录“浙江政务服务网”（</w:t>
      </w:r>
      <w:r>
        <w:fldChar w:fldCharType="begin"/>
      </w:r>
      <w:r>
        <w:instrText xml:space="preserve"> HYPERLINK "http://www.zjzwfw.gov.cn/" </w:instrText>
      </w:r>
      <w:r>
        <w:fldChar w:fldCharType="separate"/>
      </w:r>
      <w:r>
        <w:rPr>
          <w:rFonts w:hint="eastAsia" w:ascii="仿宋" w:hAnsi="仿宋" w:eastAsia="仿宋" w:cs="仿宋"/>
          <w:bCs/>
          <w:sz w:val="24"/>
        </w:rPr>
        <w:t>http://www.zjzwfw.gov.cn/</w:t>
      </w:r>
      <w:r>
        <w:rPr>
          <w:rFonts w:hint="eastAsia" w:ascii="仿宋" w:hAnsi="仿宋" w:eastAsia="仿宋" w:cs="仿宋"/>
          <w:bCs/>
          <w:sz w:val="24"/>
        </w:rPr>
        <w:fldChar w:fldCharType="end"/>
      </w:r>
      <w:r>
        <w:rPr>
          <w:rFonts w:hint="eastAsia" w:ascii="仿宋" w:hAnsi="仿宋" w:eastAsia="仿宋" w:cs="仿宋"/>
          <w:bCs/>
          <w:sz w:val="24"/>
        </w:rPr>
        <w:t>），搜索关键字“政府采购投诉处理”，或者选择“部门窗口—省财政厅—行政裁决—政府采购投诉处理”，点击“在线办理”，即可进行在线投诉。财政部门审查受理、处理决定等政府采购投诉处理相关文书均在线送达，政府采购投诉供应商明确表示需要邮寄的除外。</w:t>
      </w:r>
      <w:r>
        <w:rPr>
          <w:rFonts w:hint="eastAsia" w:ascii="仿宋" w:hAnsi="仿宋" w:eastAsia="仿宋" w:cs="仿宋"/>
          <w:bCs/>
          <w:sz w:val="24"/>
        </w:rPr>
        <w:br w:type="textWrapping"/>
      </w:r>
      <w:r>
        <w:rPr>
          <w:rFonts w:hint="eastAsia" w:ascii="仿宋" w:hAnsi="仿宋" w:eastAsia="仿宋" w:cs="仿宋"/>
          <w:bCs/>
          <w:sz w:val="24"/>
        </w:rPr>
        <w:t>   供应商也可通过邮寄方式寄递政府采购投诉材料，邮寄地址为涉及政府采购项目采购人预算级次相应的财政部门。政府采购投诉材料中须写明邮箱地址、传真号码，财政部门审查受理、处理决定等相关文书可通过电子邮件、传真等形式送达 ，供应商明确表示需要邮寄的除外。</w:t>
      </w:r>
      <w:bookmarkEnd w:id="123"/>
    </w:p>
    <w:p>
      <w:pPr>
        <w:spacing w:line="400" w:lineRule="exact"/>
        <w:ind w:firstLine="480" w:firstLineChars="200"/>
        <w:outlineLvl w:val="1"/>
        <w:rPr>
          <w:rFonts w:ascii="仿宋" w:hAnsi="仿宋" w:eastAsia="仿宋" w:cs="仿宋"/>
          <w:bCs/>
          <w:sz w:val="24"/>
        </w:rPr>
      </w:pPr>
      <w:bookmarkStart w:id="124" w:name="_Toc11278"/>
      <w:r>
        <w:rPr>
          <w:rFonts w:hint="eastAsia" w:ascii="仿宋" w:hAnsi="仿宋" w:eastAsia="仿宋" w:cs="仿宋"/>
          <w:bCs/>
          <w:sz w:val="24"/>
        </w:rPr>
        <w:t>在线或邮寄政府采购投诉材料当日下班时间点后收到的视为下一个工作日。</w:t>
      </w:r>
      <w:bookmarkEnd w:id="124"/>
    </w:p>
    <w:p>
      <w:pPr>
        <w:spacing w:line="400" w:lineRule="exact"/>
        <w:ind w:firstLine="482" w:firstLineChars="200"/>
        <w:outlineLvl w:val="1"/>
        <w:rPr>
          <w:rFonts w:ascii="仿宋" w:hAnsi="仿宋" w:eastAsia="仿宋" w:cs="仿宋"/>
          <w:bCs/>
          <w:sz w:val="24"/>
        </w:rPr>
      </w:pPr>
      <w:bookmarkStart w:id="125" w:name="_Toc9463"/>
      <w:r>
        <w:rPr>
          <w:rFonts w:hint="eastAsia" w:ascii="仿宋" w:hAnsi="仿宋" w:eastAsia="仿宋" w:cs="仿宋"/>
          <w:b/>
          <w:color w:val="000000"/>
          <w:sz w:val="24"/>
        </w:rPr>
        <w:t>未按规定格式、内容提出的，采购人、采购代理机构将不予受理。</w:t>
      </w:r>
      <w:bookmarkEnd w:id="125"/>
    </w:p>
    <w:p>
      <w:pPr>
        <w:spacing w:line="400" w:lineRule="exact"/>
        <w:outlineLvl w:val="1"/>
        <w:rPr>
          <w:rFonts w:ascii="仿宋" w:hAnsi="仿宋" w:eastAsia="仿宋" w:cs="仿宋"/>
          <w:b/>
          <w:bCs/>
          <w:sz w:val="24"/>
        </w:rPr>
      </w:pPr>
      <w:bookmarkStart w:id="126" w:name="_Toc30800"/>
      <w:r>
        <w:rPr>
          <w:rFonts w:hint="eastAsia" w:ascii="仿宋" w:hAnsi="仿宋" w:eastAsia="仿宋" w:cs="仿宋"/>
          <w:b/>
          <w:bCs/>
          <w:sz w:val="24"/>
        </w:rPr>
        <w:t>二、招标文件</w:t>
      </w:r>
      <w:bookmarkEnd w:id="66"/>
      <w:bookmarkEnd w:id="67"/>
      <w:bookmarkEnd w:id="68"/>
      <w:bookmarkEnd w:id="69"/>
      <w:bookmarkEnd w:id="70"/>
      <w:bookmarkEnd w:id="71"/>
      <w:bookmarkEnd w:id="72"/>
      <w:bookmarkEnd w:id="126"/>
    </w:p>
    <w:p>
      <w:pPr>
        <w:adjustRightInd w:val="0"/>
        <w:snapToGrid w:val="0"/>
        <w:spacing w:line="400" w:lineRule="exact"/>
        <w:jc w:val="left"/>
        <w:rPr>
          <w:rFonts w:ascii="仿宋" w:hAnsi="仿宋" w:eastAsia="仿宋" w:cs="仿宋"/>
          <w:b/>
          <w:sz w:val="24"/>
        </w:rPr>
      </w:pPr>
      <w:r>
        <w:rPr>
          <w:rFonts w:hint="eastAsia" w:ascii="仿宋" w:hAnsi="仿宋" w:eastAsia="仿宋" w:cs="仿宋"/>
          <w:b/>
          <w:sz w:val="24"/>
        </w:rPr>
        <w:t>（一）招标文件的构成。本招标文件由以下部份组成：</w:t>
      </w:r>
    </w:p>
    <w:p>
      <w:pPr>
        <w:adjustRightInd w:val="0"/>
        <w:snapToGrid w:val="0"/>
        <w:spacing w:line="400" w:lineRule="exact"/>
        <w:ind w:firstLine="480" w:firstLineChars="200"/>
        <w:jc w:val="left"/>
        <w:rPr>
          <w:rFonts w:ascii="仿宋" w:hAnsi="仿宋" w:eastAsia="仿宋" w:cs="仿宋"/>
          <w:sz w:val="24"/>
        </w:rPr>
      </w:pPr>
      <w:r>
        <w:rPr>
          <w:rFonts w:hint="eastAsia" w:ascii="仿宋" w:hAnsi="仿宋" w:eastAsia="仿宋" w:cs="仿宋"/>
          <w:sz w:val="24"/>
        </w:rPr>
        <w:t>1、招标公告；</w:t>
      </w:r>
    </w:p>
    <w:p>
      <w:pPr>
        <w:adjustRightInd w:val="0"/>
        <w:snapToGrid w:val="0"/>
        <w:spacing w:line="400" w:lineRule="exact"/>
        <w:ind w:firstLine="480" w:firstLineChars="200"/>
        <w:jc w:val="left"/>
        <w:rPr>
          <w:rFonts w:ascii="仿宋" w:hAnsi="仿宋" w:eastAsia="仿宋" w:cs="仿宋"/>
          <w:sz w:val="24"/>
        </w:rPr>
      </w:pPr>
      <w:r>
        <w:rPr>
          <w:rFonts w:hint="eastAsia" w:ascii="仿宋" w:hAnsi="仿宋" w:eastAsia="仿宋" w:cs="仿宋"/>
          <w:sz w:val="24"/>
        </w:rPr>
        <w:t>2、招标需求；</w:t>
      </w:r>
    </w:p>
    <w:p>
      <w:pPr>
        <w:adjustRightInd w:val="0"/>
        <w:snapToGrid w:val="0"/>
        <w:spacing w:line="400" w:lineRule="exact"/>
        <w:ind w:firstLine="480" w:firstLineChars="200"/>
        <w:jc w:val="left"/>
        <w:rPr>
          <w:rFonts w:ascii="仿宋" w:hAnsi="仿宋" w:eastAsia="仿宋" w:cs="仿宋"/>
          <w:sz w:val="24"/>
        </w:rPr>
      </w:pPr>
      <w:r>
        <w:rPr>
          <w:rFonts w:hint="eastAsia" w:ascii="仿宋" w:hAnsi="仿宋" w:eastAsia="仿宋" w:cs="仿宋"/>
          <w:sz w:val="24"/>
        </w:rPr>
        <w:t>3、投标人须知；</w:t>
      </w:r>
    </w:p>
    <w:p>
      <w:pPr>
        <w:adjustRightInd w:val="0"/>
        <w:snapToGrid w:val="0"/>
        <w:spacing w:line="400" w:lineRule="exact"/>
        <w:ind w:firstLine="480" w:firstLineChars="200"/>
        <w:jc w:val="left"/>
        <w:rPr>
          <w:rFonts w:ascii="仿宋" w:hAnsi="仿宋" w:eastAsia="仿宋" w:cs="仿宋"/>
          <w:sz w:val="24"/>
        </w:rPr>
      </w:pPr>
      <w:r>
        <w:rPr>
          <w:rFonts w:hint="eastAsia" w:ascii="仿宋" w:hAnsi="仿宋" w:eastAsia="仿宋" w:cs="仿宋"/>
          <w:sz w:val="24"/>
        </w:rPr>
        <w:t>4、评标办法及标准；</w:t>
      </w:r>
    </w:p>
    <w:p>
      <w:pPr>
        <w:adjustRightInd w:val="0"/>
        <w:snapToGrid w:val="0"/>
        <w:spacing w:line="400" w:lineRule="exact"/>
        <w:ind w:firstLine="480" w:firstLineChars="200"/>
        <w:jc w:val="left"/>
        <w:rPr>
          <w:rFonts w:ascii="仿宋" w:hAnsi="仿宋" w:eastAsia="仿宋" w:cs="仿宋"/>
          <w:sz w:val="24"/>
        </w:rPr>
      </w:pPr>
      <w:r>
        <w:rPr>
          <w:rFonts w:hint="eastAsia" w:ascii="仿宋" w:hAnsi="仿宋" w:eastAsia="仿宋" w:cs="仿宋"/>
          <w:sz w:val="24"/>
        </w:rPr>
        <w:t>5、合同主要条款；</w:t>
      </w:r>
    </w:p>
    <w:p>
      <w:pPr>
        <w:adjustRightInd w:val="0"/>
        <w:snapToGrid w:val="0"/>
        <w:spacing w:line="400" w:lineRule="exact"/>
        <w:ind w:firstLine="480" w:firstLineChars="200"/>
        <w:jc w:val="left"/>
        <w:rPr>
          <w:rFonts w:ascii="仿宋" w:hAnsi="仿宋" w:eastAsia="仿宋" w:cs="仿宋"/>
          <w:sz w:val="24"/>
        </w:rPr>
      </w:pPr>
      <w:r>
        <w:rPr>
          <w:rFonts w:hint="eastAsia" w:ascii="仿宋" w:hAnsi="仿宋" w:eastAsia="仿宋" w:cs="仿宋"/>
          <w:sz w:val="24"/>
        </w:rPr>
        <w:t xml:space="preserve">6、投标文件格式； </w:t>
      </w:r>
    </w:p>
    <w:p>
      <w:pPr>
        <w:adjustRightInd w:val="0"/>
        <w:snapToGrid w:val="0"/>
        <w:spacing w:line="400" w:lineRule="exact"/>
        <w:ind w:firstLine="480" w:firstLineChars="200"/>
        <w:jc w:val="left"/>
        <w:rPr>
          <w:rFonts w:ascii="仿宋" w:hAnsi="仿宋" w:eastAsia="仿宋" w:cs="仿宋"/>
          <w:sz w:val="24"/>
        </w:rPr>
      </w:pPr>
      <w:r>
        <w:rPr>
          <w:rFonts w:hint="eastAsia" w:ascii="仿宋" w:hAnsi="仿宋" w:eastAsia="仿宋" w:cs="仿宋"/>
          <w:sz w:val="24"/>
        </w:rPr>
        <w:t>7、本项目招标文件的澄清、答复、修改、补充的内容。</w:t>
      </w:r>
    </w:p>
    <w:p>
      <w:pPr>
        <w:adjustRightInd w:val="0"/>
        <w:snapToGrid w:val="0"/>
        <w:spacing w:line="400" w:lineRule="exact"/>
        <w:jc w:val="left"/>
        <w:rPr>
          <w:rFonts w:ascii="仿宋" w:hAnsi="仿宋" w:eastAsia="仿宋" w:cs="仿宋"/>
          <w:b/>
          <w:sz w:val="24"/>
        </w:rPr>
      </w:pPr>
      <w:r>
        <w:rPr>
          <w:rFonts w:hint="eastAsia" w:ascii="仿宋" w:hAnsi="仿宋" w:eastAsia="仿宋" w:cs="仿宋"/>
          <w:b/>
          <w:sz w:val="24"/>
        </w:rPr>
        <w:t>（二）投标人的风险</w:t>
      </w:r>
    </w:p>
    <w:p>
      <w:pPr>
        <w:adjustRightInd w:val="0"/>
        <w:snapToGrid w:val="0"/>
        <w:spacing w:line="400" w:lineRule="exact"/>
        <w:ind w:firstLine="480" w:firstLineChars="200"/>
        <w:jc w:val="left"/>
        <w:rPr>
          <w:rFonts w:ascii="仿宋" w:hAnsi="仿宋" w:eastAsia="仿宋" w:cs="仿宋"/>
          <w:sz w:val="24"/>
        </w:rPr>
      </w:pPr>
      <w:r>
        <w:rPr>
          <w:rFonts w:hint="eastAsia" w:ascii="仿宋" w:hAnsi="仿宋" w:eastAsia="仿宋" w:cs="仿宋"/>
          <w:sz w:val="24"/>
        </w:rPr>
        <w:t>投标人没有按照招标文件要求提供全部资料，或者投标人没有对招标文件在各方面作出实质性响应是投标人的风险，并可能导致其投标被拒绝。</w:t>
      </w:r>
    </w:p>
    <w:p>
      <w:pPr>
        <w:pStyle w:val="8"/>
        <w:numPr>
          <w:ilvl w:val="0"/>
          <w:numId w:val="0"/>
        </w:numPr>
        <w:tabs>
          <w:tab w:val="left" w:pos="454"/>
          <w:tab w:val="left" w:pos="720"/>
        </w:tabs>
        <w:adjustRightInd w:val="0"/>
        <w:snapToGrid w:val="0"/>
        <w:spacing w:line="400" w:lineRule="exact"/>
        <w:rPr>
          <w:rFonts w:ascii="仿宋" w:hAnsi="仿宋" w:eastAsia="仿宋" w:cs="仿宋"/>
          <w:b/>
          <w:sz w:val="24"/>
        </w:rPr>
      </w:pPr>
      <w:r>
        <w:rPr>
          <w:rFonts w:hint="eastAsia" w:ascii="仿宋" w:hAnsi="仿宋" w:eastAsia="仿宋" w:cs="仿宋"/>
          <w:b/>
          <w:sz w:val="24"/>
        </w:rPr>
        <w:t xml:space="preserve">（三）招标文件的澄清与修改 </w:t>
      </w:r>
    </w:p>
    <w:p>
      <w:pPr>
        <w:pStyle w:val="13"/>
        <w:adjustRightInd w:val="0"/>
        <w:snapToGrid w:val="0"/>
        <w:spacing w:beforeLines="0" w:afterLines="0"/>
        <w:ind w:left="0" w:firstLine="480" w:firstLineChars="200"/>
        <w:rPr>
          <w:rFonts w:ascii="仿宋" w:hAnsi="仿宋" w:eastAsia="仿宋" w:cs="仿宋"/>
          <w:kern w:val="0"/>
        </w:rPr>
      </w:pPr>
      <w:r>
        <w:rPr>
          <w:rFonts w:hint="eastAsia" w:ascii="仿宋" w:hAnsi="仿宋" w:eastAsia="仿宋" w:cs="仿宋"/>
          <w:kern w:val="0"/>
        </w:rPr>
        <w:t>1.投标人应认真阅读本招标文件，发现其中有误或有不合理要求的，投标人必须在招标公告规定的时间前以书面形式要求招标采购单位澄清，</w:t>
      </w:r>
      <w:r>
        <w:fldChar w:fldCharType="begin"/>
      </w:r>
      <w:r>
        <w:instrText xml:space="preserve"> HYPERLINK "mailto:同时请将该书面文件的电子文档发送至309875994@qq.com" </w:instrText>
      </w:r>
      <w:r>
        <w:fldChar w:fldCharType="separate"/>
      </w:r>
      <w:r>
        <w:rPr>
          <w:rStyle w:val="28"/>
          <w:rFonts w:hint="eastAsia" w:ascii="仿宋" w:hAnsi="仿宋" w:eastAsia="仿宋" w:cs="仿宋"/>
          <w:color w:val="auto"/>
          <w:kern w:val="0"/>
        </w:rPr>
        <w:t>同时请将该书面文件的电子文档发送至452246299@qq.com</w:t>
      </w:r>
      <w:r>
        <w:rPr>
          <w:rStyle w:val="28"/>
          <w:rFonts w:hint="eastAsia" w:ascii="仿宋" w:hAnsi="仿宋" w:eastAsia="仿宋" w:cs="仿宋"/>
          <w:color w:val="auto"/>
          <w:kern w:val="0"/>
        </w:rPr>
        <w:fldChar w:fldCharType="end"/>
      </w:r>
      <w:r>
        <w:rPr>
          <w:rFonts w:hint="eastAsia" w:ascii="仿宋" w:hAnsi="仿宋" w:eastAsia="仿宋" w:cs="仿宋"/>
          <w:kern w:val="0"/>
        </w:rPr>
        <w:t>。采购代理机构对已发出的招标文件进行必要澄清、答复、修改或补充的，应当在招标文件要求提交投标文件截止时间十五日前，在财政部门指定的政府采购信息发布媒体上发布更正公告，并以书面形式通知所有招标文件收受人。</w:t>
      </w:r>
    </w:p>
    <w:p>
      <w:pPr>
        <w:pStyle w:val="13"/>
        <w:adjustRightInd w:val="0"/>
        <w:snapToGrid w:val="0"/>
        <w:spacing w:beforeLines="0" w:afterLines="0"/>
        <w:ind w:left="0" w:firstLine="480" w:firstLineChars="200"/>
        <w:rPr>
          <w:rFonts w:ascii="仿宋" w:hAnsi="仿宋" w:eastAsia="仿宋" w:cs="仿宋"/>
          <w:kern w:val="0"/>
        </w:rPr>
      </w:pPr>
      <w:r>
        <w:rPr>
          <w:rFonts w:hint="eastAsia" w:ascii="仿宋" w:hAnsi="仿宋" w:eastAsia="仿宋" w:cs="仿宋"/>
          <w:kern w:val="0"/>
        </w:rPr>
        <w:t>2.采购代理机构必须以书面形式答复投标人要求澄清的问题，并将不包含问题来源的答复书面通知所有购买招标文件的投标人；除书面答复以外的其他澄清方式及澄清内容均无效。</w:t>
      </w:r>
    </w:p>
    <w:p>
      <w:pPr>
        <w:pStyle w:val="13"/>
        <w:adjustRightInd w:val="0"/>
        <w:snapToGrid w:val="0"/>
        <w:spacing w:beforeLines="0" w:afterLines="0"/>
        <w:ind w:left="0" w:firstLine="480" w:firstLineChars="200"/>
        <w:rPr>
          <w:rFonts w:ascii="仿宋" w:hAnsi="仿宋" w:eastAsia="仿宋" w:cs="仿宋"/>
          <w:kern w:val="0"/>
        </w:rPr>
      </w:pPr>
      <w:r>
        <w:rPr>
          <w:rFonts w:hint="eastAsia" w:ascii="仿宋" w:hAnsi="仿宋" w:eastAsia="仿宋" w:cs="仿宋"/>
          <w:kern w:val="0"/>
        </w:rPr>
        <w:t>3.招标文件澄清、答复、修改、补充的内容为招标文件的组成部分。当招标文件与招标文件的答复、澄清、修改、补充通知就同一内容的表述不一致时，以最后发出的书面文件为准。</w:t>
      </w:r>
    </w:p>
    <w:p>
      <w:pPr>
        <w:pStyle w:val="13"/>
        <w:adjustRightInd w:val="0"/>
        <w:snapToGrid w:val="0"/>
        <w:spacing w:beforeLines="0" w:afterLines="0"/>
        <w:ind w:left="0" w:firstLine="480" w:firstLineChars="200"/>
        <w:rPr>
          <w:rFonts w:ascii="仿宋" w:hAnsi="仿宋" w:eastAsia="仿宋" w:cs="仿宋"/>
          <w:b/>
          <w:bCs/>
        </w:rPr>
      </w:pPr>
      <w:r>
        <w:rPr>
          <w:rFonts w:hint="eastAsia" w:ascii="仿宋" w:hAnsi="仿宋" w:eastAsia="仿宋" w:cs="仿宋"/>
          <w:kern w:val="0"/>
        </w:rPr>
        <w:t>4.招标文件的澄清、答复、修改或补充都应该通过本代理机构以法定形式发布，采购人非通过本机构，不得擅自澄清、答复、修改或补充招标文件。</w:t>
      </w:r>
      <w:bookmarkStart w:id="127" w:name="_Toc293916875"/>
      <w:bookmarkStart w:id="128" w:name="_Toc293916367"/>
      <w:bookmarkStart w:id="129" w:name="_Toc293916016"/>
      <w:bookmarkStart w:id="130" w:name="_Toc293917019"/>
      <w:bookmarkStart w:id="131" w:name="_Toc424544814"/>
      <w:bookmarkStart w:id="132" w:name="_Toc424544535"/>
      <w:bookmarkStart w:id="133" w:name="_Toc177870545"/>
    </w:p>
    <w:p>
      <w:pPr>
        <w:spacing w:line="400" w:lineRule="exact"/>
        <w:outlineLvl w:val="1"/>
        <w:rPr>
          <w:rFonts w:ascii="仿宋" w:hAnsi="仿宋" w:eastAsia="仿宋" w:cs="仿宋"/>
          <w:b/>
          <w:bCs/>
          <w:color w:val="000000"/>
          <w:sz w:val="24"/>
        </w:rPr>
      </w:pPr>
      <w:bookmarkStart w:id="134" w:name="_Toc24563"/>
      <w:r>
        <w:rPr>
          <w:rFonts w:hint="eastAsia" w:ascii="仿宋" w:hAnsi="仿宋" w:eastAsia="仿宋" w:cs="仿宋"/>
          <w:b/>
          <w:bCs/>
          <w:sz w:val="24"/>
        </w:rPr>
        <w:t>三、</w:t>
      </w:r>
      <w:bookmarkEnd w:id="127"/>
      <w:bookmarkEnd w:id="128"/>
      <w:bookmarkEnd w:id="129"/>
      <w:bookmarkEnd w:id="130"/>
      <w:bookmarkEnd w:id="131"/>
      <w:bookmarkEnd w:id="132"/>
      <w:bookmarkEnd w:id="133"/>
      <w:r>
        <w:rPr>
          <w:rFonts w:hint="eastAsia" w:ascii="仿宋" w:hAnsi="仿宋" w:eastAsia="仿宋" w:cs="仿宋"/>
          <w:b/>
          <w:bCs/>
          <w:color w:val="000000"/>
          <w:sz w:val="24"/>
        </w:rPr>
        <w:t>投标文件的编制</w:t>
      </w:r>
      <w:bookmarkEnd w:id="134"/>
    </w:p>
    <w:p>
      <w:pPr>
        <w:pStyle w:val="10"/>
        <w:spacing w:after="0" w:line="336" w:lineRule="auto"/>
        <w:ind w:firstLine="241" w:firstLineChars="100"/>
        <w:rPr>
          <w:rFonts w:ascii="仿宋" w:hAnsi="仿宋" w:eastAsia="仿宋" w:cs="仿宋"/>
          <w:b/>
          <w:sz w:val="24"/>
        </w:rPr>
      </w:pPr>
      <w:r>
        <w:rPr>
          <w:rFonts w:hint="eastAsia" w:ascii="仿宋" w:hAnsi="仿宋" w:eastAsia="仿宋" w:cs="仿宋"/>
          <w:b/>
          <w:sz w:val="24"/>
        </w:rPr>
        <w:t>（一）投标文件的签署与份数</w:t>
      </w:r>
    </w:p>
    <w:p>
      <w:pPr>
        <w:pStyle w:val="10"/>
        <w:spacing w:after="0" w:line="336" w:lineRule="auto"/>
        <w:ind w:firstLine="420"/>
        <w:rPr>
          <w:rFonts w:ascii="仿宋" w:hAnsi="仿宋" w:eastAsia="仿宋" w:cs="仿宋"/>
          <w:sz w:val="24"/>
        </w:rPr>
      </w:pPr>
      <w:r>
        <w:rPr>
          <w:rFonts w:hint="eastAsia" w:ascii="仿宋" w:hAnsi="仿宋" w:eastAsia="仿宋" w:cs="仿宋"/>
          <w:sz w:val="24"/>
        </w:rPr>
        <w:t>1.本项目通过“政府采购云平台</w:t>
      </w:r>
      <w:r>
        <w:fldChar w:fldCharType="begin"/>
      </w:r>
      <w:r>
        <w:instrText xml:space="preserve"> HYPERLINK "http://www.zcygov.cn/" \h </w:instrText>
      </w:r>
      <w:r>
        <w:fldChar w:fldCharType="separate"/>
      </w:r>
      <w:r>
        <w:rPr>
          <w:rFonts w:hint="eastAsia" w:ascii="仿宋" w:hAnsi="仿宋" w:eastAsia="仿宋" w:cs="仿宋"/>
          <w:sz w:val="24"/>
        </w:rPr>
        <w:t>（www.zcygov.cn</w:t>
      </w:r>
      <w:r>
        <w:rPr>
          <w:rFonts w:hint="eastAsia" w:ascii="仿宋" w:hAnsi="仿宋" w:eastAsia="仿宋" w:cs="仿宋"/>
          <w:sz w:val="24"/>
        </w:rPr>
        <w:fldChar w:fldCharType="end"/>
      </w:r>
      <w:r>
        <w:rPr>
          <w:rFonts w:hint="eastAsia" w:ascii="仿宋" w:hAnsi="仿宋" w:eastAsia="仿宋" w:cs="仿宋"/>
          <w:sz w:val="24"/>
        </w:rPr>
        <w:t>）”实行在线投标响应（电子投标）。供应商应通过“政采云电子交易客户端”，并按照本招标文件和“政府采购云平台”的要求编制并加密投标文件。</w:t>
      </w:r>
    </w:p>
    <w:p>
      <w:pPr>
        <w:pStyle w:val="10"/>
        <w:spacing w:after="0" w:line="336" w:lineRule="auto"/>
        <w:ind w:firstLine="420"/>
        <w:rPr>
          <w:rFonts w:ascii="仿宋" w:hAnsi="仿宋" w:eastAsia="仿宋" w:cs="仿宋"/>
          <w:sz w:val="24"/>
        </w:rPr>
      </w:pPr>
      <w:r>
        <w:rPr>
          <w:rFonts w:hint="eastAsia" w:ascii="仿宋" w:hAnsi="仿宋" w:eastAsia="仿宋" w:cs="仿宋"/>
          <w:sz w:val="24"/>
        </w:rPr>
        <w:t>2.投标供应商应当按照本章节 “投标文件组成”规定的内容及顺序在“政采云电子交易客户端”编制投标文件。其中《资格文件》和《技术/资信/商务文件》中不得出现本项目投标报价，如因投标人原因提前泄露投标报价，是投标人的责任。</w:t>
      </w:r>
    </w:p>
    <w:p>
      <w:pPr>
        <w:pStyle w:val="10"/>
        <w:spacing w:after="0" w:line="336" w:lineRule="auto"/>
        <w:ind w:firstLine="420"/>
        <w:rPr>
          <w:rFonts w:ascii="仿宋" w:hAnsi="仿宋" w:eastAsia="仿宋" w:cs="仿宋"/>
          <w:sz w:val="24"/>
        </w:rPr>
      </w:pPr>
      <w:r>
        <w:rPr>
          <w:rFonts w:hint="eastAsia" w:ascii="仿宋" w:hAnsi="仿宋" w:eastAsia="仿宋" w:cs="仿宋"/>
          <w:sz w:val="24"/>
        </w:rPr>
        <w:t>3.本文件中有提供格式的，投标供应商须参照格式进行编制（格式中要求提供相关证明材料的还需后附相关证明材料），并按格式要求在指定位置根据要求进行签章，否则视为未提供；本文件未提供格式的，请各投标单位自行拟定格式，并加盖单位公章并由法定代表人或其授权代表签署（签字或盖章），否则视为未提供。</w:t>
      </w:r>
    </w:p>
    <w:p>
      <w:pPr>
        <w:pStyle w:val="10"/>
        <w:spacing w:after="0" w:line="336" w:lineRule="auto"/>
        <w:ind w:firstLine="420"/>
        <w:rPr>
          <w:rFonts w:ascii="仿宋" w:hAnsi="仿宋" w:eastAsia="仿宋" w:cs="仿宋"/>
          <w:sz w:val="24"/>
        </w:rPr>
      </w:pPr>
      <w:r>
        <w:rPr>
          <w:rFonts w:hint="eastAsia" w:ascii="仿宋" w:hAnsi="仿宋" w:eastAsia="仿宋" w:cs="仿宋"/>
          <w:sz w:val="24"/>
        </w:rPr>
        <w:t>4.投标文件内容不完整、编排混乱导致投标文件被误读、漏读或者查找不到相关内容的，是投标供应商的责任。</w:t>
      </w:r>
    </w:p>
    <w:p>
      <w:pPr>
        <w:pStyle w:val="10"/>
        <w:spacing w:after="0" w:line="336" w:lineRule="auto"/>
        <w:ind w:firstLine="420"/>
        <w:rPr>
          <w:rFonts w:ascii="仿宋" w:hAnsi="仿宋" w:eastAsia="仿宋" w:cs="仿宋"/>
          <w:sz w:val="24"/>
        </w:rPr>
      </w:pPr>
      <w:r>
        <w:rPr>
          <w:rFonts w:hint="eastAsia" w:ascii="仿宋" w:hAnsi="仿宋" w:eastAsia="仿宋" w:cs="仿宋"/>
          <w:sz w:val="24"/>
        </w:rPr>
        <w:t>5.投标文件因字迹潦草或表达不清所引起的后果由投标供应商负责。</w:t>
      </w:r>
    </w:p>
    <w:p>
      <w:pPr>
        <w:pStyle w:val="10"/>
        <w:spacing w:after="0" w:line="336" w:lineRule="auto"/>
        <w:ind w:firstLine="420"/>
        <w:rPr>
          <w:rFonts w:ascii="仿宋" w:hAnsi="仿宋" w:eastAsia="仿宋" w:cs="仿宋"/>
          <w:sz w:val="24"/>
        </w:rPr>
      </w:pPr>
      <w:r>
        <w:rPr>
          <w:rFonts w:hint="eastAsia" w:ascii="仿宋" w:hAnsi="仿宋" w:eastAsia="仿宋" w:cs="仿宋"/>
          <w:sz w:val="24"/>
        </w:rPr>
        <w:t>6.投标供应商没有按照要求提供全部资料，或者没有仔细阅读招标文件，或者没有对招标文件在各方面的要求作出实质性响应是投标供应商的风险，由此造成的一切后果由投标供应商自行承担。</w:t>
      </w:r>
    </w:p>
    <w:p>
      <w:pPr>
        <w:pStyle w:val="10"/>
        <w:spacing w:after="0" w:line="336" w:lineRule="auto"/>
        <w:ind w:firstLine="420"/>
        <w:rPr>
          <w:rFonts w:ascii="仿宋" w:hAnsi="仿宋" w:eastAsia="仿宋" w:cs="仿宋"/>
          <w:sz w:val="24"/>
        </w:rPr>
      </w:pPr>
      <w:r>
        <w:rPr>
          <w:rFonts w:hint="eastAsia" w:ascii="仿宋" w:hAnsi="仿宋" w:eastAsia="仿宋" w:cs="仿宋"/>
          <w:sz w:val="24"/>
        </w:rPr>
        <w:t>7.《投标文件》应由投标供应商法定代表人或其授权代表签字（或盖章），并加盖投标供应商公章。</w:t>
      </w:r>
    </w:p>
    <w:p>
      <w:pPr>
        <w:pStyle w:val="10"/>
        <w:spacing w:after="0" w:line="336" w:lineRule="auto"/>
        <w:rPr>
          <w:rFonts w:ascii="仿宋" w:hAnsi="仿宋" w:eastAsia="仿宋" w:cs="仿宋"/>
          <w:b/>
          <w:bCs/>
          <w:sz w:val="24"/>
        </w:rPr>
      </w:pPr>
      <w:r>
        <w:rPr>
          <w:rFonts w:hint="eastAsia" w:ascii="仿宋" w:hAnsi="仿宋" w:eastAsia="仿宋" w:cs="仿宋"/>
          <w:b/>
          <w:bCs/>
          <w:sz w:val="24"/>
        </w:rPr>
        <w:t>（二）投标文件的组成</w:t>
      </w:r>
    </w:p>
    <w:p>
      <w:pPr>
        <w:pStyle w:val="10"/>
        <w:spacing w:after="0" w:line="336" w:lineRule="auto"/>
        <w:ind w:firstLine="420"/>
        <w:rPr>
          <w:rFonts w:ascii="仿宋" w:hAnsi="仿宋" w:eastAsia="仿宋" w:cs="仿宋"/>
          <w:sz w:val="24"/>
        </w:rPr>
      </w:pPr>
      <w:r>
        <w:rPr>
          <w:rFonts w:hint="eastAsia" w:ascii="仿宋" w:hAnsi="仿宋" w:eastAsia="仿宋" w:cs="仿宋"/>
          <w:sz w:val="24"/>
        </w:rPr>
        <w:t>1.投标文件的形式：</w:t>
      </w:r>
    </w:p>
    <w:p>
      <w:pPr>
        <w:pStyle w:val="10"/>
        <w:spacing w:after="0" w:line="336" w:lineRule="auto"/>
        <w:ind w:firstLine="420"/>
        <w:rPr>
          <w:rFonts w:ascii="仿宋" w:hAnsi="仿宋" w:eastAsia="仿宋" w:cs="仿宋"/>
          <w:sz w:val="24"/>
        </w:rPr>
      </w:pPr>
      <w:r>
        <w:rPr>
          <w:rFonts w:hint="eastAsia" w:ascii="仿宋" w:hAnsi="仿宋" w:eastAsia="仿宋" w:cs="仿宋"/>
          <w:sz w:val="24"/>
        </w:rPr>
        <w:t>（1）电子投标文件（包括“电子加密投标文件”和“备份投标文件”，在投标文件编制完成后同时生成）</w:t>
      </w:r>
    </w:p>
    <w:p>
      <w:pPr>
        <w:pStyle w:val="10"/>
        <w:spacing w:after="0" w:line="336" w:lineRule="auto"/>
        <w:ind w:firstLine="420"/>
        <w:rPr>
          <w:rFonts w:ascii="仿宋" w:hAnsi="仿宋" w:eastAsia="仿宋" w:cs="仿宋"/>
          <w:b/>
          <w:bCs/>
          <w:sz w:val="24"/>
        </w:rPr>
      </w:pPr>
      <w:r>
        <w:rPr>
          <w:rFonts w:hint="eastAsia" w:ascii="仿宋" w:hAnsi="仿宋" w:eastAsia="仿宋" w:cs="仿宋"/>
          <w:sz w:val="24"/>
        </w:rPr>
        <w:t>（2）“电子加密投标文件”是指通过“政采云电子交易客户端”完成投标文件编制后生成并加密的数据电文形式的投标文件。</w:t>
      </w:r>
    </w:p>
    <w:p>
      <w:pPr>
        <w:pStyle w:val="10"/>
        <w:spacing w:after="0" w:line="336" w:lineRule="auto"/>
        <w:ind w:firstLine="420"/>
        <w:rPr>
          <w:rFonts w:ascii="仿宋" w:hAnsi="仿宋" w:eastAsia="仿宋" w:cs="仿宋"/>
          <w:sz w:val="24"/>
        </w:rPr>
      </w:pPr>
      <w:r>
        <w:rPr>
          <w:rFonts w:hint="eastAsia" w:ascii="仿宋" w:hAnsi="仿宋" w:eastAsia="仿宋" w:cs="仿宋"/>
          <w:sz w:val="24"/>
        </w:rPr>
        <w:t>（3）“备份投标文件”是指与“电子加密投标文件”同时生成的数据电文形式的电子文件（备份标书），其他方式编制的备份投标文件视为无效备份投标文件。仅在出现解密异常情况下使用。</w:t>
      </w:r>
    </w:p>
    <w:p>
      <w:pPr>
        <w:pStyle w:val="10"/>
        <w:spacing w:after="0" w:line="336" w:lineRule="auto"/>
        <w:ind w:firstLine="420"/>
        <w:rPr>
          <w:rFonts w:ascii="仿宋" w:hAnsi="仿宋" w:eastAsia="仿宋" w:cs="仿宋"/>
          <w:sz w:val="24"/>
        </w:rPr>
      </w:pPr>
      <w:r>
        <w:rPr>
          <w:rFonts w:hint="eastAsia" w:ascii="仿宋" w:hAnsi="仿宋" w:eastAsia="仿宋" w:cs="仿宋"/>
          <w:sz w:val="24"/>
        </w:rPr>
        <w:t>2.投标文件的份数：“电子加密投标文件”：在线上传递交一份。</w:t>
      </w:r>
    </w:p>
    <w:p>
      <w:pPr>
        <w:pStyle w:val="10"/>
        <w:spacing w:after="0" w:line="336" w:lineRule="auto"/>
        <w:ind w:firstLine="420"/>
        <w:rPr>
          <w:rFonts w:ascii="仿宋" w:hAnsi="仿宋" w:eastAsia="仿宋" w:cs="仿宋"/>
          <w:sz w:val="24"/>
        </w:rPr>
      </w:pPr>
      <w:r>
        <w:rPr>
          <w:rFonts w:hint="eastAsia" w:ascii="仿宋" w:hAnsi="仿宋" w:eastAsia="仿宋" w:cs="仿宋"/>
          <w:sz w:val="24"/>
        </w:rPr>
        <w:t>3.投标文件的上传和递交：“备份投标文件”：密封包装后（邮寄形式）投标截止时间前递交、一份数据电子备份投标文件（U 盘）：以 U 盘形式提供的数据电子备份投标文件格式及内容须与政采云平台项目采购-电子交易操作指南中制作、加密并递交的电子投标文件格式及内容一致。递交主要有以下两种方式：</w:t>
      </w:r>
    </w:p>
    <w:p>
      <w:pPr>
        <w:pStyle w:val="10"/>
        <w:spacing w:after="0" w:line="336" w:lineRule="auto"/>
        <w:ind w:firstLine="420"/>
        <w:rPr>
          <w:rFonts w:ascii="仿宋" w:hAnsi="仿宋" w:eastAsia="仿宋" w:cs="仿宋"/>
          <w:sz w:val="24"/>
        </w:rPr>
      </w:pPr>
      <w:r>
        <w:rPr>
          <w:rFonts w:hint="eastAsia" w:ascii="仿宋" w:hAnsi="仿宋" w:eastAsia="仿宋" w:cs="仿宋"/>
          <w:sz w:val="24"/>
        </w:rPr>
        <w:t>（1）因疫情原因，本项目原则上采用不见面的形式开标，投标供应商可以邮寄形式在投标截止时间前递交以介质（U 盘）存储的数据电文形式的“备份投标文件”，供应商应对提供的数据电子备份投标文件（U 盘）进行加密处理，若需要启用数据电子备份投标文件（U 盘）时，再由供应商告知采购人及采购代理机构加密信息进行解密。“备份投标文件”应当密封包装并在包装上标注投标项目名称、投标单位名称、联系电话并加盖公章。邮寄地址为：大地工程咨询有限公司（湖州市吴兴区蜀山路199号4号楼2楼），邮寄截止时间：供应商应于</w:t>
      </w:r>
      <w:r>
        <w:rPr>
          <w:rFonts w:hint="eastAsia" w:ascii="仿宋" w:hAnsi="仿宋" w:eastAsia="仿宋" w:cs="仿宋"/>
          <w:b/>
          <w:bCs/>
          <w:sz w:val="24"/>
        </w:rPr>
        <w:t>2020 年</w:t>
      </w:r>
      <w:r>
        <w:rPr>
          <w:rFonts w:hint="eastAsia" w:ascii="仿宋" w:hAnsi="仿宋" w:eastAsia="仿宋" w:cs="仿宋"/>
          <w:b/>
          <w:bCs/>
          <w:sz w:val="24"/>
          <w:lang w:val="en-US" w:eastAsia="zh-CN"/>
        </w:rPr>
        <w:t>8</w:t>
      </w:r>
      <w:r>
        <w:rPr>
          <w:rFonts w:hint="eastAsia" w:ascii="仿宋" w:hAnsi="仿宋" w:eastAsia="仿宋" w:cs="仿宋"/>
          <w:b/>
          <w:bCs/>
          <w:sz w:val="24"/>
        </w:rPr>
        <w:t>月</w:t>
      </w:r>
      <w:r>
        <w:rPr>
          <w:rFonts w:hint="eastAsia" w:ascii="仿宋" w:hAnsi="仿宋" w:eastAsia="仿宋" w:cs="仿宋"/>
          <w:b/>
          <w:bCs/>
          <w:sz w:val="24"/>
          <w:lang w:val="en-US" w:eastAsia="zh-CN"/>
        </w:rPr>
        <w:t>4</w:t>
      </w:r>
      <w:r>
        <w:rPr>
          <w:rFonts w:hint="eastAsia" w:ascii="仿宋" w:hAnsi="仿宋" w:eastAsia="仿宋" w:cs="仿宋"/>
          <w:b/>
          <w:bCs/>
          <w:sz w:val="24"/>
        </w:rPr>
        <w:t>日下午 17:00 时前准时送达</w:t>
      </w:r>
      <w:r>
        <w:rPr>
          <w:rFonts w:hint="eastAsia" w:ascii="仿宋" w:hAnsi="仿宋" w:eastAsia="仿宋" w:cs="仿宋"/>
          <w:sz w:val="24"/>
        </w:rPr>
        <w:t>，拒绝到付。（以收件人实际签收时间为准，收件人签收后将予以回执，回执单采用图片形式发送给投标人确认，该回执单仅作为投标人邮寄的包裹送达时间的依据），逾期送达的将拒绝接收。</w:t>
      </w:r>
    </w:p>
    <w:p>
      <w:pPr>
        <w:pStyle w:val="10"/>
        <w:spacing w:after="0" w:line="336" w:lineRule="auto"/>
        <w:ind w:firstLine="420"/>
        <w:rPr>
          <w:rFonts w:ascii="仿宋" w:hAnsi="仿宋" w:eastAsia="仿宋" w:cs="仿宋"/>
          <w:sz w:val="24"/>
        </w:rPr>
      </w:pPr>
      <w:r>
        <w:rPr>
          <w:rFonts w:hint="eastAsia" w:ascii="仿宋" w:hAnsi="仿宋" w:eastAsia="仿宋" w:cs="仿宋"/>
          <w:sz w:val="24"/>
        </w:rPr>
        <w:t>（2）若供应商派授权代表出席开标会议（授权代表必须携带身份证、法人授权委托书或法人身份证明文书等有效证明文件以及最近一个月个人社保缴纳证明文件。未携带有效证明文件或未提供社保缴纳证明文件的，其投标文件将被拒绝），数据电子备份投标文件（U 盘）应在投标截止时间前送达，超过投标截止时间前送达的，按未提供处理。</w:t>
      </w:r>
    </w:p>
    <w:p>
      <w:pPr>
        <w:pStyle w:val="10"/>
        <w:spacing w:after="0" w:line="336" w:lineRule="auto"/>
        <w:ind w:firstLine="420"/>
        <w:rPr>
          <w:rFonts w:ascii="仿宋" w:hAnsi="仿宋" w:eastAsia="仿宋" w:cs="仿宋"/>
          <w:sz w:val="24"/>
        </w:rPr>
      </w:pPr>
      <w:r>
        <w:rPr>
          <w:rFonts w:hint="eastAsia" w:ascii="仿宋" w:hAnsi="仿宋" w:eastAsia="仿宋" w:cs="仿宋"/>
          <w:sz w:val="24"/>
        </w:rPr>
        <w:t>4.“电子加密投标文件”解密和异常情况处理：</w:t>
      </w:r>
    </w:p>
    <w:p>
      <w:pPr>
        <w:pStyle w:val="10"/>
        <w:spacing w:after="0" w:line="336" w:lineRule="auto"/>
        <w:ind w:firstLine="420"/>
        <w:rPr>
          <w:rFonts w:ascii="仿宋" w:hAnsi="仿宋" w:eastAsia="仿宋" w:cs="仿宋"/>
          <w:sz w:val="24"/>
        </w:rPr>
      </w:pPr>
      <w:r>
        <w:rPr>
          <w:rFonts w:hint="eastAsia" w:ascii="仿宋" w:hAnsi="仿宋" w:eastAsia="仿宋" w:cs="仿宋"/>
          <w:sz w:val="24"/>
        </w:rPr>
        <w:t>（1）开标后，采购组织机构将向各投标供应商发出“电子加密投标文件”的解密通知，各投标供应商代表应当在接到解密通知后 30 分钟内自行完成“电子加密投标文件”的在线解密。</w:t>
      </w:r>
    </w:p>
    <w:p>
      <w:pPr>
        <w:pStyle w:val="10"/>
        <w:spacing w:after="0" w:line="336" w:lineRule="auto"/>
        <w:ind w:firstLine="420"/>
        <w:rPr>
          <w:rFonts w:ascii="仿宋" w:hAnsi="仿宋" w:eastAsia="仿宋" w:cs="仿宋"/>
          <w:sz w:val="24"/>
        </w:rPr>
      </w:pPr>
      <w:r>
        <w:rPr>
          <w:rFonts w:hint="eastAsia" w:ascii="仿宋" w:hAnsi="仿宋" w:eastAsia="仿宋" w:cs="仿宋"/>
          <w:sz w:val="24"/>
        </w:rPr>
        <w:t>（2）通过“政府采购云平台”成功上传递交的“电子加密投标文件”无法按时解密， 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pStyle w:val="10"/>
        <w:spacing w:after="0" w:line="336" w:lineRule="auto"/>
        <w:ind w:firstLine="420"/>
        <w:jc w:val="left"/>
        <w:rPr>
          <w:rFonts w:ascii="仿宋" w:hAnsi="仿宋" w:eastAsia="仿宋" w:cs="仿宋"/>
          <w:sz w:val="24"/>
        </w:rPr>
      </w:pPr>
      <w:r>
        <w:rPr>
          <w:rFonts w:hint="eastAsia" w:ascii="仿宋" w:hAnsi="仿宋" w:eastAsia="仿宋" w:cs="仿宋"/>
          <w:sz w:val="24"/>
        </w:rPr>
        <w:t>（3）投标截止时间前，投标供应商仅递交了“备份投标文件”而未将电子加密投标</w:t>
      </w:r>
    </w:p>
    <w:p>
      <w:pPr>
        <w:pStyle w:val="10"/>
        <w:spacing w:after="0" w:line="336" w:lineRule="auto"/>
        <w:ind w:firstLine="420"/>
        <w:jc w:val="left"/>
        <w:rPr>
          <w:rFonts w:ascii="仿宋" w:hAnsi="仿宋" w:eastAsia="仿宋" w:cs="仿宋"/>
          <w:sz w:val="24"/>
        </w:rPr>
      </w:pPr>
      <w:r>
        <w:rPr>
          <w:rFonts w:hint="eastAsia" w:ascii="仿宋" w:hAnsi="仿宋" w:eastAsia="仿宋" w:cs="仿宋"/>
          <w:sz w:val="24"/>
        </w:rPr>
        <w:t>文件上传至“政府采购云平台”的，投标无效。</w:t>
      </w:r>
    </w:p>
    <w:p>
      <w:pPr>
        <w:adjustRightInd w:val="0"/>
        <w:snapToGrid w:val="0"/>
        <w:spacing w:line="400" w:lineRule="exact"/>
        <w:jc w:val="left"/>
        <w:rPr>
          <w:rFonts w:ascii="仿宋" w:hAnsi="仿宋" w:eastAsia="仿宋" w:cs="仿宋"/>
          <w:b/>
          <w:color w:val="000000"/>
          <w:sz w:val="24"/>
        </w:rPr>
      </w:pPr>
      <w:bookmarkStart w:id="135" w:name="_Toc177824943"/>
      <w:bookmarkStart w:id="136" w:name="_Toc293916017"/>
      <w:bookmarkStart w:id="137" w:name="_Toc177824876"/>
      <w:bookmarkStart w:id="138" w:name="_Toc177870546"/>
      <w:bookmarkStart w:id="139" w:name="_Toc293916368"/>
      <w:bookmarkStart w:id="140" w:name="_Toc177825124"/>
      <w:r>
        <w:rPr>
          <w:rFonts w:hint="eastAsia" w:ascii="仿宋" w:hAnsi="仿宋" w:eastAsia="仿宋" w:cs="仿宋"/>
          <w:b/>
          <w:color w:val="000000"/>
          <w:sz w:val="24"/>
        </w:rPr>
        <w:t>（</w:t>
      </w:r>
      <w:r>
        <w:rPr>
          <w:rFonts w:hint="eastAsia" w:ascii="仿宋" w:hAnsi="仿宋" w:eastAsia="仿宋" w:cs="仿宋"/>
          <w:color w:val="000000"/>
          <w:sz w:val="24"/>
        </w:rPr>
        <w:t>三</w:t>
      </w:r>
      <w:r>
        <w:rPr>
          <w:rFonts w:hint="eastAsia" w:ascii="仿宋" w:hAnsi="仿宋" w:eastAsia="仿宋" w:cs="仿宋"/>
          <w:b/>
          <w:color w:val="000000"/>
          <w:sz w:val="24"/>
        </w:rPr>
        <w:t>）投标文件的组成</w:t>
      </w:r>
      <w:bookmarkEnd w:id="135"/>
      <w:bookmarkEnd w:id="136"/>
      <w:bookmarkEnd w:id="137"/>
      <w:bookmarkEnd w:id="138"/>
      <w:bookmarkEnd w:id="139"/>
      <w:bookmarkEnd w:id="140"/>
    </w:p>
    <w:p>
      <w:pPr>
        <w:adjustRightInd w:val="0"/>
        <w:snapToGrid w:val="0"/>
        <w:spacing w:line="400" w:lineRule="exact"/>
        <w:ind w:firstLine="480" w:firstLineChars="200"/>
        <w:jc w:val="left"/>
        <w:rPr>
          <w:rFonts w:ascii="仿宋" w:hAnsi="仿宋" w:eastAsia="仿宋" w:cs="仿宋"/>
          <w:b/>
          <w:sz w:val="24"/>
          <w:u w:val="single"/>
        </w:rPr>
      </w:pPr>
      <w:r>
        <w:rPr>
          <w:rFonts w:hint="eastAsia" w:ascii="仿宋" w:hAnsi="仿宋" w:eastAsia="仿宋" w:cs="仿宋"/>
          <w:color w:val="000000"/>
          <w:sz w:val="24"/>
        </w:rPr>
        <w:t>投标文件由</w:t>
      </w:r>
      <w:r>
        <w:rPr>
          <w:rFonts w:hint="eastAsia" w:ascii="仿宋" w:hAnsi="仿宋" w:eastAsia="仿宋" w:cs="仿宋"/>
          <w:b/>
          <w:color w:val="000000"/>
          <w:sz w:val="24"/>
        </w:rPr>
        <w:t>资格证明文件、商务文件、技术文件和报价文件</w:t>
      </w:r>
      <w:r>
        <w:rPr>
          <w:rFonts w:hint="eastAsia" w:ascii="仿宋" w:hAnsi="仿宋" w:eastAsia="仿宋" w:cs="仿宋"/>
          <w:color w:val="000000"/>
          <w:sz w:val="24"/>
        </w:rPr>
        <w:t>四部份组成。《</w:t>
      </w:r>
      <w:r>
        <w:rPr>
          <w:rFonts w:hint="eastAsia" w:ascii="仿宋" w:hAnsi="仿宋" w:eastAsia="仿宋" w:cs="仿宋"/>
          <w:b/>
          <w:color w:val="000000"/>
          <w:sz w:val="24"/>
        </w:rPr>
        <w:t>资格证明文件</w:t>
      </w:r>
      <w:r>
        <w:rPr>
          <w:rFonts w:hint="eastAsia" w:ascii="仿宋" w:hAnsi="仿宋" w:eastAsia="仿宋" w:cs="仿宋"/>
          <w:color w:val="000000"/>
          <w:sz w:val="24"/>
        </w:rPr>
        <w:t>》</w:t>
      </w:r>
      <w:r>
        <w:rPr>
          <w:rFonts w:hint="eastAsia" w:ascii="仿宋" w:hAnsi="仿宋" w:eastAsia="仿宋" w:cs="仿宋"/>
          <w:b/>
          <w:color w:val="000000"/>
          <w:sz w:val="24"/>
          <w:u w:val="single"/>
        </w:rPr>
        <w:t>一册，《商务、技术文件》一册，《报价文件》一册。</w:t>
      </w:r>
    </w:p>
    <w:p>
      <w:pPr>
        <w:adjustRightInd w:val="0"/>
        <w:snapToGrid w:val="0"/>
        <w:spacing w:line="400" w:lineRule="exact"/>
        <w:jc w:val="left"/>
        <w:rPr>
          <w:rFonts w:ascii="仿宋" w:hAnsi="仿宋" w:eastAsia="仿宋" w:cs="仿宋"/>
          <w:b/>
          <w:sz w:val="24"/>
        </w:rPr>
      </w:pPr>
      <w:r>
        <w:rPr>
          <w:rFonts w:hint="eastAsia" w:ascii="仿宋" w:hAnsi="仿宋" w:eastAsia="仿宋" w:cs="仿宋"/>
          <w:b/>
          <w:sz w:val="24"/>
        </w:rPr>
        <w:t>1、资格证明文件包括：</w:t>
      </w:r>
    </w:p>
    <w:p>
      <w:pPr>
        <w:ind w:firstLine="470" w:firstLineChars="196"/>
        <w:jc w:val="left"/>
        <w:rPr>
          <w:rFonts w:ascii="仿宋" w:hAnsi="仿宋" w:eastAsia="仿宋" w:cs="仿宋"/>
          <w:sz w:val="24"/>
        </w:rPr>
      </w:pPr>
      <w:r>
        <w:rPr>
          <w:rFonts w:hint="eastAsia" w:ascii="仿宋" w:hAnsi="仿宋" w:eastAsia="仿宋" w:cs="仿宋"/>
          <w:sz w:val="24"/>
        </w:rPr>
        <w:t>（1）投标声明书；</w:t>
      </w:r>
    </w:p>
    <w:p>
      <w:pPr>
        <w:ind w:firstLine="470" w:firstLineChars="196"/>
        <w:jc w:val="left"/>
        <w:rPr>
          <w:rFonts w:ascii="仿宋" w:hAnsi="仿宋" w:eastAsia="仿宋" w:cs="仿宋"/>
          <w:sz w:val="24"/>
        </w:rPr>
      </w:pPr>
      <w:r>
        <w:rPr>
          <w:rFonts w:hint="eastAsia" w:ascii="仿宋" w:hAnsi="仿宋" w:eastAsia="仿宋" w:cs="仿宋"/>
          <w:sz w:val="24"/>
        </w:rPr>
        <w:t>（2）投标人基本情况介绍；</w:t>
      </w:r>
    </w:p>
    <w:p>
      <w:pPr>
        <w:ind w:firstLine="470" w:firstLineChars="196"/>
        <w:jc w:val="left"/>
        <w:rPr>
          <w:rFonts w:ascii="仿宋" w:hAnsi="仿宋" w:eastAsia="仿宋" w:cs="仿宋"/>
          <w:sz w:val="24"/>
        </w:rPr>
      </w:pPr>
      <w:r>
        <w:rPr>
          <w:rFonts w:hint="eastAsia" w:ascii="仿宋" w:hAnsi="仿宋" w:eastAsia="仿宋" w:cs="仿宋"/>
          <w:sz w:val="24"/>
        </w:rPr>
        <w:t>（3）法定代表人授权委托书及授权代理人有效身份证明（附授权代理人近三个月社保中任一一个月社保证明）</w:t>
      </w:r>
    </w:p>
    <w:p>
      <w:pPr>
        <w:ind w:firstLine="470" w:firstLineChars="196"/>
        <w:jc w:val="left"/>
        <w:rPr>
          <w:rFonts w:ascii="仿宋" w:hAnsi="仿宋" w:eastAsia="仿宋" w:cs="仿宋"/>
          <w:sz w:val="24"/>
        </w:rPr>
      </w:pPr>
      <w:r>
        <w:rPr>
          <w:rFonts w:hint="eastAsia" w:ascii="仿宋" w:hAnsi="仿宋" w:eastAsia="仿宋" w:cs="仿宋"/>
          <w:sz w:val="24"/>
        </w:rPr>
        <w:t>（4）企业营业执照副本</w:t>
      </w:r>
    </w:p>
    <w:p>
      <w:pPr>
        <w:widowControl/>
        <w:spacing w:line="280" w:lineRule="exact"/>
        <w:ind w:firstLine="480" w:firstLineChars="200"/>
        <w:rPr>
          <w:rFonts w:ascii="仿宋" w:hAnsi="仿宋" w:eastAsia="仿宋" w:cs="仿宋"/>
          <w:sz w:val="24"/>
        </w:rPr>
      </w:pPr>
      <w:r>
        <w:rPr>
          <w:rFonts w:hint="eastAsia" w:ascii="仿宋" w:hAnsi="仿宋" w:eastAsia="仿宋" w:cs="仿宋"/>
          <w:sz w:val="24"/>
        </w:rPr>
        <w:t>（5）</w:t>
      </w:r>
      <w:r>
        <w:rPr>
          <w:rFonts w:hint="eastAsia" w:ascii="仿宋" w:hAnsi="仿宋" w:eastAsia="仿宋" w:cs="仿宋"/>
          <w:color w:val="000000"/>
        </w:rPr>
        <w:t>企业资质证书、安全生产许可证、湖州市劳动工资支付应急保障金储存证明</w:t>
      </w:r>
      <w:r>
        <w:rPr>
          <w:rFonts w:hint="eastAsia" w:ascii="仿宋" w:hAnsi="仿宋" w:eastAsia="仿宋" w:cs="仿宋"/>
          <w:b/>
          <w:bCs/>
          <w:sz w:val="24"/>
        </w:rPr>
        <w:t>（浙江省外企业参加投标须进浙备案）</w:t>
      </w:r>
    </w:p>
    <w:p>
      <w:pPr>
        <w:ind w:firstLine="470" w:firstLineChars="196"/>
        <w:jc w:val="left"/>
        <w:rPr>
          <w:rFonts w:ascii="仿宋" w:hAnsi="仿宋" w:eastAsia="仿宋" w:cs="仿宋"/>
          <w:sz w:val="24"/>
        </w:rPr>
      </w:pPr>
      <w:r>
        <w:rPr>
          <w:rFonts w:hint="eastAsia" w:ascii="仿宋" w:hAnsi="仿宋" w:eastAsia="仿宋" w:cs="仿宋"/>
          <w:sz w:val="24"/>
        </w:rPr>
        <w:t>（6）项目负责人注册证书及B证</w:t>
      </w:r>
      <w:r>
        <w:rPr>
          <w:rFonts w:hint="eastAsia" w:ascii="仿宋" w:hAnsi="仿宋" w:eastAsia="仿宋" w:cs="仿宋"/>
          <w:b/>
          <w:bCs/>
          <w:sz w:val="24"/>
        </w:rPr>
        <w:t>（浙江省外企业拟投标项目负责人须进浙备案）</w:t>
      </w:r>
      <w:r>
        <w:rPr>
          <w:rFonts w:hint="eastAsia" w:ascii="仿宋" w:hAnsi="仿宋" w:eastAsia="仿宋" w:cs="仿宋"/>
          <w:sz w:val="24"/>
        </w:rPr>
        <w:t>；</w:t>
      </w:r>
    </w:p>
    <w:p>
      <w:pPr>
        <w:ind w:firstLine="470" w:firstLineChars="196"/>
        <w:jc w:val="left"/>
        <w:rPr>
          <w:rFonts w:ascii="仿宋" w:hAnsi="仿宋" w:eastAsia="仿宋" w:cs="仿宋"/>
          <w:sz w:val="24"/>
        </w:rPr>
      </w:pPr>
      <w:r>
        <w:rPr>
          <w:rFonts w:hint="eastAsia" w:ascii="仿宋" w:hAnsi="仿宋" w:eastAsia="仿宋" w:cs="仿宋"/>
          <w:sz w:val="24"/>
        </w:rPr>
        <w:t>（7）投标申请企业拟选派注册建造师无在建工程证明；</w:t>
      </w:r>
    </w:p>
    <w:p>
      <w:pPr>
        <w:snapToGrid w:val="0"/>
        <w:ind w:firstLine="480" w:firstLineChars="200"/>
        <w:jc w:val="left"/>
        <w:rPr>
          <w:rFonts w:ascii="仿宋" w:hAnsi="仿宋" w:eastAsia="仿宋" w:cs="仿宋"/>
          <w:sz w:val="24"/>
        </w:rPr>
      </w:pPr>
      <w:r>
        <w:rPr>
          <w:rFonts w:hint="eastAsia" w:ascii="仿宋" w:hAnsi="仿宋" w:eastAsia="仿宋" w:cs="仿宋"/>
          <w:sz w:val="24"/>
        </w:rPr>
        <w:t>（8）</w:t>
      </w:r>
      <w:r>
        <w:rPr>
          <w:rFonts w:hint="eastAsia" w:ascii="仿宋" w:hAnsi="仿宋" w:eastAsia="仿宋" w:cs="仿宋"/>
          <w:color w:val="000000"/>
          <w:sz w:val="24"/>
        </w:rPr>
        <w:t>自招标公告发布之后任意时间的“信用中国”（www.creditchina.gov.cn）、中国政府采购（www.ccgp.gov.cn）投标人信用查询网页截图；</w:t>
      </w:r>
    </w:p>
    <w:p>
      <w:pPr>
        <w:adjustRightInd w:val="0"/>
        <w:snapToGrid w:val="0"/>
        <w:spacing w:line="400" w:lineRule="exact"/>
        <w:ind w:firstLine="420" w:firstLineChars="200"/>
        <w:jc w:val="left"/>
        <w:rPr>
          <w:rFonts w:ascii="仿宋" w:hAnsi="仿宋" w:eastAsia="仿宋" w:cs="仿宋"/>
        </w:rPr>
      </w:pPr>
      <w:r>
        <w:rPr>
          <w:rFonts w:hint="eastAsia" w:ascii="仿宋" w:hAnsi="仿宋" w:eastAsia="仿宋" w:cs="仿宋"/>
        </w:rPr>
        <w:t>（9）</w:t>
      </w:r>
      <w:r>
        <w:rPr>
          <w:rFonts w:hint="eastAsia" w:ascii="仿宋" w:hAnsi="仿宋" w:eastAsia="仿宋" w:cs="仿宋"/>
          <w:sz w:val="24"/>
        </w:rPr>
        <w:t>投标人认为需要提供的其他技术资料。</w:t>
      </w:r>
    </w:p>
    <w:p>
      <w:pPr>
        <w:adjustRightInd w:val="0"/>
        <w:snapToGrid w:val="0"/>
        <w:spacing w:line="400" w:lineRule="exact"/>
        <w:jc w:val="left"/>
        <w:rPr>
          <w:rFonts w:hint="eastAsia" w:ascii="仿宋" w:hAnsi="仿宋" w:eastAsia="仿宋" w:cs="仿宋"/>
          <w:sz w:val="24"/>
          <w:lang w:eastAsia="zh-CN"/>
        </w:rPr>
      </w:pPr>
      <w:r>
        <w:rPr>
          <w:rFonts w:hint="eastAsia" w:ascii="仿宋" w:hAnsi="仿宋" w:eastAsia="仿宋" w:cs="仿宋"/>
          <w:b/>
          <w:sz w:val="24"/>
        </w:rPr>
        <w:t>2、商务、技术文件、资信及其他包括：</w:t>
      </w:r>
    </w:p>
    <w:p>
      <w:pPr>
        <w:snapToGrid w:val="0"/>
        <w:ind w:firstLine="480" w:firstLineChars="200"/>
        <w:jc w:val="left"/>
        <w:rPr>
          <w:rFonts w:ascii="仿宋" w:hAnsi="仿宋" w:eastAsia="仿宋" w:cs="仿宋"/>
          <w:sz w:val="24"/>
          <w:szCs w:val="20"/>
        </w:rPr>
      </w:pPr>
      <w:r>
        <w:rPr>
          <w:rFonts w:hint="eastAsia" w:ascii="仿宋" w:hAnsi="仿宋" w:eastAsia="仿宋" w:cs="仿宋"/>
          <w:sz w:val="24"/>
        </w:rPr>
        <w:t>（1）对本项目系统总体要求的理解，项目总体架构及技术解决方案；</w:t>
      </w:r>
    </w:p>
    <w:p>
      <w:pPr>
        <w:snapToGrid w:val="0"/>
        <w:ind w:firstLine="480" w:firstLineChars="200"/>
        <w:jc w:val="left"/>
        <w:rPr>
          <w:rFonts w:ascii="仿宋" w:hAnsi="仿宋" w:eastAsia="仿宋" w:cs="仿宋"/>
          <w:sz w:val="24"/>
          <w:szCs w:val="20"/>
        </w:rPr>
      </w:pPr>
      <w:r>
        <w:rPr>
          <w:rFonts w:hint="eastAsia" w:ascii="仿宋" w:hAnsi="仿宋" w:eastAsia="仿宋" w:cs="仿宋"/>
          <w:sz w:val="24"/>
        </w:rPr>
        <w:t>（2）保证工程质量的技术力量及技术措施；</w:t>
      </w:r>
    </w:p>
    <w:p>
      <w:pPr>
        <w:snapToGrid w:val="0"/>
        <w:ind w:firstLine="480" w:firstLineChars="200"/>
        <w:jc w:val="left"/>
        <w:rPr>
          <w:rFonts w:ascii="仿宋" w:hAnsi="仿宋" w:eastAsia="仿宋" w:cs="仿宋"/>
          <w:sz w:val="24"/>
          <w:szCs w:val="20"/>
        </w:rPr>
      </w:pPr>
      <w:r>
        <w:rPr>
          <w:rFonts w:hint="eastAsia" w:ascii="仿宋" w:hAnsi="仿宋" w:eastAsia="仿宋" w:cs="仿宋"/>
          <w:sz w:val="24"/>
        </w:rPr>
        <w:t>（3）保证工期的施工组织方案及人力资源安排；</w:t>
      </w:r>
    </w:p>
    <w:p>
      <w:pPr>
        <w:snapToGrid w:val="0"/>
        <w:ind w:firstLine="480" w:firstLineChars="200"/>
        <w:jc w:val="left"/>
        <w:rPr>
          <w:rFonts w:ascii="仿宋" w:hAnsi="仿宋" w:eastAsia="仿宋" w:cs="仿宋"/>
          <w:sz w:val="24"/>
          <w:szCs w:val="20"/>
        </w:rPr>
      </w:pPr>
      <w:r>
        <w:rPr>
          <w:rFonts w:hint="eastAsia" w:ascii="仿宋" w:hAnsi="仿宋" w:eastAsia="仿宋" w:cs="仿宋"/>
          <w:sz w:val="24"/>
        </w:rPr>
        <w:t>（4）项目实施人员一览表；</w:t>
      </w:r>
    </w:p>
    <w:p>
      <w:pPr>
        <w:snapToGrid w:val="0"/>
        <w:ind w:firstLine="480" w:firstLineChars="200"/>
        <w:jc w:val="left"/>
        <w:rPr>
          <w:rFonts w:ascii="仿宋" w:hAnsi="仿宋" w:eastAsia="仿宋" w:cs="仿宋"/>
          <w:b/>
          <w:color w:val="FF0000"/>
          <w:sz w:val="24"/>
          <w:szCs w:val="20"/>
        </w:rPr>
      </w:pPr>
      <w:r>
        <w:rPr>
          <w:rFonts w:hint="eastAsia" w:ascii="仿宋" w:hAnsi="仿宋" w:eastAsia="仿宋" w:cs="仿宋"/>
          <w:sz w:val="24"/>
        </w:rPr>
        <w:t>（5）拟投入的主要施工机械设备表，主要施工机械进场计划</w:t>
      </w:r>
    </w:p>
    <w:p>
      <w:pPr>
        <w:ind w:firstLine="480" w:firstLineChars="200"/>
        <w:rPr>
          <w:rFonts w:ascii="仿宋" w:hAnsi="仿宋" w:eastAsia="仿宋" w:cs="仿宋"/>
          <w:sz w:val="24"/>
        </w:rPr>
      </w:pPr>
      <w:r>
        <w:rPr>
          <w:rFonts w:hint="eastAsia" w:ascii="仿宋" w:hAnsi="仿宋" w:eastAsia="仿宋" w:cs="仿宋"/>
          <w:sz w:val="24"/>
        </w:rPr>
        <w:t>（6）施工现场平面布置图；</w:t>
      </w:r>
    </w:p>
    <w:p>
      <w:pPr>
        <w:ind w:firstLine="480" w:firstLineChars="200"/>
        <w:rPr>
          <w:rFonts w:ascii="仿宋" w:hAnsi="仿宋" w:eastAsia="仿宋" w:cs="仿宋"/>
          <w:sz w:val="24"/>
        </w:rPr>
      </w:pPr>
      <w:r>
        <w:rPr>
          <w:rFonts w:hint="eastAsia" w:ascii="仿宋" w:hAnsi="仿宋" w:eastAsia="仿宋" w:cs="仿宋"/>
          <w:sz w:val="24"/>
        </w:rPr>
        <w:t>（7）施工前提供详细的进度计划表及网络图承诺；</w:t>
      </w:r>
    </w:p>
    <w:p>
      <w:pPr>
        <w:ind w:firstLine="480" w:firstLineChars="200"/>
        <w:rPr>
          <w:rFonts w:ascii="仿宋" w:hAnsi="仿宋" w:eastAsia="仿宋" w:cs="仿宋"/>
          <w:sz w:val="24"/>
        </w:rPr>
      </w:pPr>
      <w:r>
        <w:rPr>
          <w:rFonts w:hint="eastAsia" w:ascii="仿宋" w:hAnsi="仿宋" w:eastAsia="仿宋" w:cs="仿宋"/>
          <w:sz w:val="24"/>
        </w:rPr>
        <w:t>（8）安全、文明施工措施；</w:t>
      </w:r>
    </w:p>
    <w:p>
      <w:pPr>
        <w:ind w:firstLine="480" w:firstLineChars="200"/>
        <w:rPr>
          <w:rFonts w:ascii="仿宋" w:hAnsi="仿宋" w:eastAsia="仿宋" w:cs="仿宋"/>
          <w:sz w:val="24"/>
        </w:rPr>
      </w:pPr>
      <w:r>
        <w:rPr>
          <w:rFonts w:hint="eastAsia" w:ascii="仿宋" w:hAnsi="仿宋" w:eastAsia="仿宋" w:cs="仿宋"/>
          <w:sz w:val="24"/>
        </w:rPr>
        <w:t>（9）施工技术方案及关键部位施工技术措施；</w:t>
      </w:r>
    </w:p>
    <w:p>
      <w:pPr>
        <w:ind w:firstLine="480" w:firstLineChars="200"/>
        <w:rPr>
          <w:rFonts w:ascii="仿宋" w:hAnsi="仿宋" w:eastAsia="仿宋" w:cs="仿宋"/>
          <w:sz w:val="24"/>
        </w:rPr>
      </w:pPr>
      <w:r>
        <w:rPr>
          <w:rFonts w:hint="eastAsia" w:ascii="仿宋" w:hAnsi="仿宋" w:eastAsia="仿宋" w:cs="仿宋"/>
          <w:sz w:val="24"/>
        </w:rPr>
        <w:t>（10）投标人对本项目的合理化建议和改进措施；</w:t>
      </w:r>
    </w:p>
    <w:p>
      <w:pPr>
        <w:snapToGrid w:val="0"/>
        <w:ind w:firstLine="480" w:firstLineChars="200"/>
        <w:jc w:val="left"/>
        <w:rPr>
          <w:rFonts w:ascii="仿宋" w:hAnsi="仿宋" w:eastAsia="仿宋" w:cs="仿宋"/>
          <w:sz w:val="24"/>
        </w:rPr>
      </w:pPr>
      <w:r>
        <w:rPr>
          <w:rFonts w:hint="eastAsia" w:ascii="仿宋" w:hAnsi="仿宋" w:eastAsia="仿宋" w:cs="仿宋"/>
          <w:sz w:val="24"/>
        </w:rPr>
        <w:t>（11）投标人需要说明的其他文件和说明（根据评分办法提供，格式自拟）。</w:t>
      </w:r>
    </w:p>
    <w:p>
      <w:pPr>
        <w:snapToGrid w:val="0"/>
        <w:ind w:firstLine="723" w:firstLineChars="300"/>
        <w:jc w:val="left"/>
        <w:rPr>
          <w:rFonts w:ascii="仿宋" w:hAnsi="仿宋" w:eastAsia="仿宋" w:cs="仿宋"/>
          <w:b/>
          <w:sz w:val="24"/>
        </w:rPr>
      </w:pPr>
      <w:r>
        <w:rPr>
          <w:rFonts w:hint="eastAsia" w:ascii="仿宋" w:hAnsi="仿宋" w:eastAsia="仿宋" w:cs="仿宋"/>
          <w:b/>
          <w:sz w:val="24"/>
        </w:rPr>
        <w:t>2.商务文件</w:t>
      </w:r>
    </w:p>
    <w:p>
      <w:pPr>
        <w:ind w:firstLine="480" w:firstLineChars="200"/>
        <w:rPr>
          <w:rFonts w:ascii="仿宋" w:hAnsi="仿宋" w:eastAsia="仿宋" w:cs="仿宋"/>
          <w:sz w:val="24"/>
        </w:rPr>
      </w:pPr>
      <w:r>
        <w:rPr>
          <w:rFonts w:hint="eastAsia" w:ascii="仿宋" w:hAnsi="仿宋" w:eastAsia="仿宋" w:cs="仿宋"/>
          <w:sz w:val="24"/>
        </w:rPr>
        <w:t>（1）售后服务的内容和措施；</w:t>
      </w:r>
    </w:p>
    <w:p>
      <w:pPr>
        <w:ind w:firstLine="480" w:firstLineChars="200"/>
        <w:rPr>
          <w:rFonts w:ascii="仿宋" w:hAnsi="仿宋" w:eastAsia="仿宋" w:cs="仿宋"/>
          <w:sz w:val="24"/>
        </w:rPr>
      </w:pPr>
      <w:r>
        <w:rPr>
          <w:rFonts w:hint="eastAsia" w:ascii="仿宋" w:hAnsi="仿宋" w:eastAsia="仿宋" w:cs="仿宋"/>
          <w:sz w:val="24"/>
        </w:rPr>
        <w:t>（2）商务响应表；</w:t>
      </w:r>
    </w:p>
    <w:p>
      <w:pPr>
        <w:ind w:firstLine="480" w:firstLineChars="200"/>
        <w:rPr>
          <w:rFonts w:ascii="仿宋" w:hAnsi="仿宋" w:eastAsia="仿宋" w:cs="仿宋"/>
          <w:sz w:val="24"/>
        </w:rPr>
      </w:pPr>
      <w:r>
        <w:rPr>
          <w:rFonts w:hint="eastAsia" w:ascii="仿宋" w:hAnsi="仿宋" w:eastAsia="仿宋" w:cs="仿宋"/>
          <w:sz w:val="24"/>
        </w:rPr>
        <w:t>（3）售后服务承诺（网点）；</w:t>
      </w:r>
    </w:p>
    <w:p>
      <w:pPr>
        <w:ind w:firstLine="480" w:firstLineChars="200"/>
        <w:rPr>
          <w:rFonts w:ascii="仿宋" w:hAnsi="仿宋" w:eastAsia="仿宋" w:cs="仿宋"/>
          <w:sz w:val="24"/>
        </w:rPr>
      </w:pPr>
      <w:r>
        <w:rPr>
          <w:rFonts w:hint="eastAsia" w:ascii="仿宋" w:hAnsi="仿宋" w:eastAsia="仿宋" w:cs="仿宋"/>
          <w:sz w:val="24"/>
        </w:rPr>
        <w:t>（4）支付承诺。</w:t>
      </w:r>
    </w:p>
    <w:p>
      <w:pPr>
        <w:snapToGrid w:val="0"/>
        <w:ind w:firstLine="723" w:firstLineChars="300"/>
        <w:jc w:val="left"/>
        <w:rPr>
          <w:rFonts w:ascii="仿宋" w:hAnsi="仿宋" w:eastAsia="仿宋" w:cs="仿宋"/>
          <w:b/>
          <w:sz w:val="24"/>
        </w:rPr>
      </w:pPr>
      <w:r>
        <w:rPr>
          <w:rFonts w:hint="eastAsia" w:ascii="仿宋" w:hAnsi="仿宋" w:eastAsia="仿宋" w:cs="仿宋"/>
          <w:b/>
          <w:sz w:val="24"/>
        </w:rPr>
        <w:t>3.资信及其他文件：</w:t>
      </w:r>
    </w:p>
    <w:p>
      <w:pPr>
        <w:snapToGrid w:val="0"/>
        <w:ind w:firstLine="470" w:firstLineChars="196"/>
        <w:jc w:val="left"/>
        <w:rPr>
          <w:rFonts w:ascii="仿宋" w:hAnsi="仿宋" w:eastAsia="仿宋" w:cs="仿宋"/>
          <w:sz w:val="24"/>
        </w:rPr>
      </w:pPr>
      <w:r>
        <w:rPr>
          <w:rFonts w:hint="eastAsia" w:ascii="仿宋" w:hAnsi="仿宋" w:eastAsia="仿宋" w:cs="仿宋"/>
          <w:sz w:val="24"/>
        </w:rPr>
        <w:t>（1）投标人的有效信用等级证书；</w:t>
      </w:r>
    </w:p>
    <w:p>
      <w:pPr>
        <w:snapToGrid w:val="0"/>
        <w:ind w:firstLine="470" w:firstLineChars="196"/>
        <w:jc w:val="left"/>
        <w:rPr>
          <w:rFonts w:ascii="仿宋" w:hAnsi="仿宋" w:eastAsia="仿宋" w:cs="仿宋"/>
          <w:sz w:val="24"/>
        </w:rPr>
      </w:pPr>
      <w:r>
        <w:rPr>
          <w:rFonts w:hint="eastAsia" w:ascii="仿宋" w:hAnsi="仿宋" w:eastAsia="仿宋" w:cs="仿宋"/>
          <w:sz w:val="24"/>
        </w:rPr>
        <w:t>（2）投标人质量管理体系、环境认证体系等方面的认证证书；</w:t>
      </w:r>
    </w:p>
    <w:p>
      <w:pPr>
        <w:snapToGrid w:val="0"/>
        <w:ind w:firstLine="470" w:firstLineChars="196"/>
        <w:jc w:val="left"/>
        <w:rPr>
          <w:rFonts w:ascii="仿宋" w:hAnsi="仿宋" w:eastAsia="仿宋" w:cs="仿宋"/>
          <w:sz w:val="24"/>
        </w:rPr>
      </w:pPr>
      <w:r>
        <w:rPr>
          <w:rFonts w:hint="eastAsia" w:ascii="仿宋" w:hAnsi="仿宋" w:eastAsia="仿宋" w:cs="仿宋"/>
          <w:sz w:val="24"/>
        </w:rPr>
        <w:t>（3）投标人综合实力；</w:t>
      </w:r>
    </w:p>
    <w:p>
      <w:pPr>
        <w:snapToGrid w:val="0"/>
        <w:ind w:firstLine="470" w:firstLineChars="196"/>
        <w:jc w:val="left"/>
        <w:rPr>
          <w:rFonts w:ascii="仿宋" w:hAnsi="仿宋" w:eastAsia="仿宋" w:cs="仿宋"/>
          <w:sz w:val="24"/>
        </w:rPr>
      </w:pPr>
      <w:r>
        <w:rPr>
          <w:rFonts w:hint="eastAsia" w:ascii="仿宋" w:hAnsi="仿宋" w:eastAsia="仿宋" w:cs="仿宋"/>
          <w:sz w:val="24"/>
        </w:rPr>
        <w:t>（4）投标人信誉；</w:t>
      </w:r>
    </w:p>
    <w:p>
      <w:pPr>
        <w:snapToGrid w:val="0"/>
        <w:ind w:firstLine="470" w:firstLineChars="196"/>
        <w:jc w:val="left"/>
        <w:rPr>
          <w:rFonts w:ascii="仿宋" w:hAnsi="仿宋" w:eastAsia="仿宋" w:cs="仿宋"/>
          <w:sz w:val="24"/>
        </w:rPr>
      </w:pPr>
      <w:r>
        <w:rPr>
          <w:rFonts w:hint="eastAsia" w:ascii="仿宋" w:hAnsi="仿宋" w:eastAsia="仿宋" w:cs="仿宋"/>
          <w:sz w:val="24"/>
        </w:rPr>
        <w:t>（5）投标人业绩；</w:t>
      </w:r>
    </w:p>
    <w:p>
      <w:pPr>
        <w:snapToGrid w:val="0"/>
        <w:ind w:firstLine="470" w:firstLineChars="196"/>
        <w:jc w:val="left"/>
        <w:rPr>
          <w:rFonts w:ascii="仿宋" w:hAnsi="仿宋" w:eastAsia="仿宋" w:cs="仿宋"/>
          <w:sz w:val="24"/>
        </w:rPr>
      </w:pPr>
      <w:r>
        <w:rPr>
          <w:rFonts w:hint="eastAsia" w:ascii="仿宋" w:hAnsi="仿宋" w:eastAsia="仿宋" w:cs="仿宋"/>
          <w:sz w:val="24"/>
        </w:rPr>
        <w:t>（6）投标人荣誉；</w:t>
      </w:r>
    </w:p>
    <w:p>
      <w:pPr>
        <w:snapToGrid w:val="0"/>
        <w:ind w:firstLine="480" w:firstLineChars="200"/>
        <w:jc w:val="left"/>
        <w:rPr>
          <w:rFonts w:ascii="仿宋" w:hAnsi="仿宋" w:eastAsia="仿宋" w:cs="仿宋"/>
          <w:sz w:val="24"/>
        </w:rPr>
      </w:pPr>
      <w:r>
        <w:rPr>
          <w:rFonts w:hint="eastAsia" w:ascii="仿宋" w:hAnsi="仿宋" w:eastAsia="仿宋" w:cs="仿宋"/>
          <w:sz w:val="24"/>
        </w:rPr>
        <w:t>（7）近两年度企业财务审计报告；</w:t>
      </w:r>
    </w:p>
    <w:p>
      <w:pPr>
        <w:snapToGrid w:val="0"/>
        <w:ind w:firstLine="480" w:firstLineChars="200"/>
        <w:jc w:val="left"/>
        <w:rPr>
          <w:rFonts w:ascii="仿宋" w:hAnsi="仿宋" w:eastAsia="仿宋" w:cs="仿宋"/>
          <w:sz w:val="24"/>
        </w:rPr>
      </w:pPr>
      <w:r>
        <w:rPr>
          <w:rFonts w:hint="eastAsia" w:ascii="仿宋" w:hAnsi="仿宋" w:eastAsia="仿宋" w:cs="仿宋"/>
          <w:sz w:val="24"/>
        </w:rPr>
        <w:t>（8）投标人需要说明的其他文件和说明</w:t>
      </w:r>
    </w:p>
    <w:p>
      <w:pPr>
        <w:adjustRightInd w:val="0"/>
        <w:snapToGrid w:val="0"/>
        <w:spacing w:line="400" w:lineRule="exact"/>
        <w:jc w:val="left"/>
        <w:rPr>
          <w:rFonts w:ascii="仿宋" w:hAnsi="仿宋" w:eastAsia="仿宋" w:cs="仿宋"/>
          <w:b/>
          <w:sz w:val="24"/>
        </w:rPr>
      </w:pPr>
      <w:r>
        <w:rPr>
          <w:rFonts w:hint="eastAsia" w:ascii="仿宋" w:hAnsi="仿宋" w:eastAsia="仿宋" w:cs="仿宋"/>
          <w:b/>
          <w:sz w:val="24"/>
        </w:rPr>
        <w:t>3、报价文件：</w:t>
      </w:r>
    </w:p>
    <w:p>
      <w:pPr>
        <w:tabs>
          <w:tab w:val="left" w:pos="3870"/>
          <w:tab w:val="left" w:pos="4085"/>
        </w:tabs>
        <w:snapToGrid w:val="0"/>
        <w:ind w:firstLine="480" w:firstLineChars="200"/>
        <w:jc w:val="left"/>
        <w:rPr>
          <w:rFonts w:ascii="仿宋" w:hAnsi="仿宋" w:eastAsia="仿宋" w:cs="仿宋"/>
          <w:sz w:val="24"/>
        </w:rPr>
      </w:pPr>
      <w:r>
        <w:rPr>
          <w:rFonts w:hint="eastAsia" w:ascii="仿宋" w:hAnsi="仿宋" w:eastAsia="仿宋" w:cs="仿宋"/>
          <w:sz w:val="24"/>
        </w:rPr>
        <w:t xml:space="preserve">（1）投标函； </w:t>
      </w:r>
    </w:p>
    <w:p>
      <w:pPr>
        <w:tabs>
          <w:tab w:val="left" w:pos="3870"/>
          <w:tab w:val="left" w:pos="4085"/>
        </w:tabs>
        <w:snapToGrid w:val="0"/>
        <w:ind w:firstLine="480" w:firstLineChars="200"/>
        <w:jc w:val="left"/>
        <w:rPr>
          <w:rFonts w:ascii="仿宋" w:hAnsi="仿宋" w:eastAsia="仿宋" w:cs="仿宋"/>
          <w:sz w:val="24"/>
          <w:szCs w:val="20"/>
        </w:rPr>
      </w:pPr>
      <w:r>
        <w:rPr>
          <w:rFonts w:hint="eastAsia" w:ascii="仿宋" w:hAnsi="仿宋" w:eastAsia="仿宋" w:cs="仿宋"/>
          <w:sz w:val="24"/>
        </w:rPr>
        <w:t>（2）投标函附录；</w:t>
      </w:r>
    </w:p>
    <w:p>
      <w:pPr>
        <w:snapToGrid w:val="0"/>
        <w:ind w:firstLine="480" w:firstLineChars="200"/>
        <w:jc w:val="left"/>
        <w:rPr>
          <w:rFonts w:ascii="仿宋" w:hAnsi="仿宋" w:eastAsia="仿宋" w:cs="仿宋"/>
          <w:sz w:val="24"/>
        </w:rPr>
      </w:pPr>
      <w:r>
        <w:rPr>
          <w:rFonts w:hint="eastAsia" w:ascii="仿宋" w:hAnsi="仿宋" w:eastAsia="仿宋" w:cs="仿宋"/>
          <w:sz w:val="24"/>
        </w:rPr>
        <w:t>（3）开标一览表；</w:t>
      </w:r>
    </w:p>
    <w:p>
      <w:pPr>
        <w:snapToGrid w:val="0"/>
        <w:ind w:firstLine="480" w:firstLineChars="200"/>
        <w:jc w:val="left"/>
        <w:rPr>
          <w:rFonts w:ascii="仿宋" w:hAnsi="仿宋" w:eastAsia="仿宋" w:cs="仿宋"/>
          <w:sz w:val="24"/>
        </w:rPr>
      </w:pPr>
      <w:r>
        <w:rPr>
          <w:rFonts w:hint="eastAsia" w:ascii="仿宋" w:hAnsi="仿宋" w:eastAsia="仿宋" w:cs="仿宋"/>
          <w:sz w:val="24"/>
        </w:rPr>
        <w:t>（4）招标代理服务费承诺函；</w:t>
      </w:r>
    </w:p>
    <w:p>
      <w:pPr>
        <w:snapToGrid w:val="0"/>
        <w:ind w:firstLine="480" w:firstLineChars="200"/>
        <w:jc w:val="left"/>
        <w:rPr>
          <w:rFonts w:ascii="仿宋" w:hAnsi="仿宋" w:eastAsia="仿宋" w:cs="仿宋"/>
          <w:sz w:val="24"/>
        </w:rPr>
      </w:pPr>
      <w:r>
        <w:rPr>
          <w:rFonts w:hint="eastAsia" w:ascii="仿宋" w:hAnsi="仿宋" w:eastAsia="仿宋" w:cs="仿宋"/>
          <w:sz w:val="24"/>
        </w:rPr>
        <w:t>（5）投标人针对报价需要说明的其他文件和说明（格式自拟）。</w:t>
      </w:r>
    </w:p>
    <w:p>
      <w:pPr>
        <w:spacing w:line="440" w:lineRule="exact"/>
        <w:ind w:left="424"/>
        <w:rPr>
          <w:rFonts w:ascii="仿宋" w:hAnsi="仿宋" w:eastAsia="仿宋" w:cs="仿宋"/>
          <w:b/>
          <w:sz w:val="24"/>
          <w:u w:val="single"/>
        </w:rPr>
      </w:pPr>
      <w:r>
        <w:rPr>
          <w:rFonts w:hint="eastAsia" w:ascii="仿宋" w:hAnsi="仿宋" w:eastAsia="仿宋" w:cs="仿宋"/>
          <w:b/>
          <w:sz w:val="24"/>
          <w:u w:val="single"/>
        </w:rPr>
        <w:t>▲注：法定代表人授权委托书、投标声明书、投标函必须由法定代表人签名并加盖单位公章。</w:t>
      </w:r>
      <w:bookmarkStart w:id="141" w:name="_Toc177824877"/>
      <w:bookmarkStart w:id="142" w:name="_Toc177824944"/>
      <w:bookmarkStart w:id="143" w:name="_Toc177870547"/>
      <w:bookmarkStart w:id="144" w:name="_Toc177825125"/>
      <w:r>
        <w:rPr>
          <w:rFonts w:hint="eastAsia" w:ascii="仿宋" w:hAnsi="仿宋" w:eastAsia="仿宋" w:cs="仿宋"/>
          <w:b/>
          <w:sz w:val="24"/>
          <w:u w:val="single"/>
        </w:rPr>
        <w:t>资格、资质证书复印件应加盖单位公章。</w:t>
      </w:r>
    </w:p>
    <w:p>
      <w:pPr>
        <w:adjustRightInd w:val="0"/>
        <w:snapToGrid w:val="0"/>
        <w:spacing w:line="400" w:lineRule="exact"/>
        <w:jc w:val="left"/>
        <w:rPr>
          <w:rFonts w:ascii="仿宋" w:hAnsi="仿宋" w:eastAsia="仿宋" w:cs="仿宋"/>
          <w:b/>
          <w:sz w:val="24"/>
        </w:rPr>
      </w:pPr>
      <w:r>
        <w:rPr>
          <w:rFonts w:hint="eastAsia" w:ascii="仿宋" w:hAnsi="仿宋" w:eastAsia="仿宋" w:cs="仿宋"/>
          <w:b/>
          <w:sz w:val="24"/>
        </w:rPr>
        <w:t>（四）投标文件的语言及</w:t>
      </w:r>
      <w:bookmarkEnd w:id="141"/>
      <w:bookmarkEnd w:id="142"/>
      <w:bookmarkEnd w:id="143"/>
      <w:bookmarkEnd w:id="144"/>
      <w:r>
        <w:rPr>
          <w:rFonts w:hint="eastAsia" w:ascii="仿宋" w:hAnsi="仿宋" w:eastAsia="仿宋" w:cs="仿宋"/>
          <w:b/>
          <w:sz w:val="24"/>
        </w:rPr>
        <w:t>度量衡单位</w:t>
      </w:r>
    </w:p>
    <w:p>
      <w:pPr>
        <w:adjustRightInd w:val="0"/>
        <w:snapToGrid w:val="0"/>
        <w:spacing w:line="400" w:lineRule="exact"/>
        <w:ind w:firstLine="480" w:firstLineChars="200"/>
        <w:jc w:val="left"/>
        <w:rPr>
          <w:rFonts w:ascii="仿宋" w:hAnsi="仿宋" w:eastAsia="仿宋" w:cs="仿宋"/>
          <w:b/>
          <w:sz w:val="24"/>
        </w:rPr>
      </w:pPr>
      <w:r>
        <w:rPr>
          <w:rFonts w:hint="eastAsia" w:ascii="仿宋" w:hAnsi="仿宋" w:eastAsia="仿宋" w:cs="仿宋"/>
          <w:sz w:val="24"/>
        </w:rPr>
        <w:t>▲1、投标文件以及投标人与招标采购单位就有关投标事宜的所有来往函电，均应以中文书写。</w:t>
      </w:r>
    </w:p>
    <w:p>
      <w:pPr>
        <w:adjustRightInd w:val="0"/>
        <w:snapToGrid w:val="0"/>
        <w:spacing w:line="400" w:lineRule="exact"/>
        <w:ind w:firstLine="480" w:firstLineChars="200"/>
        <w:jc w:val="left"/>
        <w:rPr>
          <w:rFonts w:ascii="仿宋" w:hAnsi="仿宋" w:eastAsia="仿宋" w:cs="仿宋"/>
          <w:b/>
          <w:sz w:val="24"/>
        </w:rPr>
      </w:pPr>
      <w:r>
        <w:rPr>
          <w:rFonts w:hint="eastAsia" w:ascii="仿宋" w:hAnsi="仿宋" w:eastAsia="仿宋" w:cs="仿宋"/>
          <w:sz w:val="24"/>
        </w:rPr>
        <w:t>▲2、投标文件所使用的度量衡单位，均采用我国法定计量单位。</w:t>
      </w:r>
      <w:bookmarkStart w:id="145" w:name="_Toc177870548"/>
      <w:bookmarkStart w:id="146" w:name="_Toc177825126"/>
      <w:bookmarkStart w:id="147" w:name="_Toc177824878"/>
      <w:bookmarkStart w:id="148" w:name="_Toc177824945"/>
    </w:p>
    <w:p>
      <w:pPr>
        <w:adjustRightInd w:val="0"/>
        <w:snapToGrid w:val="0"/>
        <w:spacing w:line="400" w:lineRule="exact"/>
        <w:jc w:val="left"/>
        <w:rPr>
          <w:rFonts w:ascii="仿宋" w:hAnsi="仿宋" w:eastAsia="仿宋" w:cs="仿宋"/>
          <w:b/>
          <w:sz w:val="24"/>
        </w:rPr>
      </w:pPr>
      <w:r>
        <w:rPr>
          <w:rFonts w:hint="eastAsia" w:ascii="仿宋" w:hAnsi="仿宋" w:eastAsia="仿宋" w:cs="仿宋"/>
          <w:b/>
          <w:sz w:val="24"/>
        </w:rPr>
        <w:t>（五）投标报价</w:t>
      </w:r>
      <w:bookmarkEnd w:id="145"/>
      <w:bookmarkEnd w:id="146"/>
      <w:bookmarkEnd w:id="147"/>
      <w:bookmarkEnd w:id="148"/>
      <w:bookmarkStart w:id="149" w:name="_Toc293916876"/>
    </w:p>
    <w:p>
      <w:pPr>
        <w:adjustRightInd w:val="0"/>
        <w:snapToGrid w:val="0"/>
        <w:spacing w:line="400" w:lineRule="exact"/>
        <w:ind w:firstLine="480" w:firstLineChars="200"/>
        <w:jc w:val="left"/>
        <w:rPr>
          <w:rFonts w:ascii="仿宋" w:hAnsi="仿宋" w:eastAsia="仿宋" w:cs="仿宋"/>
          <w:sz w:val="24"/>
        </w:rPr>
      </w:pPr>
      <w:r>
        <w:rPr>
          <w:rFonts w:hint="eastAsia" w:ascii="仿宋" w:hAnsi="仿宋" w:eastAsia="仿宋" w:cs="仿宋"/>
          <w:sz w:val="24"/>
        </w:rPr>
        <w:t>▲1、投标人应按招标文件规定的报价格式进行投标报价。投标文件只允许有一个报价，任何有选择性的报价将不予接受。</w:t>
      </w:r>
    </w:p>
    <w:p>
      <w:pPr>
        <w:adjustRightInd w:val="0"/>
        <w:snapToGrid w:val="0"/>
        <w:spacing w:line="400" w:lineRule="exact"/>
        <w:ind w:firstLine="480" w:firstLineChars="200"/>
        <w:jc w:val="left"/>
        <w:rPr>
          <w:rFonts w:ascii="仿宋" w:hAnsi="仿宋" w:eastAsia="仿宋" w:cs="仿宋"/>
          <w:sz w:val="24"/>
        </w:rPr>
      </w:pPr>
      <w:r>
        <w:rPr>
          <w:rFonts w:hint="eastAsia" w:ascii="仿宋" w:hAnsi="仿宋" w:eastAsia="仿宋" w:cs="仿宋"/>
          <w:sz w:val="24"/>
        </w:rPr>
        <w:t>▲2、</w:t>
      </w:r>
      <w:r>
        <w:rPr>
          <w:rFonts w:hint="eastAsia" w:ascii="仿宋" w:hAnsi="仿宋" w:eastAsia="仿宋" w:cs="仿宋"/>
          <w:b/>
          <w:bCs/>
          <w:sz w:val="24"/>
        </w:rPr>
        <w:t>投标报价</w:t>
      </w:r>
      <w:r>
        <w:rPr>
          <w:rFonts w:hint="eastAsia" w:ascii="仿宋" w:hAnsi="仿宋" w:eastAsia="仿宋" w:cs="仿宋"/>
          <w:sz w:val="24"/>
        </w:rPr>
        <w:t>包括实施本项目所需投标报价包括软硬件产品购置、运输、保险、安装、调试、培训、保修等一切费用，是履行合同的最终价格，其市场风险由投标人承担。</w:t>
      </w:r>
    </w:p>
    <w:p>
      <w:pPr>
        <w:adjustRightInd w:val="0"/>
        <w:snapToGrid w:val="0"/>
        <w:spacing w:line="400" w:lineRule="exact"/>
        <w:ind w:firstLine="480" w:firstLineChars="200"/>
        <w:jc w:val="left"/>
        <w:rPr>
          <w:rFonts w:ascii="仿宋" w:hAnsi="仿宋" w:eastAsia="仿宋" w:cs="仿宋"/>
          <w:sz w:val="24"/>
        </w:rPr>
      </w:pPr>
      <w:r>
        <w:rPr>
          <w:rFonts w:hint="eastAsia" w:ascii="仿宋" w:hAnsi="仿宋" w:eastAsia="仿宋" w:cs="仿宋"/>
          <w:sz w:val="24"/>
        </w:rPr>
        <w:t>▲3、招标采购单位不接受备选方案。</w:t>
      </w:r>
    </w:p>
    <w:p>
      <w:pPr>
        <w:adjustRightInd w:val="0"/>
        <w:snapToGrid w:val="0"/>
        <w:spacing w:line="400" w:lineRule="exact"/>
        <w:ind w:firstLine="480" w:firstLineChars="200"/>
        <w:jc w:val="left"/>
        <w:rPr>
          <w:rFonts w:ascii="仿宋" w:hAnsi="仿宋" w:eastAsia="仿宋" w:cs="仿宋"/>
          <w:sz w:val="24"/>
        </w:rPr>
      </w:pPr>
      <w:r>
        <w:rPr>
          <w:rFonts w:hint="eastAsia" w:ascii="仿宋" w:hAnsi="仿宋" w:eastAsia="仿宋" w:cs="仿宋"/>
          <w:sz w:val="24"/>
        </w:rPr>
        <w:t>▲4、投标文件中的单价、合价、总价全部采用人民币表示。</w:t>
      </w:r>
      <w:bookmarkEnd w:id="149"/>
    </w:p>
    <w:p>
      <w:pPr>
        <w:adjustRightInd w:val="0"/>
        <w:snapToGrid w:val="0"/>
        <w:spacing w:line="400" w:lineRule="exact"/>
        <w:jc w:val="left"/>
        <w:rPr>
          <w:rFonts w:ascii="仿宋" w:hAnsi="仿宋" w:eastAsia="仿宋" w:cs="仿宋"/>
          <w:b/>
          <w:sz w:val="24"/>
        </w:rPr>
      </w:pPr>
      <w:r>
        <w:rPr>
          <w:rFonts w:hint="eastAsia" w:ascii="仿宋" w:hAnsi="仿宋" w:eastAsia="仿宋" w:cs="仿宋"/>
          <w:b/>
          <w:sz w:val="24"/>
        </w:rPr>
        <w:t>（六）投标文件的有效期</w:t>
      </w:r>
    </w:p>
    <w:p>
      <w:pPr>
        <w:adjustRightInd w:val="0"/>
        <w:snapToGrid w:val="0"/>
        <w:spacing w:line="400" w:lineRule="exact"/>
        <w:ind w:firstLine="480" w:firstLineChars="200"/>
        <w:jc w:val="left"/>
        <w:rPr>
          <w:rFonts w:ascii="仿宋" w:hAnsi="仿宋" w:eastAsia="仿宋" w:cs="仿宋"/>
          <w:sz w:val="24"/>
        </w:rPr>
      </w:pPr>
      <w:r>
        <w:rPr>
          <w:rFonts w:hint="eastAsia" w:ascii="仿宋" w:hAnsi="仿宋" w:eastAsia="仿宋" w:cs="仿宋"/>
          <w:sz w:val="24"/>
        </w:rPr>
        <w:t>▲1、自投标截止日起</w:t>
      </w:r>
      <w:r>
        <w:rPr>
          <w:rFonts w:hint="eastAsia" w:ascii="仿宋" w:hAnsi="仿宋" w:eastAsia="仿宋" w:cs="仿宋"/>
          <w:sz w:val="24"/>
          <w:u w:val="single"/>
        </w:rPr>
        <w:t>90</w:t>
      </w:r>
      <w:r>
        <w:rPr>
          <w:rFonts w:hint="eastAsia" w:ascii="仿宋" w:hAnsi="仿宋" w:eastAsia="仿宋" w:cs="仿宋"/>
          <w:sz w:val="24"/>
        </w:rPr>
        <w:t>天投标书应保持有效。有效期短于这个规定期限的投标将被拒绝。</w:t>
      </w:r>
    </w:p>
    <w:p>
      <w:pPr>
        <w:numPr>
          <w:ilvl w:val="0"/>
          <w:numId w:val="8"/>
        </w:numPr>
        <w:adjustRightInd w:val="0"/>
        <w:snapToGrid w:val="0"/>
        <w:spacing w:line="400" w:lineRule="exact"/>
        <w:ind w:firstLine="480" w:firstLineChars="200"/>
        <w:jc w:val="left"/>
        <w:rPr>
          <w:rFonts w:ascii="仿宋" w:hAnsi="仿宋" w:eastAsia="仿宋" w:cs="仿宋"/>
          <w:sz w:val="24"/>
        </w:rPr>
      </w:pPr>
      <w:r>
        <w:rPr>
          <w:rFonts w:hint="eastAsia" w:ascii="仿宋" w:hAnsi="仿宋" w:eastAsia="仿宋" w:cs="仿宋"/>
          <w:sz w:val="24"/>
        </w:rPr>
        <w:t>在特殊情况下，采购人可与投标人协商延长投标书的有效期，这种要求和答复均以书面形式进行。</w:t>
      </w:r>
      <w:bookmarkStart w:id="150" w:name="_Toc177824879"/>
      <w:bookmarkStart w:id="151" w:name="_Toc177824946"/>
      <w:bookmarkStart w:id="152" w:name="_Toc177825127"/>
      <w:bookmarkStart w:id="153" w:name="_Toc177870549"/>
    </w:p>
    <w:p>
      <w:pPr>
        <w:adjustRightInd w:val="0"/>
        <w:snapToGrid w:val="0"/>
        <w:spacing w:line="400" w:lineRule="exact"/>
        <w:ind w:firstLine="480" w:firstLineChars="200"/>
        <w:jc w:val="left"/>
        <w:rPr>
          <w:rFonts w:ascii="仿宋" w:hAnsi="仿宋" w:eastAsia="仿宋" w:cs="仿宋"/>
          <w:b/>
          <w:sz w:val="24"/>
        </w:rPr>
      </w:pPr>
      <w:r>
        <w:rPr>
          <w:rFonts w:hint="eastAsia" w:ascii="仿宋" w:hAnsi="仿宋" w:eastAsia="仿宋" w:cs="仿宋"/>
          <w:sz w:val="24"/>
        </w:rPr>
        <w:t>3、投标人可拒绝接受延期要求。同意延长有效期的投标人不能修改投标文件。</w:t>
      </w:r>
      <w:bookmarkEnd w:id="150"/>
      <w:bookmarkEnd w:id="151"/>
      <w:bookmarkEnd w:id="152"/>
      <w:bookmarkEnd w:id="153"/>
    </w:p>
    <w:p>
      <w:pPr>
        <w:adjustRightInd w:val="0"/>
        <w:snapToGrid w:val="0"/>
        <w:spacing w:line="400" w:lineRule="exact"/>
        <w:ind w:firstLine="480" w:firstLineChars="200"/>
        <w:jc w:val="left"/>
        <w:rPr>
          <w:rFonts w:ascii="仿宋" w:hAnsi="仿宋" w:eastAsia="仿宋" w:cs="仿宋"/>
          <w:sz w:val="24"/>
        </w:rPr>
      </w:pPr>
      <w:r>
        <w:rPr>
          <w:rFonts w:hint="eastAsia" w:ascii="仿宋" w:hAnsi="仿宋" w:eastAsia="仿宋" w:cs="仿宋"/>
          <w:sz w:val="24"/>
        </w:rPr>
        <w:t>4、中标人的投标文件自开标之日起至合同履行完毕止均应保持有效。</w:t>
      </w:r>
    </w:p>
    <w:p>
      <w:pPr>
        <w:adjustRightInd w:val="0"/>
        <w:snapToGrid w:val="0"/>
        <w:spacing w:line="400" w:lineRule="exact"/>
        <w:jc w:val="left"/>
        <w:rPr>
          <w:rFonts w:ascii="仿宋" w:hAnsi="仿宋" w:eastAsia="仿宋" w:cs="仿宋"/>
          <w:b/>
          <w:bCs/>
          <w:sz w:val="24"/>
        </w:rPr>
      </w:pPr>
      <w:r>
        <w:rPr>
          <w:rFonts w:hint="eastAsia" w:ascii="仿宋" w:hAnsi="仿宋" w:eastAsia="仿宋" w:cs="仿宋"/>
          <w:b/>
          <w:bCs/>
          <w:sz w:val="24"/>
        </w:rPr>
        <w:t>（七）投标文件的补充、修改或撤回</w:t>
      </w:r>
    </w:p>
    <w:p>
      <w:pPr>
        <w:adjustRightInd w:val="0"/>
        <w:snapToGrid w:val="0"/>
        <w:spacing w:line="400" w:lineRule="exact"/>
        <w:ind w:firstLine="480" w:firstLineChars="200"/>
        <w:jc w:val="left"/>
        <w:rPr>
          <w:rFonts w:ascii="仿宋" w:hAnsi="仿宋" w:eastAsia="仿宋" w:cs="仿宋"/>
          <w:sz w:val="24"/>
        </w:rPr>
      </w:pPr>
      <w:r>
        <w:rPr>
          <w:rFonts w:hint="eastAsia" w:ascii="仿宋" w:hAnsi="仿宋" w:eastAsia="仿宋" w:cs="仿宋"/>
          <w:sz w:val="24"/>
        </w:rPr>
        <w:t>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adjustRightInd w:val="0"/>
        <w:snapToGrid w:val="0"/>
        <w:spacing w:line="400" w:lineRule="exact"/>
        <w:ind w:firstLine="480" w:firstLineChars="200"/>
        <w:jc w:val="left"/>
        <w:rPr>
          <w:rFonts w:ascii="仿宋" w:hAnsi="仿宋" w:eastAsia="仿宋" w:cs="仿宋"/>
          <w:sz w:val="24"/>
        </w:rPr>
      </w:pPr>
      <w:r>
        <w:rPr>
          <w:rFonts w:hint="eastAsia" w:ascii="仿宋" w:hAnsi="仿宋" w:eastAsia="仿宋" w:cs="仿宋"/>
          <w:sz w:val="24"/>
        </w:rPr>
        <w:t>投标截止时间后，投标供应商不得撤回、修改投标文件。</w:t>
      </w:r>
    </w:p>
    <w:p>
      <w:pPr>
        <w:adjustRightInd w:val="0"/>
        <w:snapToGrid w:val="0"/>
        <w:spacing w:line="400" w:lineRule="exact"/>
        <w:jc w:val="left"/>
        <w:rPr>
          <w:rFonts w:ascii="仿宋" w:hAnsi="仿宋" w:eastAsia="仿宋" w:cs="仿宋"/>
          <w:sz w:val="24"/>
        </w:rPr>
      </w:pPr>
      <w:r>
        <w:rPr>
          <w:rFonts w:hint="eastAsia" w:ascii="仿宋" w:hAnsi="仿宋" w:eastAsia="仿宋" w:cs="仿宋"/>
          <w:sz w:val="24"/>
        </w:rPr>
        <w:t>（</w:t>
      </w:r>
      <w:r>
        <w:rPr>
          <w:rFonts w:hint="eastAsia" w:ascii="仿宋" w:hAnsi="仿宋" w:eastAsia="仿宋" w:cs="仿宋"/>
          <w:b/>
          <w:bCs/>
          <w:sz w:val="24"/>
        </w:rPr>
        <w:t>八）投标文件的备选方案</w:t>
      </w:r>
    </w:p>
    <w:p>
      <w:pPr>
        <w:adjustRightInd w:val="0"/>
        <w:snapToGrid w:val="0"/>
        <w:spacing w:line="400" w:lineRule="exact"/>
        <w:ind w:firstLine="480" w:firstLineChars="200"/>
        <w:jc w:val="left"/>
        <w:rPr>
          <w:rFonts w:ascii="仿宋" w:hAnsi="仿宋" w:eastAsia="仿宋" w:cs="仿宋"/>
          <w:sz w:val="24"/>
        </w:rPr>
      </w:pPr>
      <w:r>
        <w:rPr>
          <w:rFonts w:hint="eastAsia" w:ascii="仿宋" w:hAnsi="仿宋" w:eastAsia="仿宋" w:cs="仿宋"/>
          <w:sz w:val="24"/>
        </w:rPr>
        <w:t>投标供应商不得递交任何的投标备选（替代）方案，否则其投标文件将作无效标处理。与“电子加密投标文件”同时生成的“备份投标文件”不是投标备选（替代）方案。</w:t>
      </w:r>
    </w:p>
    <w:p>
      <w:pPr>
        <w:adjustRightInd w:val="0"/>
        <w:snapToGrid w:val="0"/>
        <w:spacing w:line="400" w:lineRule="exact"/>
        <w:rPr>
          <w:rFonts w:ascii="仿宋" w:hAnsi="仿宋" w:eastAsia="仿宋" w:cs="仿宋"/>
          <w:b/>
          <w:color w:val="000000"/>
          <w:sz w:val="24"/>
        </w:rPr>
      </w:pPr>
      <w:bookmarkStart w:id="154" w:name="_Toc293916371"/>
      <w:bookmarkStart w:id="155" w:name="_Toc424544536"/>
      <w:bookmarkStart w:id="156" w:name="_Toc424544815"/>
      <w:bookmarkStart w:id="157" w:name="_Toc177870553"/>
      <w:bookmarkStart w:id="158" w:name="_Toc293916879"/>
      <w:bookmarkStart w:id="159" w:name="_Toc293917020"/>
      <w:bookmarkStart w:id="160" w:name="_Toc107820050"/>
      <w:bookmarkStart w:id="161" w:name="_Toc170792769"/>
      <w:bookmarkStart w:id="162" w:name="_Toc293916020"/>
      <w:r>
        <w:rPr>
          <w:rFonts w:hint="eastAsia" w:ascii="仿宋" w:hAnsi="仿宋" w:eastAsia="仿宋" w:cs="仿宋"/>
          <w:b/>
          <w:color w:val="000000"/>
          <w:sz w:val="24"/>
        </w:rPr>
        <w:t>（九）投标无效的情形</w:t>
      </w:r>
    </w:p>
    <w:p>
      <w:pPr>
        <w:spacing w:line="400" w:lineRule="exact"/>
        <w:ind w:firstLine="480" w:firstLineChars="200"/>
        <w:rPr>
          <w:rFonts w:ascii="仿宋" w:hAnsi="仿宋" w:eastAsia="仿宋" w:cs="仿宋"/>
          <w:color w:val="000000"/>
          <w:sz w:val="24"/>
        </w:rPr>
      </w:pPr>
      <w:r>
        <w:rPr>
          <w:rFonts w:hint="eastAsia" w:ascii="仿宋" w:hAnsi="仿宋" w:eastAsia="仿宋" w:cs="仿宋"/>
          <w:color w:val="000000"/>
          <w:sz w:val="24"/>
        </w:rPr>
        <w:t>实质上没有响应招标文件要求的投标将被视为无效投标。在评审时，如发现下列情形之一的，投标文件将被视为无效：</w:t>
      </w:r>
    </w:p>
    <w:p>
      <w:pPr>
        <w:adjustRightInd w:val="0"/>
        <w:snapToGrid w:val="0"/>
        <w:spacing w:line="360" w:lineRule="exact"/>
        <w:ind w:firstLine="720" w:firstLineChars="300"/>
        <w:jc w:val="left"/>
        <w:rPr>
          <w:rFonts w:ascii="仿宋" w:hAnsi="仿宋" w:eastAsia="仿宋" w:cs="仿宋"/>
          <w:sz w:val="24"/>
        </w:rPr>
      </w:pPr>
      <w:r>
        <w:rPr>
          <w:rFonts w:hint="eastAsia" w:ascii="仿宋" w:hAnsi="仿宋" w:eastAsia="仿宋" w:cs="仿宋"/>
          <w:sz w:val="24"/>
        </w:rPr>
        <w:t>1、在资格审查时，如发现下列情形之一的，投标文件将被视为无效：</w:t>
      </w:r>
    </w:p>
    <w:p>
      <w:pPr>
        <w:adjustRightInd w:val="0"/>
        <w:snapToGrid w:val="0"/>
        <w:spacing w:line="360" w:lineRule="exact"/>
        <w:ind w:firstLine="720" w:firstLineChars="300"/>
        <w:jc w:val="left"/>
        <w:rPr>
          <w:rFonts w:ascii="仿宋" w:hAnsi="仿宋" w:eastAsia="仿宋" w:cs="仿宋"/>
          <w:sz w:val="24"/>
        </w:rPr>
      </w:pPr>
      <w:r>
        <w:rPr>
          <w:rFonts w:hint="eastAsia" w:ascii="仿宋" w:hAnsi="仿宋" w:eastAsia="仿宋" w:cs="仿宋"/>
          <w:sz w:val="24"/>
        </w:rPr>
        <w:t>（1）资格证明文件不全的，或者不符合招标文件标明的资格要求的；</w:t>
      </w:r>
    </w:p>
    <w:p>
      <w:pPr>
        <w:adjustRightInd w:val="0"/>
        <w:snapToGrid w:val="0"/>
        <w:spacing w:line="360" w:lineRule="exact"/>
        <w:ind w:firstLine="720" w:firstLineChars="300"/>
        <w:jc w:val="left"/>
        <w:rPr>
          <w:rFonts w:ascii="仿宋" w:hAnsi="仿宋" w:eastAsia="仿宋" w:cs="仿宋"/>
          <w:sz w:val="24"/>
        </w:rPr>
      </w:pPr>
      <w:r>
        <w:rPr>
          <w:rFonts w:hint="eastAsia" w:ascii="仿宋" w:hAnsi="仿宋" w:eastAsia="仿宋" w:cs="仿宋"/>
          <w:sz w:val="24"/>
        </w:rPr>
        <w:t>（2）投标人是采购人不具有独立法人资格的附属机构（单位）；</w:t>
      </w:r>
    </w:p>
    <w:p>
      <w:pPr>
        <w:adjustRightInd w:val="0"/>
        <w:snapToGrid w:val="0"/>
        <w:spacing w:line="360" w:lineRule="exact"/>
        <w:ind w:firstLine="720" w:firstLineChars="300"/>
        <w:jc w:val="left"/>
        <w:rPr>
          <w:rFonts w:ascii="仿宋" w:hAnsi="仿宋" w:eastAsia="仿宋" w:cs="仿宋"/>
          <w:color w:val="333333"/>
          <w:sz w:val="24"/>
          <w:shd w:val="clear" w:color="auto" w:fill="FFFFFF"/>
        </w:rPr>
      </w:pPr>
      <w:r>
        <w:rPr>
          <w:rFonts w:hint="eastAsia" w:ascii="仿宋" w:hAnsi="仿宋" w:eastAsia="仿宋" w:cs="仿宋"/>
          <w:sz w:val="24"/>
        </w:rPr>
        <w:t>（3）</w:t>
      </w:r>
      <w:r>
        <w:rPr>
          <w:rFonts w:hint="eastAsia" w:ascii="仿宋" w:hAnsi="仿宋" w:eastAsia="仿宋" w:cs="仿宋"/>
          <w:color w:val="333333"/>
          <w:sz w:val="24"/>
          <w:shd w:val="clear" w:color="auto" w:fill="FFFFFF"/>
        </w:rPr>
        <w:t>至本项目投标截止时间前，投标人在“信用中国”（www.creditchina.gov.cn ）、中国政府采购（www.ccgp.gov.cn ）、中被列入失信被执行人、重大税收违法案件当事人名单、政府采购严重违法失信行为记录名单的。</w:t>
      </w:r>
    </w:p>
    <w:p>
      <w:pPr>
        <w:adjustRightInd w:val="0"/>
        <w:snapToGrid w:val="0"/>
        <w:spacing w:line="360" w:lineRule="exact"/>
        <w:ind w:firstLine="720" w:firstLineChars="300"/>
        <w:jc w:val="left"/>
        <w:rPr>
          <w:rFonts w:ascii="仿宋" w:hAnsi="仿宋" w:eastAsia="仿宋" w:cs="仿宋"/>
          <w:sz w:val="24"/>
        </w:rPr>
      </w:pPr>
      <w:r>
        <w:rPr>
          <w:rFonts w:hint="eastAsia" w:ascii="仿宋" w:hAnsi="仿宋" w:eastAsia="仿宋" w:cs="仿宋"/>
          <w:sz w:val="24"/>
        </w:rPr>
        <w:t>2、在符合性审查时，如发现下列情形之一的，投标文件将被视为无效：</w:t>
      </w:r>
    </w:p>
    <w:p>
      <w:pPr>
        <w:adjustRightInd w:val="0"/>
        <w:snapToGrid w:val="0"/>
        <w:spacing w:line="360" w:lineRule="exact"/>
        <w:ind w:firstLine="720" w:firstLineChars="300"/>
        <w:jc w:val="left"/>
        <w:rPr>
          <w:rFonts w:ascii="仿宋" w:hAnsi="仿宋" w:eastAsia="仿宋" w:cs="仿宋"/>
          <w:sz w:val="24"/>
        </w:rPr>
      </w:pPr>
      <w:r>
        <w:rPr>
          <w:rFonts w:hint="eastAsia" w:ascii="仿宋" w:hAnsi="仿宋" w:eastAsia="仿宋" w:cs="仿宋"/>
          <w:sz w:val="24"/>
        </w:rPr>
        <w:t>（1）授权代理人未经有效授权的；</w:t>
      </w:r>
    </w:p>
    <w:p>
      <w:pPr>
        <w:adjustRightInd w:val="0"/>
        <w:snapToGrid w:val="0"/>
        <w:spacing w:line="360" w:lineRule="exact"/>
        <w:ind w:firstLine="720" w:firstLineChars="300"/>
        <w:jc w:val="left"/>
        <w:rPr>
          <w:rFonts w:ascii="仿宋" w:hAnsi="仿宋" w:eastAsia="仿宋" w:cs="仿宋"/>
          <w:sz w:val="24"/>
        </w:rPr>
      </w:pPr>
      <w:r>
        <w:rPr>
          <w:rFonts w:hint="eastAsia" w:ascii="仿宋" w:hAnsi="仿宋" w:eastAsia="仿宋" w:cs="仿宋"/>
          <w:sz w:val="24"/>
        </w:rPr>
        <w:t>（2）投标有效期、交货期（服务期）、质保期等不能满足招标文件要求的；</w:t>
      </w:r>
    </w:p>
    <w:p>
      <w:pPr>
        <w:adjustRightInd w:val="0"/>
        <w:snapToGrid w:val="0"/>
        <w:spacing w:line="360" w:lineRule="exact"/>
        <w:ind w:firstLine="720" w:firstLineChars="300"/>
        <w:jc w:val="left"/>
        <w:rPr>
          <w:rFonts w:ascii="仿宋" w:hAnsi="仿宋" w:eastAsia="仿宋" w:cs="仿宋"/>
          <w:sz w:val="24"/>
        </w:rPr>
      </w:pPr>
      <w:r>
        <w:rPr>
          <w:rFonts w:hint="eastAsia" w:ascii="仿宋" w:hAnsi="仿宋" w:eastAsia="仿宋" w:cs="仿宋"/>
          <w:sz w:val="24"/>
        </w:rPr>
        <w:t>（3）不响应或者擅自改变招标文件要求或者投标文件有采购人不能接受的附加条件的；</w:t>
      </w:r>
    </w:p>
    <w:p>
      <w:pPr>
        <w:adjustRightInd w:val="0"/>
        <w:snapToGrid w:val="0"/>
        <w:spacing w:line="360" w:lineRule="exact"/>
        <w:ind w:firstLine="720" w:firstLineChars="300"/>
        <w:jc w:val="left"/>
        <w:rPr>
          <w:rFonts w:ascii="仿宋" w:hAnsi="仿宋" w:eastAsia="仿宋" w:cs="仿宋"/>
          <w:sz w:val="24"/>
        </w:rPr>
      </w:pPr>
      <w:r>
        <w:rPr>
          <w:rFonts w:hint="eastAsia" w:ascii="仿宋" w:hAnsi="仿宋" w:eastAsia="仿宋" w:cs="仿宋"/>
          <w:sz w:val="24"/>
        </w:rPr>
        <w:t>（4）未提供或未如实提供服务内容，或者虚假投标的。</w:t>
      </w:r>
    </w:p>
    <w:p>
      <w:pPr>
        <w:adjustRightInd w:val="0"/>
        <w:snapToGrid w:val="0"/>
        <w:spacing w:line="360" w:lineRule="exact"/>
        <w:ind w:firstLine="720" w:firstLineChars="300"/>
        <w:jc w:val="left"/>
        <w:rPr>
          <w:rFonts w:ascii="仿宋" w:hAnsi="仿宋" w:eastAsia="仿宋" w:cs="仿宋"/>
          <w:sz w:val="24"/>
        </w:rPr>
      </w:pPr>
      <w:r>
        <w:rPr>
          <w:rFonts w:hint="eastAsia" w:ascii="仿宋" w:hAnsi="仿宋" w:eastAsia="仿宋" w:cs="仿宋"/>
          <w:sz w:val="24"/>
        </w:rPr>
        <w:t>3、在技术评审时，如发现下列情形之一的，投标文件将被视为无效：</w:t>
      </w:r>
    </w:p>
    <w:p>
      <w:pPr>
        <w:adjustRightInd w:val="0"/>
        <w:snapToGrid w:val="0"/>
        <w:spacing w:line="360" w:lineRule="exact"/>
        <w:ind w:firstLine="720" w:firstLineChars="300"/>
        <w:jc w:val="left"/>
        <w:rPr>
          <w:rFonts w:ascii="仿宋" w:hAnsi="仿宋" w:eastAsia="仿宋" w:cs="仿宋"/>
          <w:sz w:val="24"/>
        </w:rPr>
      </w:pPr>
      <w:r>
        <w:rPr>
          <w:rFonts w:hint="eastAsia" w:ascii="仿宋" w:hAnsi="仿宋" w:eastAsia="仿宋" w:cs="仿宋"/>
          <w:sz w:val="24"/>
        </w:rPr>
        <w:t>（1）与招标文件中标“▲”的服务指标、主要服务要求发生实质性偏离的；</w:t>
      </w:r>
    </w:p>
    <w:p>
      <w:pPr>
        <w:adjustRightInd w:val="0"/>
        <w:snapToGrid w:val="0"/>
        <w:spacing w:line="360" w:lineRule="exact"/>
        <w:ind w:firstLine="720" w:firstLineChars="300"/>
        <w:jc w:val="left"/>
        <w:rPr>
          <w:rFonts w:ascii="仿宋" w:hAnsi="仿宋" w:eastAsia="仿宋" w:cs="仿宋"/>
          <w:sz w:val="24"/>
        </w:rPr>
      </w:pPr>
      <w:r>
        <w:rPr>
          <w:rFonts w:hint="eastAsia" w:ascii="仿宋" w:hAnsi="仿宋" w:eastAsia="仿宋" w:cs="仿宋"/>
          <w:sz w:val="24"/>
        </w:rPr>
        <w:t>（2）投标项目方案不明确，存在一个或一个以上备选（替代）投标方案且未注明哪个有效的；</w:t>
      </w:r>
    </w:p>
    <w:p>
      <w:pPr>
        <w:adjustRightInd w:val="0"/>
        <w:snapToGrid w:val="0"/>
        <w:spacing w:line="360" w:lineRule="exact"/>
        <w:ind w:firstLine="720" w:firstLineChars="300"/>
        <w:jc w:val="left"/>
        <w:rPr>
          <w:rFonts w:ascii="仿宋" w:hAnsi="仿宋" w:eastAsia="仿宋" w:cs="仿宋"/>
          <w:sz w:val="24"/>
        </w:rPr>
      </w:pPr>
      <w:r>
        <w:rPr>
          <w:rFonts w:hint="eastAsia" w:ascii="仿宋" w:hAnsi="仿宋" w:eastAsia="仿宋" w:cs="仿宋"/>
          <w:sz w:val="24"/>
        </w:rPr>
        <w:t>（3）</w:t>
      </w:r>
      <w:r>
        <w:rPr>
          <w:rFonts w:hint="eastAsia" w:ascii="仿宋" w:hAnsi="仿宋" w:eastAsia="仿宋" w:cs="仿宋"/>
          <w:bCs/>
          <w:color w:val="000000"/>
          <w:sz w:val="24"/>
        </w:rPr>
        <w:t>项目方案不符合项目需求或不具有操作性的</w:t>
      </w:r>
      <w:r>
        <w:rPr>
          <w:rFonts w:hint="eastAsia" w:ascii="仿宋" w:hAnsi="仿宋" w:eastAsia="仿宋" w:cs="仿宋"/>
          <w:sz w:val="24"/>
        </w:rPr>
        <w:t>。</w:t>
      </w:r>
    </w:p>
    <w:p>
      <w:pPr>
        <w:adjustRightInd w:val="0"/>
        <w:snapToGrid w:val="0"/>
        <w:spacing w:line="360" w:lineRule="exact"/>
        <w:ind w:firstLine="720" w:firstLineChars="300"/>
        <w:jc w:val="left"/>
        <w:rPr>
          <w:rFonts w:ascii="仿宋" w:hAnsi="仿宋" w:eastAsia="仿宋" w:cs="仿宋"/>
          <w:sz w:val="24"/>
        </w:rPr>
      </w:pPr>
      <w:r>
        <w:rPr>
          <w:rFonts w:hint="eastAsia" w:ascii="仿宋" w:hAnsi="仿宋" w:eastAsia="仿宋" w:cs="仿宋"/>
          <w:sz w:val="24"/>
        </w:rPr>
        <w:t>4、在价格评审时，如发现下列情形之一的，投标文件将被视为无效：</w:t>
      </w:r>
    </w:p>
    <w:p>
      <w:pPr>
        <w:adjustRightInd w:val="0"/>
        <w:spacing w:line="360" w:lineRule="exact"/>
        <w:ind w:firstLine="720" w:firstLineChars="300"/>
        <w:jc w:val="left"/>
        <w:rPr>
          <w:rFonts w:ascii="仿宋" w:hAnsi="仿宋" w:eastAsia="仿宋" w:cs="仿宋"/>
          <w:color w:val="000000"/>
          <w:sz w:val="24"/>
        </w:rPr>
      </w:pPr>
      <w:r>
        <w:rPr>
          <w:rFonts w:hint="eastAsia" w:ascii="仿宋" w:hAnsi="仿宋" w:eastAsia="仿宋" w:cs="仿宋"/>
          <w:color w:val="000000"/>
          <w:sz w:val="24"/>
        </w:rPr>
        <w:t>（1）未采用人民币报价或者未按照招标文件标明的币种报价的；</w:t>
      </w:r>
    </w:p>
    <w:p>
      <w:pPr>
        <w:adjustRightInd w:val="0"/>
        <w:spacing w:line="360" w:lineRule="exact"/>
        <w:ind w:firstLine="720" w:firstLineChars="300"/>
        <w:jc w:val="left"/>
        <w:rPr>
          <w:rFonts w:ascii="仿宋" w:hAnsi="仿宋" w:eastAsia="仿宋" w:cs="仿宋"/>
          <w:color w:val="000000"/>
          <w:sz w:val="24"/>
        </w:rPr>
      </w:pPr>
      <w:r>
        <w:rPr>
          <w:rFonts w:hint="eastAsia" w:ascii="仿宋" w:hAnsi="仿宋" w:eastAsia="仿宋" w:cs="仿宋"/>
          <w:color w:val="000000"/>
          <w:sz w:val="24"/>
        </w:rPr>
        <w:t>（2）报价超出采购预算金额</w:t>
      </w:r>
      <w:r>
        <w:rPr>
          <w:rFonts w:hint="eastAsia" w:ascii="仿宋" w:hAnsi="仿宋" w:eastAsia="仿宋" w:cs="仿宋"/>
          <w:sz w:val="24"/>
        </w:rPr>
        <w:t>或最高限价</w:t>
      </w:r>
      <w:r>
        <w:rPr>
          <w:rFonts w:hint="eastAsia" w:ascii="仿宋" w:hAnsi="仿宋" w:eastAsia="仿宋" w:cs="仿宋"/>
          <w:color w:val="000000"/>
          <w:sz w:val="24"/>
        </w:rPr>
        <w:t>(自主创新产品除外)的；</w:t>
      </w:r>
    </w:p>
    <w:p>
      <w:pPr>
        <w:adjustRightInd w:val="0"/>
        <w:spacing w:line="360" w:lineRule="exact"/>
        <w:ind w:firstLine="720" w:firstLineChars="300"/>
        <w:jc w:val="left"/>
        <w:rPr>
          <w:rFonts w:ascii="仿宋" w:hAnsi="仿宋" w:eastAsia="仿宋" w:cs="仿宋"/>
          <w:color w:val="000000"/>
          <w:sz w:val="24"/>
        </w:rPr>
      </w:pPr>
      <w:r>
        <w:rPr>
          <w:rFonts w:hint="eastAsia" w:ascii="仿宋" w:hAnsi="仿宋" w:eastAsia="仿宋" w:cs="仿宋"/>
          <w:color w:val="000000"/>
          <w:sz w:val="24"/>
        </w:rPr>
        <w:t>（3）投标报价具有选择性，且未注明哪个有效的；</w:t>
      </w:r>
    </w:p>
    <w:p>
      <w:pPr>
        <w:adjustRightInd w:val="0"/>
        <w:spacing w:line="360" w:lineRule="exact"/>
        <w:ind w:firstLine="720" w:firstLineChars="300"/>
        <w:jc w:val="left"/>
        <w:rPr>
          <w:rFonts w:ascii="仿宋" w:hAnsi="仿宋" w:eastAsia="仿宋" w:cs="仿宋"/>
          <w:sz w:val="24"/>
        </w:rPr>
      </w:pPr>
      <w:r>
        <w:rPr>
          <w:rFonts w:hint="eastAsia" w:ascii="仿宋" w:hAnsi="仿宋" w:eastAsia="仿宋" w:cs="仿宋"/>
          <w:color w:val="000000"/>
          <w:sz w:val="24"/>
        </w:rPr>
        <w:t>（4）</w:t>
      </w:r>
      <w:r>
        <w:rPr>
          <w:rFonts w:hint="eastAsia" w:ascii="仿宋" w:hAnsi="仿宋" w:eastAsia="仿宋" w:cs="仿宋"/>
          <w:sz w:val="24"/>
        </w:rPr>
        <w:t>投标报价出现前后不一致且不同意按照招标文件规定的方法进行修正的；</w:t>
      </w:r>
    </w:p>
    <w:p>
      <w:pPr>
        <w:adjustRightInd w:val="0"/>
        <w:spacing w:line="360" w:lineRule="exact"/>
        <w:ind w:firstLine="720" w:firstLineChars="300"/>
        <w:jc w:val="left"/>
        <w:rPr>
          <w:rFonts w:ascii="仿宋" w:hAnsi="仿宋" w:eastAsia="仿宋" w:cs="仿宋"/>
          <w:sz w:val="24"/>
        </w:rPr>
      </w:pPr>
      <w:r>
        <w:rPr>
          <w:rFonts w:hint="eastAsia" w:ascii="仿宋" w:hAnsi="仿宋" w:eastAsia="仿宋" w:cs="仿宋"/>
          <w:sz w:val="24"/>
        </w:rPr>
        <w:t>（5）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可以当将其作为无效投标处理。</w:t>
      </w:r>
    </w:p>
    <w:p>
      <w:pPr>
        <w:adjustRightInd w:val="0"/>
        <w:snapToGrid w:val="0"/>
        <w:spacing w:line="360" w:lineRule="exact"/>
        <w:ind w:firstLine="720" w:firstLineChars="300"/>
        <w:jc w:val="left"/>
        <w:rPr>
          <w:rFonts w:ascii="仿宋" w:hAnsi="仿宋" w:eastAsia="仿宋" w:cs="仿宋"/>
          <w:sz w:val="24"/>
        </w:rPr>
      </w:pPr>
      <w:r>
        <w:rPr>
          <w:rFonts w:hint="eastAsia" w:ascii="仿宋" w:hAnsi="仿宋" w:eastAsia="仿宋" w:cs="仿宋"/>
          <w:sz w:val="24"/>
        </w:rPr>
        <w:t>5、投标人串通投标的，投标无效。</w:t>
      </w:r>
    </w:p>
    <w:p>
      <w:pPr>
        <w:adjustRightInd w:val="0"/>
        <w:snapToGrid w:val="0"/>
        <w:spacing w:line="360" w:lineRule="exact"/>
        <w:ind w:firstLine="720" w:firstLineChars="300"/>
        <w:jc w:val="left"/>
        <w:rPr>
          <w:rFonts w:ascii="仿宋" w:hAnsi="仿宋" w:eastAsia="仿宋" w:cs="仿宋"/>
          <w:sz w:val="24"/>
        </w:rPr>
      </w:pPr>
      <w:r>
        <w:rPr>
          <w:rFonts w:hint="eastAsia" w:ascii="仿宋" w:hAnsi="仿宋" w:eastAsia="仿宋" w:cs="仿宋"/>
          <w:sz w:val="24"/>
        </w:rPr>
        <w:t>投标人有以下情形之一的，视为投标人串通投标：</w:t>
      </w:r>
    </w:p>
    <w:p>
      <w:pPr>
        <w:adjustRightInd w:val="0"/>
        <w:snapToGrid w:val="0"/>
        <w:spacing w:line="360" w:lineRule="exact"/>
        <w:ind w:firstLine="720" w:firstLineChars="300"/>
        <w:jc w:val="left"/>
        <w:rPr>
          <w:rFonts w:ascii="仿宋" w:hAnsi="仿宋" w:eastAsia="仿宋" w:cs="仿宋"/>
          <w:sz w:val="24"/>
        </w:rPr>
      </w:pPr>
      <w:r>
        <w:rPr>
          <w:rFonts w:hint="eastAsia" w:ascii="仿宋" w:hAnsi="仿宋" w:eastAsia="仿宋" w:cs="仿宋"/>
          <w:sz w:val="24"/>
        </w:rPr>
        <w:t>（1）不同投标人的投标文件由同一单位或者个人编制；</w:t>
      </w:r>
    </w:p>
    <w:p>
      <w:pPr>
        <w:adjustRightInd w:val="0"/>
        <w:snapToGrid w:val="0"/>
        <w:spacing w:line="360" w:lineRule="exact"/>
        <w:ind w:firstLine="720" w:firstLineChars="300"/>
        <w:jc w:val="left"/>
        <w:rPr>
          <w:rFonts w:ascii="仿宋" w:hAnsi="仿宋" w:eastAsia="仿宋" w:cs="仿宋"/>
          <w:sz w:val="24"/>
        </w:rPr>
      </w:pPr>
      <w:r>
        <w:rPr>
          <w:rFonts w:hint="eastAsia" w:ascii="仿宋" w:hAnsi="仿宋" w:eastAsia="仿宋" w:cs="仿宋"/>
          <w:sz w:val="24"/>
        </w:rPr>
        <w:t>（2）不同投标人委托同一单位或者个人办理投标事宜；</w:t>
      </w:r>
    </w:p>
    <w:p>
      <w:pPr>
        <w:adjustRightInd w:val="0"/>
        <w:snapToGrid w:val="0"/>
        <w:spacing w:line="360" w:lineRule="exact"/>
        <w:ind w:firstLine="720" w:firstLineChars="300"/>
        <w:jc w:val="left"/>
        <w:rPr>
          <w:rFonts w:ascii="仿宋" w:hAnsi="仿宋" w:eastAsia="仿宋" w:cs="仿宋"/>
          <w:sz w:val="24"/>
        </w:rPr>
      </w:pPr>
      <w:r>
        <w:rPr>
          <w:rFonts w:hint="eastAsia" w:ascii="仿宋" w:hAnsi="仿宋" w:eastAsia="仿宋" w:cs="仿宋"/>
          <w:sz w:val="24"/>
        </w:rPr>
        <w:t>（3）不同投标人的投标文件载明的项目管理成员或者联系人员为同一人；</w:t>
      </w:r>
    </w:p>
    <w:p>
      <w:pPr>
        <w:adjustRightInd w:val="0"/>
        <w:snapToGrid w:val="0"/>
        <w:spacing w:line="360" w:lineRule="exact"/>
        <w:ind w:firstLine="720" w:firstLineChars="300"/>
        <w:jc w:val="left"/>
        <w:rPr>
          <w:rFonts w:ascii="仿宋" w:hAnsi="仿宋" w:eastAsia="仿宋" w:cs="仿宋"/>
          <w:sz w:val="24"/>
        </w:rPr>
      </w:pPr>
      <w:r>
        <w:rPr>
          <w:rFonts w:hint="eastAsia" w:ascii="仿宋" w:hAnsi="仿宋" w:eastAsia="仿宋" w:cs="仿宋"/>
          <w:sz w:val="24"/>
        </w:rPr>
        <w:t>（4）不同投标人的投标文件异常一致或者投标报价呈规律性差异；</w:t>
      </w:r>
    </w:p>
    <w:p>
      <w:pPr>
        <w:adjustRightInd w:val="0"/>
        <w:snapToGrid w:val="0"/>
        <w:spacing w:line="360" w:lineRule="exact"/>
        <w:ind w:firstLine="720" w:firstLineChars="300"/>
        <w:jc w:val="left"/>
        <w:rPr>
          <w:rFonts w:ascii="仿宋" w:hAnsi="仿宋" w:eastAsia="仿宋" w:cs="仿宋"/>
          <w:sz w:val="24"/>
        </w:rPr>
      </w:pPr>
      <w:r>
        <w:rPr>
          <w:rFonts w:hint="eastAsia" w:ascii="仿宋" w:hAnsi="仿宋" w:eastAsia="仿宋" w:cs="仿宋"/>
          <w:sz w:val="24"/>
        </w:rPr>
        <w:t>（5）不同投标人的投标文件相互混装；</w:t>
      </w:r>
    </w:p>
    <w:p>
      <w:pPr>
        <w:adjustRightInd w:val="0"/>
        <w:snapToGrid w:val="0"/>
        <w:spacing w:line="360" w:lineRule="exact"/>
        <w:ind w:firstLine="720" w:firstLineChars="300"/>
        <w:jc w:val="left"/>
        <w:rPr>
          <w:rFonts w:ascii="仿宋" w:hAnsi="仿宋" w:eastAsia="仿宋" w:cs="仿宋"/>
          <w:sz w:val="24"/>
        </w:rPr>
      </w:pPr>
      <w:r>
        <w:rPr>
          <w:rFonts w:hint="eastAsia" w:ascii="仿宋" w:hAnsi="仿宋" w:eastAsia="仿宋" w:cs="仿宋"/>
          <w:sz w:val="24"/>
        </w:rPr>
        <w:t>6、法律、法规和招标文件规定的其他无效标情形。</w:t>
      </w:r>
    </w:p>
    <w:p>
      <w:pPr>
        <w:adjustRightInd w:val="0"/>
        <w:snapToGrid w:val="0"/>
        <w:spacing w:line="360" w:lineRule="exact"/>
        <w:ind w:firstLine="723" w:firstLineChars="300"/>
        <w:jc w:val="left"/>
        <w:rPr>
          <w:rFonts w:ascii="仿宋" w:hAnsi="仿宋" w:eastAsia="仿宋" w:cs="仿宋"/>
          <w:b/>
          <w:bCs/>
          <w:sz w:val="24"/>
        </w:rPr>
      </w:pPr>
      <w:r>
        <w:rPr>
          <w:rFonts w:hint="eastAsia" w:ascii="仿宋" w:hAnsi="仿宋" w:eastAsia="仿宋" w:cs="仿宋"/>
          <w:b/>
          <w:bCs/>
          <w:sz w:val="24"/>
        </w:rPr>
        <w:t>7、被拒绝的投标文件为无效。</w:t>
      </w:r>
    </w:p>
    <w:p>
      <w:pPr>
        <w:adjustRightInd w:val="0"/>
        <w:snapToGrid w:val="0"/>
        <w:spacing w:line="360" w:lineRule="exact"/>
        <w:ind w:firstLine="723" w:firstLineChars="300"/>
        <w:jc w:val="left"/>
        <w:rPr>
          <w:rFonts w:ascii="仿宋" w:hAnsi="仿宋" w:eastAsia="仿宋" w:cs="仿宋"/>
          <w:b/>
          <w:bCs/>
          <w:sz w:val="24"/>
        </w:rPr>
      </w:pPr>
      <w:r>
        <w:rPr>
          <w:rFonts w:hint="eastAsia" w:ascii="仿宋" w:hAnsi="仿宋" w:eastAsia="仿宋" w:cs="仿宋"/>
          <w:b/>
          <w:bCs/>
          <w:sz w:val="24"/>
        </w:rPr>
        <w:t>8、仅提供备份投标文件的无效。</w:t>
      </w:r>
    </w:p>
    <w:p>
      <w:pPr>
        <w:spacing w:line="400" w:lineRule="exact"/>
        <w:rPr>
          <w:rFonts w:ascii="仿宋" w:hAnsi="仿宋" w:eastAsia="仿宋" w:cs="仿宋"/>
          <w:b/>
          <w:bCs/>
          <w:color w:val="000000"/>
          <w:sz w:val="24"/>
        </w:rPr>
      </w:pPr>
      <w:r>
        <w:rPr>
          <w:rFonts w:hint="eastAsia" w:ascii="仿宋" w:hAnsi="仿宋" w:eastAsia="仿宋" w:cs="仿宋"/>
          <w:b/>
          <w:bCs/>
          <w:color w:val="000000"/>
          <w:sz w:val="24"/>
        </w:rPr>
        <w:t>（十）废标的情形</w:t>
      </w:r>
    </w:p>
    <w:p>
      <w:pPr>
        <w:spacing w:line="400" w:lineRule="exact"/>
        <w:ind w:firstLine="480" w:firstLineChars="200"/>
        <w:rPr>
          <w:rFonts w:ascii="仿宋" w:hAnsi="仿宋" w:eastAsia="仿宋" w:cs="仿宋"/>
          <w:color w:val="000000"/>
          <w:sz w:val="24"/>
        </w:rPr>
      </w:pPr>
      <w:r>
        <w:rPr>
          <w:rFonts w:hint="eastAsia" w:ascii="仿宋" w:hAnsi="仿宋" w:eastAsia="仿宋" w:cs="仿宋"/>
          <w:color w:val="000000"/>
          <w:sz w:val="24"/>
        </w:rPr>
        <w:t>在招标采购中，出现下列情形之一的，应予废标：</w:t>
      </w:r>
    </w:p>
    <w:p>
      <w:pPr>
        <w:spacing w:line="400" w:lineRule="exact"/>
        <w:ind w:firstLine="480" w:firstLineChars="200"/>
        <w:rPr>
          <w:rFonts w:ascii="仿宋" w:hAnsi="仿宋" w:eastAsia="仿宋" w:cs="仿宋"/>
          <w:color w:val="000000"/>
          <w:sz w:val="24"/>
        </w:rPr>
      </w:pPr>
      <w:r>
        <w:rPr>
          <w:rFonts w:hint="eastAsia" w:ascii="仿宋" w:hAnsi="仿宋" w:eastAsia="仿宋" w:cs="仿宋"/>
          <w:color w:val="000000"/>
          <w:sz w:val="24"/>
        </w:rPr>
        <w:t>（1）符合专业条件的供应商或者对招标文件作实质性响应的供应商不足三家的；</w:t>
      </w:r>
    </w:p>
    <w:p>
      <w:pPr>
        <w:spacing w:line="400" w:lineRule="exact"/>
        <w:ind w:firstLine="480" w:firstLineChars="200"/>
        <w:rPr>
          <w:rFonts w:ascii="仿宋" w:hAnsi="仿宋" w:eastAsia="仿宋" w:cs="仿宋"/>
          <w:color w:val="000000"/>
          <w:sz w:val="24"/>
        </w:rPr>
      </w:pPr>
      <w:r>
        <w:rPr>
          <w:rFonts w:hint="eastAsia" w:ascii="仿宋" w:hAnsi="仿宋" w:eastAsia="仿宋" w:cs="仿宋"/>
          <w:color w:val="000000"/>
          <w:sz w:val="24"/>
        </w:rPr>
        <w:t>（2）出现影响采购公正的违法、违规行为的；</w:t>
      </w:r>
    </w:p>
    <w:p>
      <w:pPr>
        <w:spacing w:line="400" w:lineRule="exact"/>
        <w:ind w:firstLine="480" w:firstLineChars="200"/>
        <w:rPr>
          <w:rFonts w:ascii="仿宋" w:hAnsi="仿宋" w:eastAsia="仿宋" w:cs="仿宋"/>
          <w:color w:val="000000"/>
          <w:sz w:val="24"/>
        </w:rPr>
      </w:pPr>
      <w:r>
        <w:rPr>
          <w:rFonts w:hint="eastAsia" w:ascii="仿宋" w:hAnsi="仿宋" w:eastAsia="仿宋" w:cs="仿宋"/>
          <w:color w:val="000000"/>
          <w:sz w:val="24"/>
        </w:rPr>
        <w:t>（3）投标人的报价均超过了采购预算，采购人不能支付的；</w:t>
      </w:r>
    </w:p>
    <w:p>
      <w:pPr>
        <w:spacing w:line="400" w:lineRule="exact"/>
        <w:ind w:firstLine="480" w:firstLineChars="200"/>
        <w:rPr>
          <w:rFonts w:ascii="仿宋" w:hAnsi="仿宋" w:eastAsia="仿宋" w:cs="仿宋"/>
          <w:color w:val="000000"/>
          <w:sz w:val="24"/>
        </w:rPr>
      </w:pPr>
      <w:r>
        <w:rPr>
          <w:rFonts w:hint="eastAsia" w:ascii="仿宋" w:hAnsi="仿宋" w:eastAsia="仿宋" w:cs="仿宋"/>
          <w:color w:val="000000"/>
          <w:sz w:val="24"/>
        </w:rPr>
        <w:t xml:space="preserve">（4）因重大变故，采购任务取消的。 </w:t>
      </w:r>
    </w:p>
    <w:p>
      <w:pPr>
        <w:spacing w:line="400" w:lineRule="exact"/>
        <w:rPr>
          <w:rFonts w:ascii="仿宋" w:hAnsi="仿宋" w:eastAsia="仿宋" w:cs="仿宋"/>
          <w:b/>
          <w:bCs/>
          <w:color w:val="000000"/>
          <w:sz w:val="24"/>
        </w:rPr>
      </w:pPr>
      <w:r>
        <w:rPr>
          <w:rFonts w:hint="eastAsia" w:ascii="仿宋" w:hAnsi="仿宋" w:eastAsia="仿宋" w:cs="仿宋"/>
          <w:b/>
          <w:bCs/>
          <w:color w:val="000000"/>
          <w:sz w:val="24"/>
        </w:rPr>
        <w:t>（十一）出现以下情形，导致电子交易平台无法正常运行，或者无法保证电子交易的公平、公正和安全时，中止电子交易活动：</w:t>
      </w:r>
    </w:p>
    <w:p>
      <w:pPr>
        <w:spacing w:line="400" w:lineRule="exact"/>
        <w:ind w:firstLine="480" w:firstLineChars="200"/>
        <w:rPr>
          <w:rFonts w:ascii="仿宋" w:hAnsi="仿宋" w:eastAsia="仿宋" w:cs="仿宋"/>
          <w:color w:val="000000"/>
          <w:sz w:val="24"/>
        </w:rPr>
      </w:pPr>
      <w:r>
        <w:rPr>
          <w:rFonts w:hint="eastAsia" w:ascii="仿宋" w:hAnsi="仿宋" w:eastAsia="仿宋" w:cs="仿宋"/>
          <w:color w:val="000000"/>
          <w:sz w:val="24"/>
        </w:rPr>
        <w:t>（1）电子交易平台发生故障而无法登录访问的；</w:t>
      </w:r>
    </w:p>
    <w:p>
      <w:pPr>
        <w:spacing w:line="400" w:lineRule="exact"/>
        <w:ind w:firstLine="480" w:firstLineChars="200"/>
        <w:rPr>
          <w:rFonts w:ascii="仿宋" w:hAnsi="仿宋" w:eastAsia="仿宋" w:cs="仿宋"/>
          <w:color w:val="000000"/>
          <w:sz w:val="24"/>
        </w:rPr>
      </w:pPr>
      <w:r>
        <w:rPr>
          <w:rFonts w:hint="eastAsia" w:ascii="仿宋" w:hAnsi="仿宋" w:eastAsia="仿宋" w:cs="仿宋"/>
          <w:color w:val="000000"/>
          <w:sz w:val="24"/>
        </w:rPr>
        <w:t>（2）电子交易平台应用或数据库出现错误，不能进行正常操作的；</w:t>
      </w:r>
    </w:p>
    <w:p>
      <w:pPr>
        <w:spacing w:line="400" w:lineRule="exact"/>
        <w:ind w:firstLine="480" w:firstLineChars="200"/>
        <w:rPr>
          <w:rFonts w:ascii="仿宋" w:hAnsi="仿宋" w:eastAsia="仿宋" w:cs="仿宋"/>
          <w:color w:val="000000"/>
          <w:sz w:val="24"/>
        </w:rPr>
      </w:pPr>
      <w:r>
        <w:rPr>
          <w:rFonts w:hint="eastAsia" w:ascii="仿宋" w:hAnsi="仿宋" w:eastAsia="仿宋" w:cs="仿宋"/>
          <w:color w:val="000000"/>
          <w:sz w:val="24"/>
        </w:rPr>
        <w:t>（3）电子交易平台发现严重安全漏洞，有潜在泄密危险的；</w:t>
      </w:r>
    </w:p>
    <w:p>
      <w:pPr>
        <w:spacing w:line="400" w:lineRule="exact"/>
        <w:ind w:firstLine="480" w:firstLineChars="200"/>
        <w:rPr>
          <w:rFonts w:ascii="仿宋" w:hAnsi="仿宋" w:eastAsia="仿宋" w:cs="仿宋"/>
          <w:color w:val="000000"/>
          <w:sz w:val="24"/>
        </w:rPr>
      </w:pPr>
      <w:r>
        <w:rPr>
          <w:rFonts w:hint="eastAsia" w:ascii="仿宋" w:hAnsi="仿宋" w:eastAsia="仿宋" w:cs="仿宋"/>
          <w:color w:val="000000"/>
          <w:sz w:val="24"/>
        </w:rPr>
        <w:t>（4）病毒发作导致不能进行正常操作的；</w:t>
      </w:r>
    </w:p>
    <w:p>
      <w:pPr>
        <w:spacing w:line="400" w:lineRule="exact"/>
        <w:ind w:firstLine="480" w:firstLineChars="200"/>
        <w:rPr>
          <w:rFonts w:ascii="仿宋" w:hAnsi="仿宋" w:eastAsia="仿宋" w:cs="仿宋"/>
          <w:color w:val="000000"/>
          <w:sz w:val="24"/>
        </w:rPr>
      </w:pPr>
      <w:r>
        <w:rPr>
          <w:rFonts w:hint="eastAsia" w:ascii="仿宋" w:hAnsi="仿宋" w:eastAsia="仿宋" w:cs="仿宋"/>
          <w:color w:val="000000"/>
          <w:sz w:val="24"/>
        </w:rPr>
        <w:t>（5）其他无法保证电子交易的公平、公正和安全的情况。</w:t>
      </w:r>
    </w:p>
    <w:p>
      <w:pPr>
        <w:spacing w:line="400" w:lineRule="exact"/>
        <w:ind w:firstLine="480" w:firstLineChars="200"/>
        <w:rPr>
          <w:rFonts w:ascii="仿宋" w:hAnsi="仿宋" w:eastAsia="仿宋" w:cs="仿宋"/>
          <w:color w:val="000000"/>
          <w:sz w:val="24"/>
        </w:rPr>
      </w:pPr>
      <w:r>
        <w:rPr>
          <w:rFonts w:hint="eastAsia" w:ascii="仿宋" w:hAnsi="仿宋" w:eastAsia="仿宋" w:cs="仿宋"/>
          <w:color w:val="000000"/>
          <w:sz w:val="24"/>
        </w:rPr>
        <w:t>出现前款规定情形，不影响采购公平、公正性的，采购组织机构可以待上述情形消除后继      续组织电子交易活动，也可以决定某些环节以纸质形式进行；影响或可能影响采购公平、公正      性的，重新采购。</w:t>
      </w:r>
    </w:p>
    <w:p>
      <w:pPr>
        <w:spacing w:line="400" w:lineRule="exact"/>
        <w:outlineLvl w:val="1"/>
        <w:rPr>
          <w:rFonts w:ascii="仿宋" w:hAnsi="仿宋" w:eastAsia="仿宋" w:cs="仿宋"/>
          <w:b/>
          <w:bCs/>
          <w:sz w:val="24"/>
        </w:rPr>
      </w:pPr>
      <w:bookmarkStart w:id="163" w:name="_Toc28724"/>
      <w:r>
        <w:rPr>
          <w:rFonts w:hint="eastAsia" w:ascii="仿宋" w:hAnsi="仿宋" w:eastAsia="仿宋" w:cs="仿宋"/>
          <w:b/>
          <w:bCs/>
          <w:sz w:val="24"/>
        </w:rPr>
        <w:t>三、开标</w:t>
      </w:r>
      <w:bookmarkEnd w:id="154"/>
      <w:bookmarkEnd w:id="155"/>
      <w:bookmarkEnd w:id="156"/>
      <w:bookmarkEnd w:id="157"/>
      <w:bookmarkEnd w:id="158"/>
      <w:bookmarkEnd w:id="159"/>
      <w:bookmarkEnd w:id="160"/>
      <w:bookmarkEnd w:id="161"/>
      <w:bookmarkEnd w:id="162"/>
      <w:bookmarkEnd w:id="163"/>
    </w:p>
    <w:p>
      <w:pPr>
        <w:pStyle w:val="13"/>
        <w:adjustRightInd w:val="0"/>
        <w:snapToGrid w:val="0"/>
        <w:spacing w:beforeLines="0" w:afterLines="0"/>
        <w:ind w:left="0" w:firstLine="0"/>
        <w:rPr>
          <w:rFonts w:ascii="仿宋" w:hAnsi="仿宋" w:eastAsia="仿宋" w:cs="仿宋"/>
          <w:b/>
        </w:rPr>
      </w:pPr>
      <w:bookmarkStart w:id="164" w:name="_Toc293916880"/>
      <w:r>
        <w:rPr>
          <w:rFonts w:hint="eastAsia" w:ascii="仿宋" w:hAnsi="仿宋" w:eastAsia="仿宋" w:cs="仿宋"/>
          <w:b/>
        </w:rPr>
        <w:t>（一）开标准备</w:t>
      </w:r>
      <w:bookmarkEnd w:id="164"/>
    </w:p>
    <w:p>
      <w:pPr>
        <w:pStyle w:val="13"/>
        <w:adjustRightInd w:val="0"/>
        <w:snapToGrid w:val="0"/>
        <w:spacing w:beforeLines="0" w:afterLines="0"/>
        <w:ind w:left="0" w:firstLine="480" w:firstLineChars="200"/>
        <w:rPr>
          <w:rFonts w:ascii="仿宋" w:hAnsi="仿宋" w:eastAsia="仿宋" w:cs="仿宋"/>
        </w:rPr>
      </w:pPr>
      <w:bookmarkStart w:id="165" w:name="_Toc293916881"/>
      <w:r>
        <w:rPr>
          <w:rFonts w:hint="eastAsia" w:ascii="仿宋" w:hAnsi="仿宋" w:eastAsia="仿宋" w:cs="仿宋"/>
        </w:rPr>
        <w:t>招标采购单位将在规定的时间和地点进行开标，投标人的法定代表人或其委托代理人应参加开标会并签到。投标人的法定代表人或其委托代理人</w:t>
      </w:r>
      <w:r>
        <w:rPr>
          <w:rFonts w:hint="eastAsia" w:ascii="仿宋" w:hAnsi="仿宋" w:eastAsia="仿宋" w:cs="仿宋"/>
          <w:bCs/>
        </w:rPr>
        <w:t>未按时签到的，视同放弃开标监督权利、认可开标结果</w:t>
      </w:r>
      <w:r>
        <w:rPr>
          <w:rFonts w:hint="eastAsia" w:ascii="仿宋" w:hAnsi="仿宋" w:eastAsia="仿宋" w:cs="仿宋"/>
        </w:rPr>
        <w:t>。</w:t>
      </w:r>
      <w:bookmarkEnd w:id="165"/>
    </w:p>
    <w:p>
      <w:pPr>
        <w:pStyle w:val="13"/>
        <w:adjustRightInd w:val="0"/>
        <w:snapToGrid w:val="0"/>
        <w:spacing w:beforeLines="0" w:afterLines="0"/>
        <w:ind w:left="0" w:firstLine="0"/>
        <w:rPr>
          <w:rFonts w:ascii="仿宋" w:hAnsi="仿宋" w:eastAsia="仿宋" w:cs="仿宋"/>
          <w:b/>
        </w:rPr>
      </w:pPr>
      <w:bookmarkStart w:id="166" w:name="_Toc293916882"/>
      <w:r>
        <w:rPr>
          <w:rFonts w:hint="eastAsia" w:ascii="仿宋" w:hAnsi="仿宋" w:eastAsia="仿宋" w:cs="仿宋"/>
          <w:b/>
        </w:rPr>
        <w:t>（二） 开标程序：</w:t>
      </w:r>
      <w:bookmarkEnd w:id="166"/>
    </w:p>
    <w:p>
      <w:pPr>
        <w:spacing w:line="400" w:lineRule="exact"/>
        <w:ind w:firstLine="480" w:firstLineChars="200"/>
        <w:rPr>
          <w:rFonts w:ascii="仿宋" w:hAnsi="仿宋" w:eastAsia="仿宋" w:cs="仿宋"/>
          <w:bCs/>
          <w:sz w:val="24"/>
        </w:rPr>
      </w:pPr>
      <w:bookmarkStart w:id="167" w:name="_Toc495915050"/>
      <w:bookmarkStart w:id="168" w:name="_Toc293916883"/>
      <w:bookmarkStart w:id="169" w:name="_Toc293916372"/>
      <w:bookmarkStart w:id="170" w:name="_Toc424544816"/>
      <w:bookmarkStart w:id="171" w:name="_Toc424544537"/>
      <w:bookmarkStart w:id="172" w:name="_Toc293916021"/>
      <w:bookmarkStart w:id="173" w:name="_Toc293917021"/>
      <w:r>
        <w:rPr>
          <w:rFonts w:hint="eastAsia" w:ascii="仿宋" w:hAnsi="仿宋" w:eastAsia="仿宋" w:cs="仿宋"/>
          <w:bCs/>
          <w:sz w:val="24"/>
        </w:rPr>
        <w:t>1、采购组织机构按照规定的时间通过政采云系统组织开标、开启响应文件，所有投标人均应当准时在线参加。</w:t>
      </w:r>
    </w:p>
    <w:p>
      <w:pPr>
        <w:spacing w:line="400" w:lineRule="exact"/>
        <w:ind w:firstLine="480" w:firstLineChars="200"/>
        <w:rPr>
          <w:rFonts w:ascii="仿宋" w:hAnsi="仿宋" w:eastAsia="仿宋" w:cs="仿宋"/>
          <w:bCs/>
          <w:sz w:val="24"/>
        </w:rPr>
      </w:pPr>
      <w:r>
        <w:rPr>
          <w:rFonts w:hint="eastAsia" w:ascii="仿宋" w:hAnsi="仿宋" w:eastAsia="仿宋" w:cs="仿宋"/>
          <w:bCs/>
          <w:sz w:val="24"/>
        </w:rPr>
        <w:t>2、投标截止时间后，投标人登录政采云平台，用“项目采购-开标评标”功能对电子投标文件进行在线解密。在线解密电子投标文件时间为开标时间起半个小时内；</w:t>
      </w:r>
    </w:p>
    <w:p>
      <w:pPr>
        <w:spacing w:line="400" w:lineRule="exact"/>
        <w:ind w:firstLine="480" w:firstLineChars="200"/>
        <w:rPr>
          <w:rFonts w:ascii="仿宋" w:hAnsi="仿宋" w:eastAsia="仿宋" w:cs="仿宋"/>
          <w:bCs/>
          <w:sz w:val="24"/>
        </w:rPr>
      </w:pPr>
      <w:r>
        <w:rPr>
          <w:rFonts w:hint="eastAsia" w:ascii="仿宋" w:hAnsi="仿宋" w:eastAsia="仿宋" w:cs="仿宋"/>
          <w:bCs/>
          <w:sz w:val="24"/>
        </w:rPr>
        <w:t>3、评标委员会对资格和商务技术响应文件进行评审；</w:t>
      </w:r>
    </w:p>
    <w:p>
      <w:pPr>
        <w:spacing w:line="400" w:lineRule="exact"/>
        <w:ind w:firstLine="480" w:firstLineChars="200"/>
        <w:rPr>
          <w:rFonts w:ascii="仿宋" w:hAnsi="仿宋" w:eastAsia="仿宋" w:cs="仿宋"/>
          <w:bCs/>
          <w:sz w:val="24"/>
        </w:rPr>
      </w:pPr>
      <w:r>
        <w:rPr>
          <w:rFonts w:hint="eastAsia" w:ascii="仿宋" w:hAnsi="仿宋" w:eastAsia="仿宋" w:cs="仿宋"/>
          <w:bCs/>
          <w:sz w:val="24"/>
        </w:rPr>
        <w:t>4、在系统上公开资格和商务技术评审结果；</w:t>
      </w:r>
    </w:p>
    <w:p>
      <w:pPr>
        <w:spacing w:line="400" w:lineRule="exact"/>
        <w:ind w:firstLine="480" w:firstLineChars="200"/>
        <w:rPr>
          <w:rFonts w:ascii="仿宋" w:hAnsi="仿宋" w:eastAsia="仿宋" w:cs="仿宋"/>
          <w:bCs/>
          <w:sz w:val="24"/>
        </w:rPr>
      </w:pPr>
      <w:r>
        <w:rPr>
          <w:rFonts w:hint="eastAsia" w:ascii="仿宋" w:hAnsi="仿宋" w:eastAsia="仿宋" w:cs="仿宋"/>
          <w:bCs/>
          <w:sz w:val="24"/>
        </w:rPr>
        <w:t>5、在系统上公开报价开标情况；</w:t>
      </w:r>
    </w:p>
    <w:p>
      <w:pPr>
        <w:spacing w:line="400" w:lineRule="exact"/>
        <w:ind w:firstLine="480" w:firstLineChars="200"/>
        <w:rPr>
          <w:rFonts w:ascii="仿宋" w:hAnsi="仿宋" w:eastAsia="仿宋" w:cs="仿宋"/>
          <w:bCs/>
          <w:sz w:val="24"/>
        </w:rPr>
      </w:pPr>
      <w:r>
        <w:rPr>
          <w:rFonts w:hint="eastAsia" w:ascii="仿宋" w:hAnsi="仿宋" w:eastAsia="仿宋" w:cs="仿宋"/>
          <w:bCs/>
          <w:sz w:val="24"/>
        </w:rPr>
        <w:t>6、评标委员会对报价情况进行评审；</w:t>
      </w:r>
    </w:p>
    <w:p>
      <w:pPr>
        <w:spacing w:line="400" w:lineRule="exact"/>
        <w:ind w:firstLine="480" w:firstLineChars="200"/>
        <w:rPr>
          <w:rFonts w:ascii="仿宋" w:hAnsi="仿宋" w:eastAsia="仿宋" w:cs="仿宋"/>
          <w:bCs/>
          <w:sz w:val="24"/>
        </w:rPr>
      </w:pPr>
      <w:r>
        <w:rPr>
          <w:rFonts w:hint="eastAsia" w:ascii="仿宋" w:hAnsi="仿宋" w:eastAsia="仿宋" w:cs="仿宋"/>
          <w:bCs/>
          <w:sz w:val="24"/>
        </w:rPr>
        <w:t>7、在系统上公布评审结果。</w:t>
      </w:r>
    </w:p>
    <w:p>
      <w:pPr>
        <w:spacing w:line="400" w:lineRule="exact"/>
        <w:ind w:firstLine="482" w:firstLineChars="200"/>
        <w:rPr>
          <w:rFonts w:ascii="仿宋" w:hAnsi="仿宋" w:eastAsia="仿宋" w:cs="仿宋"/>
          <w:b/>
          <w:sz w:val="24"/>
          <w:u w:val="single"/>
        </w:rPr>
      </w:pPr>
      <w:r>
        <w:rPr>
          <w:rFonts w:hint="eastAsia" w:ascii="仿宋" w:hAnsi="仿宋" w:eastAsia="仿宋" w:cs="仿宋"/>
          <w:b/>
          <w:sz w:val="24"/>
          <w:u w:val="single"/>
        </w:rPr>
        <w:t>特别说明：政采云公司如对电子化开标及评审程序有调整的，按调整后的程序操作。</w:t>
      </w:r>
    </w:p>
    <w:p>
      <w:pPr>
        <w:spacing w:line="400" w:lineRule="exact"/>
        <w:outlineLvl w:val="1"/>
        <w:rPr>
          <w:rFonts w:ascii="仿宋" w:hAnsi="仿宋" w:eastAsia="仿宋" w:cs="仿宋"/>
          <w:b/>
          <w:bCs/>
          <w:sz w:val="24"/>
        </w:rPr>
      </w:pPr>
      <w:bookmarkStart w:id="174" w:name="_Toc25958"/>
      <w:r>
        <w:rPr>
          <w:rFonts w:hint="eastAsia" w:ascii="仿宋" w:hAnsi="仿宋" w:eastAsia="仿宋" w:cs="仿宋"/>
          <w:b/>
          <w:bCs/>
          <w:sz w:val="24"/>
        </w:rPr>
        <w:t>四、资格证明文件审查</w:t>
      </w:r>
      <w:bookmarkEnd w:id="167"/>
      <w:bookmarkEnd w:id="174"/>
    </w:p>
    <w:p>
      <w:pPr>
        <w:pStyle w:val="13"/>
        <w:adjustRightInd w:val="0"/>
        <w:snapToGrid w:val="0"/>
        <w:spacing w:beforeLines="0" w:afterLines="0"/>
        <w:ind w:left="0" w:firstLine="0"/>
        <w:rPr>
          <w:rFonts w:ascii="仿宋" w:hAnsi="仿宋" w:eastAsia="仿宋" w:cs="仿宋"/>
          <w:b/>
        </w:rPr>
      </w:pPr>
      <w:r>
        <w:rPr>
          <w:rFonts w:hint="eastAsia" w:ascii="仿宋" w:hAnsi="仿宋" w:eastAsia="仿宋" w:cs="仿宋"/>
          <w:b/>
        </w:rPr>
        <w:t>（一）审查人员</w:t>
      </w:r>
    </w:p>
    <w:p>
      <w:pPr>
        <w:pStyle w:val="13"/>
        <w:adjustRightInd w:val="0"/>
        <w:snapToGrid w:val="0"/>
        <w:spacing w:beforeLines="0" w:afterLines="0"/>
        <w:ind w:left="0" w:firstLine="480" w:firstLineChars="200"/>
        <w:rPr>
          <w:rFonts w:ascii="仿宋" w:hAnsi="仿宋" w:eastAsia="仿宋" w:cs="仿宋"/>
        </w:rPr>
      </w:pPr>
      <w:r>
        <w:rPr>
          <w:rFonts w:hint="eastAsia" w:ascii="仿宋" w:hAnsi="仿宋" w:eastAsia="仿宋" w:cs="仿宋"/>
        </w:rPr>
        <w:t>采购人及采购代理机构负责审查。</w:t>
      </w:r>
    </w:p>
    <w:p>
      <w:pPr>
        <w:pStyle w:val="13"/>
        <w:adjustRightInd w:val="0"/>
        <w:snapToGrid w:val="0"/>
        <w:spacing w:beforeLines="0" w:afterLines="0"/>
        <w:ind w:left="0" w:firstLine="0"/>
        <w:rPr>
          <w:rFonts w:ascii="仿宋" w:hAnsi="仿宋" w:eastAsia="仿宋" w:cs="仿宋"/>
          <w:b/>
        </w:rPr>
      </w:pPr>
      <w:r>
        <w:rPr>
          <w:rFonts w:hint="eastAsia" w:ascii="仿宋" w:hAnsi="仿宋" w:eastAsia="仿宋" w:cs="仿宋"/>
          <w:b/>
        </w:rPr>
        <w:t>（二）审查依据</w:t>
      </w:r>
    </w:p>
    <w:p>
      <w:pPr>
        <w:pStyle w:val="13"/>
        <w:adjustRightInd w:val="0"/>
        <w:snapToGrid w:val="0"/>
        <w:spacing w:beforeLines="0" w:afterLines="0"/>
        <w:ind w:left="0" w:firstLine="480" w:firstLineChars="200"/>
        <w:rPr>
          <w:rFonts w:ascii="仿宋" w:hAnsi="仿宋" w:eastAsia="仿宋" w:cs="仿宋"/>
        </w:rPr>
      </w:pPr>
      <w:r>
        <w:rPr>
          <w:rFonts w:hint="eastAsia" w:ascii="仿宋" w:hAnsi="仿宋" w:eastAsia="仿宋" w:cs="仿宋"/>
        </w:rPr>
        <w:t>招标文件、投标人的资格证明文件、“信用中国”网站www.creditchina.gov.cn及“中国政府采购网”www.ccgp.gov.cn查询结果。</w:t>
      </w:r>
    </w:p>
    <w:p>
      <w:pPr>
        <w:pStyle w:val="13"/>
        <w:adjustRightInd w:val="0"/>
        <w:snapToGrid w:val="0"/>
        <w:spacing w:beforeLines="0" w:afterLines="0"/>
        <w:ind w:left="0" w:firstLine="0"/>
        <w:rPr>
          <w:rFonts w:ascii="仿宋" w:hAnsi="仿宋" w:eastAsia="仿宋" w:cs="仿宋"/>
          <w:b/>
        </w:rPr>
      </w:pPr>
      <w:r>
        <w:rPr>
          <w:rFonts w:hint="eastAsia" w:ascii="仿宋" w:hAnsi="仿宋" w:eastAsia="仿宋" w:cs="仿宋"/>
          <w:b/>
        </w:rPr>
        <w:t>（三）审查方法</w:t>
      </w:r>
    </w:p>
    <w:p>
      <w:pPr>
        <w:pStyle w:val="13"/>
        <w:adjustRightInd w:val="0"/>
        <w:snapToGrid w:val="0"/>
        <w:spacing w:beforeLines="0" w:afterLines="0"/>
        <w:ind w:left="0" w:firstLine="480" w:firstLineChars="200"/>
        <w:rPr>
          <w:rFonts w:ascii="仿宋" w:hAnsi="仿宋" w:eastAsia="仿宋" w:cs="仿宋"/>
        </w:rPr>
      </w:pPr>
      <w:r>
        <w:rPr>
          <w:rFonts w:hint="eastAsia" w:ascii="仿宋" w:hAnsi="仿宋" w:eastAsia="仿宋" w:cs="仿宋"/>
        </w:rPr>
        <w:t>1、审查投标人资格证明文件及相应原件的完整性、符合性。</w:t>
      </w:r>
    </w:p>
    <w:p>
      <w:pPr>
        <w:pStyle w:val="13"/>
        <w:adjustRightInd w:val="0"/>
        <w:snapToGrid w:val="0"/>
        <w:spacing w:beforeLines="0" w:afterLines="0"/>
        <w:ind w:left="0" w:firstLine="480" w:firstLineChars="200"/>
        <w:rPr>
          <w:rFonts w:ascii="仿宋" w:hAnsi="仿宋" w:eastAsia="仿宋" w:cs="仿宋"/>
        </w:rPr>
      </w:pPr>
      <w:r>
        <w:rPr>
          <w:rFonts w:hint="eastAsia" w:ascii="仿宋" w:hAnsi="仿宋" w:eastAsia="仿宋" w:cs="仿宋"/>
        </w:rPr>
        <w:t>2、采购人及采购代理机构登录“信用中国”网站www.creditchina.gov.cn、“中国政府采购网”www.ccgp.gov.cn核实信息真实性。</w:t>
      </w:r>
    </w:p>
    <w:p>
      <w:pPr>
        <w:pStyle w:val="13"/>
        <w:adjustRightInd w:val="0"/>
        <w:snapToGrid w:val="0"/>
        <w:spacing w:beforeLines="0" w:afterLines="0"/>
        <w:ind w:left="0" w:firstLine="480" w:firstLineChars="200"/>
        <w:rPr>
          <w:rFonts w:ascii="仿宋" w:hAnsi="仿宋" w:eastAsia="仿宋" w:cs="仿宋"/>
        </w:rPr>
      </w:pPr>
      <w:r>
        <w:rPr>
          <w:rFonts w:hint="eastAsia" w:ascii="仿宋" w:hAnsi="仿宋" w:eastAsia="仿宋" w:cs="仿宋"/>
        </w:rPr>
        <w:t>3、出具资格审查表并由授权代表签字确认。</w:t>
      </w:r>
    </w:p>
    <w:p>
      <w:pPr>
        <w:pStyle w:val="13"/>
        <w:adjustRightInd w:val="0"/>
        <w:snapToGrid w:val="0"/>
        <w:spacing w:beforeLines="0" w:afterLines="0"/>
        <w:ind w:left="0" w:firstLine="480" w:firstLineChars="200"/>
        <w:rPr>
          <w:rFonts w:ascii="仿宋" w:hAnsi="仿宋" w:eastAsia="仿宋" w:cs="仿宋"/>
        </w:rPr>
      </w:pPr>
      <w:r>
        <w:rPr>
          <w:rFonts w:hint="eastAsia" w:ascii="仿宋" w:hAnsi="仿宋" w:eastAsia="仿宋" w:cs="仿宋"/>
        </w:rPr>
        <w:t>4、采购人、采购代理机构出具资格证明文件审查报告。</w:t>
      </w:r>
    </w:p>
    <w:p>
      <w:pPr>
        <w:spacing w:line="400" w:lineRule="exact"/>
        <w:outlineLvl w:val="1"/>
        <w:rPr>
          <w:rFonts w:ascii="仿宋" w:hAnsi="仿宋" w:eastAsia="仿宋" w:cs="仿宋"/>
          <w:b/>
          <w:bCs/>
          <w:sz w:val="24"/>
        </w:rPr>
      </w:pPr>
      <w:bookmarkStart w:id="175" w:name="_Toc24985"/>
      <w:r>
        <w:rPr>
          <w:rFonts w:hint="eastAsia" w:ascii="仿宋" w:hAnsi="仿宋" w:eastAsia="仿宋" w:cs="仿宋"/>
          <w:b/>
          <w:bCs/>
          <w:sz w:val="24"/>
        </w:rPr>
        <w:t>五、评标</w:t>
      </w:r>
      <w:bookmarkEnd w:id="168"/>
      <w:bookmarkEnd w:id="169"/>
      <w:bookmarkEnd w:id="170"/>
      <w:bookmarkEnd w:id="171"/>
      <w:bookmarkEnd w:id="172"/>
      <w:bookmarkEnd w:id="173"/>
      <w:bookmarkEnd w:id="175"/>
    </w:p>
    <w:p>
      <w:pPr>
        <w:pStyle w:val="13"/>
        <w:adjustRightInd w:val="0"/>
        <w:snapToGrid w:val="0"/>
        <w:spacing w:beforeLines="0" w:afterLines="0"/>
        <w:ind w:left="0" w:firstLine="0"/>
        <w:rPr>
          <w:rFonts w:ascii="仿宋" w:hAnsi="仿宋" w:eastAsia="仿宋" w:cs="仿宋"/>
          <w:b/>
        </w:rPr>
      </w:pPr>
      <w:bookmarkStart w:id="176" w:name="_Toc293916884"/>
      <w:r>
        <w:rPr>
          <w:rFonts w:hint="eastAsia" w:ascii="仿宋" w:hAnsi="仿宋" w:eastAsia="仿宋" w:cs="仿宋"/>
          <w:b/>
        </w:rPr>
        <w:t>（一）组建评标委员会</w:t>
      </w:r>
      <w:bookmarkEnd w:id="176"/>
    </w:p>
    <w:p>
      <w:pPr>
        <w:tabs>
          <w:tab w:val="left" w:pos="1200"/>
          <w:tab w:val="left" w:pos="1211"/>
        </w:tabs>
        <w:adjustRightInd w:val="0"/>
        <w:snapToGrid w:val="0"/>
        <w:spacing w:line="400" w:lineRule="exact"/>
        <w:ind w:firstLine="480" w:firstLineChars="200"/>
        <w:rPr>
          <w:rFonts w:ascii="仿宋" w:hAnsi="仿宋" w:eastAsia="仿宋" w:cs="仿宋"/>
          <w:color w:val="000000"/>
          <w:sz w:val="24"/>
        </w:rPr>
      </w:pPr>
      <w:bookmarkStart w:id="177" w:name="_Toc293916886"/>
      <w:r>
        <w:rPr>
          <w:rFonts w:hint="eastAsia" w:ascii="仿宋" w:hAnsi="仿宋" w:eastAsia="仿宋" w:cs="仿宋"/>
          <w:color w:val="000000"/>
          <w:sz w:val="24"/>
        </w:rPr>
        <w:t>评标委员会由招标代理机构依法组建，负责评标活动。评标委员会遵循公正、公平、科学合理，竞争择优的原则。</w:t>
      </w:r>
    </w:p>
    <w:p>
      <w:pPr>
        <w:pStyle w:val="13"/>
        <w:adjustRightInd w:val="0"/>
        <w:snapToGrid w:val="0"/>
        <w:spacing w:beforeLines="0" w:afterLines="0"/>
        <w:ind w:left="0" w:firstLine="0"/>
        <w:rPr>
          <w:rFonts w:ascii="仿宋" w:hAnsi="仿宋" w:eastAsia="仿宋" w:cs="仿宋"/>
          <w:b/>
        </w:rPr>
      </w:pPr>
      <w:r>
        <w:rPr>
          <w:rFonts w:hint="eastAsia" w:ascii="仿宋" w:hAnsi="仿宋" w:eastAsia="仿宋" w:cs="仿宋"/>
          <w:b/>
        </w:rPr>
        <w:t>（二）评标的方式</w:t>
      </w:r>
      <w:bookmarkEnd w:id="177"/>
    </w:p>
    <w:p>
      <w:pPr>
        <w:pStyle w:val="13"/>
        <w:adjustRightInd w:val="0"/>
        <w:snapToGrid w:val="0"/>
        <w:spacing w:beforeLines="0" w:afterLines="0"/>
        <w:ind w:left="0" w:firstLine="480" w:firstLineChars="200"/>
        <w:rPr>
          <w:rFonts w:ascii="仿宋" w:hAnsi="仿宋" w:eastAsia="仿宋" w:cs="仿宋"/>
        </w:rPr>
      </w:pPr>
      <w:bookmarkStart w:id="178" w:name="_Toc293916887"/>
      <w:r>
        <w:rPr>
          <w:rFonts w:hint="eastAsia" w:ascii="仿宋" w:hAnsi="仿宋" w:eastAsia="仿宋" w:cs="仿宋"/>
        </w:rPr>
        <w:t>本项目采用不公开方式评标，评标的依据为招标文件和投标文件。</w:t>
      </w:r>
      <w:bookmarkEnd w:id="178"/>
    </w:p>
    <w:p>
      <w:pPr>
        <w:pStyle w:val="13"/>
        <w:adjustRightInd w:val="0"/>
        <w:snapToGrid w:val="0"/>
        <w:spacing w:beforeLines="0" w:afterLines="0"/>
        <w:ind w:left="0" w:firstLine="0"/>
        <w:rPr>
          <w:rFonts w:ascii="仿宋" w:hAnsi="仿宋" w:eastAsia="仿宋" w:cs="仿宋"/>
          <w:b/>
        </w:rPr>
      </w:pPr>
      <w:bookmarkStart w:id="179" w:name="_Toc293916888"/>
      <w:r>
        <w:rPr>
          <w:rFonts w:hint="eastAsia" w:ascii="仿宋" w:hAnsi="仿宋" w:eastAsia="仿宋" w:cs="仿宋"/>
          <w:b/>
        </w:rPr>
        <w:t xml:space="preserve">（三） </w:t>
      </w:r>
      <w:r>
        <w:rPr>
          <w:rFonts w:hint="eastAsia" w:ascii="仿宋" w:hAnsi="仿宋" w:eastAsia="仿宋" w:cs="仿宋"/>
          <w:b/>
          <w:bCs/>
        </w:rPr>
        <w:t>评标程序</w:t>
      </w:r>
      <w:bookmarkEnd w:id="179"/>
    </w:p>
    <w:p>
      <w:pPr>
        <w:adjustRightInd w:val="0"/>
        <w:snapToGrid w:val="0"/>
        <w:spacing w:line="400" w:lineRule="exact"/>
        <w:ind w:firstLine="480" w:firstLineChars="200"/>
        <w:rPr>
          <w:rFonts w:ascii="仿宋" w:hAnsi="仿宋" w:eastAsia="仿宋" w:cs="仿宋"/>
          <w:sz w:val="24"/>
        </w:rPr>
      </w:pPr>
      <w:r>
        <w:rPr>
          <w:rFonts w:hint="eastAsia" w:ascii="仿宋" w:hAnsi="仿宋" w:eastAsia="仿宋" w:cs="仿宋"/>
          <w:sz w:val="24"/>
        </w:rPr>
        <w:t>1、采购人代表和采购代理机构人员对投标人资格的完整性、合法性等进行审查。</w:t>
      </w:r>
    </w:p>
    <w:p>
      <w:pPr>
        <w:adjustRightInd w:val="0"/>
        <w:snapToGrid w:val="0"/>
        <w:spacing w:line="400" w:lineRule="exact"/>
        <w:ind w:firstLine="480" w:firstLineChars="200"/>
        <w:rPr>
          <w:rFonts w:ascii="仿宋" w:hAnsi="仿宋" w:eastAsia="仿宋" w:cs="仿宋"/>
          <w:sz w:val="24"/>
        </w:rPr>
      </w:pPr>
      <w:r>
        <w:rPr>
          <w:rFonts w:hint="eastAsia" w:ascii="仿宋" w:hAnsi="仿宋" w:eastAsia="仿宋" w:cs="仿宋"/>
          <w:sz w:val="24"/>
        </w:rPr>
        <w:t>2、评标委员会审查投标文件的实质性内容是否符合招标文件的实质性要求。</w:t>
      </w:r>
    </w:p>
    <w:p>
      <w:pPr>
        <w:adjustRightInd w:val="0"/>
        <w:snapToGrid w:val="0"/>
        <w:spacing w:line="400" w:lineRule="exact"/>
        <w:ind w:firstLine="480" w:firstLineChars="200"/>
        <w:rPr>
          <w:rFonts w:ascii="仿宋" w:hAnsi="仿宋" w:eastAsia="仿宋" w:cs="仿宋"/>
          <w:sz w:val="24"/>
        </w:rPr>
      </w:pPr>
      <w:r>
        <w:rPr>
          <w:rFonts w:hint="eastAsia" w:ascii="仿宋" w:hAnsi="仿宋" w:eastAsia="仿宋" w:cs="仿宋"/>
          <w:sz w:val="24"/>
        </w:rPr>
        <w:t>3、评标委员会将根据投标人的投标文件进行审查、核对,如有疑问,将对投标人进行询标,投标人要向评标委员会澄清有关问题,并最终以书面形式进行答复。</w:t>
      </w:r>
    </w:p>
    <w:p>
      <w:pPr>
        <w:adjustRightInd w:val="0"/>
        <w:snapToGrid w:val="0"/>
        <w:spacing w:line="400" w:lineRule="exact"/>
        <w:ind w:firstLine="480" w:firstLineChars="200"/>
        <w:rPr>
          <w:rFonts w:ascii="仿宋" w:hAnsi="仿宋" w:eastAsia="仿宋" w:cs="仿宋"/>
          <w:b/>
          <w:sz w:val="24"/>
        </w:rPr>
      </w:pPr>
      <w:r>
        <w:rPr>
          <w:rFonts w:hint="eastAsia" w:ascii="仿宋" w:hAnsi="仿宋" w:eastAsia="仿宋" w:cs="仿宋"/>
          <w:bCs/>
          <w:sz w:val="24"/>
        </w:rPr>
        <w:t>4、评标委员会完成评标后，评标委员会按评标原则确定中标候选人同时起草评标报告。</w:t>
      </w:r>
    </w:p>
    <w:p>
      <w:pPr>
        <w:adjustRightInd w:val="0"/>
        <w:snapToGrid w:val="0"/>
        <w:spacing w:line="400" w:lineRule="exact"/>
        <w:rPr>
          <w:rFonts w:ascii="仿宋" w:hAnsi="仿宋" w:eastAsia="仿宋" w:cs="仿宋"/>
          <w:sz w:val="24"/>
        </w:rPr>
      </w:pPr>
      <w:r>
        <w:rPr>
          <w:rFonts w:hint="eastAsia" w:ascii="仿宋" w:hAnsi="仿宋" w:eastAsia="仿宋" w:cs="仿宋"/>
          <w:sz w:val="24"/>
        </w:rPr>
        <w:t xml:space="preserve">    5、全权代表未到场或者拒绝澄清或者澄清的内容改变了投标文件的实质性内容的，评标委员会有权对该投标文件作出不利于投标人的评判。</w:t>
      </w:r>
    </w:p>
    <w:p>
      <w:pPr>
        <w:adjustRightInd w:val="0"/>
        <w:snapToGrid w:val="0"/>
        <w:spacing w:line="400" w:lineRule="exact"/>
        <w:rPr>
          <w:rFonts w:ascii="仿宋" w:hAnsi="仿宋" w:eastAsia="仿宋" w:cs="仿宋"/>
          <w:b/>
          <w:sz w:val="24"/>
        </w:rPr>
      </w:pPr>
      <w:r>
        <w:rPr>
          <w:rFonts w:hint="eastAsia" w:ascii="仿宋" w:hAnsi="仿宋" w:eastAsia="仿宋" w:cs="仿宋"/>
          <w:b/>
          <w:sz w:val="24"/>
        </w:rPr>
        <w:t>（四）澄清问题的形式</w:t>
      </w:r>
    </w:p>
    <w:p>
      <w:pPr>
        <w:adjustRightInd w:val="0"/>
        <w:snapToGrid w:val="0"/>
        <w:spacing w:line="400" w:lineRule="exact"/>
        <w:ind w:firstLine="480" w:firstLineChars="200"/>
        <w:rPr>
          <w:rFonts w:ascii="仿宋" w:hAnsi="仿宋" w:eastAsia="仿宋" w:cs="仿宋"/>
          <w:sz w:val="24"/>
        </w:rPr>
      </w:pPr>
      <w:r>
        <w:rPr>
          <w:rFonts w:hint="eastAsia" w:ascii="仿宋" w:hAnsi="仿宋" w:eastAsia="仿宋" w:cs="仿宋"/>
          <w:sz w:val="24"/>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Style w:val="13"/>
        <w:adjustRightInd w:val="0"/>
        <w:snapToGrid w:val="0"/>
        <w:spacing w:beforeLines="0" w:afterLines="0"/>
        <w:ind w:left="0" w:firstLine="0"/>
        <w:rPr>
          <w:rFonts w:ascii="仿宋" w:hAnsi="仿宋" w:eastAsia="仿宋" w:cs="仿宋"/>
          <w:b/>
        </w:rPr>
      </w:pPr>
      <w:bookmarkStart w:id="180" w:name="_Toc293916889"/>
      <w:r>
        <w:rPr>
          <w:rFonts w:hint="eastAsia" w:ascii="仿宋" w:hAnsi="仿宋" w:eastAsia="仿宋" w:cs="仿宋"/>
          <w:b/>
        </w:rPr>
        <w:t>（五） 错误修正</w:t>
      </w:r>
      <w:bookmarkEnd w:id="180"/>
    </w:p>
    <w:p>
      <w:pPr>
        <w:pStyle w:val="13"/>
        <w:adjustRightInd w:val="0"/>
        <w:snapToGrid w:val="0"/>
        <w:spacing w:beforeLines="0" w:afterLines="0"/>
        <w:ind w:left="0" w:firstLine="480" w:firstLineChars="200"/>
        <w:rPr>
          <w:rFonts w:ascii="仿宋" w:hAnsi="仿宋" w:eastAsia="仿宋" w:cs="仿宋"/>
        </w:rPr>
      </w:pPr>
      <w:bookmarkStart w:id="181" w:name="_Toc293916895"/>
      <w:r>
        <w:rPr>
          <w:rFonts w:hint="eastAsia" w:ascii="仿宋" w:hAnsi="仿宋" w:eastAsia="仿宋" w:cs="仿宋"/>
        </w:rPr>
        <w:t>投标文件如果出现计算或表达上的错误，修正错误的原则如下：</w:t>
      </w:r>
    </w:p>
    <w:p>
      <w:pPr>
        <w:pStyle w:val="13"/>
        <w:adjustRightInd w:val="0"/>
        <w:snapToGrid w:val="0"/>
        <w:spacing w:beforeLines="0" w:afterLines="0"/>
        <w:ind w:left="0" w:firstLine="480" w:firstLineChars="200"/>
        <w:rPr>
          <w:rFonts w:ascii="仿宋" w:hAnsi="仿宋" w:eastAsia="仿宋" w:cs="仿宋"/>
          <w:bCs/>
        </w:rPr>
      </w:pPr>
      <w:r>
        <w:rPr>
          <w:rFonts w:hint="eastAsia" w:ascii="仿宋" w:hAnsi="仿宋" w:eastAsia="仿宋" w:cs="仿宋"/>
          <w:bCs/>
        </w:rPr>
        <w:t>1、开标一览表总价与投标报价明细表汇总数不一致的，以开标一览表为准；</w:t>
      </w:r>
    </w:p>
    <w:p>
      <w:pPr>
        <w:pStyle w:val="13"/>
        <w:adjustRightInd w:val="0"/>
        <w:snapToGrid w:val="0"/>
        <w:spacing w:beforeLines="0" w:afterLines="0"/>
        <w:ind w:left="0" w:firstLine="480" w:firstLineChars="200"/>
        <w:rPr>
          <w:rFonts w:ascii="仿宋" w:hAnsi="仿宋" w:eastAsia="仿宋" w:cs="仿宋"/>
        </w:rPr>
      </w:pPr>
      <w:r>
        <w:rPr>
          <w:rFonts w:hint="eastAsia" w:ascii="仿宋" w:hAnsi="仿宋" w:eastAsia="仿宋" w:cs="仿宋"/>
        </w:rPr>
        <w:t>2、大写金额和小写金额不一致的，以大写金额为准；</w:t>
      </w:r>
    </w:p>
    <w:p>
      <w:pPr>
        <w:pStyle w:val="13"/>
        <w:adjustRightInd w:val="0"/>
        <w:snapToGrid w:val="0"/>
        <w:spacing w:beforeLines="0" w:afterLines="0"/>
        <w:ind w:left="0" w:firstLine="480" w:firstLineChars="200"/>
        <w:rPr>
          <w:rFonts w:ascii="仿宋" w:hAnsi="仿宋" w:eastAsia="仿宋" w:cs="仿宋"/>
        </w:rPr>
      </w:pPr>
      <w:r>
        <w:rPr>
          <w:rFonts w:hint="eastAsia" w:ascii="仿宋" w:hAnsi="仿宋" w:eastAsia="仿宋" w:cs="仿宋"/>
        </w:rPr>
        <w:t>3、单价金额小数点有明显错位的，应以开标一览表的总价为准，并修改单价；</w:t>
      </w:r>
    </w:p>
    <w:p>
      <w:pPr>
        <w:pStyle w:val="13"/>
        <w:adjustRightInd w:val="0"/>
        <w:snapToGrid w:val="0"/>
        <w:spacing w:beforeLines="0" w:afterLines="0"/>
        <w:ind w:left="0" w:firstLine="480" w:firstLineChars="200"/>
        <w:rPr>
          <w:rFonts w:ascii="仿宋" w:hAnsi="仿宋" w:eastAsia="仿宋" w:cs="仿宋"/>
        </w:rPr>
      </w:pPr>
      <w:r>
        <w:rPr>
          <w:rFonts w:hint="eastAsia" w:ascii="仿宋" w:hAnsi="仿宋" w:eastAsia="仿宋" w:cs="仿宋"/>
        </w:rPr>
        <w:t>4、总价金额与按单价汇总金额不一致的，以单价金额计算结果为准；</w:t>
      </w:r>
    </w:p>
    <w:p>
      <w:pPr>
        <w:pStyle w:val="13"/>
        <w:adjustRightInd w:val="0"/>
        <w:snapToGrid w:val="0"/>
        <w:spacing w:beforeLines="0" w:afterLines="0"/>
        <w:ind w:left="0" w:firstLine="480" w:firstLineChars="200"/>
        <w:rPr>
          <w:rFonts w:ascii="仿宋" w:hAnsi="仿宋" w:eastAsia="仿宋" w:cs="仿宋"/>
        </w:rPr>
      </w:pPr>
      <w:r>
        <w:rPr>
          <w:rFonts w:hint="eastAsia" w:ascii="仿宋" w:hAnsi="仿宋" w:eastAsia="仿宋" w:cs="仿宋"/>
        </w:rPr>
        <w:t>5、对不同文字文本投标文件的解释发生异议的，以中文文本为准。</w:t>
      </w:r>
    </w:p>
    <w:p>
      <w:pPr>
        <w:pStyle w:val="13"/>
        <w:adjustRightInd w:val="0"/>
        <w:snapToGrid w:val="0"/>
        <w:spacing w:beforeLines="0" w:afterLines="0"/>
        <w:ind w:left="0" w:firstLine="480" w:firstLineChars="200"/>
        <w:rPr>
          <w:rFonts w:ascii="仿宋" w:hAnsi="仿宋" w:eastAsia="仿宋" w:cs="仿宋"/>
        </w:rPr>
      </w:pPr>
      <w:r>
        <w:rPr>
          <w:rFonts w:hint="eastAsia" w:ascii="仿宋" w:hAnsi="仿宋" w:eastAsia="仿宋" w:cs="仿宋"/>
        </w:rPr>
        <w:t>同时出现两种以上不一致的，按照上述规定的顺序修正，由投标人以书面形式进行修正，并加盖公章或者由法定代表人或其授权的代表签字。投标人确认后产生约束力；投标人不确认的，其投标无效。</w:t>
      </w:r>
    </w:p>
    <w:p>
      <w:pPr>
        <w:pStyle w:val="13"/>
        <w:adjustRightInd w:val="0"/>
        <w:snapToGrid w:val="0"/>
        <w:spacing w:beforeLines="0" w:afterLines="0"/>
        <w:ind w:left="0" w:firstLine="0"/>
        <w:rPr>
          <w:rFonts w:ascii="仿宋" w:hAnsi="仿宋" w:eastAsia="仿宋" w:cs="仿宋"/>
          <w:b/>
        </w:rPr>
      </w:pPr>
      <w:r>
        <w:rPr>
          <w:rFonts w:hint="eastAsia" w:ascii="仿宋" w:hAnsi="仿宋" w:eastAsia="仿宋" w:cs="仿宋"/>
          <w:b/>
        </w:rPr>
        <w:t>（六） 评标过程的保密</w:t>
      </w:r>
      <w:bookmarkEnd w:id="181"/>
    </w:p>
    <w:p>
      <w:pPr>
        <w:pStyle w:val="13"/>
        <w:adjustRightInd w:val="0"/>
        <w:snapToGrid w:val="0"/>
        <w:spacing w:beforeLines="0" w:afterLines="0"/>
        <w:ind w:left="0" w:firstLine="480" w:firstLineChars="200"/>
        <w:rPr>
          <w:rFonts w:ascii="仿宋" w:hAnsi="仿宋" w:eastAsia="仿宋" w:cs="仿宋"/>
        </w:rPr>
      </w:pPr>
      <w:bookmarkStart w:id="182" w:name="_Toc293916896"/>
      <w:r>
        <w:rPr>
          <w:rFonts w:hint="eastAsia" w:ascii="仿宋" w:hAnsi="仿宋" w:eastAsia="仿宋" w:cs="仿宋"/>
        </w:rPr>
        <w:t>凡是属于审查、澄清、评审和比较的有关资料以及授标建议，任何人均不得向投标人或其他无关的人员透露。投标人在评标过程中所进行的力图影响评标结果的不公正活动，可能导致其投标被拒绝。</w:t>
      </w:r>
      <w:bookmarkEnd w:id="182"/>
    </w:p>
    <w:p>
      <w:pPr>
        <w:pStyle w:val="13"/>
        <w:tabs>
          <w:tab w:val="left" w:pos="630"/>
        </w:tabs>
        <w:adjustRightInd w:val="0"/>
        <w:snapToGrid w:val="0"/>
        <w:spacing w:beforeLines="0" w:afterLines="0"/>
        <w:ind w:left="0" w:firstLine="0"/>
        <w:rPr>
          <w:rFonts w:ascii="仿宋" w:hAnsi="仿宋" w:eastAsia="仿宋" w:cs="仿宋"/>
          <w:b/>
        </w:rPr>
      </w:pPr>
      <w:bookmarkStart w:id="183" w:name="_Toc293916897"/>
      <w:r>
        <w:rPr>
          <w:rFonts w:hint="eastAsia" w:ascii="仿宋" w:hAnsi="仿宋" w:eastAsia="仿宋" w:cs="仿宋"/>
          <w:b/>
        </w:rPr>
        <w:t>（七）评标原则和评标办法</w:t>
      </w:r>
      <w:bookmarkEnd w:id="183"/>
    </w:p>
    <w:p>
      <w:pPr>
        <w:pStyle w:val="13"/>
        <w:adjustRightInd w:val="0"/>
        <w:snapToGrid w:val="0"/>
        <w:spacing w:beforeLines="0" w:afterLines="0"/>
        <w:ind w:left="0" w:firstLine="480" w:firstLineChars="200"/>
        <w:rPr>
          <w:rFonts w:ascii="仿宋" w:hAnsi="仿宋" w:eastAsia="仿宋" w:cs="仿宋"/>
        </w:rPr>
      </w:pPr>
      <w:bookmarkStart w:id="184" w:name="_Toc293916898"/>
      <w:r>
        <w:rPr>
          <w:rFonts w:hint="eastAsia" w:ascii="仿宋" w:hAnsi="仿宋" w:eastAsia="仿宋" w:cs="仿宋"/>
        </w:rPr>
        <w:t>1、评标原则。评标委员会必须公平、公正、客观，不带任何倾向性和启发性；不得向外界透露任何与评标有关的内容；任何单位和个人不得干扰、影响评标的正常进行；评标委员会及有关工作人员不得私下与投标人接触。</w:t>
      </w:r>
      <w:bookmarkEnd w:id="184"/>
    </w:p>
    <w:p>
      <w:pPr>
        <w:pStyle w:val="13"/>
        <w:adjustRightInd w:val="0"/>
        <w:snapToGrid w:val="0"/>
        <w:spacing w:beforeLines="0" w:afterLines="0"/>
        <w:ind w:left="0" w:firstLine="482" w:firstLineChars="200"/>
        <w:rPr>
          <w:rFonts w:ascii="仿宋" w:hAnsi="仿宋" w:eastAsia="仿宋" w:cs="仿宋"/>
          <w:b/>
        </w:rPr>
      </w:pPr>
      <w:bookmarkStart w:id="185" w:name="_Toc293916899"/>
      <w:r>
        <w:rPr>
          <w:rFonts w:hint="eastAsia" w:ascii="仿宋" w:hAnsi="仿宋" w:eastAsia="仿宋" w:cs="仿宋"/>
          <w:b/>
        </w:rPr>
        <w:t>2、财政部第87号令《政府采购货物和服务招标投标管理办法》第三十一条第二第三款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13"/>
        <w:adjustRightInd w:val="0"/>
        <w:snapToGrid w:val="0"/>
        <w:spacing w:beforeLines="0" w:afterLines="0"/>
        <w:ind w:left="0" w:firstLine="482" w:firstLineChars="200"/>
        <w:rPr>
          <w:rFonts w:ascii="仿宋" w:hAnsi="仿宋" w:eastAsia="仿宋" w:cs="仿宋"/>
          <w:b/>
        </w:rPr>
      </w:pPr>
      <w:r>
        <w:rPr>
          <w:rFonts w:hint="eastAsia" w:ascii="仿宋" w:hAnsi="仿宋" w:eastAsia="仿宋" w:cs="仿宋"/>
          <w:b/>
        </w:rPr>
        <w:t>非单一产品采购项目，采购人应当根据采购项目技术构成、产品价格比重等合理确定核心产品，并在招标文件中载明。多家投标人提供的核心产品品牌相同的，按三十一条第二款规定处理。</w:t>
      </w:r>
    </w:p>
    <w:p>
      <w:pPr>
        <w:pStyle w:val="13"/>
        <w:adjustRightInd w:val="0"/>
        <w:snapToGrid w:val="0"/>
        <w:spacing w:beforeLines="0" w:afterLines="0"/>
        <w:ind w:left="0" w:firstLine="480" w:firstLineChars="200"/>
        <w:rPr>
          <w:rFonts w:ascii="仿宋" w:hAnsi="仿宋" w:eastAsia="仿宋" w:cs="仿宋"/>
        </w:rPr>
      </w:pPr>
      <w:r>
        <w:rPr>
          <w:rFonts w:hint="eastAsia" w:ascii="仿宋" w:hAnsi="仿宋" w:eastAsia="仿宋" w:cs="仿宋"/>
        </w:rPr>
        <w:t>3、评标办法。本项目采用综合评分法，详见《第四章：评标办法及评分标准》。</w:t>
      </w:r>
      <w:bookmarkEnd w:id="185"/>
    </w:p>
    <w:p>
      <w:pPr>
        <w:pStyle w:val="13"/>
        <w:adjustRightInd w:val="0"/>
        <w:snapToGrid w:val="0"/>
        <w:spacing w:beforeLines="0" w:afterLines="0"/>
        <w:ind w:left="0" w:firstLine="0"/>
        <w:rPr>
          <w:rFonts w:ascii="仿宋" w:hAnsi="仿宋" w:eastAsia="仿宋" w:cs="仿宋"/>
          <w:b/>
        </w:rPr>
      </w:pPr>
      <w:r>
        <w:rPr>
          <w:rFonts w:hint="eastAsia" w:ascii="仿宋" w:hAnsi="仿宋" w:eastAsia="仿宋" w:cs="仿宋"/>
          <w:b/>
        </w:rPr>
        <w:t>（八）评标过程的监控</w:t>
      </w:r>
    </w:p>
    <w:p>
      <w:pPr>
        <w:spacing w:line="400" w:lineRule="exact"/>
        <w:ind w:firstLine="480" w:firstLineChars="200"/>
        <w:rPr>
          <w:rFonts w:ascii="仿宋" w:hAnsi="仿宋" w:eastAsia="仿宋" w:cs="仿宋"/>
          <w:b/>
          <w:bCs/>
          <w:sz w:val="24"/>
        </w:rPr>
      </w:pPr>
      <w:r>
        <w:rPr>
          <w:rFonts w:hint="eastAsia" w:ascii="仿宋" w:hAnsi="仿宋" w:eastAsia="仿宋" w:cs="仿宋"/>
          <w:sz w:val="24"/>
        </w:rPr>
        <w:t>本项目评标过程实行全程录音、录像监控，由湖州市</w:t>
      </w:r>
      <w:r>
        <w:rPr>
          <w:rFonts w:hint="eastAsia" w:ascii="仿宋" w:hAnsi="仿宋" w:eastAsia="仿宋" w:cs="仿宋"/>
          <w:sz w:val="24"/>
          <w:lang w:val="en-US" w:eastAsia="zh-CN"/>
        </w:rPr>
        <w:t>吴兴区</w:t>
      </w:r>
      <w:r>
        <w:rPr>
          <w:rFonts w:hint="eastAsia" w:ascii="仿宋" w:hAnsi="仿宋" w:eastAsia="仿宋" w:cs="仿宋"/>
          <w:sz w:val="24"/>
        </w:rPr>
        <w:t>公共资源交易管理办公室进行现场监督。投标人在评标过程中所进行的试图影响评标结果的不公正活动，可能导致其投标被拒绝。</w:t>
      </w:r>
      <w:bookmarkStart w:id="186" w:name="_Toc293916022"/>
      <w:bookmarkStart w:id="187" w:name="_Toc293917022"/>
      <w:bookmarkStart w:id="188" w:name="_Toc424544817"/>
      <w:bookmarkStart w:id="189" w:name="_Toc293916900"/>
      <w:bookmarkStart w:id="190" w:name="_Toc293916373"/>
      <w:bookmarkStart w:id="191" w:name="_Toc424544538"/>
    </w:p>
    <w:p>
      <w:pPr>
        <w:spacing w:line="400" w:lineRule="exact"/>
        <w:outlineLvl w:val="1"/>
        <w:rPr>
          <w:rFonts w:ascii="仿宋" w:hAnsi="仿宋" w:eastAsia="仿宋" w:cs="仿宋"/>
          <w:b/>
          <w:bCs/>
          <w:sz w:val="24"/>
        </w:rPr>
      </w:pPr>
      <w:bookmarkStart w:id="192" w:name="_Toc12438"/>
      <w:r>
        <w:rPr>
          <w:rFonts w:hint="eastAsia" w:ascii="仿宋" w:hAnsi="仿宋" w:eastAsia="仿宋" w:cs="仿宋"/>
          <w:b/>
          <w:bCs/>
          <w:sz w:val="24"/>
        </w:rPr>
        <w:t>六、定标</w:t>
      </w:r>
      <w:bookmarkEnd w:id="186"/>
      <w:bookmarkEnd w:id="187"/>
      <w:bookmarkEnd w:id="188"/>
      <w:bookmarkEnd w:id="189"/>
      <w:bookmarkEnd w:id="190"/>
      <w:bookmarkEnd w:id="191"/>
      <w:bookmarkEnd w:id="192"/>
    </w:p>
    <w:p>
      <w:pPr>
        <w:spacing w:line="400" w:lineRule="exact"/>
        <w:ind w:left="420" w:leftChars="200"/>
        <w:outlineLvl w:val="1"/>
        <w:rPr>
          <w:rFonts w:ascii="仿宋" w:hAnsi="仿宋" w:eastAsia="仿宋" w:cs="仿宋"/>
          <w:sz w:val="24"/>
        </w:rPr>
      </w:pPr>
      <w:bookmarkStart w:id="193" w:name="_Toc13330"/>
      <w:bookmarkStart w:id="194" w:name="_Toc19117"/>
      <w:bookmarkStart w:id="195" w:name="_Toc293917023"/>
      <w:bookmarkStart w:id="196" w:name="_Toc293916901"/>
      <w:bookmarkStart w:id="197" w:name="_Toc293916023"/>
      <w:bookmarkStart w:id="198" w:name="_Toc424544818"/>
      <w:bookmarkStart w:id="199" w:name="_Toc293916374"/>
      <w:bookmarkStart w:id="200" w:name="_Toc424544539"/>
      <w:r>
        <w:rPr>
          <w:rFonts w:hint="eastAsia" w:ascii="仿宋" w:hAnsi="仿宋" w:eastAsia="仿宋" w:cs="仿宋"/>
          <w:sz w:val="24"/>
        </w:rPr>
        <w:t>1、确定中标人。本项目由采购人确定中标人。</w:t>
      </w:r>
      <w:r>
        <w:rPr>
          <w:rFonts w:hint="eastAsia" w:ascii="仿宋" w:hAnsi="仿宋" w:eastAsia="仿宋" w:cs="仿宋"/>
          <w:sz w:val="24"/>
        </w:rPr>
        <w:br w:type="textWrapping"/>
      </w:r>
      <w:r>
        <w:rPr>
          <w:rFonts w:hint="eastAsia" w:ascii="仿宋" w:hAnsi="仿宋" w:eastAsia="仿宋" w:cs="仿宋"/>
          <w:sz w:val="24"/>
        </w:rPr>
        <w:t>2、采购代理机构在评标结束后2个工作日内将评标报告交采购人确认。</w:t>
      </w:r>
      <w:r>
        <w:rPr>
          <w:rFonts w:hint="eastAsia" w:ascii="仿宋" w:hAnsi="仿宋" w:eastAsia="仿宋" w:cs="仿宋"/>
          <w:sz w:val="24"/>
        </w:rPr>
        <w:br w:type="textWrapping"/>
      </w:r>
      <w:r>
        <w:rPr>
          <w:rFonts w:hint="eastAsia" w:ascii="仿宋" w:hAnsi="仿宋" w:eastAsia="仿宋" w:cs="仿宋"/>
          <w:sz w:val="24"/>
        </w:rPr>
        <w:t>3、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r>
        <w:rPr>
          <w:rFonts w:hint="eastAsia" w:ascii="仿宋" w:hAnsi="仿宋" w:eastAsia="仿宋" w:cs="仿宋"/>
          <w:sz w:val="24"/>
        </w:rPr>
        <w:br w:type="textWrapping"/>
      </w:r>
      <w:r>
        <w:rPr>
          <w:rFonts w:hint="eastAsia" w:ascii="仿宋" w:hAnsi="仿宋" w:eastAsia="仿宋" w:cs="仿宋"/>
          <w:sz w:val="24"/>
        </w:rPr>
        <w:t>4、采购人自行组织招标的，应当在评标结束后5个工作日内确定中标人。</w:t>
      </w:r>
      <w:r>
        <w:rPr>
          <w:rFonts w:hint="eastAsia" w:ascii="仿宋" w:hAnsi="仿宋" w:eastAsia="仿宋" w:cs="仿宋"/>
          <w:sz w:val="24"/>
        </w:rPr>
        <w:br w:type="textWrapping"/>
      </w:r>
      <w:r>
        <w:rPr>
          <w:rFonts w:hint="eastAsia" w:ascii="仿宋" w:hAnsi="仿宋" w:eastAsia="仿宋" w:cs="仿宋"/>
          <w:sz w:val="24"/>
        </w:rPr>
        <w:t>5、采购人在收到评标报告5个工作日内未按评标报告推荐的中标候选人顺序确定中标人，又不能说明合法理由的，视同按评标报告推荐的顺序确定排名第一的中标候选人为中标人。 </w:t>
      </w:r>
      <w:r>
        <w:rPr>
          <w:rFonts w:hint="eastAsia" w:ascii="仿宋" w:hAnsi="仿宋" w:eastAsia="仿宋" w:cs="仿宋"/>
          <w:sz w:val="24"/>
        </w:rPr>
        <w:br w:type="textWrapping"/>
      </w:r>
      <w:r>
        <w:rPr>
          <w:rFonts w:hint="eastAsia" w:ascii="仿宋" w:hAnsi="仿宋" w:eastAsia="仿宋" w:cs="仿宋"/>
          <w:sz w:val="24"/>
        </w:rPr>
        <w:t>6、采购人依法确定中标人后2个工作日内，采购代理机构以书面形式发出《中标通知书》，并同时在相关网站发布中标公告。中标公告期限为1个工作日。</w:t>
      </w:r>
      <w:bookmarkEnd w:id="193"/>
      <w:bookmarkEnd w:id="194"/>
    </w:p>
    <w:p>
      <w:pPr>
        <w:spacing w:line="400" w:lineRule="exact"/>
        <w:ind w:left="420" w:leftChars="200"/>
        <w:outlineLvl w:val="1"/>
        <w:rPr>
          <w:rFonts w:ascii="仿宋" w:hAnsi="仿宋" w:eastAsia="仿宋" w:cs="仿宋"/>
          <w:sz w:val="24"/>
        </w:rPr>
      </w:pPr>
      <w:bookmarkStart w:id="201" w:name="_Toc26299"/>
      <w:r>
        <w:rPr>
          <w:rFonts w:hint="eastAsia" w:ascii="仿宋" w:hAnsi="仿宋" w:eastAsia="仿宋" w:cs="仿宋"/>
          <w:sz w:val="24"/>
        </w:rPr>
        <w:t xml:space="preserve">7、 </w:t>
      </w:r>
      <w:r>
        <w:rPr>
          <w:rFonts w:hint="eastAsia" w:ascii="仿宋" w:hAnsi="仿宋" w:eastAsia="仿宋" w:cs="仿宋"/>
          <w:b/>
          <w:bCs/>
          <w:sz w:val="24"/>
        </w:rPr>
        <w:t>根据浙江省财政厅《关于印发浙江省政府采购供应商注册及诚信管理暂行办法的通知》[浙财采监字〔2009〕28 号]精神</w:t>
      </w:r>
      <w:r>
        <w:rPr>
          <w:rFonts w:hint="eastAsia" w:ascii="仿宋" w:hAnsi="仿宋" w:eastAsia="仿宋" w:cs="仿宋"/>
          <w:sz w:val="24"/>
        </w:rPr>
        <w:t>，</w:t>
      </w:r>
      <w:r>
        <w:rPr>
          <w:rFonts w:hint="eastAsia" w:ascii="仿宋" w:hAnsi="仿宋" w:eastAsia="仿宋" w:cs="仿宋"/>
          <w:b/>
          <w:bCs/>
          <w:sz w:val="24"/>
        </w:rPr>
        <w:t>中标供应商在领取中标通知书前，必须在《浙江政府采购网》上完成供应商的注册工作，经初审、终审及公示后方可正式领取中标通知书。</w:t>
      </w:r>
      <w:bookmarkEnd w:id="201"/>
    </w:p>
    <w:p>
      <w:pPr>
        <w:spacing w:line="400" w:lineRule="exact"/>
        <w:ind w:left="420" w:leftChars="200"/>
        <w:outlineLvl w:val="1"/>
        <w:rPr>
          <w:rFonts w:ascii="仿宋" w:hAnsi="仿宋" w:eastAsia="仿宋" w:cs="仿宋"/>
          <w:sz w:val="24"/>
        </w:rPr>
      </w:pPr>
      <w:bookmarkStart w:id="202" w:name="_Toc11286"/>
      <w:r>
        <w:rPr>
          <w:rFonts w:hint="eastAsia" w:ascii="仿宋" w:hAnsi="仿宋" w:eastAsia="仿宋" w:cs="仿宋"/>
          <w:sz w:val="24"/>
        </w:rPr>
        <w:t>8、中标通知书发出后，采购人改变中标结果，或者中标供应商放弃中标，应当承担相</w:t>
      </w:r>
      <w:bookmarkEnd w:id="202"/>
    </w:p>
    <w:p>
      <w:pPr>
        <w:spacing w:line="400" w:lineRule="exact"/>
        <w:ind w:left="420" w:leftChars="200"/>
        <w:outlineLvl w:val="1"/>
        <w:rPr>
          <w:rFonts w:ascii="仿宋" w:hAnsi="仿宋" w:eastAsia="仿宋" w:cs="仿宋"/>
          <w:sz w:val="24"/>
        </w:rPr>
      </w:pPr>
      <w:bookmarkStart w:id="203" w:name="_Toc17902"/>
      <w:r>
        <w:rPr>
          <w:rFonts w:hint="eastAsia" w:ascii="仿宋" w:hAnsi="仿宋" w:eastAsia="仿宋" w:cs="仿宋"/>
          <w:sz w:val="24"/>
        </w:rPr>
        <w:t>应的法律责任。</w:t>
      </w:r>
      <w:bookmarkEnd w:id="203"/>
    </w:p>
    <w:p>
      <w:pPr>
        <w:spacing w:line="400" w:lineRule="exact"/>
        <w:outlineLvl w:val="1"/>
        <w:rPr>
          <w:rFonts w:ascii="仿宋" w:hAnsi="仿宋" w:eastAsia="仿宋" w:cs="仿宋"/>
          <w:b/>
          <w:bCs/>
          <w:sz w:val="24"/>
        </w:rPr>
      </w:pPr>
      <w:bookmarkStart w:id="204" w:name="_Toc29916"/>
      <w:r>
        <w:rPr>
          <w:rFonts w:hint="eastAsia" w:ascii="仿宋" w:hAnsi="仿宋" w:eastAsia="仿宋" w:cs="仿宋"/>
          <w:b/>
          <w:bCs/>
          <w:sz w:val="24"/>
        </w:rPr>
        <w:t>七、合同授予</w:t>
      </w:r>
      <w:bookmarkEnd w:id="195"/>
      <w:bookmarkEnd w:id="196"/>
      <w:bookmarkEnd w:id="197"/>
      <w:bookmarkEnd w:id="198"/>
      <w:bookmarkEnd w:id="199"/>
      <w:bookmarkEnd w:id="200"/>
      <w:bookmarkEnd w:id="204"/>
    </w:p>
    <w:p>
      <w:pPr>
        <w:rPr>
          <w:rFonts w:ascii="仿宋" w:hAnsi="仿宋" w:eastAsia="仿宋" w:cs="仿宋"/>
          <w:sz w:val="24"/>
        </w:rPr>
      </w:pPr>
      <w:bookmarkStart w:id="205" w:name="_Toc293916375"/>
      <w:bookmarkStart w:id="206" w:name="_Toc293916024"/>
      <w:bookmarkStart w:id="207" w:name="_Toc293917024"/>
      <w:bookmarkStart w:id="208" w:name="_Toc293916907"/>
      <w:bookmarkStart w:id="209" w:name="_Toc424544540"/>
      <w:bookmarkStart w:id="210" w:name="_Toc424544819"/>
      <w:r>
        <w:rPr>
          <w:rFonts w:hint="eastAsia" w:ascii="仿宋" w:hAnsi="仿宋" w:eastAsia="仿宋" w:cs="仿宋"/>
          <w:sz w:val="24"/>
        </w:rPr>
        <w:t>（一）签订合同</w:t>
      </w:r>
    </w:p>
    <w:p>
      <w:pPr>
        <w:rPr>
          <w:rFonts w:ascii="仿宋" w:hAnsi="仿宋" w:eastAsia="仿宋" w:cs="仿宋"/>
          <w:sz w:val="24"/>
        </w:rPr>
      </w:pPr>
      <w:r>
        <w:rPr>
          <w:rFonts w:hint="eastAsia" w:ascii="仿宋" w:hAnsi="仿宋" w:eastAsia="仿宋" w:cs="仿宋"/>
          <w:sz w:val="24"/>
        </w:rPr>
        <w:t>1.采购人与中标人应当在《中标通知书》发出之日起30日内签订政府采购合同。同时，采购代理机构对合同内容进行审查，如发现与采购结果和投标承诺内容不一致的，应予以纠正。</w:t>
      </w:r>
    </w:p>
    <w:p>
      <w:pPr>
        <w:rPr>
          <w:rFonts w:ascii="仿宋" w:hAnsi="仿宋" w:eastAsia="仿宋" w:cs="仿宋"/>
          <w:sz w:val="24"/>
        </w:rPr>
      </w:pPr>
      <w:r>
        <w:rPr>
          <w:rFonts w:hint="eastAsia" w:ascii="仿宋" w:hAnsi="仿宋" w:eastAsia="仿宋" w:cs="仿宋"/>
          <w:sz w:val="24"/>
        </w:rPr>
        <w:t>2.中标人拖延、拒签合同的,将被扣罚投标保证金并取消中标资格。</w:t>
      </w:r>
    </w:p>
    <w:p>
      <w:pPr>
        <w:rPr>
          <w:rFonts w:ascii="仿宋" w:hAnsi="仿宋" w:eastAsia="仿宋" w:cs="仿宋"/>
          <w:sz w:val="24"/>
        </w:rPr>
      </w:pPr>
      <w:r>
        <w:rPr>
          <w:rFonts w:hint="eastAsia" w:ascii="仿宋" w:hAnsi="仿宋" w:eastAsia="仿宋" w:cs="仿宋"/>
          <w:sz w:val="24"/>
        </w:rPr>
        <w:t>（二）履约保证金及质量证保金</w:t>
      </w:r>
    </w:p>
    <w:p>
      <w:pPr>
        <w:rPr>
          <w:rFonts w:ascii="仿宋" w:hAnsi="仿宋" w:eastAsia="仿宋" w:cs="仿宋"/>
          <w:sz w:val="24"/>
        </w:rPr>
      </w:pPr>
      <w:r>
        <w:rPr>
          <w:rFonts w:hint="eastAsia" w:ascii="仿宋" w:hAnsi="仿宋" w:eastAsia="仿宋" w:cs="仿宋"/>
          <w:sz w:val="24"/>
        </w:rPr>
        <w:t>1.签订合同后，如中标人不按双方合同约定履约，则没收其全部履约保证金，履约保证金不足以赔偿损失的，按实际损失赔偿。</w:t>
      </w:r>
    </w:p>
    <w:p>
      <w:pPr>
        <w:rPr>
          <w:rFonts w:ascii="仿宋" w:hAnsi="仿宋" w:eastAsia="仿宋" w:cs="仿宋"/>
          <w:sz w:val="24"/>
        </w:rPr>
      </w:pPr>
      <w:r>
        <w:rPr>
          <w:rFonts w:hint="eastAsia" w:ascii="仿宋" w:hAnsi="仿宋" w:eastAsia="仿宋" w:cs="仿宋"/>
          <w:sz w:val="24"/>
        </w:rPr>
        <w:t>2.维修单位返工率不得超过10%（以维修20次开始计算）。返工率达到10%~20%的，将扣罚其履约保证金的50%，返工率超过20%以上的，扣罚其全额履约保证金并解除合同。</w:t>
      </w:r>
    </w:p>
    <w:p>
      <w:pPr>
        <w:rPr>
          <w:rFonts w:ascii="仿宋" w:hAnsi="仿宋" w:eastAsia="仿宋" w:cs="仿宋"/>
          <w:sz w:val="24"/>
        </w:rPr>
      </w:pPr>
      <w:r>
        <w:rPr>
          <w:rFonts w:hint="eastAsia" w:ascii="仿宋" w:hAnsi="仿宋" w:eastAsia="仿宋" w:cs="仿宋"/>
          <w:sz w:val="24"/>
        </w:rPr>
        <w:t>3.维修人员须文明施工，对待住户态度要热情、耐心，不得与住户发生争吵，如果因维修人员态度不好，引起住户投诉，累计三次以上的，超过一次扣罚1000元保证金。</w:t>
      </w:r>
    </w:p>
    <w:p>
      <w:pPr>
        <w:rPr>
          <w:rFonts w:ascii="仿宋" w:hAnsi="仿宋" w:eastAsia="仿宋" w:cs="仿宋"/>
          <w:sz w:val="24"/>
        </w:rPr>
      </w:pPr>
      <w:r>
        <w:rPr>
          <w:rFonts w:hint="eastAsia" w:ascii="仿宋" w:hAnsi="仿宋" w:eastAsia="仿宋" w:cs="仿宋"/>
          <w:sz w:val="24"/>
        </w:rPr>
        <w:t>4.维修人员在维修期间，造成住户物品及周边设施砸坏或损坏的，由维修单位照价赔偿，不主动赔偿的，从保证金中赔付，保证金不足的，从维修款中扣除。</w:t>
      </w:r>
    </w:p>
    <w:p>
      <w:pPr>
        <w:rPr>
          <w:rFonts w:ascii="宋体" w:hAnsi="宋体"/>
        </w:rPr>
      </w:pPr>
    </w:p>
    <w:p>
      <w:pPr>
        <w:pStyle w:val="13"/>
        <w:snapToGrid w:val="0"/>
        <w:spacing w:before="156" w:after="156" w:line="240" w:lineRule="auto"/>
        <w:rPr>
          <w:rFonts w:hAnsi="宋体"/>
          <w:sz w:val="28"/>
          <w:szCs w:val="28"/>
        </w:rPr>
      </w:pPr>
      <w:r>
        <w:rPr>
          <w:rFonts w:hint="eastAsia" w:hAnsi="宋体"/>
          <w:sz w:val="28"/>
          <w:szCs w:val="28"/>
          <w:highlight w:val="cyan"/>
        </w:rPr>
        <w:t>附件一：湖东街道维修月度考核办法</w:t>
      </w:r>
    </w:p>
    <w:p>
      <w:pPr>
        <w:jc w:val="center"/>
        <w:rPr>
          <w:rFonts w:ascii="宋体" w:hAnsi="宋体"/>
          <w:b/>
          <w:sz w:val="28"/>
          <w:szCs w:val="28"/>
        </w:rPr>
      </w:pPr>
      <w:r>
        <w:rPr>
          <w:rFonts w:hint="eastAsia" w:ascii="宋体" w:hAnsi="宋体"/>
          <w:b/>
          <w:sz w:val="28"/>
          <w:szCs w:val="28"/>
        </w:rPr>
        <w:t>考核表（月度考核）</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939"/>
        <w:gridCol w:w="2251"/>
        <w:gridCol w:w="3579"/>
        <w:gridCol w:w="504"/>
        <w:gridCol w:w="536"/>
        <w:gridCol w:w="535"/>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554" w:type="dxa"/>
            <w:noWrap/>
            <w:vAlign w:val="center"/>
          </w:tcPr>
          <w:p>
            <w:pPr>
              <w:jc w:val="center"/>
              <w:rPr>
                <w:rFonts w:ascii="宋体" w:hAnsi="宋体"/>
                <w:sz w:val="24"/>
              </w:rPr>
            </w:pPr>
            <w:r>
              <w:rPr>
                <w:rFonts w:hint="eastAsia" w:ascii="宋体" w:hAnsi="宋体"/>
                <w:sz w:val="24"/>
              </w:rPr>
              <w:t>序号</w:t>
            </w:r>
          </w:p>
        </w:tc>
        <w:tc>
          <w:tcPr>
            <w:tcW w:w="939" w:type="dxa"/>
            <w:noWrap/>
            <w:vAlign w:val="center"/>
          </w:tcPr>
          <w:p>
            <w:pPr>
              <w:jc w:val="center"/>
              <w:rPr>
                <w:rFonts w:ascii="宋体" w:hAnsi="宋体"/>
                <w:sz w:val="24"/>
              </w:rPr>
            </w:pPr>
            <w:r>
              <w:rPr>
                <w:rFonts w:hint="eastAsia" w:ascii="宋体" w:hAnsi="宋体"/>
                <w:sz w:val="24"/>
              </w:rPr>
              <w:t>考核</w:t>
            </w:r>
          </w:p>
          <w:p>
            <w:pPr>
              <w:jc w:val="center"/>
              <w:rPr>
                <w:rFonts w:ascii="宋体" w:hAnsi="宋体"/>
                <w:sz w:val="24"/>
              </w:rPr>
            </w:pPr>
            <w:r>
              <w:rPr>
                <w:rFonts w:hint="eastAsia" w:ascii="宋体" w:hAnsi="宋体"/>
                <w:sz w:val="24"/>
              </w:rPr>
              <w:t>项目</w:t>
            </w:r>
          </w:p>
        </w:tc>
        <w:tc>
          <w:tcPr>
            <w:tcW w:w="2251" w:type="dxa"/>
            <w:noWrap/>
            <w:vAlign w:val="center"/>
          </w:tcPr>
          <w:p>
            <w:pPr>
              <w:jc w:val="center"/>
              <w:rPr>
                <w:rFonts w:ascii="宋体" w:hAnsi="宋体"/>
                <w:sz w:val="24"/>
              </w:rPr>
            </w:pPr>
            <w:r>
              <w:rPr>
                <w:rFonts w:hint="eastAsia" w:ascii="宋体" w:hAnsi="宋体"/>
                <w:sz w:val="24"/>
              </w:rPr>
              <w:t>考核内容</w:t>
            </w:r>
          </w:p>
        </w:tc>
        <w:tc>
          <w:tcPr>
            <w:tcW w:w="3579" w:type="dxa"/>
            <w:noWrap/>
            <w:vAlign w:val="center"/>
          </w:tcPr>
          <w:p>
            <w:pPr>
              <w:jc w:val="center"/>
              <w:rPr>
                <w:rFonts w:ascii="宋体" w:hAnsi="宋体"/>
                <w:sz w:val="24"/>
              </w:rPr>
            </w:pPr>
            <w:r>
              <w:rPr>
                <w:rFonts w:hint="eastAsia" w:ascii="宋体" w:hAnsi="宋体"/>
                <w:sz w:val="24"/>
              </w:rPr>
              <w:t>考核标准</w:t>
            </w:r>
          </w:p>
        </w:tc>
        <w:tc>
          <w:tcPr>
            <w:tcW w:w="504" w:type="dxa"/>
            <w:noWrap/>
            <w:vAlign w:val="center"/>
          </w:tcPr>
          <w:p>
            <w:pPr>
              <w:jc w:val="center"/>
              <w:rPr>
                <w:rFonts w:ascii="宋体" w:hAnsi="宋体"/>
                <w:sz w:val="24"/>
              </w:rPr>
            </w:pPr>
            <w:r>
              <w:rPr>
                <w:rFonts w:hint="eastAsia" w:ascii="宋体" w:hAnsi="宋体"/>
                <w:sz w:val="24"/>
              </w:rPr>
              <w:t>满分</w:t>
            </w:r>
          </w:p>
        </w:tc>
        <w:tc>
          <w:tcPr>
            <w:tcW w:w="536" w:type="dxa"/>
            <w:noWrap/>
            <w:vAlign w:val="center"/>
          </w:tcPr>
          <w:p>
            <w:pPr>
              <w:jc w:val="center"/>
              <w:rPr>
                <w:rFonts w:ascii="宋体" w:hAnsi="宋体"/>
                <w:sz w:val="24"/>
              </w:rPr>
            </w:pPr>
            <w:r>
              <w:rPr>
                <w:rFonts w:hint="eastAsia" w:ascii="宋体" w:hAnsi="宋体"/>
                <w:sz w:val="24"/>
              </w:rPr>
              <w:t>扣分</w:t>
            </w:r>
          </w:p>
        </w:tc>
        <w:tc>
          <w:tcPr>
            <w:tcW w:w="535" w:type="dxa"/>
            <w:noWrap/>
            <w:vAlign w:val="center"/>
          </w:tcPr>
          <w:p>
            <w:pPr>
              <w:jc w:val="center"/>
              <w:rPr>
                <w:rFonts w:ascii="宋体" w:hAnsi="宋体"/>
                <w:sz w:val="24"/>
              </w:rPr>
            </w:pPr>
            <w:r>
              <w:rPr>
                <w:rFonts w:hint="eastAsia" w:ascii="宋体" w:hAnsi="宋体"/>
                <w:sz w:val="24"/>
              </w:rPr>
              <w:t>得分</w:t>
            </w:r>
          </w:p>
        </w:tc>
        <w:tc>
          <w:tcPr>
            <w:tcW w:w="1338" w:type="dxa"/>
            <w:noWrap/>
            <w:vAlign w:val="center"/>
          </w:tcPr>
          <w:p>
            <w:pPr>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554" w:type="dxa"/>
            <w:noWrap/>
            <w:vAlign w:val="center"/>
          </w:tcPr>
          <w:p>
            <w:pPr>
              <w:jc w:val="center"/>
              <w:rPr>
                <w:rFonts w:ascii="宋体" w:hAnsi="宋体"/>
                <w:sz w:val="24"/>
              </w:rPr>
            </w:pPr>
            <w:r>
              <w:rPr>
                <w:rFonts w:ascii="宋体" w:hAnsi="宋体"/>
                <w:sz w:val="24"/>
              </w:rPr>
              <w:t>1</w:t>
            </w:r>
          </w:p>
        </w:tc>
        <w:tc>
          <w:tcPr>
            <w:tcW w:w="939" w:type="dxa"/>
            <w:noWrap/>
            <w:vAlign w:val="center"/>
          </w:tcPr>
          <w:p>
            <w:pPr>
              <w:ind w:left="-105" w:leftChars="-50" w:right="-105" w:rightChars="-50"/>
              <w:rPr>
                <w:rFonts w:ascii="宋体" w:hAnsi="宋体"/>
                <w:sz w:val="24"/>
              </w:rPr>
            </w:pPr>
            <w:r>
              <w:rPr>
                <w:rFonts w:hint="eastAsia" w:ascii="宋体" w:hAnsi="宋体"/>
                <w:sz w:val="24"/>
              </w:rPr>
              <w:t>修复率</w:t>
            </w:r>
          </w:p>
        </w:tc>
        <w:tc>
          <w:tcPr>
            <w:tcW w:w="2251" w:type="dxa"/>
            <w:noWrap/>
            <w:vAlign w:val="center"/>
          </w:tcPr>
          <w:p>
            <w:pPr>
              <w:rPr>
                <w:rFonts w:ascii="宋体" w:hAnsi="宋体"/>
                <w:sz w:val="24"/>
              </w:rPr>
            </w:pPr>
            <w:r>
              <w:rPr>
                <w:rFonts w:hint="eastAsia" w:ascii="宋体" w:hAnsi="宋体"/>
                <w:sz w:val="24"/>
              </w:rPr>
              <w:t>维修质量与效率</w:t>
            </w:r>
          </w:p>
        </w:tc>
        <w:tc>
          <w:tcPr>
            <w:tcW w:w="3579" w:type="dxa"/>
            <w:noWrap/>
            <w:vAlign w:val="center"/>
          </w:tcPr>
          <w:p>
            <w:pPr>
              <w:rPr>
                <w:rFonts w:ascii="宋体" w:hAnsi="宋体"/>
                <w:sz w:val="24"/>
              </w:rPr>
            </w:pPr>
            <w:r>
              <w:rPr>
                <w:rFonts w:ascii="宋体" w:hAnsi="宋体"/>
                <w:sz w:val="24"/>
              </w:rPr>
              <w:t>项目负责人未做好施工质量、进度</w:t>
            </w:r>
            <w:r>
              <w:rPr>
                <w:rFonts w:hint="eastAsia" w:ascii="宋体" w:hAnsi="宋体"/>
                <w:sz w:val="24"/>
              </w:rPr>
              <w:t>、</w:t>
            </w:r>
            <w:r>
              <w:rPr>
                <w:rFonts w:ascii="宋体" w:hAnsi="宋体"/>
                <w:sz w:val="24"/>
              </w:rPr>
              <w:t>安全文明施工安排，</w:t>
            </w:r>
            <w:r>
              <w:rPr>
                <w:rFonts w:hint="eastAsia" w:ascii="宋体" w:hAnsi="宋体"/>
                <w:sz w:val="24"/>
              </w:rPr>
              <w:t>每项每次扣1分</w:t>
            </w:r>
            <w:r>
              <w:rPr>
                <w:rFonts w:ascii="宋体" w:hAnsi="宋体"/>
                <w:sz w:val="24"/>
              </w:rPr>
              <w:t>;</w:t>
            </w:r>
          </w:p>
          <w:p>
            <w:pPr>
              <w:rPr>
                <w:rFonts w:ascii="宋体" w:hAnsi="宋体"/>
                <w:sz w:val="24"/>
              </w:rPr>
            </w:pPr>
            <w:r>
              <w:rPr>
                <w:rFonts w:ascii="宋体" w:hAnsi="宋体"/>
                <w:sz w:val="24"/>
              </w:rPr>
              <w:t>选用的材料不合格或擅自</w:t>
            </w:r>
            <w:r>
              <w:rPr>
                <w:rFonts w:hint="eastAsia" w:ascii="宋体" w:hAnsi="宋体"/>
                <w:sz w:val="24"/>
              </w:rPr>
              <w:t>更</w:t>
            </w:r>
            <w:r>
              <w:rPr>
                <w:rFonts w:ascii="宋体" w:hAnsi="宋体"/>
                <w:sz w:val="24"/>
              </w:rPr>
              <w:t>换取代，</w:t>
            </w:r>
            <w:r>
              <w:rPr>
                <w:rFonts w:hint="eastAsia" w:ascii="宋体" w:hAnsi="宋体"/>
                <w:sz w:val="24"/>
              </w:rPr>
              <w:t>每次</w:t>
            </w:r>
            <w:r>
              <w:rPr>
                <w:rFonts w:ascii="宋体" w:hAnsi="宋体"/>
                <w:sz w:val="24"/>
              </w:rPr>
              <w:t>扣3分；</w:t>
            </w:r>
          </w:p>
        </w:tc>
        <w:tc>
          <w:tcPr>
            <w:tcW w:w="504" w:type="dxa"/>
            <w:noWrap/>
            <w:vAlign w:val="center"/>
          </w:tcPr>
          <w:p>
            <w:pPr>
              <w:jc w:val="center"/>
              <w:rPr>
                <w:rFonts w:ascii="宋体" w:hAnsi="宋体"/>
                <w:sz w:val="24"/>
              </w:rPr>
            </w:pPr>
            <w:r>
              <w:rPr>
                <w:rFonts w:ascii="宋体" w:hAnsi="宋体"/>
                <w:sz w:val="24"/>
              </w:rPr>
              <w:t>2</w:t>
            </w:r>
            <w:r>
              <w:rPr>
                <w:rFonts w:hint="eastAsia" w:ascii="宋体" w:hAnsi="宋体"/>
                <w:sz w:val="24"/>
              </w:rPr>
              <w:t>5</w:t>
            </w:r>
          </w:p>
        </w:tc>
        <w:tc>
          <w:tcPr>
            <w:tcW w:w="536" w:type="dxa"/>
            <w:noWrap/>
            <w:vAlign w:val="center"/>
          </w:tcPr>
          <w:p>
            <w:pPr>
              <w:jc w:val="center"/>
              <w:rPr>
                <w:rFonts w:ascii="宋体" w:hAnsi="宋体"/>
                <w:sz w:val="24"/>
              </w:rPr>
            </w:pPr>
          </w:p>
        </w:tc>
        <w:tc>
          <w:tcPr>
            <w:tcW w:w="535" w:type="dxa"/>
            <w:noWrap/>
            <w:vAlign w:val="center"/>
          </w:tcPr>
          <w:p>
            <w:pPr>
              <w:jc w:val="center"/>
              <w:rPr>
                <w:rFonts w:ascii="宋体" w:hAnsi="宋体"/>
                <w:sz w:val="24"/>
              </w:rPr>
            </w:pPr>
          </w:p>
        </w:tc>
        <w:tc>
          <w:tcPr>
            <w:tcW w:w="1338" w:type="dxa"/>
            <w:noWrap/>
            <w:vAlign w:val="center"/>
          </w:tcPr>
          <w:p>
            <w:pPr>
              <w:jc w:val="center"/>
              <w:rPr>
                <w:rFonts w:ascii="宋体" w:hAnsi="宋体"/>
                <w:sz w:val="24"/>
              </w:rPr>
            </w:pPr>
            <w:r>
              <w:rPr>
                <w:rFonts w:hint="eastAsia" w:ascii="宋体" w:hAnsi="宋体"/>
                <w:sz w:val="24"/>
              </w:rPr>
              <w:t>以现场监理签证为准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jc w:val="center"/>
        </w:trPr>
        <w:tc>
          <w:tcPr>
            <w:tcW w:w="554" w:type="dxa"/>
            <w:noWrap/>
            <w:vAlign w:val="center"/>
          </w:tcPr>
          <w:p>
            <w:pPr>
              <w:jc w:val="center"/>
              <w:rPr>
                <w:rFonts w:ascii="宋体" w:hAnsi="宋体"/>
                <w:sz w:val="24"/>
              </w:rPr>
            </w:pPr>
            <w:r>
              <w:rPr>
                <w:rFonts w:ascii="宋体" w:hAnsi="宋体"/>
                <w:sz w:val="24"/>
              </w:rPr>
              <w:t>2</w:t>
            </w:r>
          </w:p>
        </w:tc>
        <w:tc>
          <w:tcPr>
            <w:tcW w:w="939" w:type="dxa"/>
            <w:noWrap/>
            <w:vAlign w:val="center"/>
          </w:tcPr>
          <w:p>
            <w:pPr>
              <w:ind w:left="-105" w:leftChars="-50" w:right="-105" w:rightChars="-50"/>
              <w:rPr>
                <w:rFonts w:ascii="宋体" w:hAnsi="宋体"/>
                <w:sz w:val="24"/>
              </w:rPr>
            </w:pPr>
            <w:r>
              <w:rPr>
                <w:rFonts w:hint="eastAsia" w:ascii="宋体" w:hAnsi="宋体"/>
                <w:sz w:val="24"/>
              </w:rPr>
              <w:t>返修率</w:t>
            </w:r>
          </w:p>
        </w:tc>
        <w:tc>
          <w:tcPr>
            <w:tcW w:w="2251" w:type="dxa"/>
            <w:noWrap/>
            <w:vAlign w:val="center"/>
          </w:tcPr>
          <w:p>
            <w:pPr>
              <w:rPr>
                <w:rFonts w:ascii="宋体" w:hAnsi="宋体"/>
                <w:sz w:val="24"/>
              </w:rPr>
            </w:pPr>
            <w:r>
              <w:rPr>
                <w:rFonts w:hint="eastAsia" w:ascii="宋体" w:hAnsi="宋体"/>
                <w:sz w:val="24"/>
              </w:rPr>
              <w:t>质保期内返修</w:t>
            </w:r>
          </w:p>
        </w:tc>
        <w:tc>
          <w:tcPr>
            <w:tcW w:w="3579" w:type="dxa"/>
            <w:noWrap/>
            <w:vAlign w:val="center"/>
          </w:tcPr>
          <w:p>
            <w:pPr>
              <w:rPr>
                <w:rFonts w:ascii="宋体" w:hAnsi="宋体"/>
                <w:sz w:val="24"/>
              </w:rPr>
            </w:pPr>
            <w:r>
              <w:rPr>
                <w:rFonts w:hint="eastAsia" w:ascii="宋体" w:hAnsi="宋体"/>
                <w:sz w:val="24"/>
              </w:rPr>
              <w:t>同一单体工程返修第1次的扣1分；第2次扣3分、第3次5分；累计扣分</w:t>
            </w:r>
          </w:p>
        </w:tc>
        <w:tc>
          <w:tcPr>
            <w:tcW w:w="504" w:type="dxa"/>
            <w:noWrap/>
            <w:vAlign w:val="center"/>
          </w:tcPr>
          <w:p>
            <w:pPr>
              <w:jc w:val="center"/>
              <w:rPr>
                <w:rFonts w:ascii="宋体" w:hAnsi="宋体"/>
                <w:sz w:val="24"/>
              </w:rPr>
            </w:pPr>
            <w:r>
              <w:rPr>
                <w:rFonts w:hint="eastAsia" w:ascii="宋体" w:hAnsi="宋体"/>
                <w:sz w:val="24"/>
              </w:rPr>
              <w:t>10</w:t>
            </w:r>
          </w:p>
        </w:tc>
        <w:tc>
          <w:tcPr>
            <w:tcW w:w="536" w:type="dxa"/>
            <w:noWrap/>
            <w:vAlign w:val="center"/>
          </w:tcPr>
          <w:p>
            <w:pPr>
              <w:jc w:val="center"/>
              <w:rPr>
                <w:rFonts w:ascii="宋体" w:hAnsi="宋体"/>
                <w:sz w:val="24"/>
              </w:rPr>
            </w:pPr>
          </w:p>
        </w:tc>
        <w:tc>
          <w:tcPr>
            <w:tcW w:w="535" w:type="dxa"/>
            <w:noWrap/>
            <w:vAlign w:val="center"/>
          </w:tcPr>
          <w:p>
            <w:pPr>
              <w:jc w:val="center"/>
              <w:rPr>
                <w:rFonts w:ascii="宋体" w:hAnsi="宋体"/>
                <w:sz w:val="24"/>
              </w:rPr>
            </w:pPr>
          </w:p>
        </w:tc>
        <w:tc>
          <w:tcPr>
            <w:tcW w:w="1338" w:type="dxa"/>
            <w:noWrap/>
            <w:vAlign w:val="center"/>
          </w:tcPr>
          <w:p>
            <w:pPr>
              <w:jc w:val="center"/>
              <w:rPr>
                <w:rFonts w:ascii="宋体" w:hAnsi="宋体"/>
                <w:sz w:val="24"/>
              </w:rPr>
            </w:pPr>
            <w:r>
              <w:rPr>
                <w:rFonts w:hint="eastAsia" w:ascii="宋体" w:hAnsi="宋体"/>
                <w:sz w:val="24"/>
              </w:rPr>
              <w:t>城建办打分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554" w:type="dxa"/>
            <w:noWrap/>
            <w:vAlign w:val="center"/>
          </w:tcPr>
          <w:p>
            <w:pPr>
              <w:jc w:val="center"/>
              <w:rPr>
                <w:rFonts w:ascii="宋体" w:hAnsi="宋体"/>
                <w:sz w:val="24"/>
              </w:rPr>
            </w:pPr>
            <w:r>
              <w:rPr>
                <w:rFonts w:ascii="宋体" w:hAnsi="宋体"/>
                <w:sz w:val="24"/>
              </w:rPr>
              <w:t>3</w:t>
            </w:r>
          </w:p>
        </w:tc>
        <w:tc>
          <w:tcPr>
            <w:tcW w:w="939" w:type="dxa"/>
            <w:noWrap/>
            <w:vAlign w:val="center"/>
          </w:tcPr>
          <w:p>
            <w:pPr>
              <w:ind w:left="-105" w:leftChars="-50" w:right="-105" w:rightChars="-50"/>
              <w:jc w:val="left"/>
              <w:rPr>
                <w:rFonts w:ascii="宋体" w:hAnsi="宋体"/>
                <w:sz w:val="24"/>
              </w:rPr>
            </w:pPr>
            <w:r>
              <w:rPr>
                <w:rFonts w:hint="eastAsia" w:ascii="宋体" w:hAnsi="宋体"/>
                <w:sz w:val="24"/>
              </w:rPr>
              <w:t>老百姓满意率</w:t>
            </w:r>
          </w:p>
        </w:tc>
        <w:tc>
          <w:tcPr>
            <w:tcW w:w="2251" w:type="dxa"/>
            <w:noWrap/>
            <w:vAlign w:val="center"/>
          </w:tcPr>
          <w:p>
            <w:pPr>
              <w:rPr>
                <w:rFonts w:ascii="宋体" w:hAnsi="宋体"/>
                <w:sz w:val="24"/>
              </w:rPr>
            </w:pPr>
            <w:r>
              <w:rPr>
                <w:rFonts w:hint="eastAsia" w:ascii="宋体" w:hAnsi="宋体"/>
                <w:sz w:val="24"/>
              </w:rPr>
              <w:t>使用单位满意度考核</w:t>
            </w:r>
          </w:p>
        </w:tc>
        <w:tc>
          <w:tcPr>
            <w:tcW w:w="3579" w:type="dxa"/>
            <w:noWrap/>
            <w:vAlign w:val="center"/>
          </w:tcPr>
          <w:p>
            <w:pPr>
              <w:rPr>
                <w:rFonts w:ascii="宋体" w:hAnsi="宋体"/>
                <w:sz w:val="24"/>
              </w:rPr>
            </w:pPr>
            <w:r>
              <w:rPr>
                <w:rFonts w:hint="eastAsia" w:ascii="宋体" w:hAnsi="宋体"/>
                <w:sz w:val="24"/>
              </w:rPr>
              <w:t>满意度100%的得15分；每降低1%扣0.2分。扣完为止。</w:t>
            </w:r>
          </w:p>
          <w:p>
            <w:pPr>
              <w:rPr>
                <w:rFonts w:ascii="宋体" w:hAnsi="宋体"/>
                <w:sz w:val="24"/>
              </w:rPr>
            </w:pPr>
            <w:r>
              <w:rPr>
                <w:rFonts w:hint="eastAsia" w:ascii="宋体" w:hAnsi="宋体"/>
                <w:sz w:val="24"/>
              </w:rPr>
              <w:t>满意度70%以下的，招标人有权解除合同。</w:t>
            </w:r>
          </w:p>
        </w:tc>
        <w:tc>
          <w:tcPr>
            <w:tcW w:w="504" w:type="dxa"/>
            <w:noWrap/>
            <w:vAlign w:val="center"/>
          </w:tcPr>
          <w:p>
            <w:pPr>
              <w:jc w:val="center"/>
              <w:rPr>
                <w:rFonts w:ascii="宋体" w:hAnsi="宋体"/>
                <w:sz w:val="24"/>
              </w:rPr>
            </w:pPr>
            <w:r>
              <w:rPr>
                <w:rFonts w:ascii="宋体" w:hAnsi="宋体"/>
                <w:sz w:val="24"/>
              </w:rPr>
              <w:t>1</w:t>
            </w:r>
            <w:r>
              <w:rPr>
                <w:rFonts w:hint="eastAsia" w:ascii="宋体" w:hAnsi="宋体"/>
                <w:sz w:val="24"/>
              </w:rPr>
              <w:t>5</w:t>
            </w:r>
          </w:p>
        </w:tc>
        <w:tc>
          <w:tcPr>
            <w:tcW w:w="536" w:type="dxa"/>
            <w:noWrap/>
            <w:vAlign w:val="center"/>
          </w:tcPr>
          <w:p>
            <w:pPr>
              <w:jc w:val="center"/>
              <w:rPr>
                <w:rFonts w:ascii="宋体" w:hAnsi="宋体"/>
                <w:sz w:val="24"/>
              </w:rPr>
            </w:pPr>
          </w:p>
        </w:tc>
        <w:tc>
          <w:tcPr>
            <w:tcW w:w="535" w:type="dxa"/>
            <w:noWrap/>
            <w:vAlign w:val="center"/>
          </w:tcPr>
          <w:p>
            <w:pPr>
              <w:jc w:val="center"/>
              <w:rPr>
                <w:rFonts w:ascii="宋体" w:hAnsi="宋体"/>
                <w:sz w:val="24"/>
              </w:rPr>
            </w:pPr>
          </w:p>
        </w:tc>
        <w:tc>
          <w:tcPr>
            <w:tcW w:w="1338" w:type="dxa"/>
            <w:noWrap/>
            <w:vAlign w:val="center"/>
          </w:tcPr>
          <w:p>
            <w:pPr>
              <w:rPr>
                <w:rFonts w:ascii="宋体" w:hAnsi="宋体"/>
                <w:color w:val="FF0000"/>
                <w:sz w:val="24"/>
              </w:rPr>
            </w:pPr>
            <w:r>
              <w:rPr>
                <w:rFonts w:hint="eastAsia" w:ascii="宋体" w:hAnsi="宋体"/>
                <w:sz w:val="24"/>
              </w:rPr>
              <w:t>涉及农户的，由户主打分、公共设施部分，由居委会、物业或城建办打分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554" w:type="dxa"/>
            <w:noWrap/>
            <w:vAlign w:val="center"/>
          </w:tcPr>
          <w:p>
            <w:pPr>
              <w:jc w:val="center"/>
              <w:rPr>
                <w:rFonts w:ascii="宋体" w:hAnsi="宋体"/>
                <w:sz w:val="24"/>
              </w:rPr>
            </w:pPr>
            <w:r>
              <w:rPr>
                <w:rFonts w:ascii="宋体" w:hAnsi="宋体"/>
                <w:sz w:val="24"/>
              </w:rPr>
              <w:t>4</w:t>
            </w:r>
          </w:p>
        </w:tc>
        <w:tc>
          <w:tcPr>
            <w:tcW w:w="939" w:type="dxa"/>
            <w:noWrap/>
            <w:vAlign w:val="center"/>
          </w:tcPr>
          <w:p>
            <w:pPr>
              <w:jc w:val="center"/>
              <w:rPr>
                <w:rFonts w:ascii="宋体" w:hAnsi="宋体"/>
                <w:sz w:val="24"/>
              </w:rPr>
            </w:pPr>
            <w:r>
              <w:rPr>
                <w:rFonts w:hint="eastAsia" w:ascii="宋体" w:hAnsi="宋体"/>
                <w:sz w:val="24"/>
              </w:rPr>
              <w:t>应急事件处理</w:t>
            </w:r>
          </w:p>
        </w:tc>
        <w:tc>
          <w:tcPr>
            <w:tcW w:w="2251" w:type="dxa"/>
            <w:noWrap/>
            <w:vAlign w:val="center"/>
          </w:tcPr>
          <w:p>
            <w:pPr>
              <w:jc w:val="left"/>
              <w:rPr>
                <w:rFonts w:ascii="宋体" w:hAnsi="宋体"/>
                <w:sz w:val="24"/>
              </w:rPr>
            </w:pPr>
            <w:r>
              <w:rPr>
                <w:rFonts w:hint="eastAsia" w:ascii="宋体" w:hAnsi="宋体"/>
                <w:sz w:val="24"/>
              </w:rPr>
              <w:t>建立各类应急预案，加强重点区域安全保障措施，及时处理各类突发事件。</w:t>
            </w:r>
          </w:p>
        </w:tc>
        <w:tc>
          <w:tcPr>
            <w:tcW w:w="3579" w:type="dxa"/>
            <w:noWrap/>
            <w:vAlign w:val="center"/>
          </w:tcPr>
          <w:p>
            <w:pPr>
              <w:jc w:val="left"/>
              <w:rPr>
                <w:rFonts w:ascii="宋体" w:hAnsi="宋体"/>
                <w:sz w:val="24"/>
              </w:rPr>
            </w:pPr>
            <w:r>
              <w:rPr>
                <w:rFonts w:hint="eastAsia" w:ascii="宋体" w:hAnsi="宋体"/>
                <w:sz w:val="24"/>
              </w:rPr>
              <w:t>未建立预案，扣</w:t>
            </w:r>
            <w:r>
              <w:rPr>
                <w:rFonts w:ascii="宋体" w:hAnsi="宋体"/>
                <w:sz w:val="24"/>
              </w:rPr>
              <w:t>1</w:t>
            </w:r>
            <w:r>
              <w:rPr>
                <w:rFonts w:hint="eastAsia" w:ascii="宋体" w:hAnsi="宋体"/>
                <w:sz w:val="24"/>
              </w:rPr>
              <w:t>分；无安全保障措施，每处扣</w:t>
            </w:r>
            <w:r>
              <w:rPr>
                <w:rFonts w:ascii="宋体" w:hAnsi="宋体"/>
                <w:sz w:val="24"/>
              </w:rPr>
              <w:t>0.5</w:t>
            </w:r>
            <w:r>
              <w:rPr>
                <w:rFonts w:hint="eastAsia" w:ascii="宋体" w:hAnsi="宋体"/>
                <w:sz w:val="24"/>
              </w:rPr>
              <w:t>分；应急事件未处理，出现一次扣</w:t>
            </w:r>
            <w:r>
              <w:rPr>
                <w:rFonts w:ascii="宋体" w:hAnsi="宋体"/>
                <w:sz w:val="24"/>
              </w:rPr>
              <w:t>3</w:t>
            </w:r>
            <w:r>
              <w:rPr>
                <w:rFonts w:hint="eastAsia" w:ascii="宋体" w:hAnsi="宋体"/>
                <w:sz w:val="24"/>
              </w:rPr>
              <w:t>分；应急事件未向湖东街道报告，一次扣1分，直至扣完该项分。</w:t>
            </w:r>
          </w:p>
        </w:tc>
        <w:tc>
          <w:tcPr>
            <w:tcW w:w="504" w:type="dxa"/>
            <w:noWrap/>
            <w:vAlign w:val="center"/>
          </w:tcPr>
          <w:p>
            <w:pPr>
              <w:jc w:val="center"/>
              <w:rPr>
                <w:rFonts w:ascii="宋体" w:hAnsi="宋体"/>
                <w:sz w:val="24"/>
              </w:rPr>
            </w:pPr>
            <w:r>
              <w:rPr>
                <w:rFonts w:ascii="宋体" w:hAnsi="宋体"/>
                <w:sz w:val="24"/>
              </w:rPr>
              <w:t>10</w:t>
            </w:r>
          </w:p>
        </w:tc>
        <w:tc>
          <w:tcPr>
            <w:tcW w:w="536" w:type="dxa"/>
            <w:noWrap/>
            <w:vAlign w:val="center"/>
          </w:tcPr>
          <w:p>
            <w:pPr>
              <w:jc w:val="center"/>
              <w:rPr>
                <w:rFonts w:ascii="宋体" w:hAnsi="宋体"/>
                <w:sz w:val="24"/>
              </w:rPr>
            </w:pPr>
          </w:p>
        </w:tc>
        <w:tc>
          <w:tcPr>
            <w:tcW w:w="535" w:type="dxa"/>
            <w:noWrap/>
            <w:vAlign w:val="center"/>
          </w:tcPr>
          <w:p>
            <w:pPr>
              <w:jc w:val="center"/>
              <w:rPr>
                <w:rFonts w:ascii="宋体" w:hAnsi="宋体"/>
                <w:sz w:val="24"/>
              </w:rPr>
            </w:pPr>
          </w:p>
        </w:tc>
        <w:tc>
          <w:tcPr>
            <w:tcW w:w="1338" w:type="dxa"/>
            <w:noWrap/>
          </w:tcPr>
          <w:p>
            <w:pPr>
              <w:rPr>
                <w:sz w:val="24"/>
              </w:rPr>
            </w:pPr>
            <w:r>
              <w:rPr>
                <w:rFonts w:hint="eastAsia" w:ascii="宋体" w:hAnsi="宋体"/>
                <w:sz w:val="24"/>
              </w:rPr>
              <w:t>城建办打分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554" w:type="dxa"/>
            <w:noWrap/>
            <w:vAlign w:val="center"/>
          </w:tcPr>
          <w:p>
            <w:pPr>
              <w:jc w:val="center"/>
              <w:rPr>
                <w:rFonts w:ascii="宋体" w:hAnsi="宋体"/>
                <w:sz w:val="24"/>
              </w:rPr>
            </w:pPr>
            <w:r>
              <w:rPr>
                <w:rFonts w:ascii="宋体" w:hAnsi="宋体"/>
                <w:sz w:val="24"/>
              </w:rPr>
              <w:t>5</w:t>
            </w:r>
          </w:p>
        </w:tc>
        <w:tc>
          <w:tcPr>
            <w:tcW w:w="939" w:type="dxa"/>
            <w:noWrap/>
            <w:vAlign w:val="center"/>
          </w:tcPr>
          <w:p>
            <w:pPr>
              <w:jc w:val="center"/>
              <w:rPr>
                <w:rFonts w:ascii="宋体" w:hAnsi="宋体"/>
                <w:sz w:val="24"/>
              </w:rPr>
            </w:pPr>
            <w:r>
              <w:rPr>
                <w:rFonts w:hint="eastAsia" w:ascii="宋体" w:hAnsi="宋体"/>
                <w:sz w:val="24"/>
              </w:rPr>
              <w:t>各类投诉处理</w:t>
            </w:r>
          </w:p>
        </w:tc>
        <w:tc>
          <w:tcPr>
            <w:tcW w:w="2251" w:type="dxa"/>
            <w:noWrap/>
            <w:vAlign w:val="center"/>
          </w:tcPr>
          <w:p>
            <w:pPr>
              <w:rPr>
                <w:rFonts w:ascii="宋体" w:hAnsi="宋体"/>
                <w:sz w:val="24"/>
              </w:rPr>
            </w:pPr>
            <w:r>
              <w:rPr>
                <w:rFonts w:hint="eastAsia" w:ascii="宋体" w:hAnsi="宋体"/>
                <w:sz w:val="24"/>
              </w:rPr>
              <w:t>积极、妥善处理各类投诉，对存在问题不推诿扯皮，尽快落实解决。处理率</w:t>
            </w:r>
            <w:r>
              <w:rPr>
                <w:rFonts w:ascii="宋体" w:hAnsi="宋体"/>
                <w:sz w:val="24"/>
              </w:rPr>
              <w:t>100%</w:t>
            </w:r>
            <w:r>
              <w:rPr>
                <w:rFonts w:hint="eastAsia" w:ascii="宋体" w:hAnsi="宋体"/>
                <w:sz w:val="24"/>
              </w:rPr>
              <w:t>，记录详细规范。</w:t>
            </w:r>
          </w:p>
        </w:tc>
        <w:tc>
          <w:tcPr>
            <w:tcW w:w="3579" w:type="dxa"/>
            <w:noWrap/>
            <w:vAlign w:val="center"/>
          </w:tcPr>
          <w:p>
            <w:pPr>
              <w:rPr>
                <w:rFonts w:ascii="宋体" w:hAnsi="宋体"/>
                <w:sz w:val="24"/>
              </w:rPr>
            </w:pPr>
            <w:r>
              <w:rPr>
                <w:rFonts w:hint="eastAsia" w:ascii="宋体" w:hAnsi="宋体"/>
                <w:sz w:val="24"/>
              </w:rPr>
              <w:t>存在问题尽快落实解决，处理率达</w:t>
            </w:r>
            <w:r>
              <w:rPr>
                <w:rFonts w:ascii="宋体" w:hAnsi="宋体"/>
                <w:sz w:val="24"/>
              </w:rPr>
              <w:t>100%</w:t>
            </w:r>
            <w:r>
              <w:rPr>
                <w:rFonts w:hint="eastAsia" w:ascii="宋体" w:hAnsi="宋体"/>
                <w:sz w:val="24"/>
              </w:rPr>
              <w:t>，推诿扯皮，每次扣</w:t>
            </w:r>
            <w:r>
              <w:rPr>
                <w:rFonts w:ascii="宋体" w:hAnsi="宋体"/>
                <w:sz w:val="24"/>
              </w:rPr>
              <w:t>0.5</w:t>
            </w:r>
            <w:r>
              <w:rPr>
                <w:rFonts w:hint="eastAsia" w:ascii="宋体" w:hAnsi="宋体"/>
                <w:sz w:val="24"/>
              </w:rPr>
              <w:t>分。处理率每下降</w:t>
            </w:r>
            <w:r>
              <w:rPr>
                <w:rFonts w:ascii="宋体" w:hAnsi="宋体"/>
                <w:sz w:val="24"/>
              </w:rPr>
              <w:t>1%</w:t>
            </w:r>
            <w:r>
              <w:rPr>
                <w:rFonts w:hint="eastAsia" w:ascii="宋体" w:hAnsi="宋体"/>
                <w:sz w:val="24"/>
              </w:rPr>
              <w:t>，扣</w:t>
            </w:r>
            <w:r>
              <w:rPr>
                <w:rFonts w:ascii="宋体" w:hAnsi="宋体"/>
                <w:sz w:val="24"/>
              </w:rPr>
              <w:t>0.5</w:t>
            </w:r>
            <w:r>
              <w:rPr>
                <w:rFonts w:hint="eastAsia" w:ascii="宋体" w:hAnsi="宋体"/>
                <w:sz w:val="24"/>
              </w:rPr>
              <w:t>分，直至扣完该项分。</w:t>
            </w:r>
          </w:p>
        </w:tc>
        <w:tc>
          <w:tcPr>
            <w:tcW w:w="504" w:type="dxa"/>
            <w:noWrap/>
            <w:vAlign w:val="center"/>
          </w:tcPr>
          <w:p>
            <w:pPr>
              <w:jc w:val="center"/>
              <w:rPr>
                <w:rFonts w:ascii="宋体" w:hAnsi="宋体"/>
                <w:sz w:val="24"/>
              </w:rPr>
            </w:pPr>
            <w:r>
              <w:rPr>
                <w:rFonts w:hint="eastAsia" w:ascii="宋体" w:hAnsi="宋体"/>
                <w:sz w:val="24"/>
              </w:rPr>
              <w:t>1</w:t>
            </w:r>
            <w:r>
              <w:rPr>
                <w:rFonts w:ascii="宋体" w:hAnsi="宋体"/>
                <w:sz w:val="24"/>
              </w:rPr>
              <w:t>0</w:t>
            </w:r>
          </w:p>
        </w:tc>
        <w:tc>
          <w:tcPr>
            <w:tcW w:w="536" w:type="dxa"/>
            <w:noWrap/>
            <w:vAlign w:val="center"/>
          </w:tcPr>
          <w:p>
            <w:pPr>
              <w:jc w:val="center"/>
              <w:rPr>
                <w:rFonts w:ascii="宋体" w:hAnsi="宋体"/>
                <w:sz w:val="24"/>
              </w:rPr>
            </w:pPr>
          </w:p>
        </w:tc>
        <w:tc>
          <w:tcPr>
            <w:tcW w:w="535" w:type="dxa"/>
            <w:noWrap/>
            <w:vAlign w:val="center"/>
          </w:tcPr>
          <w:p>
            <w:pPr>
              <w:jc w:val="center"/>
              <w:rPr>
                <w:rFonts w:ascii="宋体" w:hAnsi="宋体"/>
                <w:sz w:val="24"/>
              </w:rPr>
            </w:pPr>
          </w:p>
        </w:tc>
        <w:tc>
          <w:tcPr>
            <w:tcW w:w="1338" w:type="dxa"/>
            <w:noWrap/>
          </w:tcPr>
          <w:p>
            <w:pPr>
              <w:rPr>
                <w:sz w:val="24"/>
              </w:rPr>
            </w:pPr>
            <w:r>
              <w:rPr>
                <w:rFonts w:hint="eastAsia" w:ascii="宋体" w:hAnsi="宋体"/>
                <w:sz w:val="24"/>
              </w:rPr>
              <w:t>城建办打分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554" w:type="dxa"/>
            <w:noWrap/>
            <w:vAlign w:val="center"/>
          </w:tcPr>
          <w:p>
            <w:pPr>
              <w:jc w:val="center"/>
              <w:rPr>
                <w:rFonts w:ascii="宋体" w:hAnsi="宋体"/>
                <w:sz w:val="24"/>
              </w:rPr>
            </w:pPr>
            <w:r>
              <w:rPr>
                <w:rFonts w:ascii="宋体" w:hAnsi="宋体"/>
                <w:sz w:val="24"/>
              </w:rPr>
              <w:t>6</w:t>
            </w:r>
          </w:p>
        </w:tc>
        <w:tc>
          <w:tcPr>
            <w:tcW w:w="939" w:type="dxa"/>
            <w:noWrap/>
            <w:vAlign w:val="center"/>
          </w:tcPr>
          <w:p>
            <w:pPr>
              <w:jc w:val="center"/>
              <w:rPr>
                <w:rFonts w:ascii="宋体" w:hAnsi="宋体"/>
                <w:sz w:val="24"/>
              </w:rPr>
            </w:pPr>
            <w:r>
              <w:rPr>
                <w:rFonts w:hint="eastAsia" w:ascii="宋体" w:hAnsi="宋体"/>
                <w:sz w:val="24"/>
              </w:rPr>
              <w:t>重大活动配合</w:t>
            </w:r>
          </w:p>
        </w:tc>
        <w:tc>
          <w:tcPr>
            <w:tcW w:w="2251" w:type="dxa"/>
            <w:noWrap/>
            <w:vAlign w:val="center"/>
          </w:tcPr>
          <w:p>
            <w:pPr>
              <w:rPr>
                <w:rFonts w:ascii="宋体" w:hAnsi="宋体"/>
                <w:sz w:val="24"/>
              </w:rPr>
            </w:pPr>
            <w:r>
              <w:rPr>
                <w:rFonts w:hint="eastAsia" w:ascii="宋体" w:hAnsi="宋体"/>
                <w:sz w:val="24"/>
              </w:rPr>
              <w:t>重大事件配合好，交办任务能及时完成。</w:t>
            </w:r>
          </w:p>
        </w:tc>
        <w:tc>
          <w:tcPr>
            <w:tcW w:w="3579" w:type="dxa"/>
            <w:noWrap/>
            <w:vAlign w:val="center"/>
          </w:tcPr>
          <w:p>
            <w:pPr>
              <w:rPr>
                <w:rFonts w:ascii="宋体" w:hAnsi="宋体"/>
                <w:sz w:val="24"/>
              </w:rPr>
            </w:pPr>
            <w:r>
              <w:rPr>
                <w:rFonts w:hint="eastAsia" w:ascii="宋体" w:hAnsi="宋体"/>
                <w:sz w:val="24"/>
              </w:rPr>
              <w:t>发生有责事件，每次每项扣</w:t>
            </w:r>
            <w:r>
              <w:rPr>
                <w:rFonts w:ascii="宋体" w:hAnsi="宋体"/>
                <w:sz w:val="24"/>
              </w:rPr>
              <w:t>1</w:t>
            </w:r>
            <w:r>
              <w:rPr>
                <w:rFonts w:hint="eastAsia" w:ascii="宋体" w:hAnsi="宋体"/>
                <w:sz w:val="24"/>
              </w:rPr>
              <w:t>分，直至扣完该项分。</w:t>
            </w:r>
          </w:p>
        </w:tc>
        <w:tc>
          <w:tcPr>
            <w:tcW w:w="504" w:type="dxa"/>
            <w:noWrap/>
            <w:vAlign w:val="center"/>
          </w:tcPr>
          <w:p>
            <w:pPr>
              <w:jc w:val="center"/>
              <w:rPr>
                <w:rFonts w:ascii="宋体" w:hAnsi="宋体"/>
                <w:sz w:val="24"/>
              </w:rPr>
            </w:pPr>
            <w:r>
              <w:rPr>
                <w:rFonts w:hint="eastAsia" w:ascii="宋体" w:hAnsi="宋体"/>
                <w:sz w:val="24"/>
              </w:rPr>
              <w:t>10</w:t>
            </w:r>
          </w:p>
        </w:tc>
        <w:tc>
          <w:tcPr>
            <w:tcW w:w="536" w:type="dxa"/>
            <w:noWrap/>
            <w:vAlign w:val="center"/>
          </w:tcPr>
          <w:p>
            <w:pPr>
              <w:jc w:val="center"/>
              <w:rPr>
                <w:rFonts w:ascii="宋体" w:hAnsi="宋体"/>
                <w:sz w:val="24"/>
              </w:rPr>
            </w:pPr>
          </w:p>
        </w:tc>
        <w:tc>
          <w:tcPr>
            <w:tcW w:w="535" w:type="dxa"/>
            <w:noWrap/>
            <w:vAlign w:val="center"/>
          </w:tcPr>
          <w:p>
            <w:pPr>
              <w:jc w:val="center"/>
              <w:rPr>
                <w:rFonts w:ascii="宋体" w:hAnsi="宋体"/>
                <w:sz w:val="24"/>
              </w:rPr>
            </w:pPr>
          </w:p>
        </w:tc>
        <w:tc>
          <w:tcPr>
            <w:tcW w:w="1338" w:type="dxa"/>
            <w:noWrap/>
            <w:vAlign w:val="center"/>
          </w:tcPr>
          <w:p>
            <w:pPr>
              <w:jc w:val="center"/>
              <w:rPr>
                <w:rFonts w:ascii="宋体" w:hAnsi="宋体"/>
                <w:sz w:val="24"/>
              </w:rPr>
            </w:pPr>
            <w:r>
              <w:rPr>
                <w:rFonts w:hint="eastAsia" w:ascii="宋体" w:hAnsi="宋体"/>
                <w:sz w:val="24"/>
              </w:rPr>
              <w:t>城建办打分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554" w:type="dxa"/>
            <w:noWrap/>
            <w:vAlign w:val="center"/>
          </w:tcPr>
          <w:p>
            <w:pPr>
              <w:jc w:val="center"/>
              <w:rPr>
                <w:rFonts w:ascii="宋体" w:hAnsi="宋体"/>
                <w:sz w:val="24"/>
              </w:rPr>
            </w:pPr>
            <w:r>
              <w:rPr>
                <w:rFonts w:ascii="宋体" w:hAnsi="宋体"/>
                <w:sz w:val="24"/>
              </w:rPr>
              <w:t>7</w:t>
            </w:r>
          </w:p>
        </w:tc>
        <w:tc>
          <w:tcPr>
            <w:tcW w:w="939" w:type="dxa"/>
            <w:noWrap/>
            <w:vAlign w:val="center"/>
          </w:tcPr>
          <w:p>
            <w:pPr>
              <w:jc w:val="center"/>
              <w:rPr>
                <w:rFonts w:ascii="宋体" w:hAnsi="宋体"/>
                <w:sz w:val="24"/>
              </w:rPr>
            </w:pPr>
            <w:r>
              <w:rPr>
                <w:rFonts w:hint="eastAsia" w:ascii="宋体" w:hAnsi="宋体"/>
                <w:sz w:val="24"/>
              </w:rPr>
              <w:t>媒体舆论情况</w:t>
            </w:r>
          </w:p>
        </w:tc>
        <w:tc>
          <w:tcPr>
            <w:tcW w:w="2251" w:type="dxa"/>
            <w:noWrap/>
            <w:vAlign w:val="center"/>
          </w:tcPr>
          <w:p>
            <w:pPr>
              <w:rPr>
                <w:rFonts w:ascii="宋体" w:hAnsi="宋体"/>
                <w:sz w:val="24"/>
              </w:rPr>
            </w:pPr>
            <w:r>
              <w:rPr>
                <w:rFonts w:hint="eastAsia" w:ascii="宋体" w:hAnsi="宋体"/>
                <w:sz w:val="24"/>
              </w:rPr>
              <w:t>不发生有责媒体报道事件，不发生重大有责新闻曝光。</w:t>
            </w:r>
          </w:p>
        </w:tc>
        <w:tc>
          <w:tcPr>
            <w:tcW w:w="3579" w:type="dxa"/>
            <w:noWrap/>
            <w:vAlign w:val="center"/>
          </w:tcPr>
          <w:p>
            <w:pPr>
              <w:rPr>
                <w:rFonts w:ascii="宋体" w:hAnsi="宋体"/>
                <w:sz w:val="24"/>
              </w:rPr>
            </w:pPr>
            <w:r>
              <w:rPr>
                <w:rFonts w:hint="eastAsia" w:ascii="宋体" w:hAnsi="宋体"/>
                <w:sz w:val="24"/>
              </w:rPr>
              <w:t>发生有责媒体报道事件，每次扣</w:t>
            </w:r>
            <w:r>
              <w:rPr>
                <w:rFonts w:ascii="宋体" w:hAnsi="宋体"/>
                <w:sz w:val="24"/>
              </w:rPr>
              <w:t>0.5</w:t>
            </w:r>
            <w:r>
              <w:rPr>
                <w:rFonts w:hint="eastAsia" w:ascii="宋体" w:hAnsi="宋体"/>
                <w:sz w:val="24"/>
              </w:rPr>
              <w:t>分；发生重大有责新闻曝光事件每次扣</w:t>
            </w:r>
            <w:r>
              <w:rPr>
                <w:rFonts w:ascii="宋体" w:hAnsi="宋体"/>
                <w:sz w:val="24"/>
              </w:rPr>
              <w:t>2</w:t>
            </w:r>
            <w:r>
              <w:rPr>
                <w:rFonts w:hint="eastAsia" w:ascii="宋体" w:hAnsi="宋体"/>
                <w:sz w:val="24"/>
              </w:rPr>
              <w:t>分，直至扣完该项分。</w:t>
            </w:r>
          </w:p>
        </w:tc>
        <w:tc>
          <w:tcPr>
            <w:tcW w:w="504" w:type="dxa"/>
            <w:noWrap/>
            <w:vAlign w:val="center"/>
          </w:tcPr>
          <w:p>
            <w:pPr>
              <w:jc w:val="center"/>
              <w:rPr>
                <w:rFonts w:ascii="宋体" w:hAnsi="宋体"/>
                <w:sz w:val="24"/>
              </w:rPr>
            </w:pPr>
            <w:r>
              <w:rPr>
                <w:rFonts w:ascii="宋体" w:hAnsi="宋体"/>
                <w:sz w:val="24"/>
              </w:rPr>
              <w:t>10</w:t>
            </w:r>
          </w:p>
        </w:tc>
        <w:tc>
          <w:tcPr>
            <w:tcW w:w="536" w:type="dxa"/>
            <w:noWrap/>
            <w:vAlign w:val="center"/>
          </w:tcPr>
          <w:p>
            <w:pPr>
              <w:jc w:val="center"/>
              <w:rPr>
                <w:rFonts w:ascii="宋体" w:hAnsi="宋体"/>
                <w:sz w:val="24"/>
              </w:rPr>
            </w:pPr>
          </w:p>
        </w:tc>
        <w:tc>
          <w:tcPr>
            <w:tcW w:w="535" w:type="dxa"/>
            <w:noWrap/>
            <w:vAlign w:val="center"/>
          </w:tcPr>
          <w:p>
            <w:pPr>
              <w:jc w:val="center"/>
              <w:rPr>
                <w:rFonts w:ascii="宋体" w:hAnsi="宋体"/>
                <w:sz w:val="24"/>
              </w:rPr>
            </w:pPr>
          </w:p>
        </w:tc>
        <w:tc>
          <w:tcPr>
            <w:tcW w:w="1338" w:type="dxa"/>
            <w:noWrap/>
          </w:tcPr>
          <w:p>
            <w:pPr>
              <w:rPr>
                <w:sz w:val="24"/>
              </w:rPr>
            </w:pPr>
            <w:r>
              <w:rPr>
                <w:rFonts w:hint="eastAsia" w:ascii="宋体" w:hAnsi="宋体"/>
                <w:sz w:val="24"/>
              </w:rPr>
              <w:t>城建办打分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554" w:type="dxa"/>
            <w:noWrap/>
            <w:vAlign w:val="center"/>
          </w:tcPr>
          <w:p>
            <w:pPr>
              <w:jc w:val="center"/>
              <w:rPr>
                <w:rFonts w:ascii="宋体" w:hAnsi="宋体"/>
                <w:sz w:val="24"/>
              </w:rPr>
            </w:pPr>
            <w:r>
              <w:rPr>
                <w:rFonts w:hint="eastAsia" w:ascii="宋体" w:hAnsi="宋体"/>
                <w:sz w:val="24"/>
              </w:rPr>
              <w:t>8</w:t>
            </w:r>
          </w:p>
        </w:tc>
        <w:tc>
          <w:tcPr>
            <w:tcW w:w="939" w:type="dxa"/>
            <w:noWrap/>
            <w:vAlign w:val="center"/>
          </w:tcPr>
          <w:p>
            <w:pPr>
              <w:jc w:val="center"/>
              <w:rPr>
                <w:rFonts w:ascii="宋体" w:hAnsi="宋体"/>
                <w:sz w:val="24"/>
              </w:rPr>
            </w:pPr>
            <w:r>
              <w:rPr>
                <w:rFonts w:hint="eastAsia" w:ascii="宋体" w:hAnsi="宋体"/>
                <w:sz w:val="24"/>
              </w:rPr>
              <w:t>其他部门反映问题处理</w:t>
            </w:r>
          </w:p>
        </w:tc>
        <w:tc>
          <w:tcPr>
            <w:tcW w:w="2251" w:type="dxa"/>
            <w:noWrap/>
            <w:vAlign w:val="center"/>
          </w:tcPr>
          <w:p>
            <w:pPr>
              <w:rPr>
                <w:rFonts w:ascii="宋体" w:hAnsi="宋体"/>
                <w:sz w:val="24"/>
              </w:rPr>
            </w:pPr>
            <w:r>
              <w:rPr>
                <w:rFonts w:hint="eastAsia" w:ascii="宋体" w:hAnsi="宋体"/>
                <w:sz w:val="24"/>
              </w:rPr>
              <w:t>对其他部门反映问题按规定时间进行现场核实并回复、处置。</w:t>
            </w:r>
          </w:p>
        </w:tc>
        <w:tc>
          <w:tcPr>
            <w:tcW w:w="3579" w:type="dxa"/>
            <w:noWrap/>
            <w:vAlign w:val="center"/>
          </w:tcPr>
          <w:p>
            <w:pPr>
              <w:rPr>
                <w:rFonts w:ascii="宋体" w:hAnsi="宋体"/>
                <w:sz w:val="24"/>
              </w:rPr>
            </w:pPr>
            <w:r>
              <w:rPr>
                <w:rFonts w:hint="eastAsia" w:ascii="宋体" w:hAnsi="宋体"/>
                <w:sz w:val="24"/>
              </w:rPr>
              <w:t>对街道、社区、交警、城管、市长热线等部门反映问题</w:t>
            </w:r>
            <w:r>
              <w:rPr>
                <w:rFonts w:ascii="宋体" w:hAnsi="宋体"/>
                <w:sz w:val="24"/>
              </w:rPr>
              <w:t>100%</w:t>
            </w:r>
            <w:r>
              <w:rPr>
                <w:rFonts w:hint="eastAsia" w:ascii="宋体" w:hAnsi="宋体"/>
                <w:sz w:val="24"/>
              </w:rPr>
              <w:t>进行现场核实并按时回复、处理。每次扣2.5分，</w:t>
            </w:r>
          </w:p>
          <w:p>
            <w:pPr>
              <w:rPr>
                <w:rFonts w:ascii="宋体" w:hAnsi="宋体"/>
                <w:sz w:val="24"/>
              </w:rPr>
            </w:pPr>
            <w:r>
              <w:rPr>
                <w:rFonts w:hint="eastAsia" w:ascii="宋体" w:hAnsi="宋体"/>
                <w:sz w:val="24"/>
              </w:rPr>
              <w:t>直至扣完该项分。</w:t>
            </w:r>
          </w:p>
        </w:tc>
        <w:tc>
          <w:tcPr>
            <w:tcW w:w="504" w:type="dxa"/>
            <w:noWrap/>
            <w:vAlign w:val="center"/>
          </w:tcPr>
          <w:p>
            <w:pPr>
              <w:jc w:val="center"/>
              <w:rPr>
                <w:rFonts w:ascii="宋体" w:hAnsi="宋体"/>
                <w:sz w:val="24"/>
              </w:rPr>
            </w:pPr>
            <w:r>
              <w:rPr>
                <w:rFonts w:ascii="宋体" w:hAnsi="宋体"/>
                <w:sz w:val="24"/>
              </w:rPr>
              <w:t>10</w:t>
            </w:r>
          </w:p>
        </w:tc>
        <w:tc>
          <w:tcPr>
            <w:tcW w:w="536" w:type="dxa"/>
            <w:noWrap/>
            <w:vAlign w:val="center"/>
          </w:tcPr>
          <w:p>
            <w:pPr>
              <w:jc w:val="center"/>
              <w:rPr>
                <w:rFonts w:ascii="宋体" w:hAnsi="宋体"/>
                <w:sz w:val="24"/>
              </w:rPr>
            </w:pPr>
          </w:p>
        </w:tc>
        <w:tc>
          <w:tcPr>
            <w:tcW w:w="535" w:type="dxa"/>
            <w:noWrap/>
            <w:vAlign w:val="center"/>
          </w:tcPr>
          <w:p>
            <w:pPr>
              <w:jc w:val="center"/>
              <w:rPr>
                <w:rFonts w:ascii="宋体" w:hAnsi="宋体"/>
                <w:sz w:val="24"/>
              </w:rPr>
            </w:pPr>
          </w:p>
        </w:tc>
        <w:tc>
          <w:tcPr>
            <w:tcW w:w="1338" w:type="dxa"/>
            <w:noWrap/>
          </w:tcPr>
          <w:p>
            <w:pPr>
              <w:rPr>
                <w:sz w:val="24"/>
              </w:rPr>
            </w:pPr>
            <w:r>
              <w:rPr>
                <w:rFonts w:hint="eastAsia" w:ascii="宋体" w:hAnsi="宋体"/>
                <w:sz w:val="24"/>
              </w:rPr>
              <w:t>城建办打分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 w:hRule="atLeast"/>
          <w:jc w:val="center"/>
        </w:trPr>
        <w:tc>
          <w:tcPr>
            <w:tcW w:w="7323" w:type="dxa"/>
            <w:gridSpan w:val="4"/>
            <w:noWrap/>
            <w:vAlign w:val="center"/>
          </w:tcPr>
          <w:p>
            <w:pPr>
              <w:jc w:val="center"/>
              <w:rPr>
                <w:rFonts w:ascii="宋体" w:hAnsi="宋体"/>
                <w:sz w:val="24"/>
              </w:rPr>
            </w:pPr>
            <w:r>
              <w:rPr>
                <w:rFonts w:hint="eastAsia" w:ascii="宋体" w:hAnsi="宋体"/>
                <w:sz w:val="24"/>
              </w:rPr>
              <w:t>合计</w:t>
            </w:r>
          </w:p>
        </w:tc>
        <w:tc>
          <w:tcPr>
            <w:tcW w:w="504" w:type="dxa"/>
            <w:noWrap/>
            <w:vAlign w:val="center"/>
          </w:tcPr>
          <w:p>
            <w:pPr>
              <w:ind w:left="-105" w:leftChars="-50" w:right="-105" w:rightChars="-50"/>
              <w:jc w:val="center"/>
              <w:rPr>
                <w:rFonts w:ascii="宋体" w:hAnsi="宋体"/>
                <w:sz w:val="24"/>
              </w:rPr>
            </w:pPr>
            <w:r>
              <w:rPr>
                <w:rFonts w:ascii="宋体" w:hAnsi="宋体"/>
                <w:sz w:val="24"/>
              </w:rPr>
              <w:t>100</w:t>
            </w:r>
          </w:p>
        </w:tc>
        <w:tc>
          <w:tcPr>
            <w:tcW w:w="536" w:type="dxa"/>
            <w:noWrap/>
            <w:vAlign w:val="center"/>
          </w:tcPr>
          <w:p>
            <w:pPr>
              <w:jc w:val="center"/>
              <w:rPr>
                <w:rFonts w:ascii="宋体" w:hAnsi="宋体"/>
                <w:sz w:val="24"/>
              </w:rPr>
            </w:pPr>
          </w:p>
        </w:tc>
        <w:tc>
          <w:tcPr>
            <w:tcW w:w="535" w:type="dxa"/>
            <w:noWrap/>
            <w:vAlign w:val="center"/>
          </w:tcPr>
          <w:p>
            <w:pPr>
              <w:jc w:val="center"/>
              <w:rPr>
                <w:rFonts w:ascii="宋体" w:hAnsi="宋体"/>
                <w:sz w:val="24"/>
              </w:rPr>
            </w:pPr>
          </w:p>
        </w:tc>
        <w:tc>
          <w:tcPr>
            <w:tcW w:w="1338" w:type="dxa"/>
            <w:noWrap/>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0" w:hRule="atLeast"/>
          <w:jc w:val="center"/>
        </w:trPr>
        <w:tc>
          <w:tcPr>
            <w:tcW w:w="10236" w:type="dxa"/>
            <w:gridSpan w:val="8"/>
            <w:tcBorders>
              <w:left w:val="nil"/>
              <w:bottom w:val="nil"/>
              <w:right w:val="nil"/>
            </w:tcBorders>
            <w:noWrap/>
            <w:vAlign w:val="center"/>
          </w:tcPr>
          <w:p>
            <w:pPr>
              <w:rPr>
                <w:rFonts w:ascii="宋体" w:hAnsi="宋体"/>
                <w:sz w:val="24"/>
              </w:rPr>
            </w:pPr>
            <w:r>
              <w:rPr>
                <w:rFonts w:hint="eastAsia" w:ascii="宋体" w:hAnsi="宋体"/>
                <w:sz w:val="24"/>
              </w:rPr>
              <w:t>湖州市吴兴区人民政府湖东街道办事处：</w:t>
            </w:r>
          </w:p>
          <w:p>
            <w:pPr>
              <w:rPr>
                <w:rFonts w:ascii="宋体" w:hAnsi="宋体"/>
                <w:sz w:val="24"/>
              </w:rPr>
            </w:pPr>
            <w:r>
              <w:rPr>
                <w:rFonts w:hint="eastAsia" w:ascii="宋体" w:hAnsi="宋体"/>
                <w:sz w:val="24"/>
              </w:rPr>
              <w:t>监理单位：</w:t>
            </w:r>
          </w:p>
          <w:p>
            <w:pPr>
              <w:rPr>
                <w:rFonts w:ascii="宋体" w:hAnsi="宋体"/>
                <w:sz w:val="24"/>
              </w:rPr>
            </w:pPr>
            <w:r>
              <w:rPr>
                <w:rFonts w:hint="eastAsia" w:ascii="宋体" w:hAnsi="宋体"/>
                <w:sz w:val="24"/>
              </w:rPr>
              <w:t>维修单位：</w:t>
            </w:r>
          </w:p>
          <w:p>
            <w:pPr>
              <w:rPr>
                <w:rFonts w:ascii="宋体" w:hAnsi="宋体"/>
                <w:sz w:val="24"/>
              </w:rPr>
            </w:pPr>
            <w:r>
              <w:rPr>
                <w:rFonts w:hint="eastAsia" w:ascii="宋体" w:hAnsi="宋体"/>
                <w:sz w:val="24"/>
              </w:rPr>
              <w:t>考核时间：</w:t>
            </w:r>
            <w:r>
              <w:rPr>
                <w:rFonts w:ascii="宋体" w:hAnsi="宋体"/>
                <w:sz w:val="24"/>
              </w:rPr>
              <w:t xml:space="preserve">20   </w:t>
            </w:r>
            <w:r>
              <w:rPr>
                <w:rFonts w:hint="eastAsia" w:ascii="宋体" w:hAnsi="宋体"/>
                <w:sz w:val="24"/>
              </w:rPr>
              <w:t>年月日</w:t>
            </w:r>
          </w:p>
          <w:p>
            <w:pPr>
              <w:rPr>
                <w:rFonts w:ascii="宋体" w:hAnsi="宋体"/>
                <w:sz w:val="24"/>
              </w:rPr>
            </w:pPr>
          </w:p>
          <w:p>
            <w:pPr>
              <w:rPr>
                <w:rFonts w:ascii="宋体" w:hAnsi="宋体"/>
                <w:color w:val="FF0000"/>
                <w:sz w:val="24"/>
              </w:rPr>
            </w:pPr>
          </w:p>
          <w:p>
            <w:pPr>
              <w:rPr>
                <w:rFonts w:ascii="宋体" w:hAnsi="宋体"/>
                <w:color w:val="FF0000"/>
                <w:sz w:val="24"/>
              </w:rPr>
            </w:pPr>
            <w:r>
              <w:rPr>
                <w:rFonts w:hint="eastAsia" w:ascii="宋体" w:hAnsi="宋体"/>
                <w:color w:val="FF0000"/>
                <w:sz w:val="24"/>
              </w:rPr>
              <w:t>备注：月度考核90分及以上为优秀，每低一分，从履约保证金中扣1000元，80分以下为不合格。不合格的从履约保证金中额外扣除10000元。累计两个月不合格的招标人有权解除合同，并要求中标人赔偿损失。</w:t>
            </w:r>
          </w:p>
          <w:p>
            <w:pPr>
              <w:rPr>
                <w:rFonts w:ascii="宋体" w:hAnsi="宋体"/>
                <w:sz w:val="24"/>
              </w:rPr>
            </w:pPr>
          </w:p>
          <w:p>
            <w:pPr>
              <w:rPr>
                <w:rFonts w:ascii="宋体" w:hAnsi="宋体"/>
                <w:sz w:val="28"/>
                <w:szCs w:val="28"/>
              </w:rPr>
            </w:pPr>
          </w:p>
        </w:tc>
      </w:tr>
    </w:tbl>
    <w:p>
      <w:pPr>
        <w:rPr>
          <w:rFonts w:ascii="宋体" w:hAnsi="宋体"/>
        </w:rPr>
      </w:pPr>
    </w:p>
    <w:p>
      <w:pPr>
        <w:pStyle w:val="2"/>
      </w:pPr>
    </w:p>
    <w:p>
      <w:pPr>
        <w:spacing w:line="600" w:lineRule="exact"/>
        <w:jc w:val="center"/>
        <w:rPr>
          <w:rFonts w:ascii="黑体" w:eastAsia="黑体"/>
          <w:sz w:val="30"/>
          <w:szCs w:val="30"/>
        </w:rPr>
      </w:pPr>
    </w:p>
    <w:p>
      <w:pPr>
        <w:spacing w:line="600" w:lineRule="exact"/>
        <w:jc w:val="center"/>
        <w:rPr>
          <w:rFonts w:hint="eastAsia" w:ascii="黑体" w:eastAsia="黑体"/>
          <w:sz w:val="30"/>
          <w:szCs w:val="30"/>
        </w:rPr>
      </w:pPr>
    </w:p>
    <w:p>
      <w:pPr>
        <w:spacing w:line="600" w:lineRule="exact"/>
        <w:jc w:val="center"/>
        <w:rPr>
          <w:rFonts w:ascii="黑体" w:eastAsia="黑体"/>
          <w:sz w:val="30"/>
          <w:szCs w:val="30"/>
        </w:rPr>
      </w:pPr>
      <w:r>
        <w:rPr>
          <w:rFonts w:hint="eastAsia" w:ascii="黑体" w:eastAsia="黑体"/>
          <w:sz w:val="30"/>
          <w:szCs w:val="30"/>
        </w:rPr>
        <w:t>湖东街道维修年度考核汇总表</w:t>
      </w:r>
    </w:p>
    <w:p>
      <w:pPr>
        <w:spacing w:line="600" w:lineRule="exact"/>
        <w:jc w:val="center"/>
        <w:rPr>
          <w:rFonts w:ascii="黑体" w:eastAsia="黑体"/>
          <w:sz w:val="30"/>
          <w:szCs w:val="30"/>
        </w:rPr>
      </w:pPr>
      <w:r>
        <w:rPr>
          <w:rFonts w:ascii="黑体" w:eastAsia="黑体"/>
          <w:sz w:val="30"/>
          <w:szCs w:val="30"/>
        </w:rPr>
        <w:t>20</w:t>
      </w:r>
      <w:r>
        <w:rPr>
          <w:rFonts w:hint="eastAsia" w:ascii="黑体" w:eastAsia="黑体"/>
          <w:sz w:val="30"/>
          <w:szCs w:val="30"/>
        </w:rPr>
        <w:t>年度</w:t>
      </w:r>
    </w:p>
    <w:p>
      <w:pPr>
        <w:spacing w:line="600" w:lineRule="exact"/>
        <w:ind w:firstLine="150" w:firstLineChars="50"/>
        <w:rPr>
          <w:rFonts w:ascii="仿宋_GB2312"/>
          <w:sz w:val="30"/>
          <w:szCs w:val="30"/>
        </w:rPr>
      </w:pPr>
      <w:r>
        <w:rPr>
          <w:rFonts w:hint="eastAsia" w:ascii="仿宋_GB2312"/>
          <w:sz w:val="30"/>
          <w:szCs w:val="30"/>
        </w:rPr>
        <w:t>受检单位：</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2"/>
        <w:gridCol w:w="8"/>
        <w:gridCol w:w="506"/>
        <w:gridCol w:w="496"/>
        <w:gridCol w:w="8"/>
        <w:gridCol w:w="505"/>
        <w:gridCol w:w="496"/>
        <w:gridCol w:w="9"/>
        <w:gridCol w:w="505"/>
        <w:gridCol w:w="685"/>
        <w:gridCol w:w="690"/>
        <w:gridCol w:w="691"/>
        <w:gridCol w:w="829"/>
        <w:gridCol w:w="690"/>
        <w:gridCol w:w="691"/>
        <w:gridCol w:w="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3" w:hRule="atLeast"/>
          <w:jc w:val="center"/>
        </w:trPr>
        <w:tc>
          <w:tcPr>
            <w:tcW w:w="1530" w:type="dxa"/>
            <w:gridSpan w:val="2"/>
            <w:noWrap/>
            <w:vAlign w:val="center"/>
          </w:tcPr>
          <w:p>
            <w:pPr>
              <w:jc w:val="center"/>
              <w:rPr>
                <w:rFonts w:ascii="宋体" w:hAnsi="宋体"/>
                <w:sz w:val="24"/>
              </w:rPr>
            </w:pPr>
            <w:r>
              <w:rPr>
                <w:rFonts w:hint="eastAsia" w:ascii="宋体" w:hAnsi="宋体"/>
                <w:sz w:val="24"/>
              </w:rPr>
              <w:t>考核时间</w:t>
            </w:r>
          </w:p>
        </w:tc>
        <w:tc>
          <w:tcPr>
            <w:tcW w:w="506" w:type="dxa"/>
            <w:noWrap/>
            <w:vAlign w:val="center"/>
          </w:tcPr>
          <w:p>
            <w:pPr>
              <w:ind w:left="-105" w:leftChars="-50" w:right="-105" w:rightChars="-50"/>
              <w:jc w:val="center"/>
              <w:rPr>
                <w:rFonts w:ascii="宋体" w:hAnsi="宋体"/>
                <w:sz w:val="24"/>
              </w:rPr>
            </w:pPr>
          </w:p>
        </w:tc>
        <w:tc>
          <w:tcPr>
            <w:tcW w:w="504" w:type="dxa"/>
            <w:gridSpan w:val="2"/>
            <w:noWrap/>
            <w:vAlign w:val="center"/>
          </w:tcPr>
          <w:p>
            <w:pPr>
              <w:ind w:left="-105" w:leftChars="-50" w:right="-105" w:rightChars="-50"/>
              <w:jc w:val="center"/>
              <w:rPr>
                <w:rFonts w:ascii="宋体" w:hAnsi="宋体"/>
                <w:sz w:val="24"/>
              </w:rPr>
            </w:pPr>
          </w:p>
        </w:tc>
        <w:tc>
          <w:tcPr>
            <w:tcW w:w="505" w:type="dxa"/>
            <w:noWrap/>
            <w:vAlign w:val="center"/>
          </w:tcPr>
          <w:p>
            <w:pPr>
              <w:ind w:left="-105" w:leftChars="-50" w:right="-105" w:rightChars="-50"/>
              <w:jc w:val="center"/>
              <w:rPr>
                <w:rFonts w:ascii="宋体" w:hAnsi="宋体"/>
                <w:sz w:val="24"/>
              </w:rPr>
            </w:pPr>
          </w:p>
        </w:tc>
        <w:tc>
          <w:tcPr>
            <w:tcW w:w="505" w:type="dxa"/>
            <w:gridSpan w:val="2"/>
            <w:noWrap/>
            <w:vAlign w:val="center"/>
          </w:tcPr>
          <w:p>
            <w:pPr>
              <w:ind w:left="-105" w:leftChars="-50" w:right="-105" w:rightChars="-50"/>
              <w:jc w:val="center"/>
              <w:rPr>
                <w:rFonts w:ascii="宋体" w:hAnsi="宋体"/>
                <w:sz w:val="24"/>
              </w:rPr>
            </w:pPr>
          </w:p>
        </w:tc>
        <w:tc>
          <w:tcPr>
            <w:tcW w:w="505" w:type="dxa"/>
            <w:noWrap/>
            <w:vAlign w:val="center"/>
          </w:tcPr>
          <w:p>
            <w:pPr>
              <w:ind w:left="-105" w:leftChars="-50" w:right="-105" w:rightChars="-50"/>
              <w:jc w:val="center"/>
              <w:rPr>
                <w:rFonts w:ascii="宋体" w:hAnsi="宋体"/>
                <w:sz w:val="24"/>
              </w:rPr>
            </w:pPr>
          </w:p>
        </w:tc>
        <w:tc>
          <w:tcPr>
            <w:tcW w:w="685" w:type="dxa"/>
            <w:noWrap/>
            <w:vAlign w:val="center"/>
          </w:tcPr>
          <w:p>
            <w:pPr>
              <w:ind w:left="-105" w:leftChars="-50" w:right="-105" w:rightChars="-50"/>
              <w:jc w:val="center"/>
              <w:rPr>
                <w:rFonts w:ascii="宋体" w:hAnsi="宋体"/>
                <w:sz w:val="24"/>
              </w:rPr>
            </w:pPr>
          </w:p>
        </w:tc>
        <w:tc>
          <w:tcPr>
            <w:tcW w:w="690" w:type="dxa"/>
            <w:noWrap/>
            <w:vAlign w:val="center"/>
          </w:tcPr>
          <w:p>
            <w:pPr>
              <w:ind w:left="-105" w:leftChars="-50" w:right="-105" w:rightChars="-50"/>
              <w:jc w:val="center"/>
              <w:rPr>
                <w:rFonts w:ascii="宋体" w:hAnsi="宋体"/>
                <w:sz w:val="24"/>
              </w:rPr>
            </w:pPr>
          </w:p>
        </w:tc>
        <w:tc>
          <w:tcPr>
            <w:tcW w:w="691" w:type="dxa"/>
            <w:noWrap/>
            <w:vAlign w:val="center"/>
          </w:tcPr>
          <w:p>
            <w:pPr>
              <w:ind w:left="-105" w:leftChars="-50" w:right="-105" w:rightChars="-50"/>
              <w:jc w:val="center"/>
              <w:rPr>
                <w:rFonts w:ascii="宋体" w:hAnsi="宋体"/>
                <w:sz w:val="24"/>
              </w:rPr>
            </w:pPr>
          </w:p>
        </w:tc>
        <w:tc>
          <w:tcPr>
            <w:tcW w:w="829" w:type="dxa"/>
            <w:noWrap/>
            <w:vAlign w:val="center"/>
          </w:tcPr>
          <w:p>
            <w:pPr>
              <w:ind w:left="-105" w:leftChars="-50" w:right="-105" w:rightChars="-50"/>
              <w:jc w:val="center"/>
              <w:rPr>
                <w:rFonts w:ascii="宋体" w:hAnsi="宋体"/>
                <w:sz w:val="24"/>
              </w:rPr>
            </w:pPr>
          </w:p>
        </w:tc>
        <w:tc>
          <w:tcPr>
            <w:tcW w:w="690" w:type="dxa"/>
            <w:noWrap/>
            <w:vAlign w:val="center"/>
          </w:tcPr>
          <w:p>
            <w:pPr>
              <w:ind w:left="-105" w:leftChars="-50" w:right="-105" w:rightChars="-50"/>
              <w:jc w:val="center"/>
              <w:rPr>
                <w:rFonts w:ascii="宋体" w:hAnsi="宋体"/>
                <w:sz w:val="24"/>
              </w:rPr>
            </w:pPr>
          </w:p>
        </w:tc>
        <w:tc>
          <w:tcPr>
            <w:tcW w:w="691" w:type="dxa"/>
            <w:noWrap/>
            <w:vAlign w:val="center"/>
          </w:tcPr>
          <w:p>
            <w:pPr>
              <w:ind w:left="-105" w:leftChars="-50" w:right="-105" w:rightChars="-50"/>
              <w:jc w:val="center"/>
              <w:rPr>
                <w:rFonts w:ascii="宋体" w:hAnsi="宋体"/>
                <w:sz w:val="24"/>
              </w:rPr>
            </w:pPr>
          </w:p>
        </w:tc>
        <w:tc>
          <w:tcPr>
            <w:tcW w:w="769" w:type="dxa"/>
            <w:noWrap/>
            <w:vAlign w:val="center"/>
          </w:tcPr>
          <w:p>
            <w:pPr>
              <w:ind w:left="-105" w:leftChars="-50" w:right="-105" w:rightChars="-5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530" w:type="dxa"/>
            <w:gridSpan w:val="2"/>
            <w:noWrap/>
            <w:vAlign w:val="center"/>
          </w:tcPr>
          <w:p>
            <w:pPr>
              <w:ind w:left="-105" w:leftChars="-50" w:right="-105" w:rightChars="-50"/>
              <w:jc w:val="center"/>
              <w:rPr>
                <w:rFonts w:ascii="宋体" w:hAnsi="宋体"/>
                <w:sz w:val="24"/>
              </w:rPr>
            </w:pPr>
            <w:r>
              <w:rPr>
                <w:rFonts w:hint="eastAsia" w:ascii="宋体" w:hAnsi="宋体"/>
                <w:sz w:val="24"/>
              </w:rPr>
              <w:t>修复率</w:t>
            </w:r>
          </w:p>
        </w:tc>
        <w:tc>
          <w:tcPr>
            <w:tcW w:w="506" w:type="dxa"/>
            <w:noWrap/>
          </w:tcPr>
          <w:p>
            <w:pPr>
              <w:ind w:left="-105" w:leftChars="-50" w:right="-105" w:rightChars="-50"/>
              <w:jc w:val="center"/>
              <w:rPr>
                <w:rFonts w:ascii="宋体" w:hAnsi="宋体"/>
                <w:sz w:val="24"/>
              </w:rPr>
            </w:pPr>
          </w:p>
        </w:tc>
        <w:tc>
          <w:tcPr>
            <w:tcW w:w="504" w:type="dxa"/>
            <w:gridSpan w:val="2"/>
            <w:noWrap/>
          </w:tcPr>
          <w:p>
            <w:pPr>
              <w:ind w:left="-105" w:leftChars="-50" w:right="-105" w:rightChars="-50"/>
              <w:jc w:val="center"/>
              <w:rPr>
                <w:rFonts w:ascii="宋体" w:hAnsi="宋体"/>
                <w:sz w:val="24"/>
              </w:rPr>
            </w:pPr>
          </w:p>
        </w:tc>
        <w:tc>
          <w:tcPr>
            <w:tcW w:w="505" w:type="dxa"/>
            <w:noWrap/>
          </w:tcPr>
          <w:p>
            <w:pPr>
              <w:ind w:left="-105" w:leftChars="-50" w:right="-105" w:rightChars="-50"/>
              <w:jc w:val="center"/>
              <w:rPr>
                <w:rFonts w:ascii="宋体" w:hAnsi="宋体"/>
                <w:sz w:val="24"/>
              </w:rPr>
            </w:pPr>
          </w:p>
        </w:tc>
        <w:tc>
          <w:tcPr>
            <w:tcW w:w="505" w:type="dxa"/>
            <w:gridSpan w:val="2"/>
            <w:noWrap/>
          </w:tcPr>
          <w:p>
            <w:pPr>
              <w:ind w:left="-105" w:leftChars="-50" w:right="-105" w:rightChars="-50"/>
              <w:jc w:val="center"/>
              <w:rPr>
                <w:rFonts w:ascii="宋体" w:hAnsi="宋体"/>
                <w:sz w:val="24"/>
              </w:rPr>
            </w:pPr>
          </w:p>
        </w:tc>
        <w:tc>
          <w:tcPr>
            <w:tcW w:w="505" w:type="dxa"/>
            <w:noWrap/>
          </w:tcPr>
          <w:p>
            <w:pPr>
              <w:ind w:left="-105" w:leftChars="-50" w:right="-105" w:rightChars="-50"/>
              <w:jc w:val="center"/>
              <w:rPr>
                <w:rFonts w:ascii="宋体" w:hAnsi="宋体"/>
                <w:sz w:val="24"/>
              </w:rPr>
            </w:pPr>
          </w:p>
        </w:tc>
        <w:tc>
          <w:tcPr>
            <w:tcW w:w="685" w:type="dxa"/>
            <w:noWrap/>
          </w:tcPr>
          <w:p>
            <w:pPr>
              <w:ind w:left="-105" w:leftChars="-50" w:right="-105" w:rightChars="-50"/>
              <w:jc w:val="center"/>
              <w:rPr>
                <w:rFonts w:ascii="宋体" w:hAnsi="宋体"/>
                <w:sz w:val="24"/>
              </w:rPr>
            </w:pPr>
          </w:p>
        </w:tc>
        <w:tc>
          <w:tcPr>
            <w:tcW w:w="690" w:type="dxa"/>
            <w:noWrap/>
          </w:tcPr>
          <w:p>
            <w:pPr>
              <w:ind w:left="-105" w:leftChars="-50" w:right="-105" w:rightChars="-50"/>
              <w:jc w:val="center"/>
              <w:rPr>
                <w:rFonts w:ascii="宋体" w:hAnsi="宋体"/>
                <w:sz w:val="24"/>
              </w:rPr>
            </w:pPr>
          </w:p>
        </w:tc>
        <w:tc>
          <w:tcPr>
            <w:tcW w:w="691" w:type="dxa"/>
            <w:noWrap/>
          </w:tcPr>
          <w:p>
            <w:pPr>
              <w:ind w:left="-105" w:leftChars="-50" w:right="-105" w:rightChars="-50"/>
              <w:jc w:val="center"/>
              <w:rPr>
                <w:rFonts w:ascii="宋体" w:hAnsi="宋体"/>
                <w:sz w:val="24"/>
              </w:rPr>
            </w:pPr>
          </w:p>
        </w:tc>
        <w:tc>
          <w:tcPr>
            <w:tcW w:w="829" w:type="dxa"/>
            <w:noWrap/>
          </w:tcPr>
          <w:p>
            <w:pPr>
              <w:ind w:left="-105" w:leftChars="-50" w:right="-105" w:rightChars="-50"/>
              <w:jc w:val="center"/>
              <w:rPr>
                <w:rFonts w:ascii="宋体" w:hAnsi="宋体"/>
                <w:sz w:val="24"/>
              </w:rPr>
            </w:pPr>
          </w:p>
        </w:tc>
        <w:tc>
          <w:tcPr>
            <w:tcW w:w="690" w:type="dxa"/>
            <w:noWrap/>
          </w:tcPr>
          <w:p>
            <w:pPr>
              <w:ind w:left="-105" w:leftChars="-50" w:right="-105" w:rightChars="-50"/>
              <w:jc w:val="center"/>
              <w:rPr>
                <w:rFonts w:ascii="宋体" w:hAnsi="宋体"/>
                <w:sz w:val="24"/>
              </w:rPr>
            </w:pPr>
          </w:p>
        </w:tc>
        <w:tc>
          <w:tcPr>
            <w:tcW w:w="691" w:type="dxa"/>
            <w:noWrap/>
          </w:tcPr>
          <w:p>
            <w:pPr>
              <w:ind w:left="-105" w:leftChars="-50" w:right="-105" w:rightChars="-50"/>
              <w:jc w:val="center"/>
              <w:rPr>
                <w:rFonts w:ascii="宋体" w:hAnsi="宋体"/>
                <w:sz w:val="24"/>
              </w:rPr>
            </w:pPr>
          </w:p>
        </w:tc>
        <w:tc>
          <w:tcPr>
            <w:tcW w:w="769" w:type="dxa"/>
            <w:noWrap/>
            <w:vAlign w:val="center"/>
          </w:tcPr>
          <w:p>
            <w:pPr>
              <w:ind w:left="-105" w:leftChars="-50" w:right="-105" w:rightChars="-5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jc w:val="center"/>
        </w:trPr>
        <w:tc>
          <w:tcPr>
            <w:tcW w:w="1530" w:type="dxa"/>
            <w:gridSpan w:val="2"/>
            <w:noWrap/>
            <w:vAlign w:val="center"/>
          </w:tcPr>
          <w:p>
            <w:pPr>
              <w:ind w:left="-105" w:leftChars="-50" w:right="-105" w:rightChars="-50"/>
              <w:jc w:val="center"/>
              <w:rPr>
                <w:rFonts w:ascii="宋体" w:hAnsi="宋体"/>
                <w:sz w:val="24"/>
              </w:rPr>
            </w:pPr>
            <w:r>
              <w:rPr>
                <w:rFonts w:hint="eastAsia" w:ascii="宋体" w:hAnsi="宋体"/>
                <w:sz w:val="24"/>
              </w:rPr>
              <w:t>返修率</w:t>
            </w:r>
          </w:p>
        </w:tc>
        <w:tc>
          <w:tcPr>
            <w:tcW w:w="506" w:type="dxa"/>
            <w:noWrap/>
          </w:tcPr>
          <w:p>
            <w:pPr>
              <w:ind w:left="-105" w:leftChars="-50" w:right="-105" w:rightChars="-50"/>
              <w:jc w:val="center"/>
              <w:rPr>
                <w:rFonts w:ascii="宋体" w:hAnsi="宋体"/>
                <w:sz w:val="24"/>
              </w:rPr>
            </w:pPr>
          </w:p>
        </w:tc>
        <w:tc>
          <w:tcPr>
            <w:tcW w:w="504" w:type="dxa"/>
            <w:gridSpan w:val="2"/>
            <w:noWrap/>
          </w:tcPr>
          <w:p>
            <w:pPr>
              <w:ind w:left="-105" w:leftChars="-50" w:right="-105" w:rightChars="-50"/>
              <w:jc w:val="center"/>
              <w:rPr>
                <w:rFonts w:ascii="宋体" w:hAnsi="宋体"/>
                <w:sz w:val="24"/>
              </w:rPr>
            </w:pPr>
          </w:p>
        </w:tc>
        <w:tc>
          <w:tcPr>
            <w:tcW w:w="505" w:type="dxa"/>
            <w:noWrap/>
          </w:tcPr>
          <w:p>
            <w:pPr>
              <w:ind w:left="-105" w:leftChars="-50" w:right="-105" w:rightChars="-50"/>
              <w:jc w:val="center"/>
              <w:rPr>
                <w:rFonts w:ascii="宋体" w:hAnsi="宋体"/>
                <w:sz w:val="24"/>
              </w:rPr>
            </w:pPr>
          </w:p>
        </w:tc>
        <w:tc>
          <w:tcPr>
            <w:tcW w:w="505" w:type="dxa"/>
            <w:gridSpan w:val="2"/>
            <w:noWrap/>
          </w:tcPr>
          <w:p>
            <w:pPr>
              <w:ind w:left="-105" w:leftChars="-50" w:right="-105" w:rightChars="-50"/>
              <w:jc w:val="center"/>
              <w:rPr>
                <w:rFonts w:ascii="宋体" w:hAnsi="宋体"/>
                <w:sz w:val="24"/>
              </w:rPr>
            </w:pPr>
          </w:p>
        </w:tc>
        <w:tc>
          <w:tcPr>
            <w:tcW w:w="505" w:type="dxa"/>
            <w:noWrap/>
          </w:tcPr>
          <w:p>
            <w:pPr>
              <w:ind w:left="-105" w:leftChars="-50" w:right="-105" w:rightChars="-50"/>
              <w:jc w:val="center"/>
              <w:rPr>
                <w:rFonts w:ascii="宋体" w:hAnsi="宋体"/>
                <w:sz w:val="24"/>
              </w:rPr>
            </w:pPr>
          </w:p>
        </w:tc>
        <w:tc>
          <w:tcPr>
            <w:tcW w:w="685" w:type="dxa"/>
            <w:noWrap/>
          </w:tcPr>
          <w:p>
            <w:pPr>
              <w:ind w:left="-105" w:leftChars="-50" w:right="-105" w:rightChars="-50"/>
              <w:jc w:val="center"/>
              <w:rPr>
                <w:rFonts w:ascii="宋体" w:hAnsi="宋体"/>
                <w:sz w:val="24"/>
              </w:rPr>
            </w:pPr>
          </w:p>
        </w:tc>
        <w:tc>
          <w:tcPr>
            <w:tcW w:w="690" w:type="dxa"/>
            <w:noWrap/>
          </w:tcPr>
          <w:p>
            <w:pPr>
              <w:ind w:left="-105" w:leftChars="-50" w:right="-105" w:rightChars="-50"/>
              <w:jc w:val="center"/>
              <w:rPr>
                <w:rFonts w:ascii="宋体" w:hAnsi="宋体"/>
                <w:sz w:val="24"/>
              </w:rPr>
            </w:pPr>
          </w:p>
        </w:tc>
        <w:tc>
          <w:tcPr>
            <w:tcW w:w="691" w:type="dxa"/>
            <w:noWrap/>
          </w:tcPr>
          <w:p>
            <w:pPr>
              <w:ind w:left="-105" w:leftChars="-50" w:right="-105" w:rightChars="-50"/>
              <w:jc w:val="center"/>
              <w:rPr>
                <w:rFonts w:ascii="宋体" w:hAnsi="宋体"/>
                <w:sz w:val="24"/>
              </w:rPr>
            </w:pPr>
          </w:p>
        </w:tc>
        <w:tc>
          <w:tcPr>
            <w:tcW w:w="829" w:type="dxa"/>
            <w:noWrap/>
          </w:tcPr>
          <w:p>
            <w:pPr>
              <w:ind w:left="-105" w:leftChars="-50" w:right="-105" w:rightChars="-50"/>
              <w:jc w:val="center"/>
              <w:rPr>
                <w:rFonts w:ascii="宋体" w:hAnsi="宋体"/>
                <w:sz w:val="24"/>
              </w:rPr>
            </w:pPr>
          </w:p>
        </w:tc>
        <w:tc>
          <w:tcPr>
            <w:tcW w:w="690" w:type="dxa"/>
            <w:noWrap/>
          </w:tcPr>
          <w:p>
            <w:pPr>
              <w:ind w:left="-105" w:leftChars="-50" w:right="-105" w:rightChars="-50"/>
              <w:jc w:val="center"/>
              <w:rPr>
                <w:rFonts w:ascii="宋体" w:hAnsi="宋体"/>
                <w:sz w:val="24"/>
              </w:rPr>
            </w:pPr>
          </w:p>
        </w:tc>
        <w:tc>
          <w:tcPr>
            <w:tcW w:w="691" w:type="dxa"/>
            <w:noWrap/>
          </w:tcPr>
          <w:p>
            <w:pPr>
              <w:ind w:left="-105" w:leftChars="-50" w:right="-105" w:rightChars="-50"/>
              <w:jc w:val="center"/>
              <w:rPr>
                <w:rFonts w:ascii="宋体" w:hAnsi="宋体"/>
                <w:sz w:val="24"/>
              </w:rPr>
            </w:pPr>
          </w:p>
        </w:tc>
        <w:tc>
          <w:tcPr>
            <w:tcW w:w="769" w:type="dxa"/>
            <w:noWrap/>
            <w:vAlign w:val="center"/>
          </w:tcPr>
          <w:p>
            <w:pPr>
              <w:ind w:left="-105" w:leftChars="-50" w:right="-105" w:rightChars="-5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1530" w:type="dxa"/>
            <w:gridSpan w:val="2"/>
            <w:noWrap/>
            <w:vAlign w:val="center"/>
          </w:tcPr>
          <w:p>
            <w:pPr>
              <w:ind w:left="-105" w:leftChars="-50" w:right="-105" w:rightChars="-50"/>
              <w:jc w:val="center"/>
              <w:rPr>
                <w:rFonts w:ascii="宋体" w:hAnsi="宋体"/>
                <w:sz w:val="24"/>
              </w:rPr>
            </w:pPr>
            <w:r>
              <w:rPr>
                <w:rFonts w:hint="eastAsia" w:ascii="宋体" w:hAnsi="宋体"/>
                <w:sz w:val="24"/>
              </w:rPr>
              <w:t>老百姓满意率</w:t>
            </w:r>
          </w:p>
        </w:tc>
        <w:tc>
          <w:tcPr>
            <w:tcW w:w="506" w:type="dxa"/>
            <w:noWrap/>
          </w:tcPr>
          <w:p>
            <w:pPr>
              <w:ind w:left="-105" w:leftChars="-50" w:right="-105" w:rightChars="-50"/>
              <w:jc w:val="center"/>
              <w:rPr>
                <w:rFonts w:ascii="宋体" w:hAnsi="宋体"/>
                <w:sz w:val="24"/>
              </w:rPr>
            </w:pPr>
          </w:p>
        </w:tc>
        <w:tc>
          <w:tcPr>
            <w:tcW w:w="504" w:type="dxa"/>
            <w:gridSpan w:val="2"/>
            <w:noWrap/>
          </w:tcPr>
          <w:p>
            <w:pPr>
              <w:ind w:left="-105" w:leftChars="-50" w:right="-105" w:rightChars="-50"/>
              <w:jc w:val="center"/>
              <w:rPr>
                <w:rFonts w:ascii="宋体" w:hAnsi="宋体"/>
                <w:sz w:val="24"/>
              </w:rPr>
            </w:pPr>
          </w:p>
        </w:tc>
        <w:tc>
          <w:tcPr>
            <w:tcW w:w="505" w:type="dxa"/>
            <w:noWrap/>
          </w:tcPr>
          <w:p>
            <w:pPr>
              <w:ind w:left="-105" w:leftChars="-50" w:right="-105" w:rightChars="-50"/>
              <w:jc w:val="center"/>
              <w:rPr>
                <w:rFonts w:ascii="宋体" w:hAnsi="宋体"/>
                <w:sz w:val="24"/>
              </w:rPr>
            </w:pPr>
          </w:p>
        </w:tc>
        <w:tc>
          <w:tcPr>
            <w:tcW w:w="505" w:type="dxa"/>
            <w:gridSpan w:val="2"/>
            <w:noWrap/>
          </w:tcPr>
          <w:p>
            <w:pPr>
              <w:ind w:left="-105" w:leftChars="-50" w:right="-105" w:rightChars="-50"/>
              <w:jc w:val="center"/>
              <w:rPr>
                <w:rFonts w:ascii="宋体" w:hAnsi="宋体"/>
                <w:sz w:val="24"/>
              </w:rPr>
            </w:pPr>
          </w:p>
        </w:tc>
        <w:tc>
          <w:tcPr>
            <w:tcW w:w="505" w:type="dxa"/>
            <w:noWrap/>
          </w:tcPr>
          <w:p>
            <w:pPr>
              <w:ind w:left="-105" w:leftChars="-50" w:right="-105" w:rightChars="-50"/>
              <w:jc w:val="center"/>
              <w:rPr>
                <w:rFonts w:ascii="宋体" w:hAnsi="宋体"/>
                <w:sz w:val="24"/>
              </w:rPr>
            </w:pPr>
          </w:p>
        </w:tc>
        <w:tc>
          <w:tcPr>
            <w:tcW w:w="685" w:type="dxa"/>
            <w:noWrap/>
          </w:tcPr>
          <w:p>
            <w:pPr>
              <w:ind w:left="-105" w:leftChars="-50" w:right="-105" w:rightChars="-50"/>
              <w:jc w:val="center"/>
              <w:rPr>
                <w:rFonts w:ascii="宋体" w:hAnsi="宋体"/>
                <w:sz w:val="24"/>
              </w:rPr>
            </w:pPr>
          </w:p>
        </w:tc>
        <w:tc>
          <w:tcPr>
            <w:tcW w:w="690" w:type="dxa"/>
            <w:noWrap/>
          </w:tcPr>
          <w:p>
            <w:pPr>
              <w:ind w:left="-105" w:leftChars="-50" w:right="-105" w:rightChars="-50"/>
              <w:jc w:val="center"/>
              <w:rPr>
                <w:rFonts w:ascii="宋体" w:hAnsi="宋体"/>
                <w:sz w:val="24"/>
              </w:rPr>
            </w:pPr>
          </w:p>
        </w:tc>
        <w:tc>
          <w:tcPr>
            <w:tcW w:w="691" w:type="dxa"/>
            <w:noWrap/>
          </w:tcPr>
          <w:p>
            <w:pPr>
              <w:ind w:left="-105" w:leftChars="-50" w:right="-105" w:rightChars="-50"/>
              <w:jc w:val="center"/>
              <w:rPr>
                <w:rFonts w:ascii="宋体" w:hAnsi="宋体"/>
                <w:sz w:val="24"/>
              </w:rPr>
            </w:pPr>
          </w:p>
        </w:tc>
        <w:tc>
          <w:tcPr>
            <w:tcW w:w="829" w:type="dxa"/>
            <w:noWrap/>
          </w:tcPr>
          <w:p>
            <w:pPr>
              <w:ind w:left="-105" w:leftChars="-50" w:right="-105" w:rightChars="-50"/>
              <w:jc w:val="center"/>
              <w:rPr>
                <w:rFonts w:ascii="宋体" w:hAnsi="宋体"/>
                <w:sz w:val="24"/>
              </w:rPr>
            </w:pPr>
          </w:p>
        </w:tc>
        <w:tc>
          <w:tcPr>
            <w:tcW w:w="690" w:type="dxa"/>
            <w:noWrap/>
          </w:tcPr>
          <w:p>
            <w:pPr>
              <w:ind w:left="-105" w:leftChars="-50" w:right="-105" w:rightChars="-50"/>
              <w:jc w:val="center"/>
              <w:rPr>
                <w:rFonts w:ascii="宋体" w:hAnsi="宋体"/>
                <w:sz w:val="24"/>
              </w:rPr>
            </w:pPr>
          </w:p>
        </w:tc>
        <w:tc>
          <w:tcPr>
            <w:tcW w:w="691" w:type="dxa"/>
            <w:noWrap/>
          </w:tcPr>
          <w:p>
            <w:pPr>
              <w:ind w:left="-105" w:leftChars="-50" w:right="-105" w:rightChars="-50"/>
              <w:jc w:val="center"/>
              <w:rPr>
                <w:rFonts w:ascii="宋体" w:hAnsi="宋体"/>
                <w:sz w:val="24"/>
              </w:rPr>
            </w:pPr>
          </w:p>
        </w:tc>
        <w:tc>
          <w:tcPr>
            <w:tcW w:w="769" w:type="dxa"/>
            <w:noWrap/>
            <w:vAlign w:val="center"/>
          </w:tcPr>
          <w:p>
            <w:pPr>
              <w:ind w:left="-105" w:leftChars="-50" w:right="-105" w:rightChars="-5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1530" w:type="dxa"/>
            <w:gridSpan w:val="2"/>
            <w:noWrap/>
            <w:vAlign w:val="center"/>
          </w:tcPr>
          <w:p>
            <w:pPr>
              <w:ind w:left="-105" w:leftChars="-50" w:right="-105" w:rightChars="-50"/>
              <w:jc w:val="center"/>
              <w:rPr>
                <w:rFonts w:ascii="宋体" w:hAnsi="宋体"/>
                <w:sz w:val="24"/>
              </w:rPr>
            </w:pPr>
            <w:r>
              <w:rPr>
                <w:rFonts w:hint="eastAsia" w:ascii="宋体" w:hAnsi="宋体"/>
                <w:sz w:val="24"/>
              </w:rPr>
              <w:t>应急事件处理</w:t>
            </w:r>
          </w:p>
        </w:tc>
        <w:tc>
          <w:tcPr>
            <w:tcW w:w="506" w:type="dxa"/>
            <w:noWrap/>
          </w:tcPr>
          <w:p>
            <w:pPr>
              <w:ind w:left="-105" w:leftChars="-50" w:right="-105" w:rightChars="-50"/>
              <w:jc w:val="center"/>
              <w:rPr>
                <w:rFonts w:ascii="宋体" w:hAnsi="宋体"/>
                <w:sz w:val="24"/>
              </w:rPr>
            </w:pPr>
          </w:p>
        </w:tc>
        <w:tc>
          <w:tcPr>
            <w:tcW w:w="504" w:type="dxa"/>
            <w:gridSpan w:val="2"/>
            <w:noWrap/>
          </w:tcPr>
          <w:p>
            <w:pPr>
              <w:ind w:left="-105" w:leftChars="-50" w:right="-105" w:rightChars="-50"/>
              <w:jc w:val="center"/>
              <w:rPr>
                <w:rFonts w:ascii="宋体" w:hAnsi="宋体"/>
                <w:sz w:val="24"/>
              </w:rPr>
            </w:pPr>
          </w:p>
        </w:tc>
        <w:tc>
          <w:tcPr>
            <w:tcW w:w="505" w:type="dxa"/>
            <w:noWrap/>
          </w:tcPr>
          <w:p>
            <w:pPr>
              <w:ind w:left="-105" w:leftChars="-50" w:right="-105" w:rightChars="-50"/>
              <w:jc w:val="center"/>
              <w:rPr>
                <w:rFonts w:ascii="宋体" w:hAnsi="宋体"/>
                <w:sz w:val="24"/>
              </w:rPr>
            </w:pPr>
          </w:p>
        </w:tc>
        <w:tc>
          <w:tcPr>
            <w:tcW w:w="505" w:type="dxa"/>
            <w:gridSpan w:val="2"/>
            <w:noWrap/>
          </w:tcPr>
          <w:p>
            <w:pPr>
              <w:ind w:left="-105" w:leftChars="-50" w:right="-105" w:rightChars="-50"/>
              <w:jc w:val="center"/>
              <w:rPr>
                <w:rFonts w:ascii="宋体" w:hAnsi="宋体"/>
                <w:sz w:val="24"/>
              </w:rPr>
            </w:pPr>
          </w:p>
        </w:tc>
        <w:tc>
          <w:tcPr>
            <w:tcW w:w="505" w:type="dxa"/>
            <w:noWrap/>
          </w:tcPr>
          <w:p>
            <w:pPr>
              <w:ind w:left="-105" w:leftChars="-50" w:right="-105" w:rightChars="-50"/>
              <w:jc w:val="center"/>
              <w:rPr>
                <w:rFonts w:ascii="宋体" w:hAnsi="宋体"/>
                <w:sz w:val="24"/>
              </w:rPr>
            </w:pPr>
          </w:p>
        </w:tc>
        <w:tc>
          <w:tcPr>
            <w:tcW w:w="685" w:type="dxa"/>
            <w:noWrap/>
          </w:tcPr>
          <w:p>
            <w:pPr>
              <w:ind w:left="-105" w:leftChars="-50" w:right="-105" w:rightChars="-50"/>
              <w:jc w:val="center"/>
              <w:rPr>
                <w:rFonts w:ascii="宋体" w:hAnsi="宋体"/>
                <w:sz w:val="24"/>
              </w:rPr>
            </w:pPr>
          </w:p>
        </w:tc>
        <w:tc>
          <w:tcPr>
            <w:tcW w:w="690" w:type="dxa"/>
            <w:noWrap/>
          </w:tcPr>
          <w:p>
            <w:pPr>
              <w:ind w:left="-105" w:leftChars="-50" w:right="-105" w:rightChars="-50"/>
              <w:jc w:val="center"/>
              <w:rPr>
                <w:rFonts w:ascii="宋体" w:hAnsi="宋体"/>
                <w:sz w:val="24"/>
              </w:rPr>
            </w:pPr>
          </w:p>
        </w:tc>
        <w:tc>
          <w:tcPr>
            <w:tcW w:w="691" w:type="dxa"/>
            <w:noWrap/>
          </w:tcPr>
          <w:p>
            <w:pPr>
              <w:ind w:left="-105" w:leftChars="-50" w:right="-105" w:rightChars="-50"/>
              <w:jc w:val="center"/>
              <w:rPr>
                <w:rFonts w:ascii="宋体" w:hAnsi="宋体"/>
                <w:sz w:val="24"/>
              </w:rPr>
            </w:pPr>
          </w:p>
        </w:tc>
        <w:tc>
          <w:tcPr>
            <w:tcW w:w="829" w:type="dxa"/>
            <w:noWrap/>
          </w:tcPr>
          <w:p>
            <w:pPr>
              <w:ind w:left="-105" w:leftChars="-50" w:right="-105" w:rightChars="-50"/>
              <w:jc w:val="center"/>
              <w:rPr>
                <w:rFonts w:ascii="宋体" w:hAnsi="宋体"/>
                <w:sz w:val="24"/>
              </w:rPr>
            </w:pPr>
          </w:p>
        </w:tc>
        <w:tc>
          <w:tcPr>
            <w:tcW w:w="690" w:type="dxa"/>
            <w:noWrap/>
          </w:tcPr>
          <w:p>
            <w:pPr>
              <w:ind w:left="-105" w:leftChars="-50" w:right="-105" w:rightChars="-50"/>
              <w:jc w:val="center"/>
              <w:rPr>
                <w:rFonts w:ascii="宋体" w:hAnsi="宋体"/>
                <w:sz w:val="24"/>
              </w:rPr>
            </w:pPr>
          </w:p>
        </w:tc>
        <w:tc>
          <w:tcPr>
            <w:tcW w:w="691" w:type="dxa"/>
            <w:noWrap/>
          </w:tcPr>
          <w:p>
            <w:pPr>
              <w:ind w:left="-105" w:leftChars="-50" w:right="-105" w:rightChars="-50"/>
              <w:jc w:val="center"/>
              <w:rPr>
                <w:rFonts w:ascii="宋体" w:hAnsi="宋体"/>
                <w:sz w:val="24"/>
              </w:rPr>
            </w:pPr>
          </w:p>
        </w:tc>
        <w:tc>
          <w:tcPr>
            <w:tcW w:w="769" w:type="dxa"/>
            <w:noWrap/>
            <w:vAlign w:val="center"/>
          </w:tcPr>
          <w:p>
            <w:pPr>
              <w:ind w:left="-105" w:leftChars="-50" w:right="-105" w:rightChars="-5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530" w:type="dxa"/>
            <w:gridSpan w:val="2"/>
            <w:noWrap/>
            <w:vAlign w:val="center"/>
          </w:tcPr>
          <w:p>
            <w:pPr>
              <w:ind w:left="-105" w:leftChars="-50" w:right="-105" w:rightChars="-50"/>
              <w:jc w:val="center"/>
              <w:rPr>
                <w:rFonts w:ascii="宋体" w:hAnsi="宋体"/>
                <w:sz w:val="24"/>
              </w:rPr>
            </w:pPr>
            <w:r>
              <w:rPr>
                <w:rFonts w:hint="eastAsia" w:ascii="宋体" w:hAnsi="宋体"/>
                <w:sz w:val="24"/>
              </w:rPr>
              <w:t>各类投诉处理</w:t>
            </w:r>
          </w:p>
        </w:tc>
        <w:tc>
          <w:tcPr>
            <w:tcW w:w="506" w:type="dxa"/>
            <w:noWrap/>
          </w:tcPr>
          <w:p>
            <w:pPr>
              <w:ind w:left="-105" w:leftChars="-50" w:right="-105" w:rightChars="-50"/>
              <w:jc w:val="center"/>
              <w:rPr>
                <w:rFonts w:ascii="宋体" w:hAnsi="宋体"/>
                <w:sz w:val="24"/>
              </w:rPr>
            </w:pPr>
          </w:p>
        </w:tc>
        <w:tc>
          <w:tcPr>
            <w:tcW w:w="504" w:type="dxa"/>
            <w:gridSpan w:val="2"/>
            <w:noWrap/>
          </w:tcPr>
          <w:p>
            <w:pPr>
              <w:ind w:left="-105" w:leftChars="-50" w:right="-105" w:rightChars="-50"/>
              <w:jc w:val="center"/>
              <w:rPr>
                <w:rFonts w:ascii="宋体" w:hAnsi="宋体"/>
                <w:sz w:val="24"/>
              </w:rPr>
            </w:pPr>
          </w:p>
        </w:tc>
        <w:tc>
          <w:tcPr>
            <w:tcW w:w="505" w:type="dxa"/>
            <w:noWrap/>
          </w:tcPr>
          <w:p>
            <w:pPr>
              <w:ind w:left="-105" w:leftChars="-50" w:right="-105" w:rightChars="-50"/>
              <w:jc w:val="center"/>
              <w:rPr>
                <w:rFonts w:ascii="宋体" w:hAnsi="宋体"/>
                <w:sz w:val="24"/>
              </w:rPr>
            </w:pPr>
          </w:p>
        </w:tc>
        <w:tc>
          <w:tcPr>
            <w:tcW w:w="505" w:type="dxa"/>
            <w:gridSpan w:val="2"/>
            <w:noWrap/>
          </w:tcPr>
          <w:p>
            <w:pPr>
              <w:ind w:left="-105" w:leftChars="-50" w:right="-105" w:rightChars="-50"/>
              <w:jc w:val="center"/>
              <w:rPr>
                <w:rFonts w:ascii="宋体" w:hAnsi="宋体"/>
                <w:sz w:val="24"/>
              </w:rPr>
            </w:pPr>
          </w:p>
        </w:tc>
        <w:tc>
          <w:tcPr>
            <w:tcW w:w="505" w:type="dxa"/>
            <w:noWrap/>
          </w:tcPr>
          <w:p>
            <w:pPr>
              <w:ind w:left="-105" w:leftChars="-50" w:right="-105" w:rightChars="-50"/>
              <w:jc w:val="center"/>
              <w:rPr>
                <w:rFonts w:ascii="宋体" w:hAnsi="宋体"/>
                <w:sz w:val="24"/>
              </w:rPr>
            </w:pPr>
          </w:p>
        </w:tc>
        <w:tc>
          <w:tcPr>
            <w:tcW w:w="685" w:type="dxa"/>
            <w:noWrap/>
          </w:tcPr>
          <w:p>
            <w:pPr>
              <w:ind w:left="-105" w:leftChars="-50" w:right="-105" w:rightChars="-50"/>
              <w:jc w:val="center"/>
              <w:rPr>
                <w:rFonts w:ascii="宋体" w:hAnsi="宋体"/>
                <w:sz w:val="24"/>
              </w:rPr>
            </w:pPr>
          </w:p>
        </w:tc>
        <w:tc>
          <w:tcPr>
            <w:tcW w:w="690" w:type="dxa"/>
            <w:noWrap/>
          </w:tcPr>
          <w:p>
            <w:pPr>
              <w:ind w:left="-105" w:leftChars="-50" w:right="-105" w:rightChars="-50"/>
              <w:jc w:val="center"/>
              <w:rPr>
                <w:rFonts w:ascii="宋体" w:hAnsi="宋体"/>
                <w:sz w:val="24"/>
              </w:rPr>
            </w:pPr>
          </w:p>
        </w:tc>
        <w:tc>
          <w:tcPr>
            <w:tcW w:w="691" w:type="dxa"/>
            <w:noWrap/>
          </w:tcPr>
          <w:p>
            <w:pPr>
              <w:ind w:left="-105" w:leftChars="-50" w:right="-105" w:rightChars="-50"/>
              <w:jc w:val="center"/>
              <w:rPr>
                <w:rFonts w:ascii="宋体" w:hAnsi="宋体"/>
                <w:sz w:val="24"/>
              </w:rPr>
            </w:pPr>
          </w:p>
        </w:tc>
        <w:tc>
          <w:tcPr>
            <w:tcW w:w="829" w:type="dxa"/>
            <w:noWrap/>
          </w:tcPr>
          <w:p>
            <w:pPr>
              <w:ind w:left="-105" w:leftChars="-50" w:right="-105" w:rightChars="-50"/>
              <w:jc w:val="center"/>
              <w:rPr>
                <w:rFonts w:ascii="宋体" w:hAnsi="宋体"/>
                <w:sz w:val="24"/>
              </w:rPr>
            </w:pPr>
          </w:p>
        </w:tc>
        <w:tc>
          <w:tcPr>
            <w:tcW w:w="690" w:type="dxa"/>
            <w:noWrap/>
          </w:tcPr>
          <w:p>
            <w:pPr>
              <w:ind w:left="-105" w:leftChars="-50" w:right="-105" w:rightChars="-50"/>
              <w:jc w:val="center"/>
              <w:rPr>
                <w:rFonts w:ascii="宋体" w:hAnsi="宋体"/>
                <w:sz w:val="24"/>
              </w:rPr>
            </w:pPr>
          </w:p>
        </w:tc>
        <w:tc>
          <w:tcPr>
            <w:tcW w:w="691" w:type="dxa"/>
            <w:noWrap/>
          </w:tcPr>
          <w:p>
            <w:pPr>
              <w:ind w:left="-105" w:leftChars="-50" w:right="-105" w:rightChars="-50"/>
              <w:jc w:val="center"/>
              <w:rPr>
                <w:rFonts w:ascii="宋体" w:hAnsi="宋体"/>
                <w:sz w:val="24"/>
              </w:rPr>
            </w:pPr>
          </w:p>
        </w:tc>
        <w:tc>
          <w:tcPr>
            <w:tcW w:w="769" w:type="dxa"/>
            <w:noWrap/>
            <w:vAlign w:val="center"/>
          </w:tcPr>
          <w:p>
            <w:pPr>
              <w:ind w:left="-105" w:leftChars="-50" w:right="-105" w:rightChars="-5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530" w:type="dxa"/>
            <w:gridSpan w:val="2"/>
            <w:noWrap/>
            <w:vAlign w:val="center"/>
          </w:tcPr>
          <w:p>
            <w:pPr>
              <w:ind w:left="-105" w:leftChars="-50" w:right="-105" w:rightChars="-50"/>
              <w:jc w:val="center"/>
              <w:rPr>
                <w:rFonts w:ascii="宋体" w:hAnsi="宋体"/>
                <w:sz w:val="24"/>
              </w:rPr>
            </w:pPr>
            <w:r>
              <w:rPr>
                <w:rFonts w:hint="eastAsia" w:ascii="宋体" w:hAnsi="宋体"/>
                <w:sz w:val="24"/>
              </w:rPr>
              <w:t>重大活动配合</w:t>
            </w:r>
          </w:p>
        </w:tc>
        <w:tc>
          <w:tcPr>
            <w:tcW w:w="506" w:type="dxa"/>
            <w:noWrap/>
          </w:tcPr>
          <w:p>
            <w:pPr>
              <w:ind w:left="-105" w:leftChars="-50" w:right="-105" w:rightChars="-50"/>
              <w:jc w:val="center"/>
              <w:rPr>
                <w:rFonts w:ascii="宋体" w:hAnsi="宋体"/>
                <w:sz w:val="24"/>
              </w:rPr>
            </w:pPr>
          </w:p>
        </w:tc>
        <w:tc>
          <w:tcPr>
            <w:tcW w:w="504" w:type="dxa"/>
            <w:gridSpan w:val="2"/>
            <w:noWrap/>
          </w:tcPr>
          <w:p>
            <w:pPr>
              <w:ind w:left="-105" w:leftChars="-50" w:right="-105" w:rightChars="-50"/>
              <w:jc w:val="center"/>
              <w:rPr>
                <w:rFonts w:ascii="宋体" w:hAnsi="宋体"/>
                <w:sz w:val="24"/>
              </w:rPr>
            </w:pPr>
          </w:p>
        </w:tc>
        <w:tc>
          <w:tcPr>
            <w:tcW w:w="505" w:type="dxa"/>
            <w:noWrap/>
          </w:tcPr>
          <w:p>
            <w:pPr>
              <w:ind w:left="-105" w:leftChars="-50" w:right="-105" w:rightChars="-50"/>
              <w:jc w:val="center"/>
              <w:rPr>
                <w:rFonts w:ascii="宋体" w:hAnsi="宋体"/>
                <w:sz w:val="24"/>
              </w:rPr>
            </w:pPr>
          </w:p>
        </w:tc>
        <w:tc>
          <w:tcPr>
            <w:tcW w:w="505" w:type="dxa"/>
            <w:gridSpan w:val="2"/>
            <w:noWrap/>
          </w:tcPr>
          <w:p>
            <w:pPr>
              <w:ind w:left="-105" w:leftChars="-50" w:right="-105" w:rightChars="-50"/>
              <w:jc w:val="center"/>
              <w:rPr>
                <w:rFonts w:ascii="宋体" w:hAnsi="宋体"/>
                <w:sz w:val="24"/>
              </w:rPr>
            </w:pPr>
          </w:p>
        </w:tc>
        <w:tc>
          <w:tcPr>
            <w:tcW w:w="505" w:type="dxa"/>
            <w:noWrap/>
          </w:tcPr>
          <w:p>
            <w:pPr>
              <w:ind w:left="-105" w:leftChars="-50" w:right="-105" w:rightChars="-50"/>
              <w:jc w:val="center"/>
              <w:rPr>
                <w:rFonts w:ascii="宋体" w:hAnsi="宋体"/>
                <w:sz w:val="24"/>
              </w:rPr>
            </w:pPr>
          </w:p>
        </w:tc>
        <w:tc>
          <w:tcPr>
            <w:tcW w:w="685" w:type="dxa"/>
            <w:noWrap/>
          </w:tcPr>
          <w:p>
            <w:pPr>
              <w:ind w:left="-105" w:leftChars="-50" w:right="-105" w:rightChars="-50"/>
              <w:jc w:val="center"/>
              <w:rPr>
                <w:rFonts w:ascii="宋体" w:hAnsi="宋体"/>
                <w:sz w:val="24"/>
              </w:rPr>
            </w:pPr>
          </w:p>
        </w:tc>
        <w:tc>
          <w:tcPr>
            <w:tcW w:w="690" w:type="dxa"/>
            <w:noWrap/>
          </w:tcPr>
          <w:p>
            <w:pPr>
              <w:ind w:left="-105" w:leftChars="-50" w:right="-105" w:rightChars="-50"/>
              <w:jc w:val="center"/>
              <w:rPr>
                <w:rFonts w:ascii="宋体" w:hAnsi="宋体"/>
                <w:sz w:val="24"/>
              </w:rPr>
            </w:pPr>
          </w:p>
        </w:tc>
        <w:tc>
          <w:tcPr>
            <w:tcW w:w="691" w:type="dxa"/>
            <w:noWrap/>
          </w:tcPr>
          <w:p>
            <w:pPr>
              <w:ind w:left="-105" w:leftChars="-50" w:right="-105" w:rightChars="-50"/>
              <w:jc w:val="center"/>
              <w:rPr>
                <w:rFonts w:ascii="宋体" w:hAnsi="宋体"/>
                <w:sz w:val="24"/>
              </w:rPr>
            </w:pPr>
          </w:p>
        </w:tc>
        <w:tc>
          <w:tcPr>
            <w:tcW w:w="829" w:type="dxa"/>
            <w:noWrap/>
          </w:tcPr>
          <w:p>
            <w:pPr>
              <w:ind w:left="-105" w:leftChars="-50" w:right="-105" w:rightChars="-50"/>
              <w:jc w:val="center"/>
              <w:rPr>
                <w:rFonts w:ascii="宋体" w:hAnsi="宋体"/>
                <w:sz w:val="24"/>
              </w:rPr>
            </w:pPr>
          </w:p>
        </w:tc>
        <w:tc>
          <w:tcPr>
            <w:tcW w:w="690" w:type="dxa"/>
            <w:noWrap/>
          </w:tcPr>
          <w:p>
            <w:pPr>
              <w:ind w:left="-105" w:leftChars="-50" w:right="-105" w:rightChars="-50"/>
              <w:jc w:val="center"/>
              <w:rPr>
                <w:rFonts w:ascii="宋体" w:hAnsi="宋体"/>
                <w:sz w:val="24"/>
              </w:rPr>
            </w:pPr>
          </w:p>
        </w:tc>
        <w:tc>
          <w:tcPr>
            <w:tcW w:w="691" w:type="dxa"/>
            <w:noWrap/>
          </w:tcPr>
          <w:p>
            <w:pPr>
              <w:ind w:left="-105" w:leftChars="-50" w:right="-105" w:rightChars="-50"/>
              <w:jc w:val="center"/>
              <w:rPr>
                <w:rFonts w:ascii="宋体" w:hAnsi="宋体"/>
                <w:sz w:val="24"/>
              </w:rPr>
            </w:pPr>
          </w:p>
        </w:tc>
        <w:tc>
          <w:tcPr>
            <w:tcW w:w="769" w:type="dxa"/>
            <w:noWrap/>
            <w:vAlign w:val="center"/>
          </w:tcPr>
          <w:p>
            <w:pPr>
              <w:ind w:left="-105" w:leftChars="-50" w:right="-105" w:rightChars="-5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1530" w:type="dxa"/>
            <w:gridSpan w:val="2"/>
            <w:noWrap/>
            <w:vAlign w:val="center"/>
          </w:tcPr>
          <w:p>
            <w:pPr>
              <w:ind w:left="-105" w:leftChars="-50" w:right="-105" w:rightChars="-50"/>
              <w:jc w:val="center"/>
              <w:rPr>
                <w:rFonts w:ascii="宋体" w:hAnsi="宋体"/>
                <w:sz w:val="24"/>
              </w:rPr>
            </w:pPr>
            <w:r>
              <w:rPr>
                <w:rFonts w:hint="eastAsia" w:ascii="宋体" w:hAnsi="宋体"/>
                <w:sz w:val="24"/>
              </w:rPr>
              <w:t>媒体舆论情况</w:t>
            </w:r>
          </w:p>
        </w:tc>
        <w:tc>
          <w:tcPr>
            <w:tcW w:w="506" w:type="dxa"/>
            <w:noWrap/>
          </w:tcPr>
          <w:p>
            <w:pPr>
              <w:ind w:left="-105" w:leftChars="-50" w:right="-105" w:rightChars="-50"/>
              <w:jc w:val="center"/>
              <w:rPr>
                <w:rFonts w:ascii="宋体" w:hAnsi="宋体"/>
                <w:sz w:val="24"/>
              </w:rPr>
            </w:pPr>
          </w:p>
        </w:tc>
        <w:tc>
          <w:tcPr>
            <w:tcW w:w="504" w:type="dxa"/>
            <w:gridSpan w:val="2"/>
            <w:noWrap/>
          </w:tcPr>
          <w:p>
            <w:pPr>
              <w:ind w:left="-105" w:leftChars="-50" w:right="-105" w:rightChars="-50"/>
              <w:jc w:val="center"/>
              <w:rPr>
                <w:rFonts w:ascii="宋体" w:hAnsi="宋体"/>
                <w:sz w:val="24"/>
              </w:rPr>
            </w:pPr>
          </w:p>
        </w:tc>
        <w:tc>
          <w:tcPr>
            <w:tcW w:w="505" w:type="dxa"/>
            <w:noWrap/>
          </w:tcPr>
          <w:p>
            <w:pPr>
              <w:ind w:left="-105" w:leftChars="-50" w:right="-105" w:rightChars="-50"/>
              <w:jc w:val="center"/>
              <w:rPr>
                <w:rFonts w:ascii="宋体" w:hAnsi="宋体"/>
                <w:sz w:val="24"/>
              </w:rPr>
            </w:pPr>
          </w:p>
        </w:tc>
        <w:tc>
          <w:tcPr>
            <w:tcW w:w="505" w:type="dxa"/>
            <w:gridSpan w:val="2"/>
            <w:noWrap/>
          </w:tcPr>
          <w:p>
            <w:pPr>
              <w:ind w:left="-105" w:leftChars="-50" w:right="-105" w:rightChars="-50"/>
              <w:jc w:val="center"/>
              <w:rPr>
                <w:rFonts w:ascii="宋体" w:hAnsi="宋体"/>
                <w:sz w:val="24"/>
              </w:rPr>
            </w:pPr>
          </w:p>
        </w:tc>
        <w:tc>
          <w:tcPr>
            <w:tcW w:w="505" w:type="dxa"/>
            <w:noWrap/>
          </w:tcPr>
          <w:p>
            <w:pPr>
              <w:ind w:left="-105" w:leftChars="-50" w:right="-105" w:rightChars="-50"/>
              <w:jc w:val="center"/>
              <w:rPr>
                <w:rFonts w:ascii="宋体" w:hAnsi="宋体"/>
                <w:sz w:val="24"/>
              </w:rPr>
            </w:pPr>
          </w:p>
        </w:tc>
        <w:tc>
          <w:tcPr>
            <w:tcW w:w="685" w:type="dxa"/>
            <w:noWrap/>
          </w:tcPr>
          <w:p>
            <w:pPr>
              <w:ind w:left="-105" w:leftChars="-50" w:right="-105" w:rightChars="-50"/>
              <w:jc w:val="center"/>
              <w:rPr>
                <w:rFonts w:ascii="宋体" w:hAnsi="宋体"/>
                <w:sz w:val="24"/>
              </w:rPr>
            </w:pPr>
          </w:p>
        </w:tc>
        <w:tc>
          <w:tcPr>
            <w:tcW w:w="690" w:type="dxa"/>
            <w:noWrap/>
          </w:tcPr>
          <w:p>
            <w:pPr>
              <w:ind w:left="-105" w:leftChars="-50" w:right="-105" w:rightChars="-50"/>
              <w:jc w:val="center"/>
              <w:rPr>
                <w:rFonts w:ascii="宋体" w:hAnsi="宋体"/>
                <w:sz w:val="24"/>
              </w:rPr>
            </w:pPr>
          </w:p>
        </w:tc>
        <w:tc>
          <w:tcPr>
            <w:tcW w:w="691" w:type="dxa"/>
            <w:noWrap/>
          </w:tcPr>
          <w:p>
            <w:pPr>
              <w:ind w:left="-105" w:leftChars="-50" w:right="-105" w:rightChars="-50"/>
              <w:jc w:val="center"/>
              <w:rPr>
                <w:rFonts w:ascii="宋体" w:hAnsi="宋体"/>
                <w:sz w:val="24"/>
              </w:rPr>
            </w:pPr>
          </w:p>
        </w:tc>
        <w:tc>
          <w:tcPr>
            <w:tcW w:w="829" w:type="dxa"/>
            <w:noWrap/>
          </w:tcPr>
          <w:p>
            <w:pPr>
              <w:ind w:left="-105" w:leftChars="-50" w:right="-105" w:rightChars="-50"/>
              <w:jc w:val="center"/>
              <w:rPr>
                <w:rFonts w:ascii="宋体" w:hAnsi="宋体"/>
                <w:sz w:val="24"/>
              </w:rPr>
            </w:pPr>
          </w:p>
        </w:tc>
        <w:tc>
          <w:tcPr>
            <w:tcW w:w="690" w:type="dxa"/>
            <w:noWrap/>
          </w:tcPr>
          <w:p>
            <w:pPr>
              <w:ind w:left="-105" w:leftChars="-50" w:right="-105" w:rightChars="-50"/>
              <w:jc w:val="center"/>
              <w:rPr>
                <w:rFonts w:ascii="宋体" w:hAnsi="宋体"/>
                <w:sz w:val="24"/>
              </w:rPr>
            </w:pPr>
          </w:p>
        </w:tc>
        <w:tc>
          <w:tcPr>
            <w:tcW w:w="691" w:type="dxa"/>
            <w:noWrap/>
          </w:tcPr>
          <w:p>
            <w:pPr>
              <w:ind w:left="-105" w:leftChars="-50" w:right="-105" w:rightChars="-50"/>
              <w:jc w:val="center"/>
              <w:rPr>
                <w:rFonts w:ascii="宋体" w:hAnsi="宋体"/>
                <w:sz w:val="24"/>
              </w:rPr>
            </w:pPr>
          </w:p>
        </w:tc>
        <w:tc>
          <w:tcPr>
            <w:tcW w:w="769" w:type="dxa"/>
            <w:noWrap/>
            <w:vAlign w:val="center"/>
          </w:tcPr>
          <w:p>
            <w:pPr>
              <w:ind w:left="-105" w:leftChars="-50" w:right="-105" w:rightChars="-5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1530" w:type="dxa"/>
            <w:gridSpan w:val="2"/>
            <w:noWrap/>
            <w:vAlign w:val="center"/>
          </w:tcPr>
          <w:p>
            <w:pPr>
              <w:jc w:val="center"/>
              <w:rPr>
                <w:rFonts w:ascii="宋体" w:hAnsi="宋体"/>
                <w:sz w:val="24"/>
              </w:rPr>
            </w:pPr>
            <w:r>
              <w:rPr>
                <w:rFonts w:hint="eastAsia" w:ascii="宋体" w:hAnsi="宋体"/>
                <w:sz w:val="24"/>
              </w:rPr>
              <w:t>其他部门反映问题处理</w:t>
            </w:r>
          </w:p>
        </w:tc>
        <w:tc>
          <w:tcPr>
            <w:tcW w:w="506" w:type="dxa"/>
            <w:noWrap/>
          </w:tcPr>
          <w:p>
            <w:pPr>
              <w:ind w:left="-105" w:leftChars="-50" w:right="-105" w:rightChars="-50"/>
              <w:jc w:val="center"/>
              <w:rPr>
                <w:rFonts w:ascii="宋体" w:hAnsi="宋体"/>
                <w:sz w:val="24"/>
              </w:rPr>
            </w:pPr>
          </w:p>
        </w:tc>
        <w:tc>
          <w:tcPr>
            <w:tcW w:w="504" w:type="dxa"/>
            <w:gridSpan w:val="2"/>
            <w:noWrap/>
          </w:tcPr>
          <w:p>
            <w:pPr>
              <w:ind w:left="-105" w:leftChars="-50" w:right="-105" w:rightChars="-50"/>
              <w:jc w:val="center"/>
              <w:rPr>
                <w:rFonts w:ascii="宋体" w:hAnsi="宋体"/>
                <w:sz w:val="24"/>
              </w:rPr>
            </w:pPr>
          </w:p>
        </w:tc>
        <w:tc>
          <w:tcPr>
            <w:tcW w:w="505" w:type="dxa"/>
            <w:noWrap/>
          </w:tcPr>
          <w:p>
            <w:pPr>
              <w:ind w:left="-105" w:leftChars="-50" w:right="-105" w:rightChars="-50"/>
              <w:jc w:val="center"/>
              <w:rPr>
                <w:rFonts w:ascii="宋体" w:hAnsi="宋体"/>
                <w:sz w:val="24"/>
              </w:rPr>
            </w:pPr>
          </w:p>
        </w:tc>
        <w:tc>
          <w:tcPr>
            <w:tcW w:w="505" w:type="dxa"/>
            <w:gridSpan w:val="2"/>
            <w:noWrap/>
          </w:tcPr>
          <w:p>
            <w:pPr>
              <w:ind w:left="-105" w:leftChars="-50" w:right="-105" w:rightChars="-50"/>
              <w:jc w:val="center"/>
              <w:rPr>
                <w:rFonts w:ascii="宋体" w:hAnsi="宋体"/>
                <w:sz w:val="24"/>
              </w:rPr>
            </w:pPr>
          </w:p>
        </w:tc>
        <w:tc>
          <w:tcPr>
            <w:tcW w:w="505" w:type="dxa"/>
            <w:noWrap/>
          </w:tcPr>
          <w:p>
            <w:pPr>
              <w:ind w:left="-105" w:leftChars="-50" w:right="-105" w:rightChars="-50"/>
              <w:jc w:val="center"/>
              <w:rPr>
                <w:rFonts w:ascii="宋体" w:hAnsi="宋体"/>
                <w:sz w:val="24"/>
              </w:rPr>
            </w:pPr>
          </w:p>
        </w:tc>
        <w:tc>
          <w:tcPr>
            <w:tcW w:w="685" w:type="dxa"/>
            <w:noWrap/>
          </w:tcPr>
          <w:p>
            <w:pPr>
              <w:ind w:left="-105" w:leftChars="-50" w:right="-105" w:rightChars="-50"/>
              <w:jc w:val="center"/>
              <w:rPr>
                <w:rFonts w:ascii="宋体" w:hAnsi="宋体"/>
                <w:sz w:val="24"/>
              </w:rPr>
            </w:pPr>
          </w:p>
        </w:tc>
        <w:tc>
          <w:tcPr>
            <w:tcW w:w="690" w:type="dxa"/>
            <w:noWrap/>
          </w:tcPr>
          <w:p>
            <w:pPr>
              <w:ind w:left="-105" w:leftChars="-50" w:right="-105" w:rightChars="-50"/>
              <w:jc w:val="center"/>
              <w:rPr>
                <w:rFonts w:ascii="宋体" w:hAnsi="宋体"/>
                <w:sz w:val="24"/>
              </w:rPr>
            </w:pPr>
          </w:p>
        </w:tc>
        <w:tc>
          <w:tcPr>
            <w:tcW w:w="691" w:type="dxa"/>
            <w:noWrap/>
          </w:tcPr>
          <w:p>
            <w:pPr>
              <w:ind w:left="-105" w:leftChars="-50" w:right="-105" w:rightChars="-50"/>
              <w:jc w:val="center"/>
              <w:rPr>
                <w:rFonts w:ascii="宋体" w:hAnsi="宋体"/>
                <w:sz w:val="24"/>
              </w:rPr>
            </w:pPr>
          </w:p>
        </w:tc>
        <w:tc>
          <w:tcPr>
            <w:tcW w:w="829" w:type="dxa"/>
            <w:noWrap/>
          </w:tcPr>
          <w:p>
            <w:pPr>
              <w:ind w:left="-105" w:leftChars="-50" w:right="-105" w:rightChars="-50"/>
              <w:jc w:val="center"/>
              <w:rPr>
                <w:rFonts w:ascii="宋体" w:hAnsi="宋体"/>
                <w:sz w:val="24"/>
              </w:rPr>
            </w:pPr>
          </w:p>
        </w:tc>
        <w:tc>
          <w:tcPr>
            <w:tcW w:w="690" w:type="dxa"/>
            <w:noWrap/>
          </w:tcPr>
          <w:p>
            <w:pPr>
              <w:ind w:left="-105" w:leftChars="-50" w:right="-105" w:rightChars="-50"/>
              <w:jc w:val="center"/>
              <w:rPr>
                <w:rFonts w:ascii="宋体" w:hAnsi="宋体"/>
                <w:sz w:val="24"/>
              </w:rPr>
            </w:pPr>
          </w:p>
        </w:tc>
        <w:tc>
          <w:tcPr>
            <w:tcW w:w="691" w:type="dxa"/>
            <w:noWrap/>
          </w:tcPr>
          <w:p>
            <w:pPr>
              <w:ind w:left="-105" w:leftChars="-50" w:right="-105" w:rightChars="-50"/>
              <w:jc w:val="center"/>
              <w:rPr>
                <w:rFonts w:ascii="宋体" w:hAnsi="宋体"/>
                <w:sz w:val="24"/>
              </w:rPr>
            </w:pPr>
          </w:p>
        </w:tc>
        <w:tc>
          <w:tcPr>
            <w:tcW w:w="769" w:type="dxa"/>
            <w:noWrap/>
            <w:vAlign w:val="center"/>
          </w:tcPr>
          <w:p>
            <w:pPr>
              <w:ind w:left="-105" w:leftChars="-50" w:right="-105" w:rightChars="-5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522" w:type="dxa"/>
            <w:noWrap/>
          </w:tcPr>
          <w:p>
            <w:pPr>
              <w:spacing w:line="600" w:lineRule="exact"/>
              <w:ind w:left="120" w:hanging="120" w:hangingChars="50"/>
              <w:rPr>
                <w:rFonts w:ascii="仿宋_GB2312"/>
                <w:sz w:val="30"/>
                <w:szCs w:val="30"/>
              </w:rPr>
            </w:pPr>
            <w:r>
              <w:rPr>
                <w:rFonts w:hint="eastAsia" w:ascii="宋体" w:hAnsi="宋体"/>
                <w:sz w:val="24"/>
              </w:rPr>
              <w:t>月考核得分</w:t>
            </w:r>
          </w:p>
        </w:tc>
        <w:tc>
          <w:tcPr>
            <w:tcW w:w="514" w:type="dxa"/>
            <w:gridSpan w:val="2"/>
            <w:noWrap/>
          </w:tcPr>
          <w:p>
            <w:pPr>
              <w:spacing w:line="600" w:lineRule="exact"/>
              <w:ind w:left="150" w:hanging="150" w:hangingChars="50"/>
              <w:rPr>
                <w:rFonts w:ascii="仿宋_GB2312"/>
                <w:sz w:val="30"/>
                <w:szCs w:val="30"/>
              </w:rPr>
            </w:pPr>
          </w:p>
        </w:tc>
        <w:tc>
          <w:tcPr>
            <w:tcW w:w="496" w:type="dxa"/>
            <w:noWrap/>
          </w:tcPr>
          <w:p>
            <w:pPr>
              <w:spacing w:line="600" w:lineRule="exact"/>
              <w:ind w:left="150" w:hanging="150" w:hangingChars="50"/>
              <w:rPr>
                <w:rFonts w:ascii="仿宋_GB2312"/>
                <w:sz w:val="30"/>
                <w:szCs w:val="30"/>
              </w:rPr>
            </w:pPr>
          </w:p>
        </w:tc>
        <w:tc>
          <w:tcPr>
            <w:tcW w:w="513" w:type="dxa"/>
            <w:gridSpan w:val="2"/>
            <w:noWrap/>
          </w:tcPr>
          <w:p>
            <w:pPr>
              <w:spacing w:line="600" w:lineRule="exact"/>
              <w:ind w:left="150" w:hanging="150" w:hangingChars="50"/>
              <w:rPr>
                <w:rFonts w:ascii="仿宋_GB2312"/>
                <w:sz w:val="30"/>
                <w:szCs w:val="30"/>
              </w:rPr>
            </w:pPr>
          </w:p>
        </w:tc>
        <w:tc>
          <w:tcPr>
            <w:tcW w:w="496" w:type="dxa"/>
            <w:noWrap/>
          </w:tcPr>
          <w:p>
            <w:pPr>
              <w:spacing w:line="600" w:lineRule="exact"/>
              <w:ind w:left="150" w:hanging="150" w:hangingChars="50"/>
              <w:rPr>
                <w:rFonts w:ascii="仿宋_GB2312"/>
                <w:sz w:val="30"/>
                <w:szCs w:val="30"/>
              </w:rPr>
            </w:pPr>
          </w:p>
        </w:tc>
        <w:tc>
          <w:tcPr>
            <w:tcW w:w="514" w:type="dxa"/>
            <w:gridSpan w:val="2"/>
            <w:noWrap/>
          </w:tcPr>
          <w:p>
            <w:pPr>
              <w:spacing w:line="600" w:lineRule="exact"/>
              <w:ind w:left="150" w:hanging="150" w:hangingChars="50"/>
              <w:rPr>
                <w:rFonts w:ascii="仿宋_GB2312"/>
                <w:sz w:val="30"/>
                <w:szCs w:val="30"/>
              </w:rPr>
            </w:pPr>
          </w:p>
        </w:tc>
        <w:tc>
          <w:tcPr>
            <w:tcW w:w="685" w:type="dxa"/>
            <w:noWrap/>
          </w:tcPr>
          <w:p>
            <w:pPr>
              <w:spacing w:line="600" w:lineRule="exact"/>
              <w:ind w:left="150" w:hanging="150" w:hangingChars="50"/>
              <w:rPr>
                <w:rFonts w:ascii="仿宋_GB2312"/>
                <w:sz w:val="30"/>
                <w:szCs w:val="30"/>
              </w:rPr>
            </w:pPr>
          </w:p>
        </w:tc>
        <w:tc>
          <w:tcPr>
            <w:tcW w:w="690" w:type="dxa"/>
            <w:noWrap/>
          </w:tcPr>
          <w:p>
            <w:pPr>
              <w:spacing w:line="600" w:lineRule="exact"/>
              <w:ind w:left="150" w:hanging="150" w:hangingChars="50"/>
              <w:rPr>
                <w:rFonts w:ascii="仿宋_GB2312"/>
                <w:sz w:val="30"/>
                <w:szCs w:val="30"/>
              </w:rPr>
            </w:pPr>
          </w:p>
        </w:tc>
        <w:tc>
          <w:tcPr>
            <w:tcW w:w="691" w:type="dxa"/>
            <w:noWrap/>
          </w:tcPr>
          <w:p>
            <w:pPr>
              <w:spacing w:line="600" w:lineRule="exact"/>
              <w:ind w:left="150" w:hanging="150" w:hangingChars="50"/>
              <w:rPr>
                <w:rFonts w:ascii="仿宋_GB2312"/>
                <w:sz w:val="30"/>
                <w:szCs w:val="30"/>
              </w:rPr>
            </w:pPr>
          </w:p>
        </w:tc>
        <w:tc>
          <w:tcPr>
            <w:tcW w:w="829" w:type="dxa"/>
            <w:noWrap/>
          </w:tcPr>
          <w:p>
            <w:pPr>
              <w:spacing w:line="600" w:lineRule="exact"/>
              <w:ind w:left="150" w:hanging="150" w:hangingChars="50"/>
              <w:rPr>
                <w:rFonts w:ascii="仿宋_GB2312"/>
                <w:sz w:val="30"/>
                <w:szCs w:val="30"/>
              </w:rPr>
            </w:pPr>
          </w:p>
        </w:tc>
        <w:tc>
          <w:tcPr>
            <w:tcW w:w="690" w:type="dxa"/>
            <w:noWrap/>
          </w:tcPr>
          <w:p>
            <w:pPr>
              <w:spacing w:line="600" w:lineRule="exact"/>
              <w:ind w:left="150" w:hanging="150" w:hangingChars="50"/>
              <w:rPr>
                <w:rFonts w:ascii="仿宋_GB2312"/>
                <w:sz w:val="30"/>
                <w:szCs w:val="30"/>
              </w:rPr>
            </w:pPr>
          </w:p>
        </w:tc>
        <w:tc>
          <w:tcPr>
            <w:tcW w:w="691" w:type="dxa"/>
            <w:noWrap/>
          </w:tcPr>
          <w:p>
            <w:pPr>
              <w:spacing w:line="600" w:lineRule="exact"/>
              <w:ind w:left="150" w:hanging="150" w:hangingChars="50"/>
              <w:rPr>
                <w:rFonts w:ascii="仿宋_GB2312"/>
                <w:sz w:val="30"/>
                <w:szCs w:val="30"/>
              </w:rPr>
            </w:pPr>
          </w:p>
        </w:tc>
        <w:tc>
          <w:tcPr>
            <w:tcW w:w="769" w:type="dxa"/>
            <w:noWra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1522" w:type="dxa"/>
            <w:noWrap/>
          </w:tcPr>
          <w:p>
            <w:pPr>
              <w:spacing w:line="600" w:lineRule="exact"/>
              <w:ind w:left="120" w:hanging="120" w:hangingChars="50"/>
              <w:rPr>
                <w:rFonts w:ascii="宋体" w:hAnsi="宋体"/>
                <w:sz w:val="24"/>
              </w:rPr>
            </w:pPr>
            <w:r>
              <w:rPr>
                <w:rFonts w:hint="eastAsia" w:ascii="宋体" w:hAnsi="宋体"/>
                <w:sz w:val="24"/>
              </w:rPr>
              <w:t>年度考核</w:t>
            </w:r>
          </w:p>
          <w:p>
            <w:pPr>
              <w:spacing w:line="600" w:lineRule="exact"/>
              <w:ind w:left="120" w:hanging="120" w:hangingChars="50"/>
              <w:rPr>
                <w:rFonts w:ascii="仿宋_GB2312"/>
                <w:sz w:val="30"/>
                <w:szCs w:val="30"/>
              </w:rPr>
            </w:pPr>
            <w:r>
              <w:rPr>
                <w:rFonts w:hint="eastAsia" w:ascii="宋体" w:hAnsi="宋体"/>
                <w:sz w:val="24"/>
              </w:rPr>
              <w:t>得分</w:t>
            </w:r>
          </w:p>
        </w:tc>
        <w:tc>
          <w:tcPr>
            <w:tcW w:w="7578" w:type="dxa"/>
            <w:gridSpan w:val="15"/>
            <w:noWrap/>
          </w:tcPr>
          <w:p>
            <w:pPr>
              <w:spacing w:line="600" w:lineRule="exact"/>
              <w:ind w:left="150" w:hanging="150" w:hangingChars="50"/>
              <w:rPr>
                <w:rFonts w:ascii="仿宋_GB2312"/>
                <w:sz w:val="30"/>
                <w:szCs w:val="30"/>
              </w:rPr>
            </w:pPr>
          </w:p>
        </w:tc>
      </w:tr>
    </w:tbl>
    <w:p>
      <w:pPr>
        <w:spacing w:line="600" w:lineRule="exact"/>
        <w:ind w:left="120" w:hanging="120" w:hangingChars="50"/>
        <w:rPr>
          <w:rFonts w:ascii="仿宋_GB2312"/>
          <w:sz w:val="24"/>
        </w:rPr>
      </w:pPr>
      <w:r>
        <w:rPr>
          <w:rFonts w:hint="eastAsia" w:ascii="仿宋_GB2312"/>
          <w:sz w:val="24"/>
        </w:rPr>
        <w:t>算人员：计算日期：</w:t>
      </w:r>
      <w:r>
        <w:rPr>
          <w:rFonts w:ascii="仿宋_GB2312"/>
          <w:sz w:val="24"/>
        </w:rPr>
        <w:t xml:space="preserve">20   </w:t>
      </w:r>
      <w:r>
        <w:rPr>
          <w:rFonts w:hint="eastAsia" w:ascii="仿宋_GB2312"/>
          <w:sz w:val="24"/>
        </w:rPr>
        <w:t>年月日</w:t>
      </w:r>
    </w:p>
    <w:p>
      <w:pPr>
        <w:spacing w:line="600" w:lineRule="exact"/>
        <w:rPr>
          <w:rFonts w:ascii="仿宋_GB2312"/>
          <w:sz w:val="24"/>
        </w:rPr>
      </w:pPr>
      <w:r>
        <w:rPr>
          <w:rFonts w:hint="eastAsia" w:ascii="仿宋_GB2312"/>
          <w:sz w:val="24"/>
        </w:rPr>
        <w:t>复核人员：</w:t>
      </w:r>
    </w:p>
    <w:p>
      <w:pPr>
        <w:spacing w:line="600" w:lineRule="exact"/>
        <w:rPr>
          <w:rFonts w:ascii="黑体" w:hAnsi="宋体" w:eastAsia="黑体"/>
          <w:sz w:val="24"/>
        </w:rPr>
      </w:pPr>
      <w:r>
        <w:rPr>
          <w:rFonts w:hint="eastAsia" w:ascii="仿宋_GB2312"/>
          <w:sz w:val="24"/>
        </w:rPr>
        <w:t>年度考核得分=12个月的月度考核得分的算术平均值（保留两位小数）</w:t>
      </w:r>
    </w:p>
    <w:p>
      <w:pPr>
        <w:rPr>
          <w:rFonts w:ascii="宋体" w:hAnsi="宋体"/>
          <w:color w:val="FF0000"/>
          <w:sz w:val="24"/>
        </w:rPr>
      </w:pPr>
      <w:r>
        <w:rPr>
          <w:rFonts w:hint="eastAsia" w:ascii="宋体" w:hAnsi="宋体"/>
          <w:color w:val="FF0000"/>
          <w:sz w:val="24"/>
        </w:rPr>
        <w:t>备注：年度考核为90分及以上为优秀，每低0.01分，从履约保证金中扣100元，80分以下为不合格。招标人有权解除合同，并要求中标人赔偿损失。</w:t>
      </w:r>
    </w:p>
    <w:p>
      <w:pPr>
        <w:rPr>
          <w:rFonts w:ascii="宋体" w:hAnsi="宋体"/>
          <w:sz w:val="28"/>
          <w:szCs w:val="28"/>
        </w:rPr>
      </w:pPr>
    </w:p>
    <w:p>
      <w:pPr>
        <w:spacing w:beforeLines="50" w:afterLines="50"/>
        <w:jc w:val="center"/>
        <w:outlineLvl w:val="0"/>
        <w:rPr>
          <w:rFonts w:ascii="仿宋" w:hAnsi="仿宋" w:eastAsia="仿宋" w:cs="仿宋"/>
          <w:b/>
          <w:bCs/>
          <w:sz w:val="24"/>
        </w:rPr>
      </w:pPr>
    </w:p>
    <w:p>
      <w:pPr>
        <w:spacing w:beforeLines="50" w:afterLines="50"/>
        <w:outlineLvl w:val="0"/>
        <w:rPr>
          <w:rFonts w:ascii="仿宋" w:hAnsi="仿宋" w:eastAsia="仿宋" w:cs="仿宋"/>
          <w:b/>
          <w:bCs/>
          <w:sz w:val="24"/>
        </w:rPr>
      </w:pPr>
    </w:p>
    <w:p>
      <w:pPr>
        <w:spacing w:beforeLines="50" w:afterLines="50"/>
        <w:jc w:val="center"/>
        <w:outlineLvl w:val="0"/>
        <w:rPr>
          <w:rFonts w:hint="eastAsia" w:asciiTheme="minorEastAsia" w:hAnsiTheme="minorEastAsia" w:eastAsiaTheme="minorEastAsia" w:cstheme="minorEastAsia"/>
          <w:b/>
          <w:bCs/>
          <w:sz w:val="28"/>
          <w:szCs w:val="28"/>
        </w:rPr>
      </w:pPr>
      <w:bookmarkStart w:id="211" w:name="_Toc3537"/>
      <w:r>
        <w:rPr>
          <w:rFonts w:hint="eastAsia" w:asciiTheme="minorEastAsia" w:hAnsiTheme="minorEastAsia" w:eastAsiaTheme="minorEastAsia" w:cstheme="minorEastAsia"/>
          <w:b/>
          <w:bCs/>
          <w:sz w:val="28"/>
          <w:szCs w:val="28"/>
        </w:rPr>
        <w:t>第四章、评标办法及评分标准</w:t>
      </w:r>
      <w:bookmarkEnd w:id="205"/>
      <w:bookmarkEnd w:id="206"/>
      <w:bookmarkEnd w:id="207"/>
      <w:bookmarkEnd w:id="208"/>
      <w:bookmarkEnd w:id="209"/>
      <w:bookmarkEnd w:id="210"/>
      <w:bookmarkEnd w:id="211"/>
    </w:p>
    <w:p>
      <w:pPr>
        <w:adjustRightInd w:val="0"/>
        <w:snapToGrid w:val="0"/>
        <w:spacing w:line="4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为公正、公平、科学地选择中标人，根据《中华人民共和国政府采购法》等有关法律法规的规定，并结合本项目的实际，制定本办法。</w:t>
      </w:r>
    </w:p>
    <w:p>
      <w:pPr>
        <w:adjustRightInd w:val="0"/>
        <w:snapToGrid w:val="0"/>
        <w:spacing w:line="400" w:lineRule="exact"/>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sz w:val="24"/>
        </w:rPr>
        <w:t>本办法适用于</w:t>
      </w:r>
      <w:r>
        <w:rPr>
          <w:rFonts w:hint="eastAsia" w:asciiTheme="minorEastAsia" w:hAnsiTheme="minorEastAsia" w:eastAsiaTheme="minorEastAsia" w:cstheme="minorEastAsia"/>
          <w:b/>
          <w:sz w:val="24"/>
          <w:lang w:eastAsia="zh-CN"/>
        </w:rPr>
        <w:t>湖东街道零星维修项目</w:t>
      </w:r>
      <w:r>
        <w:rPr>
          <w:rFonts w:hint="eastAsia" w:asciiTheme="minorEastAsia" w:hAnsiTheme="minorEastAsia" w:eastAsiaTheme="minorEastAsia" w:cstheme="minorEastAsia"/>
          <w:bCs/>
          <w:sz w:val="24"/>
        </w:rPr>
        <w:t>的评标。</w:t>
      </w:r>
    </w:p>
    <w:p>
      <w:pPr>
        <w:pStyle w:val="4"/>
        <w:keepNext w:val="0"/>
        <w:keepLines w:val="0"/>
        <w:numPr>
          <w:ilvl w:val="0"/>
          <w:numId w:val="0"/>
        </w:numPr>
        <w:spacing w:before="0" w:after="0" w:line="400" w:lineRule="exact"/>
        <w:rPr>
          <w:rFonts w:hint="eastAsia" w:asciiTheme="minorEastAsia" w:hAnsiTheme="minorEastAsia" w:eastAsiaTheme="minorEastAsia" w:cstheme="minorEastAsia"/>
          <w:sz w:val="24"/>
          <w:szCs w:val="24"/>
        </w:rPr>
      </w:pPr>
      <w:bookmarkStart w:id="212" w:name="_Toc424544541"/>
      <w:bookmarkStart w:id="213" w:name="_Toc26414"/>
      <w:bookmarkStart w:id="214" w:name="_Toc424544820"/>
      <w:r>
        <w:rPr>
          <w:rFonts w:hint="eastAsia" w:asciiTheme="minorEastAsia" w:hAnsiTheme="minorEastAsia" w:eastAsiaTheme="minorEastAsia" w:cstheme="minorEastAsia"/>
          <w:sz w:val="24"/>
          <w:szCs w:val="24"/>
        </w:rPr>
        <w:t>一、总则</w:t>
      </w:r>
      <w:bookmarkEnd w:id="212"/>
      <w:bookmarkEnd w:id="213"/>
      <w:bookmarkEnd w:id="214"/>
    </w:p>
    <w:p>
      <w:pPr>
        <w:spacing w:line="400" w:lineRule="exact"/>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次评标采用综合评分法，总分为100分，其中价格分30分、技术分、商务及资信分70分等三部分。合格投标人的评标得分为各项目汇总得分，评分得分最高的投标人为中标人。中标候选资格按评标得分由高到低顺序排列，得分相同的，按投标报价由低到高顺序排列；得分且投标报价相同的，按技术得分由高到低顺序排列。排名第一的投标人为第一中标候选人,其他投标人中标候选资格依此类推。第一中标候选人放弃中标或者因不可抗力提出不能履行合同，采购人可以确定第二中标候选人为中标人，排名第二的中标候选人因前款同样的原因不能签订合同，采购人可以确定排名第三的中标候选人为中标人。</w:t>
      </w:r>
      <w:r>
        <w:rPr>
          <w:rFonts w:hint="eastAsia" w:asciiTheme="minorEastAsia" w:hAnsiTheme="minorEastAsia" w:eastAsiaTheme="minorEastAsia" w:cstheme="minorEastAsia"/>
          <w:bCs/>
          <w:sz w:val="24"/>
        </w:rPr>
        <w:t>评分过程中采用四舍五入法，并保留小数2位。</w:t>
      </w:r>
    </w:p>
    <w:p>
      <w:pPr>
        <w:spacing w:line="400" w:lineRule="exact"/>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供应商评标综合得分=价格分+(技术、商务分+资信及其他分)</w:t>
      </w:r>
    </w:p>
    <w:p>
      <w:pPr>
        <w:spacing w:line="400" w:lineRule="exac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 xml:space="preserve">二、评标内容及标准 </w:t>
      </w:r>
    </w:p>
    <w:p>
      <w:pPr>
        <w:spacing w:beforeLines="50" w:afterLines="50"/>
        <w:ind w:firstLine="472" w:firstLineChars="196"/>
        <w:rPr>
          <w:rFonts w:hint="eastAsia" w:asciiTheme="minorEastAsia" w:hAnsiTheme="minorEastAsia" w:eastAsiaTheme="minorEastAsia" w:cstheme="minorEastAsia"/>
          <w:b/>
          <w:bCs/>
          <w:sz w:val="24"/>
        </w:rPr>
      </w:pPr>
      <w:bookmarkStart w:id="215" w:name="_Toc424544823"/>
      <w:bookmarkStart w:id="216" w:name="_Toc293917028"/>
      <w:bookmarkStart w:id="217" w:name="_Toc293916029"/>
      <w:bookmarkStart w:id="218" w:name="_Toc424544544"/>
      <w:bookmarkStart w:id="219" w:name="_Toc293916978"/>
      <w:bookmarkStart w:id="220" w:name="_Toc293916380"/>
      <w:r>
        <w:rPr>
          <w:rFonts w:hint="eastAsia" w:asciiTheme="minorEastAsia" w:hAnsiTheme="minorEastAsia" w:eastAsiaTheme="minorEastAsia" w:cstheme="minorEastAsia"/>
          <w:b/>
          <w:bCs/>
          <w:sz w:val="24"/>
        </w:rPr>
        <w:t>（1）价格分（30分）</w:t>
      </w:r>
    </w:p>
    <w:p>
      <w:pPr>
        <w:spacing w:beforeLines="50" w:afterLines="50" w:line="4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价格分采用低价优先法计算，即满足招标文件要求且投标价格最低的最终有效投标报价为评标基准价，其他投标人的价格分按照下列公式计算：</w:t>
      </w:r>
    </w:p>
    <w:p>
      <w:pPr>
        <w:spacing w:beforeLines="50" w:afterLines="50" w:line="4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价格分=（评标基准价/投标报价）×30%×100</w:t>
      </w:r>
    </w:p>
    <w:p>
      <w:pPr>
        <w:spacing w:beforeLines="50" w:afterLines="50" w:line="400" w:lineRule="exact"/>
        <w:ind w:firstLine="472" w:firstLineChars="196"/>
        <w:rPr>
          <w:rFonts w:hint="eastAsia"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（2）</w:t>
      </w:r>
      <w:r>
        <w:rPr>
          <w:rFonts w:hint="eastAsia" w:asciiTheme="minorEastAsia" w:hAnsiTheme="minorEastAsia" w:eastAsiaTheme="minorEastAsia" w:cstheme="minorEastAsia"/>
          <w:b/>
          <w:bCs/>
          <w:color w:val="000000"/>
          <w:sz w:val="24"/>
          <w:shd w:val="clear" w:color="auto" w:fill="FFFFFF"/>
        </w:rPr>
        <w:t>技术分、商务、资信及其他分，</w:t>
      </w:r>
      <w:r>
        <w:rPr>
          <w:rFonts w:hint="eastAsia" w:asciiTheme="minorEastAsia" w:hAnsiTheme="minorEastAsia" w:eastAsiaTheme="minorEastAsia" w:cstheme="minorEastAsia"/>
          <w:b/>
          <w:bCs/>
          <w:color w:val="000000"/>
          <w:sz w:val="24"/>
        </w:rPr>
        <w:t>共70分</w:t>
      </w:r>
    </w:p>
    <w:p>
      <w:pPr>
        <w:spacing w:beforeLines="50" w:afterLines="50"/>
        <w:ind w:firstLine="472" w:firstLineChars="196"/>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（3）技术、商务、资信及其他分的计算</w:t>
      </w:r>
    </w:p>
    <w:p>
      <w:pPr>
        <w:spacing w:beforeLines="50" w:afterLines="50" w:line="4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技术、商务、资信及其他分按照评标委员会成员的独立评分结果汇总数，计算公式为：</w:t>
      </w:r>
    </w:p>
    <w:p>
      <w:pPr>
        <w:spacing w:beforeLines="50" w:afterLines="50"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技术、商务、资信及其他分=评标委员会所有成员评分合计数/评标委员会组成人员数</w:t>
      </w:r>
    </w:p>
    <w:p>
      <w:pPr>
        <w:snapToGrid w:val="0"/>
        <w:spacing w:beforeLines="50" w:afterLines="50" w:line="400" w:lineRule="exact"/>
        <w:ind w:firstLine="482" w:firstLineChars="200"/>
        <w:jc w:val="both"/>
        <w:outlineLvl w:val="0"/>
        <w:rPr>
          <w:rFonts w:hint="eastAsia" w:asciiTheme="minorEastAsia" w:hAnsiTheme="minorEastAsia" w:eastAsiaTheme="minorEastAsia" w:cstheme="minorEastAsia"/>
          <w:b/>
          <w:color w:val="auto"/>
          <w:sz w:val="24"/>
          <w:szCs w:val="24"/>
        </w:rPr>
      </w:pPr>
      <w:r>
        <w:rPr>
          <w:rFonts w:hint="eastAsia" w:asciiTheme="majorEastAsia" w:hAnsiTheme="majorEastAsia" w:eastAsiaTheme="majorEastAsia" w:cstheme="majorEastAsia"/>
          <w:b/>
          <w:bCs/>
          <w:color w:val="auto"/>
          <w:sz w:val="24"/>
          <w:szCs w:val="24"/>
          <w:lang w:val="en-US" w:eastAsia="zh-CN"/>
        </w:rPr>
        <w:t>注：本项目标项一、标项二、标项三因实施的片区和实施的工作内容不同，同一投标人对每个标项技术、资信等都要有针对性，雷同的投标文件评审的分数不一定相同。</w:t>
      </w:r>
    </w:p>
    <w:p>
      <w:pPr>
        <w:spacing w:beforeLines="50" w:afterLines="50" w:line="400" w:lineRule="exact"/>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2、技术标评定：70分</w:t>
      </w:r>
    </w:p>
    <w:p>
      <w:pPr>
        <w:spacing w:beforeLines="50" w:afterLines="5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标项一、二：</w:t>
      </w:r>
    </w:p>
    <w:p>
      <w:pPr>
        <w:spacing w:beforeLines="50" w:afterLines="50"/>
        <w:rPr>
          <w:rFonts w:ascii="宋体" w:hAnsi="宋体"/>
          <w:b/>
          <w:sz w:val="24"/>
        </w:rPr>
      </w:pPr>
      <w:r>
        <w:rPr>
          <w:rFonts w:hint="eastAsia" w:ascii="宋体" w:hAnsi="宋体"/>
          <w:b/>
          <w:sz w:val="24"/>
        </w:rPr>
        <w:t>附件：评分表格式（技术、商务、资信及其他分，共70分）</w:t>
      </w:r>
    </w:p>
    <w:tbl>
      <w:tblPr>
        <w:tblStyle w:val="2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08"/>
        <w:gridCol w:w="1111"/>
        <w:gridCol w:w="6697"/>
        <w:gridCol w:w="7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6" w:hRule="atLeast"/>
          <w:jc w:val="center"/>
        </w:trPr>
        <w:tc>
          <w:tcPr>
            <w:tcW w:w="1108" w:type="dxa"/>
            <w:tcBorders>
              <w:top w:val="single" w:color="auto" w:sz="4" w:space="0"/>
              <w:bottom w:val="single" w:color="auto" w:sz="4" w:space="0"/>
              <w:right w:val="single" w:color="auto" w:sz="4" w:space="0"/>
            </w:tcBorders>
            <w:noWrap/>
            <w:vAlign w:val="center"/>
          </w:tcPr>
          <w:p>
            <w:pPr>
              <w:pStyle w:val="19"/>
              <w:spacing w:line="220" w:lineRule="exact"/>
              <w:ind w:left="-105" w:leftChars="-50" w:right="-105" w:rightChars="-50" w:firstLine="0" w:firstLineChars="0"/>
              <w:jc w:val="center"/>
              <w:rPr>
                <w:rFonts w:ascii="宋体"/>
                <w:b/>
                <w:bCs/>
                <w:sz w:val="21"/>
                <w:szCs w:val="21"/>
              </w:rPr>
            </w:pPr>
            <w:r>
              <w:rPr>
                <w:rFonts w:hint="eastAsia" w:ascii="宋体"/>
                <w:b/>
                <w:bCs/>
                <w:sz w:val="21"/>
                <w:szCs w:val="21"/>
              </w:rPr>
              <w:t>序号</w:t>
            </w:r>
          </w:p>
        </w:tc>
        <w:tc>
          <w:tcPr>
            <w:tcW w:w="1111" w:type="dxa"/>
            <w:tcBorders>
              <w:top w:val="single" w:color="auto" w:sz="4" w:space="0"/>
              <w:left w:val="single" w:color="auto" w:sz="4" w:space="0"/>
              <w:bottom w:val="single" w:color="auto" w:sz="4" w:space="0"/>
              <w:right w:val="single" w:color="auto" w:sz="4" w:space="0"/>
            </w:tcBorders>
            <w:noWrap/>
            <w:vAlign w:val="center"/>
          </w:tcPr>
          <w:p>
            <w:pPr>
              <w:pStyle w:val="19"/>
              <w:spacing w:line="220" w:lineRule="exact"/>
              <w:ind w:firstLine="0" w:firstLineChars="0"/>
              <w:jc w:val="center"/>
              <w:rPr>
                <w:rFonts w:ascii="宋体"/>
                <w:b/>
                <w:bCs/>
                <w:sz w:val="21"/>
                <w:szCs w:val="21"/>
              </w:rPr>
            </w:pPr>
            <w:r>
              <w:rPr>
                <w:rFonts w:hint="eastAsia" w:ascii="宋体"/>
                <w:b/>
                <w:bCs/>
                <w:sz w:val="21"/>
                <w:szCs w:val="21"/>
              </w:rPr>
              <w:t>评审内容</w:t>
            </w:r>
          </w:p>
        </w:tc>
        <w:tc>
          <w:tcPr>
            <w:tcW w:w="6697" w:type="dxa"/>
            <w:tcBorders>
              <w:top w:val="single" w:color="auto" w:sz="4" w:space="0"/>
              <w:left w:val="single" w:color="auto" w:sz="4" w:space="0"/>
              <w:bottom w:val="single" w:color="auto" w:sz="4" w:space="0"/>
              <w:right w:val="single" w:color="auto" w:sz="4" w:space="0"/>
            </w:tcBorders>
            <w:noWrap/>
            <w:vAlign w:val="center"/>
          </w:tcPr>
          <w:p>
            <w:pPr>
              <w:pStyle w:val="19"/>
              <w:spacing w:line="220" w:lineRule="exact"/>
              <w:ind w:firstLine="422"/>
              <w:jc w:val="center"/>
              <w:rPr>
                <w:rFonts w:ascii="宋体"/>
                <w:b/>
                <w:bCs/>
                <w:sz w:val="21"/>
                <w:szCs w:val="21"/>
              </w:rPr>
            </w:pPr>
            <w:r>
              <w:rPr>
                <w:rFonts w:hint="eastAsia" w:ascii="宋体"/>
                <w:b/>
                <w:bCs/>
                <w:sz w:val="21"/>
                <w:szCs w:val="21"/>
              </w:rPr>
              <w:t>评分标准</w:t>
            </w:r>
          </w:p>
        </w:tc>
        <w:tc>
          <w:tcPr>
            <w:tcW w:w="782" w:type="dxa"/>
            <w:tcBorders>
              <w:top w:val="single" w:color="auto" w:sz="4" w:space="0"/>
              <w:left w:val="single" w:color="auto" w:sz="4" w:space="0"/>
              <w:bottom w:val="single" w:color="auto" w:sz="4" w:space="0"/>
            </w:tcBorders>
            <w:noWrap/>
            <w:vAlign w:val="center"/>
          </w:tcPr>
          <w:p>
            <w:pPr>
              <w:pStyle w:val="19"/>
              <w:spacing w:line="220" w:lineRule="exact"/>
              <w:ind w:firstLine="0" w:firstLineChars="0"/>
              <w:jc w:val="center"/>
              <w:rPr>
                <w:rFonts w:ascii="宋体"/>
                <w:b/>
                <w:bCs/>
                <w:sz w:val="21"/>
                <w:szCs w:val="21"/>
              </w:rPr>
            </w:pPr>
            <w:r>
              <w:rPr>
                <w:rFonts w:hint="eastAsia" w:ascii="宋体"/>
                <w:b/>
                <w:bCs/>
                <w:sz w:val="21"/>
                <w:szCs w:val="21"/>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108" w:type="dxa"/>
            <w:tcBorders>
              <w:top w:val="single" w:color="auto" w:sz="4" w:space="0"/>
              <w:bottom w:val="single" w:color="auto" w:sz="4" w:space="0"/>
              <w:right w:val="single" w:color="auto" w:sz="4" w:space="0"/>
            </w:tcBorders>
            <w:noWrap/>
            <w:vAlign w:val="center"/>
          </w:tcPr>
          <w:p>
            <w:pPr>
              <w:pStyle w:val="19"/>
              <w:spacing w:line="220" w:lineRule="exact"/>
              <w:ind w:firstLine="0" w:firstLineChars="0"/>
              <w:jc w:val="center"/>
              <w:rPr>
                <w:rFonts w:ascii="宋体"/>
                <w:b/>
                <w:bCs/>
                <w:sz w:val="21"/>
                <w:szCs w:val="21"/>
              </w:rPr>
            </w:pPr>
            <w:r>
              <w:rPr>
                <w:rFonts w:hint="eastAsia" w:ascii="宋体"/>
                <w:b/>
                <w:bCs/>
                <w:sz w:val="21"/>
                <w:szCs w:val="21"/>
              </w:rPr>
              <w:t>一</w:t>
            </w:r>
          </w:p>
        </w:tc>
        <w:tc>
          <w:tcPr>
            <w:tcW w:w="1111" w:type="dxa"/>
            <w:tcBorders>
              <w:top w:val="single" w:color="auto" w:sz="4" w:space="0"/>
              <w:left w:val="single" w:color="auto" w:sz="4" w:space="0"/>
              <w:bottom w:val="single" w:color="auto" w:sz="4" w:space="0"/>
              <w:right w:val="single" w:color="auto" w:sz="4" w:space="0"/>
            </w:tcBorders>
            <w:noWrap/>
            <w:vAlign w:val="center"/>
          </w:tcPr>
          <w:p>
            <w:pPr>
              <w:pStyle w:val="19"/>
              <w:spacing w:line="220" w:lineRule="exact"/>
              <w:ind w:firstLine="0" w:firstLineChars="0"/>
              <w:jc w:val="center"/>
              <w:rPr>
                <w:rFonts w:ascii="宋体"/>
                <w:b/>
                <w:bCs/>
                <w:sz w:val="21"/>
                <w:szCs w:val="21"/>
              </w:rPr>
            </w:pPr>
            <w:r>
              <w:rPr>
                <w:rFonts w:hint="eastAsia" w:ascii="宋体"/>
                <w:b/>
                <w:bCs/>
                <w:sz w:val="21"/>
                <w:szCs w:val="21"/>
              </w:rPr>
              <w:t>技术分</w:t>
            </w:r>
          </w:p>
        </w:tc>
        <w:tc>
          <w:tcPr>
            <w:tcW w:w="6697" w:type="dxa"/>
            <w:tcBorders>
              <w:top w:val="single" w:color="auto" w:sz="4" w:space="0"/>
              <w:left w:val="single" w:color="auto" w:sz="4" w:space="0"/>
              <w:bottom w:val="single" w:color="auto" w:sz="4" w:space="0"/>
              <w:right w:val="single" w:color="auto" w:sz="4" w:space="0"/>
            </w:tcBorders>
            <w:noWrap/>
            <w:vAlign w:val="center"/>
          </w:tcPr>
          <w:p>
            <w:pPr>
              <w:pStyle w:val="19"/>
              <w:spacing w:line="220" w:lineRule="exact"/>
              <w:ind w:firstLine="422"/>
              <w:jc w:val="center"/>
              <w:rPr>
                <w:rFonts w:ascii="宋体"/>
                <w:b/>
                <w:bCs/>
                <w:sz w:val="21"/>
                <w:szCs w:val="21"/>
              </w:rPr>
            </w:pPr>
          </w:p>
        </w:tc>
        <w:tc>
          <w:tcPr>
            <w:tcW w:w="782" w:type="dxa"/>
            <w:tcBorders>
              <w:top w:val="single" w:color="auto" w:sz="4" w:space="0"/>
              <w:left w:val="single" w:color="auto" w:sz="4" w:space="0"/>
              <w:bottom w:val="single" w:color="auto" w:sz="4" w:space="0"/>
            </w:tcBorders>
            <w:noWrap/>
            <w:vAlign w:val="center"/>
          </w:tcPr>
          <w:p>
            <w:pPr>
              <w:pStyle w:val="19"/>
              <w:spacing w:line="220" w:lineRule="exact"/>
              <w:ind w:firstLine="0" w:firstLineChars="0"/>
              <w:jc w:val="center"/>
              <w:rPr>
                <w:rFonts w:ascii="宋体"/>
                <w:b/>
                <w:bCs/>
                <w:sz w:val="21"/>
                <w:szCs w:val="21"/>
              </w:rPr>
            </w:pPr>
            <w:r>
              <w:rPr>
                <w:rFonts w:hint="eastAsia" w:ascii="宋体"/>
                <w:b/>
                <w:bCs/>
                <w:sz w:val="21"/>
                <w:szCs w:val="21"/>
              </w:rPr>
              <w:t>37分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34" w:hRule="atLeast"/>
          <w:jc w:val="center"/>
        </w:trPr>
        <w:tc>
          <w:tcPr>
            <w:tcW w:w="1108" w:type="dxa"/>
            <w:tcBorders>
              <w:top w:val="single" w:color="auto" w:sz="4" w:space="0"/>
              <w:bottom w:val="single" w:color="auto" w:sz="4" w:space="0"/>
              <w:right w:val="single" w:color="auto" w:sz="4" w:space="0"/>
            </w:tcBorders>
            <w:noWrap/>
            <w:vAlign w:val="center"/>
          </w:tcPr>
          <w:p>
            <w:pPr>
              <w:widowControl/>
              <w:spacing w:line="260" w:lineRule="exact"/>
              <w:jc w:val="center"/>
              <w:rPr>
                <w:rFonts w:ascii="宋体"/>
                <w:color w:val="auto"/>
                <w:szCs w:val="21"/>
              </w:rPr>
            </w:pPr>
            <w:r>
              <w:rPr>
                <w:rFonts w:ascii="宋体" w:hAnsi="宋体"/>
                <w:color w:val="auto"/>
                <w:szCs w:val="21"/>
              </w:rPr>
              <w:t>1</w:t>
            </w:r>
          </w:p>
        </w:tc>
        <w:tc>
          <w:tcPr>
            <w:tcW w:w="111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宋体"/>
                <w:color w:val="auto"/>
                <w:szCs w:val="21"/>
              </w:rPr>
            </w:pPr>
            <w:r>
              <w:rPr>
                <w:rFonts w:hint="eastAsia" w:ascii="宋体" w:hAnsi="宋体"/>
                <w:color w:val="auto"/>
                <w:szCs w:val="21"/>
              </w:rPr>
              <w:t>技术方案、工期等</w:t>
            </w:r>
          </w:p>
        </w:tc>
        <w:tc>
          <w:tcPr>
            <w:tcW w:w="6697"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left"/>
              <w:rPr>
                <w:rFonts w:ascii="宋体" w:hAnsi="宋体"/>
                <w:color w:val="auto"/>
                <w:szCs w:val="21"/>
              </w:rPr>
            </w:pPr>
            <w:r>
              <w:rPr>
                <w:rFonts w:ascii="宋体" w:hAnsi="宋体"/>
                <w:color w:val="auto"/>
                <w:szCs w:val="21"/>
              </w:rPr>
              <w:t>1.</w:t>
            </w:r>
            <w:r>
              <w:rPr>
                <w:rFonts w:hint="eastAsia" w:ascii="宋体" w:hAnsi="宋体"/>
                <w:color w:val="auto"/>
                <w:szCs w:val="21"/>
              </w:rPr>
              <w:t>维修、养护方案的合理性、全面性（3分）。</w:t>
            </w:r>
          </w:p>
          <w:p>
            <w:pPr>
              <w:widowControl/>
              <w:spacing w:line="260" w:lineRule="exact"/>
              <w:jc w:val="left"/>
              <w:rPr>
                <w:rFonts w:ascii="宋体" w:hAnsi="宋体"/>
                <w:color w:val="auto"/>
                <w:szCs w:val="21"/>
              </w:rPr>
            </w:pPr>
            <w:r>
              <w:rPr>
                <w:rFonts w:ascii="宋体" w:hAnsi="宋体"/>
                <w:color w:val="auto"/>
                <w:szCs w:val="21"/>
              </w:rPr>
              <w:t>3.</w:t>
            </w:r>
            <w:r>
              <w:rPr>
                <w:rFonts w:hint="eastAsia" w:ascii="宋体" w:hAnsi="宋体"/>
                <w:color w:val="auto"/>
                <w:szCs w:val="21"/>
              </w:rPr>
              <w:t xml:space="preserve"> 保证维修质量的技术方案和措施（4分。</w:t>
            </w:r>
          </w:p>
          <w:p>
            <w:pPr>
              <w:widowControl/>
              <w:spacing w:line="260" w:lineRule="exact"/>
              <w:jc w:val="left"/>
              <w:rPr>
                <w:rFonts w:ascii="宋体" w:hAnsi="宋体"/>
                <w:color w:val="auto"/>
                <w:szCs w:val="21"/>
              </w:rPr>
            </w:pPr>
            <w:r>
              <w:rPr>
                <w:rFonts w:ascii="宋体" w:hAnsi="宋体"/>
                <w:color w:val="auto"/>
                <w:szCs w:val="21"/>
              </w:rPr>
              <w:t>6.</w:t>
            </w:r>
            <w:r>
              <w:rPr>
                <w:rFonts w:hint="eastAsia" w:ascii="宋体" w:hAnsi="宋体"/>
                <w:color w:val="auto"/>
                <w:szCs w:val="21"/>
              </w:rPr>
              <w:t xml:space="preserve"> 安全文明施工措施（3分）。</w:t>
            </w:r>
          </w:p>
          <w:p>
            <w:pPr>
              <w:widowControl/>
              <w:spacing w:line="260" w:lineRule="exact"/>
              <w:jc w:val="left"/>
              <w:rPr>
                <w:rFonts w:ascii="宋体" w:hAnsi="宋体"/>
                <w:color w:val="auto"/>
                <w:szCs w:val="21"/>
              </w:rPr>
            </w:pPr>
            <w:r>
              <w:rPr>
                <w:rFonts w:ascii="宋体" w:hAnsi="宋体"/>
                <w:color w:val="auto"/>
                <w:szCs w:val="21"/>
              </w:rPr>
              <w:t>8.</w:t>
            </w:r>
            <w:r>
              <w:rPr>
                <w:rFonts w:hint="eastAsia" w:ascii="宋体" w:hAnsi="宋体"/>
                <w:color w:val="auto"/>
                <w:szCs w:val="21"/>
              </w:rPr>
              <w:t xml:space="preserve"> 维修、养护过程中与招标人的配合。（3分）</w:t>
            </w:r>
          </w:p>
          <w:p>
            <w:pPr>
              <w:widowControl/>
              <w:spacing w:line="260" w:lineRule="exact"/>
              <w:jc w:val="left"/>
              <w:rPr>
                <w:rFonts w:ascii="宋体"/>
                <w:color w:val="auto"/>
                <w:szCs w:val="21"/>
              </w:rPr>
            </w:pPr>
            <w:r>
              <w:rPr>
                <w:rFonts w:ascii="宋体" w:hAnsi="宋体"/>
                <w:color w:val="auto"/>
                <w:szCs w:val="21"/>
              </w:rPr>
              <w:t>9.</w:t>
            </w:r>
            <w:r>
              <w:rPr>
                <w:rFonts w:hint="eastAsia" w:ascii="宋体" w:hAnsi="宋体"/>
                <w:color w:val="auto"/>
                <w:szCs w:val="21"/>
              </w:rPr>
              <w:t xml:space="preserve"> 对本项目有效的改进措施和合理化建议（3分）。</w:t>
            </w:r>
          </w:p>
        </w:tc>
        <w:tc>
          <w:tcPr>
            <w:tcW w:w="782" w:type="dxa"/>
            <w:tcBorders>
              <w:top w:val="single" w:color="auto" w:sz="4" w:space="0"/>
              <w:left w:val="single" w:color="auto" w:sz="4" w:space="0"/>
              <w:bottom w:val="single" w:color="auto" w:sz="4" w:space="0"/>
            </w:tcBorders>
            <w:noWrap/>
            <w:vAlign w:val="center"/>
          </w:tcPr>
          <w:p>
            <w:pPr>
              <w:pStyle w:val="19"/>
              <w:spacing w:line="260" w:lineRule="exact"/>
              <w:ind w:left="-105" w:leftChars="-50" w:right="-105" w:rightChars="-50" w:firstLine="0" w:firstLineChars="0"/>
              <w:jc w:val="center"/>
              <w:rPr>
                <w:rFonts w:ascii="宋体"/>
                <w:color w:val="auto"/>
                <w:sz w:val="21"/>
                <w:szCs w:val="21"/>
              </w:rPr>
            </w:pPr>
            <w:r>
              <w:rPr>
                <w:rFonts w:ascii="宋体"/>
                <w:color w:val="auto"/>
                <w:sz w:val="21"/>
                <w:szCs w:val="21"/>
              </w:rPr>
              <w:t>0-</w:t>
            </w:r>
            <w:r>
              <w:rPr>
                <w:rFonts w:hint="eastAsia" w:ascii="宋体"/>
                <w:color w:val="auto"/>
                <w:sz w:val="21"/>
                <w:szCs w:val="21"/>
              </w:rPr>
              <w:t>16分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45" w:hRule="atLeast"/>
          <w:jc w:val="center"/>
        </w:trPr>
        <w:tc>
          <w:tcPr>
            <w:tcW w:w="1108" w:type="dxa"/>
            <w:tcBorders>
              <w:top w:val="single" w:color="auto" w:sz="4" w:space="0"/>
              <w:bottom w:val="single" w:color="auto" w:sz="4" w:space="0"/>
              <w:right w:val="single" w:color="auto" w:sz="4" w:space="0"/>
            </w:tcBorders>
            <w:noWrap/>
            <w:vAlign w:val="center"/>
          </w:tcPr>
          <w:p>
            <w:pPr>
              <w:widowControl/>
              <w:spacing w:line="260" w:lineRule="exact"/>
              <w:jc w:val="center"/>
              <w:rPr>
                <w:rFonts w:ascii="宋体" w:hAnsi="宋体"/>
                <w:color w:val="auto"/>
                <w:szCs w:val="21"/>
              </w:rPr>
            </w:pPr>
            <w:r>
              <w:rPr>
                <w:rFonts w:hint="eastAsia" w:ascii="宋体" w:hAnsi="宋体"/>
                <w:color w:val="auto"/>
                <w:szCs w:val="21"/>
              </w:rPr>
              <w:t>2</w:t>
            </w:r>
          </w:p>
        </w:tc>
        <w:tc>
          <w:tcPr>
            <w:tcW w:w="111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color w:val="auto"/>
                <w:szCs w:val="21"/>
              </w:rPr>
            </w:pPr>
            <w:r>
              <w:rPr>
                <w:rFonts w:hint="eastAsia" w:ascii="宋体" w:hAnsi="宋体"/>
                <w:color w:val="auto"/>
                <w:szCs w:val="21"/>
              </w:rPr>
              <w:t>进度计划</w:t>
            </w:r>
          </w:p>
        </w:tc>
        <w:tc>
          <w:tcPr>
            <w:tcW w:w="6697"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left"/>
              <w:rPr>
                <w:rFonts w:ascii="宋体" w:hAnsi="宋体"/>
                <w:color w:val="auto"/>
                <w:szCs w:val="21"/>
              </w:rPr>
            </w:pPr>
            <w:r>
              <w:rPr>
                <w:rFonts w:hint="eastAsia" w:ascii="宋体" w:hAnsi="宋体"/>
                <w:color w:val="auto"/>
                <w:szCs w:val="21"/>
              </w:rPr>
              <w:t>1.投标人承诺在施工前提供详细的进度计划表及网络图，完成各分项进度计划的具体措施和劳动力安排（1分），未承诺的不得分。</w:t>
            </w:r>
          </w:p>
          <w:p>
            <w:pPr>
              <w:widowControl/>
              <w:spacing w:line="260" w:lineRule="exact"/>
              <w:jc w:val="left"/>
              <w:rPr>
                <w:rFonts w:ascii="宋体" w:hAnsi="宋体"/>
                <w:color w:val="auto"/>
                <w:szCs w:val="21"/>
              </w:rPr>
            </w:pPr>
            <w:r>
              <w:rPr>
                <w:rFonts w:hint="eastAsia" w:ascii="宋体" w:hAnsi="宋体"/>
                <w:color w:val="auto"/>
                <w:szCs w:val="21"/>
              </w:rPr>
              <w:t>2. 保证维修施工进度（工期）的方案和措施（4分）</w:t>
            </w:r>
          </w:p>
        </w:tc>
        <w:tc>
          <w:tcPr>
            <w:tcW w:w="782" w:type="dxa"/>
            <w:tcBorders>
              <w:top w:val="single" w:color="auto" w:sz="4" w:space="0"/>
              <w:left w:val="single" w:color="auto" w:sz="4" w:space="0"/>
              <w:bottom w:val="single" w:color="auto" w:sz="4" w:space="0"/>
            </w:tcBorders>
            <w:noWrap/>
            <w:vAlign w:val="center"/>
          </w:tcPr>
          <w:p>
            <w:pPr>
              <w:pStyle w:val="19"/>
              <w:spacing w:line="260" w:lineRule="exact"/>
              <w:ind w:left="-105" w:leftChars="-50" w:right="-105" w:rightChars="-50" w:firstLine="0" w:firstLineChars="0"/>
              <w:jc w:val="center"/>
              <w:rPr>
                <w:rFonts w:ascii="宋体"/>
                <w:color w:val="auto"/>
                <w:sz w:val="21"/>
                <w:szCs w:val="21"/>
              </w:rPr>
            </w:pPr>
            <w:r>
              <w:rPr>
                <w:rFonts w:hint="eastAsia" w:ascii="宋体"/>
                <w:color w:val="auto"/>
                <w:sz w:val="21"/>
                <w:szCs w:val="21"/>
              </w:rPr>
              <w:t>0-5分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15" w:hRule="atLeast"/>
          <w:jc w:val="center"/>
        </w:trPr>
        <w:tc>
          <w:tcPr>
            <w:tcW w:w="1108" w:type="dxa"/>
            <w:tcBorders>
              <w:top w:val="single" w:color="auto" w:sz="4" w:space="0"/>
              <w:bottom w:val="single" w:color="auto" w:sz="4" w:space="0"/>
              <w:right w:val="single" w:color="auto" w:sz="4" w:space="0"/>
            </w:tcBorders>
            <w:noWrap/>
            <w:vAlign w:val="center"/>
          </w:tcPr>
          <w:p>
            <w:pPr>
              <w:widowControl/>
              <w:spacing w:line="260" w:lineRule="exact"/>
              <w:jc w:val="center"/>
              <w:rPr>
                <w:rFonts w:ascii="宋体" w:hAnsi="宋体"/>
                <w:color w:val="auto"/>
                <w:szCs w:val="21"/>
              </w:rPr>
            </w:pPr>
            <w:r>
              <w:rPr>
                <w:rFonts w:hint="eastAsia" w:ascii="宋体" w:hAnsi="宋体"/>
                <w:color w:val="auto"/>
                <w:szCs w:val="21"/>
              </w:rPr>
              <w:t>3</w:t>
            </w:r>
          </w:p>
        </w:tc>
        <w:tc>
          <w:tcPr>
            <w:tcW w:w="111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color w:val="auto"/>
                <w:szCs w:val="21"/>
              </w:rPr>
            </w:pPr>
            <w:r>
              <w:rPr>
                <w:rFonts w:hint="eastAsia" w:ascii="宋体" w:hAnsi="宋体"/>
                <w:color w:val="auto"/>
                <w:sz w:val="24"/>
              </w:rPr>
              <w:t>项目实施人员</w:t>
            </w:r>
          </w:p>
        </w:tc>
        <w:tc>
          <w:tcPr>
            <w:tcW w:w="6697"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left"/>
              <w:rPr>
                <w:rFonts w:ascii="宋体" w:hAnsi="宋体"/>
                <w:color w:val="auto"/>
                <w:szCs w:val="21"/>
              </w:rPr>
            </w:pPr>
            <w:r>
              <w:rPr>
                <w:rFonts w:hint="eastAsia" w:ascii="宋体" w:hAnsi="宋体"/>
                <w:color w:val="auto"/>
                <w:szCs w:val="21"/>
              </w:rPr>
              <w:t xml:space="preserve"> 保证项目维修小组的技术力量和人力资源安排（7分），人员岗位齐备的得2分，驻点人员每个得1分，最多加5分。</w:t>
            </w:r>
          </w:p>
          <w:p>
            <w:pPr>
              <w:widowControl/>
              <w:spacing w:line="260" w:lineRule="exact"/>
              <w:jc w:val="left"/>
              <w:rPr>
                <w:rFonts w:ascii="宋体" w:hAnsi="宋体"/>
                <w:color w:val="auto"/>
                <w:szCs w:val="21"/>
              </w:rPr>
            </w:pPr>
          </w:p>
        </w:tc>
        <w:tc>
          <w:tcPr>
            <w:tcW w:w="782" w:type="dxa"/>
            <w:tcBorders>
              <w:top w:val="single" w:color="auto" w:sz="4" w:space="0"/>
              <w:left w:val="single" w:color="auto" w:sz="4" w:space="0"/>
              <w:bottom w:val="single" w:color="auto" w:sz="4" w:space="0"/>
            </w:tcBorders>
            <w:noWrap/>
            <w:vAlign w:val="center"/>
          </w:tcPr>
          <w:p>
            <w:pPr>
              <w:pStyle w:val="19"/>
              <w:spacing w:line="260" w:lineRule="exact"/>
              <w:ind w:left="-105" w:leftChars="-50" w:right="-105" w:rightChars="-50" w:firstLine="0" w:firstLineChars="0"/>
              <w:jc w:val="center"/>
              <w:rPr>
                <w:rFonts w:ascii="宋体"/>
                <w:color w:val="auto"/>
                <w:sz w:val="21"/>
                <w:szCs w:val="21"/>
              </w:rPr>
            </w:pPr>
            <w:r>
              <w:rPr>
                <w:rFonts w:hint="eastAsia" w:ascii="宋体"/>
                <w:color w:val="auto"/>
                <w:sz w:val="21"/>
                <w:szCs w:val="21"/>
              </w:rPr>
              <w:t>0-7分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89" w:hRule="atLeast"/>
          <w:jc w:val="center"/>
        </w:trPr>
        <w:tc>
          <w:tcPr>
            <w:tcW w:w="1108" w:type="dxa"/>
            <w:tcBorders>
              <w:top w:val="single" w:color="auto" w:sz="4" w:space="0"/>
              <w:bottom w:val="single" w:color="auto" w:sz="4" w:space="0"/>
              <w:right w:val="single" w:color="auto" w:sz="4" w:space="0"/>
            </w:tcBorders>
            <w:noWrap/>
            <w:vAlign w:val="center"/>
          </w:tcPr>
          <w:p>
            <w:pPr>
              <w:widowControl/>
              <w:spacing w:line="260" w:lineRule="exact"/>
              <w:jc w:val="center"/>
              <w:rPr>
                <w:rFonts w:ascii="宋体" w:hAnsi="宋体"/>
                <w:color w:val="auto"/>
                <w:szCs w:val="21"/>
              </w:rPr>
            </w:pPr>
            <w:r>
              <w:rPr>
                <w:rFonts w:hint="eastAsia" w:ascii="宋体" w:hAnsi="宋体"/>
                <w:color w:val="auto"/>
                <w:szCs w:val="21"/>
              </w:rPr>
              <w:t>4</w:t>
            </w:r>
          </w:p>
        </w:tc>
        <w:tc>
          <w:tcPr>
            <w:tcW w:w="111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color w:val="auto"/>
                <w:szCs w:val="21"/>
              </w:rPr>
            </w:pPr>
            <w:r>
              <w:rPr>
                <w:rFonts w:hint="eastAsia" w:ascii="宋体" w:hAnsi="宋体"/>
                <w:color w:val="auto"/>
                <w:sz w:val="24"/>
              </w:rPr>
              <w:t>施工机械设备</w:t>
            </w:r>
          </w:p>
        </w:tc>
        <w:tc>
          <w:tcPr>
            <w:tcW w:w="6697"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left"/>
              <w:rPr>
                <w:rFonts w:hint="eastAsia" w:eastAsia="宋体"/>
                <w:color w:val="auto"/>
                <w:lang w:eastAsia="zh-CN"/>
              </w:rPr>
            </w:pPr>
            <w:r>
              <w:rPr>
                <w:rFonts w:hint="eastAsia" w:ascii="宋体" w:hAnsi="宋体"/>
                <w:color w:val="auto"/>
                <w:szCs w:val="21"/>
              </w:rPr>
              <w:t>施工机械的选用及配置合理性（9分），维修常用的小工具（泥桶、刷子、推车等）齐全0-2分；大型机械配置</w:t>
            </w:r>
            <w:r>
              <w:rPr>
                <w:rFonts w:hint="eastAsia" w:ascii="宋体" w:hAnsi="宋体"/>
                <w:color w:val="auto"/>
                <w:szCs w:val="21"/>
                <w:lang w:eastAsia="zh-CN"/>
              </w:rPr>
              <w:t>（</w:t>
            </w:r>
            <w:r>
              <w:rPr>
                <w:rFonts w:hint="eastAsia" w:ascii="宋体" w:hAnsi="宋体"/>
                <w:color w:val="auto"/>
                <w:szCs w:val="21"/>
                <w:lang w:val="en-US" w:eastAsia="zh-CN"/>
              </w:rPr>
              <w:t>推土机、压路机、摊铺机、铣刨机等</w:t>
            </w:r>
            <w:r>
              <w:rPr>
                <w:rFonts w:hint="eastAsia" w:ascii="宋体" w:hAnsi="宋体"/>
                <w:color w:val="auto"/>
                <w:szCs w:val="21"/>
                <w:lang w:eastAsia="zh-CN"/>
              </w:rPr>
              <w:t>）</w:t>
            </w:r>
            <w:r>
              <w:rPr>
                <w:rFonts w:hint="eastAsia" w:ascii="宋体" w:hAnsi="宋体"/>
                <w:color w:val="auto"/>
                <w:szCs w:val="21"/>
              </w:rPr>
              <w:t>齐全0-3</w:t>
            </w:r>
            <w:r>
              <w:rPr>
                <w:rFonts w:hint="eastAsia" w:ascii="宋体" w:hAnsi="宋体"/>
                <w:color w:val="auto"/>
                <w:szCs w:val="21"/>
                <w:lang w:eastAsia="zh-CN"/>
              </w:rPr>
              <w:t>分</w:t>
            </w:r>
            <w:r>
              <w:rPr>
                <w:rFonts w:hint="eastAsia" w:ascii="宋体" w:hAnsi="宋体"/>
                <w:color w:val="auto"/>
                <w:szCs w:val="21"/>
              </w:rPr>
              <w:t>；不低于2000型沥青搅拌楼，自有</w:t>
            </w:r>
            <w:r>
              <w:rPr>
                <w:rFonts w:hint="eastAsia" w:ascii="宋体" w:hAnsi="宋体"/>
                <w:color w:val="auto"/>
                <w:szCs w:val="21"/>
                <w:lang w:eastAsia="zh-CN"/>
              </w:rPr>
              <w:t>设备</w:t>
            </w:r>
            <w:r>
              <w:rPr>
                <w:rFonts w:hint="eastAsia" w:ascii="宋体" w:hAnsi="宋体"/>
                <w:color w:val="auto"/>
                <w:szCs w:val="21"/>
              </w:rPr>
              <w:t>得4分，租赁得2分</w:t>
            </w:r>
            <w:r>
              <w:rPr>
                <w:rFonts w:hint="eastAsia" w:ascii="宋体" w:hAnsi="宋体"/>
                <w:color w:val="auto"/>
                <w:szCs w:val="21"/>
                <w:lang w:eastAsia="zh-CN"/>
              </w:rPr>
              <w:t>。注：自有设备提供购买发票或者转让合同，租赁需提供租赁合同。</w:t>
            </w:r>
          </w:p>
          <w:p>
            <w:pPr>
              <w:widowControl/>
              <w:spacing w:line="260" w:lineRule="exact"/>
              <w:jc w:val="left"/>
              <w:rPr>
                <w:rFonts w:ascii="宋体" w:hAnsi="宋体"/>
                <w:color w:val="auto"/>
                <w:szCs w:val="21"/>
              </w:rPr>
            </w:pPr>
          </w:p>
        </w:tc>
        <w:tc>
          <w:tcPr>
            <w:tcW w:w="782" w:type="dxa"/>
            <w:tcBorders>
              <w:top w:val="single" w:color="auto" w:sz="4" w:space="0"/>
              <w:left w:val="single" w:color="auto" w:sz="4" w:space="0"/>
              <w:bottom w:val="single" w:color="auto" w:sz="4" w:space="0"/>
            </w:tcBorders>
            <w:noWrap/>
            <w:vAlign w:val="center"/>
          </w:tcPr>
          <w:p>
            <w:pPr>
              <w:pStyle w:val="19"/>
              <w:spacing w:line="260" w:lineRule="exact"/>
              <w:ind w:left="-105" w:leftChars="-50" w:right="-105" w:rightChars="-50" w:firstLine="0" w:firstLineChars="0"/>
              <w:jc w:val="center"/>
              <w:rPr>
                <w:rFonts w:ascii="宋体"/>
                <w:color w:val="auto"/>
                <w:sz w:val="21"/>
                <w:szCs w:val="21"/>
              </w:rPr>
            </w:pPr>
            <w:r>
              <w:rPr>
                <w:rFonts w:hint="eastAsia" w:ascii="宋体"/>
                <w:color w:val="auto"/>
                <w:sz w:val="21"/>
                <w:szCs w:val="21"/>
              </w:rPr>
              <w:t>0-9分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79" w:hRule="atLeast"/>
          <w:jc w:val="center"/>
        </w:trPr>
        <w:tc>
          <w:tcPr>
            <w:tcW w:w="1108" w:type="dxa"/>
            <w:tcBorders>
              <w:top w:val="single" w:color="auto" w:sz="4" w:space="0"/>
              <w:bottom w:val="single" w:color="auto" w:sz="4" w:space="0"/>
              <w:right w:val="single" w:color="auto" w:sz="4" w:space="0"/>
            </w:tcBorders>
            <w:noWrap/>
            <w:vAlign w:val="center"/>
          </w:tcPr>
          <w:p>
            <w:pPr>
              <w:widowControl/>
              <w:spacing w:line="220" w:lineRule="exact"/>
              <w:jc w:val="center"/>
              <w:rPr>
                <w:rFonts w:ascii="宋体"/>
                <w:b/>
                <w:color w:val="auto"/>
                <w:szCs w:val="21"/>
              </w:rPr>
            </w:pPr>
            <w:r>
              <w:rPr>
                <w:rFonts w:hint="eastAsia" w:ascii="宋体" w:hAnsi="宋体"/>
                <w:b/>
                <w:color w:val="auto"/>
                <w:szCs w:val="21"/>
              </w:rPr>
              <w:t>二</w:t>
            </w:r>
          </w:p>
        </w:tc>
        <w:tc>
          <w:tcPr>
            <w:tcW w:w="1111" w:type="dxa"/>
            <w:tcBorders>
              <w:top w:val="single" w:color="auto" w:sz="4" w:space="0"/>
              <w:left w:val="single" w:color="auto" w:sz="4" w:space="0"/>
              <w:bottom w:val="single" w:color="auto" w:sz="4" w:space="0"/>
              <w:right w:val="single" w:color="auto" w:sz="4" w:space="0"/>
            </w:tcBorders>
            <w:noWrap/>
            <w:vAlign w:val="center"/>
          </w:tcPr>
          <w:p>
            <w:pPr>
              <w:widowControl/>
              <w:spacing w:line="220" w:lineRule="exact"/>
              <w:jc w:val="center"/>
              <w:rPr>
                <w:rFonts w:ascii="宋体"/>
                <w:b/>
                <w:color w:val="auto"/>
                <w:szCs w:val="21"/>
              </w:rPr>
            </w:pPr>
            <w:r>
              <w:rPr>
                <w:rFonts w:hint="eastAsia" w:ascii="宋体" w:hAnsi="宋体"/>
                <w:b/>
                <w:color w:val="auto"/>
                <w:szCs w:val="21"/>
              </w:rPr>
              <w:t>商务分</w:t>
            </w:r>
          </w:p>
        </w:tc>
        <w:tc>
          <w:tcPr>
            <w:tcW w:w="6697"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left"/>
              <w:rPr>
                <w:rFonts w:ascii="宋体" w:hAnsi="宋体"/>
                <w:color w:val="auto"/>
                <w:szCs w:val="21"/>
              </w:rPr>
            </w:pPr>
          </w:p>
        </w:tc>
        <w:tc>
          <w:tcPr>
            <w:tcW w:w="782" w:type="dxa"/>
            <w:tcBorders>
              <w:top w:val="single" w:color="auto" w:sz="4" w:space="0"/>
              <w:left w:val="single" w:color="auto" w:sz="4" w:space="0"/>
              <w:bottom w:val="single" w:color="auto" w:sz="4" w:space="0"/>
            </w:tcBorders>
            <w:noWrap/>
            <w:vAlign w:val="center"/>
          </w:tcPr>
          <w:p>
            <w:pPr>
              <w:pStyle w:val="19"/>
              <w:spacing w:line="220" w:lineRule="exact"/>
              <w:ind w:firstLine="0" w:firstLineChars="0"/>
              <w:jc w:val="center"/>
              <w:rPr>
                <w:rFonts w:ascii="宋体"/>
                <w:b/>
                <w:color w:val="auto"/>
                <w:sz w:val="21"/>
                <w:szCs w:val="21"/>
              </w:rPr>
            </w:pPr>
            <w:r>
              <w:rPr>
                <w:rFonts w:ascii="宋体"/>
                <w:b/>
                <w:color w:val="auto"/>
                <w:sz w:val="21"/>
                <w:szCs w:val="21"/>
              </w:rPr>
              <w:t>1</w:t>
            </w:r>
            <w:r>
              <w:rPr>
                <w:rFonts w:hint="eastAsia" w:ascii="宋体"/>
                <w:b/>
                <w:color w:val="auto"/>
                <w:sz w:val="21"/>
                <w:szCs w:val="21"/>
              </w:rPr>
              <w:t>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22" w:hRule="atLeast"/>
          <w:jc w:val="center"/>
        </w:trPr>
        <w:tc>
          <w:tcPr>
            <w:tcW w:w="1108" w:type="dxa"/>
            <w:tcBorders>
              <w:top w:val="single" w:color="auto" w:sz="4" w:space="0"/>
              <w:bottom w:val="single" w:color="auto" w:sz="4" w:space="0"/>
              <w:right w:val="single" w:color="auto" w:sz="4" w:space="0"/>
            </w:tcBorders>
            <w:noWrap/>
            <w:vAlign w:val="center"/>
          </w:tcPr>
          <w:p>
            <w:pPr>
              <w:widowControl/>
              <w:spacing w:line="260" w:lineRule="exact"/>
              <w:jc w:val="center"/>
              <w:rPr>
                <w:rFonts w:ascii="宋体"/>
                <w:b/>
                <w:color w:val="auto"/>
                <w:szCs w:val="21"/>
              </w:rPr>
            </w:pPr>
            <w:r>
              <w:rPr>
                <w:rFonts w:hint="eastAsia" w:ascii="宋体"/>
                <w:b/>
                <w:color w:val="auto"/>
                <w:szCs w:val="21"/>
              </w:rPr>
              <w:t>5</w:t>
            </w:r>
          </w:p>
        </w:tc>
        <w:tc>
          <w:tcPr>
            <w:tcW w:w="111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宋体"/>
                <w:color w:val="auto"/>
                <w:szCs w:val="21"/>
              </w:rPr>
            </w:pPr>
            <w:r>
              <w:rPr>
                <w:rFonts w:hint="eastAsia" w:ascii="宋体" w:hAnsi="宋体"/>
                <w:color w:val="auto"/>
                <w:szCs w:val="21"/>
              </w:rPr>
              <w:t>售后服务内容及措施</w:t>
            </w:r>
          </w:p>
        </w:tc>
        <w:tc>
          <w:tcPr>
            <w:tcW w:w="6697"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left"/>
              <w:rPr>
                <w:rFonts w:ascii="宋体" w:hAnsi="宋体"/>
                <w:color w:val="auto"/>
                <w:szCs w:val="21"/>
              </w:rPr>
            </w:pPr>
            <w:r>
              <w:rPr>
                <w:rFonts w:hint="eastAsia" w:ascii="宋体" w:hAnsi="宋体"/>
                <w:color w:val="auto"/>
                <w:szCs w:val="21"/>
              </w:rPr>
              <w:t>投标人应从维修项目的各个方面进行阐述；包括维修质量率、响应及时性、用户回访、应急事件处理、投诉件处理服务态度等方面。</w:t>
            </w:r>
          </w:p>
          <w:p>
            <w:pPr>
              <w:widowControl/>
              <w:spacing w:line="260" w:lineRule="exact"/>
              <w:jc w:val="left"/>
              <w:rPr>
                <w:rFonts w:ascii="宋体" w:hAnsi="宋体"/>
                <w:color w:val="auto"/>
                <w:szCs w:val="21"/>
              </w:rPr>
            </w:pPr>
            <w:r>
              <w:rPr>
                <w:rFonts w:hint="eastAsia" w:ascii="宋体" w:hAnsi="宋体"/>
                <w:color w:val="auto"/>
                <w:szCs w:val="21"/>
              </w:rPr>
              <w:t>除招标文件规定内容外无其他售后服务承诺的，该项不得分；</w:t>
            </w:r>
          </w:p>
        </w:tc>
        <w:tc>
          <w:tcPr>
            <w:tcW w:w="782" w:type="dxa"/>
            <w:tcBorders>
              <w:top w:val="single" w:color="auto" w:sz="4" w:space="0"/>
              <w:left w:val="single" w:color="auto" w:sz="4" w:space="0"/>
              <w:bottom w:val="single" w:color="auto" w:sz="4" w:space="0"/>
            </w:tcBorders>
            <w:noWrap/>
            <w:vAlign w:val="center"/>
          </w:tcPr>
          <w:p>
            <w:pPr>
              <w:widowControl/>
              <w:spacing w:line="260" w:lineRule="exact"/>
              <w:jc w:val="center"/>
              <w:rPr>
                <w:rFonts w:ascii="宋体"/>
                <w:color w:val="auto"/>
                <w:szCs w:val="21"/>
              </w:rPr>
            </w:pPr>
            <w:r>
              <w:rPr>
                <w:rFonts w:ascii="宋体" w:hAnsi="宋体"/>
                <w:color w:val="auto"/>
                <w:szCs w:val="21"/>
              </w:rPr>
              <w:t>0-6</w:t>
            </w:r>
            <w:r>
              <w:rPr>
                <w:rFonts w:hint="eastAsia" w:ascii="宋体" w:hAnsi="宋体"/>
                <w:color w:val="auto"/>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22" w:hRule="atLeast"/>
          <w:jc w:val="center"/>
        </w:trPr>
        <w:tc>
          <w:tcPr>
            <w:tcW w:w="1108" w:type="dxa"/>
            <w:tcBorders>
              <w:top w:val="single" w:color="auto" w:sz="4" w:space="0"/>
              <w:bottom w:val="single" w:color="auto" w:sz="4" w:space="0"/>
              <w:right w:val="single" w:color="auto" w:sz="4" w:space="0"/>
            </w:tcBorders>
            <w:noWrap/>
            <w:vAlign w:val="center"/>
          </w:tcPr>
          <w:p>
            <w:pPr>
              <w:widowControl/>
              <w:spacing w:line="260" w:lineRule="exact"/>
              <w:jc w:val="center"/>
              <w:rPr>
                <w:rFonts w:ascii="宋体"/>
                <w:color w:val="auto"/>
                <w:szCs w:val="21"/>
              </w:rPr>
            </w:pPr>
            <w:r>
              <w:rPr>
                <w:rFonts w:hint="eastAsia" w:ascii="宋体"/>
                <w:color w:val="auto"/>
                <w:szCs w:val="21"/>
              </w:rPr>
              <w:t>6</w:t>
            </w:r>
          </w:p>
        </w:tc>
        <w:tc>
          <w:tcPr>
            <w:tcW w:w="1111"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宋体" w:hAnsi="宋体"/>
                <w:color w:val="auto"/>
                <w:szCs w:val="21"/>
              </w:rPr>
            </w:pPr>
            <w:r>
              <w:rPr>
                <w:rFonts w:hint="eastAsia" w:ascii="宋体" w:hAnsi="宋体"/>
                <w:color w:val="auto"/>
                <w:szCs w:val="21"/>
              </w:rPr>
              <w:t>支付承诺</w:t>
            </w:r>
          </w:p>
        </w:tc>
        <w:tc>
          <w:tcPr>
            <w:tcW w:w="6697" w:type="dxa"/>
            <w:tcBorders>
              <w:top w:val="single" w:color="auto" w:sz="4" w:space="0"/>
              <w:left w:val="single" w:color="auto" w:sz="4" w:space="0"/>
              <w:bottom w:val="single" w:color="auto" w:sz="4" w:space="0"/>
              <w:right w:val="single" w:color="auto" w:sz="4" w:space="0"/>
            </w:tcBorders>
            <w:noWrap/>
            <w:vAlign w:val="center"/>
          </w:tcPr>
          <w:p>
            <w:pPr>
              <w:spacing w:beforeLines="50" w:afterLines="50" w:line="260" w:lineRule="exact"/>
              <w:rPr>
                <w:rFonts w:ascii="宋体" w:hAnsi="宋体"/>
                <w:color w:val="auto"/>
                <w:szCs w:val="21"/>
              </w:rPr>
            </w:pPr>
            <w:r>
              <w:rPr>
                <w:rFonts w:hint="eastAsia" w:ascii="宋体" w:hAnsi="宋体"/>
                <w:color w:val="auto"/>
                <w:szCs w:val="21"/>
              </w:rPr>
              <w:t>投标人须承诺及时支付农民工工资得4分，未承诺的不得分。</w:t>
            </w:r>
          </w:p>
        </w:tc>
        <w:tc>
          <w:tcPr>
            <w:tcW w:w="782" w:type="dxa"/>
            <w:tcBorders>
              <w:top w:val="single" w:color="auto" w:sz="4" w:space="0"/>
              <w:left w:val="single" w:color="auto" w:sz="4" w:space="0"/>
              <w:bottom w:val="single" w:color="auto" w:sz="4" w:space="0"/>
            </w:tcBorders>
            <w:noWrap/>
            <w:vAlign w:val="center"/>
          </w:tcPr>
          <w:p>
            <w:pPr>
              <w:widowControl/>
              <w:spacing w:line="260" w:lineRule="exact"/>
              <w:jc w:val="center"/>
              <w:rPr>
                <w:rFonts w:ascii="宋体"/>
                <w:color w:val="auto"/>
                <w:szCs w:val="21"/>
              </w:rPr>
            </w:pPr>
            <w:r>
              <w:rPr>
                <w:rFonts w:ascii="宋体" w:hAnsi="宋体"/>
                <w:color w:val="auto"/>
                <w:szCs w:val="21"/>
              </w:rPr>
              <w:t>0-</w:t>
            </w:r>
            <w:r>
              <w:rPr>
                <w:rFonts w:hint="eastAsia" w:ascii="宋体" w:hAnsi="宋体"/>
                <w:color w:val="auto"/>
                <w:szCs w:val="21"/>
              </w:rPr>
              <w:t>4分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4" w:hRule="atLeast"/>
          <w:jc w:val="center"/>
        </w:trPr>
        <w:tc>
          <w:tcPr>
            <w:tcW w:w="1108" w:type="dxa"/>
            <w:tcBorders>
              <w:top w:val="single" w:color="auto" w:sz="4" w:space="0"/>
              <w:bottom w:val="single" w:color="auto" w:sz="4" w:space="0"/>
              <w:right w:val="single" w:color="auto" w:sz="4" w:space="0"/>
            </w:tcBorders>
            <w:noWrap/>
            <w:vAlign w:val="center"/>
          </w:tcPr>
          <w:p>
            <w:pPr>
              <w:widowControl/>
              <w:spacing w:line="220" w:lineRule="exact"/>
              <w:jc w:val="center"/>
              <w:rPr>
                <w:rFonts w:ascii="宋体"/>
                <w:b/>
                <w:color w:val="auto"/>
                <w:szCs w:val="21"/>
              </w:rPr>
            </w:pPr>
            <w:r>
              <w:rPr>
                <w:rFonts w:hint="eastAsia" w:ascii="宋体" w:hAnsi="宋体"/>
                <w:b/>
                <w:color w:val="auto"/>
                <w:szCs w:val="21"/>
              </w:rPr>
              <w:t>三</w:t>
            </w:r>
          </w:p>
        </w:tc>
        <w:tc>
          <w:tcPr>
            <w:tcW w:w="1111" w:type="dxa"/>
            <w:tcBorders>
              <w:top w:val="single" w:color="auto" w:sz="4" w:space="0"/>
              <w:left w:val="single" w:color="auto" w:sz="4" w:space="0"/>
              <w:bottom w:val="single" w:color="auto" w:sz="4" w:space="0"/>
              <w:right w:val="single" w:color="auto" w:sz="4" w:space="0"/>
            </w:tcBorders>
            <w:noWrap/>
            <w:vAlign w:val="center"/>
          </w:tcPr>
          <w:p>
            <w:pPr>
              <w:widowControl/>
              <w:spacing w:line="220" w:lineRule="exact"/>
              <w:jc w:val="center"/>
              <w:rPr>
                <w:rFonts w:ascii="宋体"/>
                <w:color w:val="auto"/>
                <w:szCs w:val="21"/>
              </w:rPr>
            </w:pPr>
            <w:r>
              <w:rPr>
                <w:rFonts w:hint="eastAsia" w:ascii="宋体" w:hAnsi="宋体"/>
                <w:b/>
                <w:color w:val="auto"/>
                <w:szCs w:val="21"/>
              </w:rPr>
              <w:t>资信及其他分</w:t>
            </w:r>
          </w:p>
        </w:tc>
        <w:tc>
          <w:tcPr>
            <w:tcW w:w="6697" w:type="dxa"/>
            <w:tcBorders>
              <w:top w:val="single" w:color="auto" w:sz="4" w:space="0"/>
              <w:left w:val="single" w:color="auto" w:sz="4" w:space="0"/>
              <w:bottom w:val="single" w:color="auto" w:sz="4" w:space="0"/>
              <w:right w:val="single" w:color="auto" w:sz="4" w:space="0"/>
            </w:tcBorders>
            <w:noWrap/>
            <w:vAlign w:val="center"/>
          </w:tcPr>
          <w:p>
            <w:pPr>
              <w:tabs>
                <w:tab w:val="left" w:pos="1080"/>
              </w:tabs>
              <w:ind w:firstLine="315" w:firstLineChars="150"/>
              <w:rPr>
                <w:rFonts w:ascii="宋体"/>
                <w:color w:val="auto"/>
                <w:szCs w:val="21"/>
              </w:rPr>
            </w:pPr>
          </w:p>
        </w:tc>
        <w:tc>
          <w:tcPr>
            <w:tcW w:w="782" w:type="dxa"/>
            <w:tcBorders>
              <w:top w:val="single" w:color="auto" w:sz="4" w:space="0"/>
              <w:left w:val="single" w:color="auto" w:sz="4" w:space="0"/>
              <w:bottom w:val="single" w:color="auto" w:sz="4" w:space="0"/>
            </w:tcBorders>
            <w:noWrap/>
            <w:vAlign w:val="center"/>
          </w:tcPr>
          <w:p>
            <w:pPr>
              <w:pStyle w:val="19"/>
              <w:spacing w:line="220" w:lineRule="exact"/>
              <w:ind w:firstLine="0" w:firstLineChars="0"/>
              <w:jc w:val="center"/>
              <w:rPr>
                <w:rFonts w:ascii="宋体"/>
                <w:b/>
                <w:color w:val="auto"/>
                <w:sz w:val="21"/>
                <w:szCs w:val="21"/>
              </w:rPr>
            </w:pPr>
            <w:r>
              <w:rPr>
                <w:rFonts w:hint="eastAsia" w:ascii="宋体"/>
                <w:b/>
                <w:color w:val="auto"/>
                <w:sz w:val="21"/>
                <w:szCs w:val="21"/>
              </w:rPr>
              <w:t>23分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4" w:hRule="atLeast"/>
          <w:jc w:val="center"/>
        </w:trPr>
        <w:tc>
          <w:tcPr>
            <w:tcW w:w="1108" w:type="dxa"/>
            <w:tcBorders>
              <w:top w:val="single" w:color="auto" w:sz="4" w:space="0"/>
              <w:bottom w:val="single" w:color="auto" w:sz="4" w:space="0"/>
              <w:right w:val="single" w:color="auto" w:sz="4" w:space="0"/>
            </w:tcBorders>
            <w:noWrap/>
            <w:vAlign w:val="center"/>
          </w:tcPr>
          <w:p>
            <w:pPr>
              <w:widowControl/>
              <w:spacing w:line="220" w:lineRule="exact"/>
              <w:jc w:val="center"/>
              <w:rPr>
                <w:rFonts w:ascii="宋体"/>
                <w:color w:val="auto"/>
                <w:szCs w:val="21"/>
              </w:rPr>
            </w:pPr>
            <w:r>
              <w:rPr>
                <w:rFonts w:hint="eastAsia" w:ascii="宋体"/>
                <w:color w:val="auto"/>
                <w:szCs w:val="21"/>
              </w:rPr>
              <w:t>7</w:t>
            </w:r>
          </w:p>
        </w:tc>
        <w:tc>
          <w:tcPr>
            <w:tcW w:w="1111" w:type="dxa"/>
            <w:tcBorders>
              <w:top w:val="single" w:color="auto" w:sz="4" w:space="0"/>
              <w:left w:val="single" w:color="auto" w:sz="4" w:space="0"/>
              <w:bottom w:val="single" w:color="auto" w:sz="4" w:space="0"/>
              <w:right w:val="single" w:color="auto" w:sz="4" w:space="0"/>
            </w:tcBorders>
            <w:noWrap/>
            <w:vAlign w:val="center"/>
          </w:tcPr>
          <w:p>
            <w:pPr>
              <w:widowControl/>
              <w:spacing w:line="220" w:lineRule="exact"/>
              <w:jc w:val="center"/>
              <w:rPr>
                <w:rFonts w:ascii="宋体"/>
                <w:color w:val="auto"/>
                <w:szCs w:val="21"/>
              </w:rPr>
            </w:pPr>
            <w:r>
              <w:rPr>
                <w:rFonts w:hint="eastAsia" w:ascii="宋体" w:hAnsi="宋体"/>
                <w:color w:val="auto"/>
                <w:szCs w:val="21"/>
              </w:rPr>
              <w:t>认证证书</w:t>
            </w:r>
          </w:p>
        </w:tc>
        <w:tc>
          <w:tcPr>
            <w:tcW w:w="669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olor w:val="auto"/>
                <w:szCs w:val="21"/>
              </w:rPr>
            </w:pPr>
            <w:r>
              <w:rPr>
                <w:rFonts w:hint="eastAsia" w:ascii="宋体" w:hAnsi="宋体"/>
                <w:color w:val="auto"/>
                <w:szCs w:val="21"/>
              </w:rPr>
              <w:t>投标人提供有效的质量管理体系、环境认证体系、职业健康体系证书，凭相关证书复印件加盖公章每项得1分，最高得3分；</w:t>
            </w:r>
          </w:p>
        </w:tc>
        <w:tc>
          <w:tcPr>
            <w:tcW w:w="782" w:type="dxa"/>
            <w:tcBorders>
              <w:top w:val="single" w:color="auto" w:sz="4" w:space="0"/>
              <w:left w:val="single" w:color="auto" w:sz="4" w:space="0"/>
              <w:bottom w:val="single" w:color="auto" w:sz="4" w:space="0"/>
            </w:tcBorders>
            <w:noWrap/>
            <w:vAlign w:val="center"/>
          </w:tcPr>
          <w:p>
            <w:pPr>
              <w:pStyle w:val="19"/>
              <w:spacing w:line="220" w:lineRule="exact"/>
              <w:ind w:firstLine="0" w:firstLineChars="0"/>
              <w:jc w:val="center"/>
              <w:rPr>
                <w:rFonts w:ascii="宋体"/>
                <w:color w:val="auto"/>
                <w:sz w:val="21"/>
                <w:szCs w:val="21"/>
              </w:rPr>
            </w:pPr>
            <w:r>
              <w:rPr>
                <w:rFonts w:ascii="宋体"/>
                <w:color w:val="auto"/>
                <w:sz w:val="21"/>
                <w:szCs w:val="21"/>
              </w:rPr>
              <w:t>0-</w:t>
            </w:r>
            <w:r>
              <w:rPr>
                <w:rFonts w:hint="eastAsia" w:ascii="宋体"/>
                <w:color w:val="auto"/>
                <w:sz w:val="21"/>
                <w:szCs w:val="21"/>
              </w:rPr>
              <w:t>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1108" w:type="dxa"/>
            <w:tcBorders>
              <w:top w:val="single" w:color="auto" w:sz="4" w:space="0"/>
              <w:bottom w:val="single" w:color="auto" w:sz="4" w:space="0"/>
              <w:right w:val="single" w:color="auto" w:sz="4" w:space="0"/>
            </w:tcBorders>
            <w:noWrap/>
            <w:vAlign w:val="center"/>
          </w:tcPr>
          <w:p>
            <w:pPr>
              <w:widowControl/>
              <w:spacing w:line="220" w:lineRule="exact"/>
              <w:jc w:val="center"/>
              <w:rPr>
                <w:rFonts w:ascii="宋体"/>
                <w:color w:val="auto"/>
                <w:szCs w:val="21"/>
              </w:rPr>
            </w:pPr>
            <w:r>
              <w:rPr>
                <w:rFonts w:hint="eastAsia" w:ascii="宋体"/>
                <w:color w:val="auto"/>
                <w:szCs w:val="21"/>
              </w:rPr>
              <w:t>8</w:t>
            </w:r>
          </w:p>
        </w:tc>
        <w:tc>
          <w:tcPr>
            <w:tcW w:w="11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auto"/>
                <w:szCs w:val="21"/>
              </w:rPr>
            </w:pPr>
            <w:r>
              <w:rPr>
                <w:rFonts w:hint="eastAsia" w:ascii="宋体" w:hAnsi="宋体"/>
                <w:color w:val="auto"/>
                <w:szCs w:val="21"/>
              </w:rPr>
              <w:t>投标人</w:t>
            </w:r>
          </w:p>
          <w:p>
            <w:pPr>
              <w:widowControl/>
              <w:jc w:val="center"/>
              <w:rPr>
                <w:rFonts w:ascii="宋体" w:hAnsi="宋体"/>
                <w:color w:val="auto"/>
                <w:szCs w:val="21"/>
              </w:rPr>
            </w:pPr>
            <w:r>
              <w:rPr>
                <w:rFonts w:hint="eastAsia" w:ascii="宋体" w:hAnsi="宋体"/>
                <w:color w:val="auto"/>
                <w:szCs w:val="21"/>
              </w:rPr>
              <w:t>综合实力</w:t>
            </w:r>
          </w:p>
        </w:tc>
        <w:tc>
          <w:tcPr>
            <w:tcW w:w="669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olor w:val="auto"/>
                <w:szCs w:val="21"/>
              </w:rPr>
            </w:pPr>
            <w:r>
              <w:rPr>
                <w:rFonts w:hint="eastAsia" w:ascii="宋体" w:hAnsi="宋体"/>
                <w:color w:val="auto"/>
                <w:szCs w:val="21"/>
              </w:rPr>
              <w:t>投标人具有机电设备安装工程专业承包资质的得1分</w:t>
            </w:r>
          </w:p>
          <w:p>
            <w:pPr>
              <w:widowControl/>
              <w:jc w:val="left"/>
              <w:rPr>
                <w:rFonts w:ascii="宋体" w:hAnsi="宋体"/>
                <w:color w:val="auto"/>
                <w:szCs w:val="21"/>
              </w:rPr>
            </w:pPr>
            <w:r>
              <w:rPr>
                <w:rFonts w:hint="eastAsia" w:ascii="宋体" w:hAnsi="宋体"/>
                <w:color w:val="auto"/>
                <w:szCs w:val="21"/>
              </w:rPr>
              <w:t>投标人具有消防设施工程专业承包资质的得1分</w:t>
            </w:r>
          </w:p>
          <w:p>
            <w:pPr>
              <w:widowControl/>
              <w:jc w:val="left"/>
              <w:rPr>
                <w:rFonts w:ascii="宋体" w:hAnsi="宋体"/>
                <w:color w:val="auto"/>
                <w:szCs w:val="21"/>
              </w:rPr>
            </w:pPr>
            <w:r>
              <w:rPr>
                <w:rFonts w:hint="eastAsia" w:ascii="宋体" w:hAnsi="宋体"/>
                <w:color w:val="auto"/>
                <w:szCs w:val="21"/>
              </w:rPr>
              <w:t>投标人具有城市及道路照明工程专业承包资质的得1分</w:t>
            </w:r>
          </w:p>
        </w:tc>
        <w:tc>
          <w:tcPr>
            <w:tcW w:w="782" w:type="dxa"/>
            <w:tcBorders>
              <w:top w:val="single" w:color="auto" w:sz="4" w:space="0"/>
              <w:left w:val="single" w:color="auto" w:sz="4" w:space="0"/>
              <w:bottom w:val="single" w:color="auto" w:sz="4" w:space="0"/>
            </w:tcBorders>
            <w:noWrap/>
            <w:vAlign w:val="center"/>
          </w:tcPr>
          <w:p>
            <w:pPr>
              <w:pStyle w:val="19"/>
              <w:spacing w:line="220" w:lineRule="exact"/>
              <w:ind w:firstLine="0" w:firstLineChars="0"/>
              <w:jc w:val="center"/>
              <w:rPr>
                <w:rFonts w:ascii="宋体"/>
                <w:color w:val="auto"/>
                <w:sz w:val="21"/>
                <w:szCs w:val="21"/>
              </w:rPr>
            </w:pPr>
            <w:r>
              <w:rPr>
                <w:rFonts w:hint="eastAsia" w:ascii="宋体"/>
                <w:color w:val="auto"/>
                <w:sz w:val="21"/>
                <w:szCs w:val="21"/>
              </w:rPr>
              <w:t>0-3分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63" w:hRule="atLeast"/>
          <w:jc w:val="center"/>
        </w:trPr>
        <w:tc>
          <w:tcPr>
            <w:tcW w:w="1108" w:type="dxa"/>
            <w:tcBorders>
              <w:top w:val="single" w:color="auto" w:sz="4" w:space="0"/>
              <w:bottom w:val="single" w:color="auto" w:sz="4" w:space="0"/>
              <w:right w:val="single" w:color="auto" w:sz="4" w:space="0"/>
            </w:tcBorders>
            <w:noWrap/>
            <w:vAlign w:val="center"/>
          </w:tcPr>
          <w:p>
            <w:pPr>
              <w:widowControl/>
              <w:spacing w:line="260" w:lineRule="exact"/>
              <w:jc w:val="center"/>
              <w:rPr>
                <w:rFonts w:ascii="宋体" w:hAnsi="宋体"/>
                <w:color w:val="auto"/>
                <w:szCs w:val="21"/>
              </w:rPr>
            </w:pPr>
            <w:r>
              <w:rPr>
                <w:rFonts w:hint="eastAsia" w:ascii="宋体" w:hAnsi="宋体"/>
                <w:color w:val="auto"/>
                <w:szCs w:val="21"/>
              </w:rPr>
              <w:t>9</w:t>
            </w:r>
          </w:p>
        </w:tc>
        <w:tc>
          <w:tcPr>
            <w:tcW w:w="11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auto"/>
                <w:szCs w:val="21"/>
              </w:rPr>
            </w:pPr>
            <w:r>
              <w:rPr>
                <w:rFonts w:hint="eastAsia" w:ascii="宋体" w:hAnsi="宋体"/>
                <w:color w:val="auto"/>
                <w:szCs w:val="21"/>
              </w:rPr>
              <w:t>投标人</w:t>
            </w:r>
          </w:p>
          <w:p>
            <w:pPr>
              <w:widowControl/>
              <w:jc w:val="center"/>
              <w:rPr>
                <w:rFonts w:ascii="宋体" w:hAnsi="宋体"/>
                <w:color w:val="auto"/>
                <w:szCs w:val="21"/>
              </w:rPr>
            </w:pPr>
            <w:r>
              <w:rPr>
                <w:rFonts w:hint="eastAsia" w:ascii="宋体" w:hAnsi="宋体"/>
                <w:color w:val="auto"/>
                <w:szCs w:val="21"/>
              </w:rPr>
              <w:t>信誉</w:t>
            </w:r>
          </w:p>
        </w:tc>
        <w:tc>
          <w:tcPr>
            <w:tcW w:w="669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olor w:val="auto"/>
                <w:szCs w:val="21"/>
              </w:rPr>
            </w:pPr>
            <w:r>
              <w:rPr>
                <w:rFonts w:hint="eastAsia" w:ascii="宋体" w:hAnsi="宋体"/>
                <w:color w:val="auto"/>
                <w:szCs w:val="21"/>
              </w:rPr>
              <w:t>投标人信用等级证书评委根据投标人提供的有效的信用等级证书进行评定，AAA级得3，AA级得2分，A级得1分，复印件加盖公章。未提供不得分。</w:t>
            </w:r>
          </w:p>
        </w:tc>
        <w:tc>
          <w:tcPr>
            <w:tcW w:w="782" w:type="dxa"/>
            <w:tcBorders>
              <w:top w:val="single" w:color="auto" w:sz="4" w:space="0"/>
              <w:left w:val="single" w:color="auto" w:sz="4" w:space="0"/>
              <w:bottom w:val="single" w:color="auto" w:sz="4" w:space="0"/>
            </w:tcBorders>
            <w:noWrap/>
            <w:vAlign w:val="center"/>
          </w:tcPr>
          <w:p>
            <w:pPr>
              <w:pStyle w:val="19"/>
              <w:spacing w:line="220" w:lineRule="exact"/>
              <w:ind w:firstLine="0" w:firstLineChars="0"/>
              <w:jc w:val="center"/>
              <w:rPr>
                <w:rFonts w:ascii="宋体"/>
                <w:color w:val="auto"/>
                <w:sz w:val="21"/>
                <w:szCs w:val="21"/>
              </w:rPr>
            </w:pPr>
            <w:r>
              <w:rPr>
                <w:rFonts w:hint="eastAsia" w:ascii="宋体"/>
                <w:color w:val="auto"/>
                <w:sz w:val="21"/>
                <w:szCs w:val="21"/>
              </w:rPr>
              <w:t>0-3分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63" w:hRule="atLeast"/>
          <w:jc w:val="center"/>
        </w:trPr>
        <w:tc>
          <w:tcPr>
            <w:tcW w:w="1108" w:type="dxa"/>
            <w:tcBorders>
              <w:top w:val="single" w:color="auto" w:sz="4" w:space="0"/>
              <w:bottom w:val="single" w:color="auto" w:sz="4" w:space="0"/>
              <w:right w:val="single" w:color="auto" w:sz="4" w:space="0"/>
            </w:tcBorders>
            <w:noWrap/>
            <w:vAlign w:val="center"/>
          </w:tcPr>
          <w:p>
            <w:pPr>
              <w:widowControl/>
              <w:spacing w:line="260" w:lineRule="exact"/>
              <w:jc w:val="center"/>
              <w:rPr>
                <w:rFonts w:ascii="宋体" w:hAnsi="宋体"/>
                <w:color w:val="auto"/>
                <w:szCs w:val="21"/>
              </w:rPr>
            </w:pPr>
            <w:r>
              <w:rPr>
                <w:rFonts w:hint="eastAsia" w:ascii="宋体" w:hAnsi="宋体"/>
                <w:color w:val="auto"/>
                <w:szCs w:val="21"/>
              </w:rPr>
              <w:t>10</w:t>
            </w:r>
          </w:p>
        </w:tc>
        <w:tc>
          <w:tcPr>
            <w:tcW w:w="1111" w:type="dxa"/>
            <w:tcBorders>
              <w:top w:val="single" w:color="auto" w:sz="4" w:space="0"/>
              <w:left w:val="single" w:color="auto" w:sz="4" w:space="0"/>
              <w:bottom w:val="single" w:color="auto" w:sz="4" w:space="0"/>
              <w:right w:val="single" w:color="auto" w:sz="4" w:space="0"/>
            </w:tcBorders>
            <w:noWrap/>
            <w:vAlign w:val="center"/>
          </w:tcPr>
          <w:p>
            <w:pPr>
              <w:widowControl/>
              <w:spacing w:line="220" w:lineRule="exact"/>
              <w:jc w:val="center"/>
              <w:rPr>
                <w:rFonts w:ascii="宋体" w:hAnsi="宋体"/>
                <w:color w:val="auto"/>
                <w:szCs w:val="21"/>
              </w:rPr>
            </w:pPr>
            <w:r>
              <w:rPr>
                <w:rFonts w:hint="eastAsia" w:ascii="宋体" w:hAnsi="宋体"/>
                <w:color w:val="auto"/>
                <w:szCs w:val="21"/>
              </w:rPr>
              <w:t>投标人</w:t>
            </w:r>
          </w:p>
          <w:p>
            <w:pPr>
              <w:widowControl/>
              <w:spacing w:line="220" w:lineRule="exact"/>
              <w:jc w:val="center"/>
              <w:rPr>
                <w:rFonts w:ascii="宋体"/>
                <w:color w:val="auto"/>
                <w:szCs w:val="21"/>
              </w:rPr>
            </w:pPr>
            <w:r>
              <w:rPr>
                <w:rFonts w:hint="eastAsia" w:ascii="宋体" w:hAnsi="宋体"/>
                <w:color w:val="auto"/>
                <w:szCs w:val="21"/>
              </w:rPr>
              <w:t>业绩</w:t>
            </w:r>
          </w:p>
        </w:tc>
        <w:tc>
          <w:tcPr>
            <w:tcW w:w="6697"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olor w:val="auto"/>
                <w:szCs w:val="21"/>
              </w:rPr>
            </w:pPr>
            <w:r>
              <w:rPr>
                <w:rFonts w:hint="eastAsia" w:ascii="宋体" w:hAnsi="宋体"/>
                <w:color w:val="auto"/>
                <w:szCs w:val="21"/>
              </w:rPr>
              <w:t>投标人自201</w:t>
            </w:r>
            <w:r>
              <w:rPr>
                <w:rFonts w:hint="eastAsia" w:ascii="宋体" w:hAnsi="宋体"/>
                <w:color w:val="auto"/>
                <w:szCs w:val="21"/>
                <w:lang w:val="en-US" w:eastAsia="zh-CN"/>
              </w:rPr>
              <w:t>8</w:t>
            </w:r>
            <w:r>
              <w:rPr>
                <w:rFonts w:hint="eastAsia" w:ascii="宋体" w:hAnsi="宋体"/>
                <w:color w:val="auto"/>
                <w:szCs w:val="21"/>
              </w:rPr>
              <w:t>年1月1日至今（以竣工报告时间为准）完成的</w:t>
            </w:r>
            <w:r>
              <w:rPr>
                <w:rFonts w:hint="eastAsia" w:ascii="宋体" w:hAnsi="宋体"/>
                <w:color w:val="auto"/>
                <w:szCs w:val="21"/>
                <w:lang w:val="en-US" w:eastAsia="zh-CN"/>
              </w:rPr>
              <w:t>同类项目</w:t>
            </w:r>
            <w:r>
              <w:rPr>
                <w:rFonts w:hint="eastAsia" w:ascii="宋体" w:hAnsi="宋体"/>
                <w:color w:val="auto"/>
                <w:szCs w:val="21"/>
              </w:rPr>
              <w:t>业绩；</w:t>
            </w:r>
          </w:p>
          <w:p>
            <w:pPr>
              <w:widowControl/>
              <w:rPr>
                <w:rFonts w:ascii="宋体" w:hAnsi="宋体"/>
                <w:color w:val="auto"/>
                <w:szCs w:val="21"/>
              </w:rPr>
            </w:pPr>
            <w:r>
              <w:rPr>
                <w:rFonts w:hint="eastAsia" w:ascii="宋体" w:hAnsi="宋体"/>
                <w:color w:val="auto"/>
                <w:szCs w:val="21"/>
              </w:rPr>
              <w:t>2、市政类：</w:t>
            </w:r>
            <w:r>
              <w:rPr>
                <w:rFonts w:hint="eastAsia" w:ascii="宋体" w:hAnsi="宋体"/>
                <w:color w:val="auto"/>
                <w:szCs w:val="21"/>
                <w:lang w:val="en-US" w:eastAsia="zh-CN"/>
              </w:rPr>
              <w:t>每</w:t>
            </w:r>
            <w:r>
              <w:rPr>
                <w:rFonts w:hint="eastAsia" w:ascii="宋体" w:hAnsi="宋体"/>
                <w:color w:val="auto"/>
                <w:szCs w:val="21"/>
              </w:rPr>
              <w:t>个项目得</w:t>
            </w:r>
            <w:r>
              <w:rPr>
                <w:rFonts w:hint="eastAsia" w:ascii="宋体" w:hAnsi="宋体"/>
                <w:color w:val="auto"/>
                <w:szCs w:val="21"/>
                <w:lang w:val="en-US" w:eastAsia="zh-CN"/>
              </w:rPr>
              <w:t>2</w:t>
            </w:r>
            <w:r>
              <w:rPr>
                <w:rFonts w:hint="eastAsia" w:ascii="宋体" w:hAnsi="宋体"/>
                <w:color w:val="auto"/>
                <w:szCs w:val="21"/>
              </w:rPr>
              <w:t>分，最高得</w:t>
            </w:r>
            <w:r>
              <w:rPr>
                <w:rFonts w:hint="eastAsia" w:ascii="宋体" w:hAnsi="宋体"/>
                <w:color w:val="auto"/>
                <w:szCs w:val="21"/>
                <w:lang w:val="en-US" w:eastAsia="zh-CN"/>
              </w:rPr>
              <w:t>6</w:t>
            </w:r>
            <w:r>
              <w:rPr>
                <w:rFonts w:hint="eastAsia" w:ascii="宋体" w:hAnsi="宋体"/>
                <w:color w:val="auto"/>
                <w:szCs w:val="21"/>
              </w:rPr>
              <w:t>分。</w:t>
            </w:r>
          </w:p>
          <w:p>
            <w:pPr>
              <w:widowControl/>
              <w:rPr>
                <w:rFonts w:ascii="宋体" w:hAnsi="宋体"/>
                <w:color w:val="auto"/>
                <w:szCs w:val="21"/>
              </w:rPr>
            </w:pPr>
            <w:r>
              <w:rPr>
                <w:rFonts w:hint="eastAsia" w:ascii="宋体" w:hAnsi="宋体"/>
                <w:color w:val="auto"/>
                <w:szCs w:val="21"/>
              </w:rPr>
              <w:t>注：同一个项目不重复得分，提供中标通知书、合同及竣工报告，未提供齐全的不得分。</w:t>
            </w:r>
          </w:p>
        </w:tc>
        <w:tc>
          <w:tcPr>
            <w:tcW w:w="782" w:type="dxa"/>
            <w:tcBorders>
              <w:top w:val="single" w:color="auto" w:sz="4" w:space="0"/>
              <w:left w:val="single" w:color="auto" w:sz="4" w:space="0"/>
              <w:bottom w:val="single" w:color="auto" w:sz="4" w:space="0"/>
            </w:tcBorders>
            <w:noWrap/>
            <w:vAlign w:val="center"/>
          </w:tcPr>
          <w:p>
            <w:pPr>
              <w:pStyle w:val="19"/>
              <w:spacing w:line="220" w:lineRule="exact"/>
              <w:ind w:firstLine="0" w:firstLineChars="0"/>
              <w:jc w:val="center"/>
              <w:rPr>
                <w:rFonts w:ascii="宋体"/>
                <w:color w:val="auto"/>
                <w:sz w:val="21"/>
                <w:szCs w:val="21"/>
              </w:rPr>
            </w:pPr>
            <w:r>
              <w:rPr>
                <w:rFonts w:ascii="宋体"/>
                <w:color w:val="auto"/>
                <w:sz w:val="21"/>
                <w:szCs w:val="21"/>
              </w:rPr>
              <w:t>0-</w:t>
            </w:r>
            <w:r>
              <w:rPr>
                <w:rFonts w:hint="eastAsia" w:ascii="宋体"/>
                <w:color w:val="auto"/>
                <w:sz w:val="21"/>
                <w:szCs w:val="21"/>
              </w:rPr>
              <w:t>6分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89" w:hRule="exact"/>
          <w:jc w:val="center"/>
        </w:trPr>
        <w:tc>
          <w:tcPr>
            <w:tcW w:w="1108" w:type="dxa"/>
            <w:tcBorders>
              <w:top w:val="single" w:color="auto" w:sz="4" w:space="0"/>
              <w:bottom w:val="single" w:color="auto" w:sz="4" w:space="0"/>
              <w:right w:val="single" w:color="auto" w:sz="4" w:space="0"/>
            </w:tcBorders>
            <w:noWrap/>
            <w:vAlign w:val="center"/>
          </w:tcPr>
          <w:p>
            <w:pPr>
              <w:widowControl/>
              <w:spacing w:line="260" w:lineRule="exact"/>
              <w:jc w:val="center"/>
              <w:rPr>
                <w:rFonts w:ascii="宋体" w:hAnsi="宋体"/>
                <w:color w:val="auto"/>
                <w:szCs w:val="21"/>
              </w:rPr>
            </w:pPr>
            <w:r>
              <w:rPr>
                <w:rFonts w:hint="eastAsia" w:ascii="宋体" w:hAnsi="宋体"/>
                <w:color w:val="auto"/>
                <w:szCs w:val="21"/>
              </w:rPr>
              <w:t>11</w:t>
            </w:r>
          </w:p>
        </w:tc>
        <w:tc>
          <w:tcPr>
            <w:tcW w:w="111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宋体"/>
                <w:color w:val="auto"/>
                <w:szCs w:val="21"/>
              </w:rPr>
            </w:pPr>
            <w:r>
              <w:rPr>
                <w:rFonts w:hint="eastAsia" w:ascii="宋体"/>
                <w:color w:val="auto"/>
                <w:szCs w:val="21"/>
              </w:rPr>
              <w:t>投标人荣誉</w:t>
            </w:r>
          </w:p>
        </w:tc>
        <w:tc>
          <w:tcPr>
            <w:tcW w:w="6697"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olor w:val="auto"/>
                <w:szCs w:val="21"/>
              </w:rPr>
            </w:pPr>
            <w:r>
              <w:rPr>
                <w:rFonts w:hint="eastAsia" w:ascii="宋体" w:hAnsi="宋体"/>
                <w:color w:val="auto"/>
                <w:szCs w:val="21"/>
              </w:rPr>
              <w:t>投标人在上二年度内在全国内完成的建筑或市政</w:t>
            </w:r>
            <w:r>
              <w:rPr>
                <w:rFonts w:hint="eastAsia" w:ascii="宋体" w:hAnsi="宋体"/>
                <w:color w:val="auto"/>
                <w:szCs w:val="21"/>
                <w:lang w:val="en-US" w:eastAsia="zh-CN"/>
              </w:rPr>
              <w:t>或园林</w:t>
            </w:r>
            <w:r>
              <w:rPr>
                <w:rFonts w:hint="eastAsia" w:ascii="宋体" w:hAnsi="宋体"/>
                <w:color w:val="auto"/>
                <w:szCs w:val="21"/>
              </w:rPr>
              <w:t>类别工程获得奖项省级的得</w:t>
            </w:r>
            <w:r>
              <w:rPr>
                <w:rFonts w:hint="eastAsia" w:ascii="宋体" w:hAnsi="宋体"/>
                <w:color w:val="auto"/>
                <w:szCs w:val="21"/>
                <w:lang w:val="en-US" w:eastAsia="zh-CN"/>
              </w:rPr>
              <w:t>6</w:t>
            </w:r>
            <w:r>
              <w:rPr>
                <w:rFonts w:hint="eastAsia" w:ascii="宋体" w:hAnsi="宋体"/>
                <w:color w:val="auto"/>
                <w:szCs w:val="21"/>
              </w:rPr>
              <w:t>分，市级的得</w:t>
            </w:r>
            <w:r>
              <w:rPr>
                <w:rFonts w:hint="eastAsia" w:ascii="宋体" w:hAnsi="宋体"/>
                <w:color w:val="auto"/>
                <w:szCs w:val="21"/>
                <w:lang w:val="en-US" w:eastAsia="zh-CN"/>
              </w:rPr>
              <w:t>3</w:t>
            </w:r>
            <w:r>
              <w:rPr>
                <w:rFonts w:hint="eastAsia" w:ascii="宋体" w:hAnsi="宋体"/>
                <w:color w:val="auto"/>
                <w:szCs w:val="21"/>
              </w:rPr>
              <w:t>分。（</w:t>
            </w:r>
            <w:r>
              <w:rPr>
                <w:rFonts w:hint="eastAsia" w:ascii="宋体" w:hAnsi="宋体"/>
                <w:color w:val="auto"/>
                <w:szCs w:val="21"/>
                <w:lang w:eastAsia="zh-CN"/>
              </w:rPr>
              <w:t>以上企业荣誉需同时提供获奖文件或证书，时间以获奖证书上为准，以上资料缺少不</w:t>
            </w:r>
            <w:r>
              <w:rPr>
                <w:rFonts w:hint="eastAsia" w:ascii="宋体" w:hAnsi="宋体"/>
                <w:color w:val="auto"/>
                <w:szCs w:val="21"/>
                <w:lang w:val="en-US" w:eastAsia="zh-CN"/>
              </w:rPr>
              <w:t>得分，证明资料须原件核查，届时未提供的，则该项不予计分；不重复计分，以最高获奖工程进行计分。</w:t>
            </w:r>
            <w:r>
              <w:rPr>
                <w:rFonts w:hint="eastAsia" w:ascii="宋体" w:hAnsi="宋体"/>
                <w:color w:val="auto"/>
                <w:szCs w:val="21"/>
              </w:rPr>
              <w:t>）</w:t>
            </w:r>
          </w:p>
          <w:p>
            <w:pPr>
              <w:spacing w:beforeLines="50" w:afterLines="50"/>
              <w:rPr>
                <w:rFonts w:ascii="宋体" w:hAnsi="宋体"/>
                <w:color w:val="auto"/>
                <w:szCs w:val="21"/>
              </w:rPr>
            </w:pPr>
            <w:r>
              <w:rPr>
                <w:rFonts w:hint="eastAsia" w:ascii="宋体" w:hAnsi="宋体"/>
                <w:color w:val="auto"/>
                <w:szCs w:val="21"/>
              </w:rPr>
              <w:t>（获奖时间指201</w:t>
            </w:r>
            <w:r>
              <w:rPr>
                <w:rFonts w:hint="eastAsia" w:ascii="宋体" w:hAnsi="宋体"/>
                <w:color w:val="auto"/>
                <w:szCs w:val="21"/>
                <w:lang w:val="en-US" w:eastAsia="zh-CN"/>
              </w:rPr>
              <w:t>8</w:t>
            </w:r>
            <w:r>
              <w:rPr>
                <w:rFonts w:hint="eastAsia" w:ascii="宋体" w:hAnsi="宋体"/>
                <w:color w:val="auto"/>
                <w:szCs w:val="21"/>
              </w:rPr>
              <w:t>年1月1日至今的工程质量方面奖项）</w:t>
            </w:r>
          </w:p>
        </w:tc>
        <w:tc>
          <w:tcPr>
            <w:tcW w:w="782" w:type="dxa"/>
            <w:tcBorders>
              <w:top w:val="single" w:color="auto" w:sz="4" w:space="0"/>
              <w:left w:val="single" w:color="auto" w:sz="4" w:space="0"/>
              <w:bottom w:val="single" w:color="auto" w:sz="4" w:space="0"/>
            </w:tcBorders>
            <w:noWrap/>
            <w:vAlign w:val="center"/>
          </w:tcPr>
          <w:p>
            <w:pPr>
              <w:pStyle w:val="19"/>
              <w:spacing w:line="260" w:lineRule="exact"/>
              <w:ind w:firstLine="0" w:firstLineChars="0"/>
              <w:jc w:val="center"/>
              <w:rPr>
                <w:rFonts w:ascii="宋体"/>
                <w:color w:val="auto"/>
                <w:sz w:val="21"/>
                <w:szCs w:val="21"/>
              </w:rPr>
            </w:pPr>
            <w:r>
              <w:rPr>
                <w:rFonts w:ascii="宋体"/>
                <w:color w:val="auto"/>
                <w:sz w:val="21"/>
                <w:szCs w:val="21"/>
              </w:rPr>
              <w:t>0-</w:t>
            </w:r>
            <w:r>
              <w:rPr>
                <w:rFonts w:hint="eastAsia" w:ascii="宋体"/>
                <w:color w:val="auto"/>
                <w:sz w:val="21"/>
                <w:szCs w:val="21"/>
              </w:rPr>
              <w:t>6分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60" w:hRule="exact"/>
          <w:jc w:val="center"/>
        </w:trPr>
        <w:tc>
          <w:tcPr>
            <w:tcW w:w="1108" w:type="dxa"/>
            <w:tcBorders>
              <w:top w:val="single" w:color="auto" w:sz="4" w:space="0"/>
              <w:bottom w:val="single" w:color="auto" w:sz="4" w:space="0"/>
              <w:right w:val="single" w:color="auto" w:sz="4" w:space="0"/>
            </w:tcBorders>
            <w:noWrap/>
            <w:vAlign w:val="center"/>
          </w:tcPr>
          <w:p>
            <w:pPr>
              <w:widowControl/>
              <w:spacing w:line="220" w:lineRule="exact"/>
              <w:jc w:val="center"/>
              <w:rPr>
                <w:rFonts w:ascii="宋体" w:hAnsi="宋体"/>
                <w:color w:val="auto"/>
                <w:szCs w:val="21"/>
              </w:rPr>
            </w:pPr>
            <w:r>
              <w:rPr>
                <w:rFonts w:hint="eastAsia" w:ascii="宋体" w:hAnsi="宋体"/>
                <w:color w:val="auto"/>
                <w:szCs w:val="21"/>
              </w:rPr>
              <w:t>12</w:t>
            </w:r>
          </w:p>
        </w:tc>
        <w:tc>
          <w:tcPr>
            <w:tcW w:w="1111" w:type="dxa"/>
            <w:tcBorders>
              <w:top w:val="single" w:color="auto" w:sz="4" w:space="0"/>
              <w:left w:val="single" w:color="auto" w:sz="4" w:space="0"/>
              <w:bottom w:val="single" w:color="auto" w:sz="4" w:space="0"/>
              <w:right w:val="single" w:color="auto" w:sz="4" w:space="0"/>
            </w:tcBorders>
            <w:noWrap/>
            <w:vAlign w:val="center"/>
          </w:tcPr>
          <w:p>
            <w:pPr>
              <w:widowControl/>
              <w:spacing w:line="220" w:lineRule="exact"/>
              <w:jc w:val="center"/>
              <w:rPr>
                <w:rFonts w:ascii="宋体"/>
                <w:color w:val="auto"/>
                <w:szCs w:val="21"/>
              </w:rPr>
            </w:pPr>
            <w:r>
              <w:rPr>
                <w:rFonts w:hint="eastAsia" w:ascii="宋体" w:hAnsi="宋体"/>
                <w:color w:val="auto"/>
                <w:szCs w:val="21"/>
              </w:rPr>
              <w:t>投标文件制作</w:t>
            </w:r>
          </w:p>
        </w:tc>
        <w:tc>
          <w:tcPr>
            <w:tcW w:w="669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olor w:val="auto"/>
                <w:szCs w:val="21"/>
              </w:rPr>
            </w:pPr>
            <w:r>
              <w:rPr>
                <w:rFonts w:hint="eastAsia" w:ascii="宋体" w:hAnsi="宋体"/>
                <w:color w:val="auto"/>
                <w:szCs w:val="21"/>
              </w:rPr>
              <w:t>投标文件编制完整，格式规范、符合招标文件要求的，得2分；投标文件有关内容前后矛盾、与招标文件要求不一致等，评标委员会允许且需要通过询标等程序进行澄清的，该项不得分；投标文件存在其他错漏的，每项（次）扣</w:t>
            </w:r>
            <w:r>
              <w:rPr>
                <w:rFonts w:ascii="宋体" w:hAnsi="宋体"/>
                <w:color w:val="auto"/>
                <w:szCs w:val="21"/>
              </w:rPr>
              <w:t xml:space="preserve"> 0.</w:t>
            </w:r>
            <w:r>
              <w:rPr>
                <w:rFonts w:hint="eastAsia" w:ascii="宋体" w:hAnsi="宋体"/>
                <w:color w:val="auto"/>
                <w:szCs w:val="21"/>
              </w:rPr>
              <w:t>5分，扣完该项得分为止。</w:t>
            </w:r>
          </w:p>
        </w:tc>
        <w:tc>
          <w:tcPr>
            <w:tcW w:w="782" w:type="dxa"/>
            <w:tcBorders>
              <w:top w:val="single" w:color="auto" w:sz="4" w:space="0"/>
              <w:left w:val="single" w:color="auto" w:sz="4" w:space="0"/>
              <w:bottom w:val="single" w:color="auto" w:sz="4" w:space="0"/>
            </w:tcBorders>
            <w:noWrap/>
            <w:vAlign w:val="center"/>
          </w:tcPr>
          <w:p>
            <w:pPr>
              <w:pStyle w:val="19"/>
              <w:spacing w:line="220" w:lineRule="exact"/>
              <w:ind w:firstLine="0" w:firstLineChars="0"/>
              <w:jc w:val="center"/>
              <w:rPr>
                <w:rFonts w:ascii="宋体"/>
                <w:color w:val="auto"/>
                <w:sz w:val="21"/>
                <w:szCs w:val="21"/>
              </w:rPr>
            </w:pPr>
            <w:r>
              <w:rPr>
                <w:rFonts w:ascii="宋体"/>
                <w:color w:val="auto"/>
                <w:sz w:val="21"/>
                <w:szCs w:val="21"/>
              </w:rPr>
              <w:t>0-</w:t>
            </w:r>
            <w:r>
              <w:rPr>
                <w:rFonts w:hint="eastAsia" w:ascii="宋体"/>
                <w:color w:val="auto"/>
                <w:sz w:val="21"/>
                <w:szCs w:val="21"/>
              </w:rPr>
              <w:t>2分</w:t>
            </w:r>
          </w:p>
        </w:tc>
      </w:tr>
    </w:tbl>
    <w:p>
      <w:pPr>
        <w:spacing w:beforeLines="50" w:afterLines="50"/>
        <w:rPr>
          <w:rFonts w:ascii="宋体" w:hAnsi="宋体"/>
          <w:b/>
          <w:color w:val="auto"/>
          <w:sz w:val="24"/>
        </w:rPr>
      </w:pPr>
      <w:r>
        <w:rPr>
          <w:rFonts w:hint="eastAsia" w:ascii="宋体" w:hAnsi="宋体"/>
          <w:b/>
          <w:color w:val="auto"/>
          <w:sz w:val="24"/>
        </w:rPr>
        <w:t>标项三：</w:t>
      </w:r>
    </w:p>
    <w:p>
      <w:pPr>
        <w:spacing w:beforeLines="50" w:afterLines="50"/>
        <w:rPr>
          <w:rFonts w:ascii="宋体" w:hAnsi="宋体"/>
          <w:b/>
          <w:color w:val="auto"/>
          <w:sz w:val="24"/>
        </w:rPr>
      </w:pPr>
      <w:r>
        <w:rPr>
          <w:rFonts w:hint="eastAsia" w:ascii="宋体" w:hAnsi="宋体"/>
          <w:b/>
          <w:color w:val="auto"/>
          <w:sz w:val="24"/>
        </w:rPr>
        <w:t>附件：评分表格式（技术、商务、资信及其他分，共70分）</w:t>
      </w:r>
    </w:p>
    <w:tbl>
      <w:tblPr>
        <w:tblStyle w:val="2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08"/>
        <w:gridCol w:w="1111"/>
        <w:gridCol w:w="6697"/>
        <w:gridCol w:w="7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6" w:hRule="atLeast"/>
          <w:jc w:val="center"/>
        </w:trPr>
        <w:tc>
          <w:tcPr>
            <w:tcW w:w="1108" w:type="dxa"/>
            <w:tcBorders>
              <w:top w:val="single" w:color="auto" w:sz="4" w:space="0"/>
              <w:bottom w:val="single" w:color="auto" w:sz="4" w:space="0"/>
              <w:right w:val="single" w:color="auto" w:sz="4" w:space="0"/>
            </w:tcBorders>
            <w:noWrap/>
            <w:vAlign w:val="center"/>
          </w:tcPr>
          <w:p>
            <w:pPr>
              <w:pStyle w:val="19"/>
              <w:spacing w:line="220" w:lineRule="exact"/>
              <w:ind w:left="-105" w:leftChars="-50" w:right="-105" w:rightChars="-50" w:firstLine="0" w:firstLineChars="0"/>
              <w:jc w:val="center"/>
              <w:rPr>
                <w:rFonts w:ascii="宋体"/>
                <w:b/>
                <w:bCs/>
                <w:color w:val="auto"/>
                <w:sz w:val="21"/>
                <w:szCs w:val="21"/>
              </w:rPr>
            </w:pPr>
            <w:r>
              <w:rPr>
                <w:rFonts w:hint="eastAsia" w:ascii="宋体"/>
                <w:b/>
                <w:bCs/>
                <w:color w:val="auto"/>
                <w:sz w:val="21"/>
                <w:szCs w:val="21"/>
              </w:rPr>
              <w:t>序号</w:t>
            </w:r>
          </w:p>
        </w:tc>
        <w:tc>
          <w:tcPr>
            <w:tcW w:w="1111" w:type="dxa"/>
            <w:tcBorders>
              <w:top w:val="single" w:color="auto" w:sz="4" w:space="0"/>
              <w:left w:val="single" w:color="auto" w:sz="4" w:space="0"/>
              <w:bottom w:val="single" w:color="auto" w:sz="4" w:space="0"/>
              <w:right w:val="single" w:color="auto" w:sz="4" w:space="0"/>
            </w:tcBorders>
            <w:noWrap/>
            <w:vAlign w:val="center"/>
          </w:tcPr>
          <w:p>
            <w:pPr>
              <w:pStyle w:val="19"/>
              <w:spacing w:line="220" w:lineRule="exact"/>
              <w:ind w:firstLine="0" w:firstLineChars="0"/>
              <w:jc w:val="center"/>
              <w:rPr>
                <w:rFonts w:ascii="宋体"/>
                <w:b/>
                <w:bCs/>
                <w:color w:val="auto"/>
                <w:sz w:val="21"/>
                <w:szCs w:val="21"/>
              </w:rPr>
            </w:pPr>
            <w:r>
              <w:rPr>
                <w:rFonts w:hint="eastAsia" w:ascii="宋体"/>
                <w:b/>
                <w:bCs/>
                <w:color w:val="auto"/>
                <w:sz w:val="21"/>
                <w:szCs w:val="21"/>
              </w:rPr>
              <w:t>评审内容</w:t>
            </w:r>
          </w:p>
        </w:tc>
        <w:tc>
          <w:tcPr>
            <w:tcW w:w="6697" w:type="dxa"/>
            <w:tcBorders>
              <w:top w:val="single" w:color="auto" w:sz="4" w:space="0"/>
              <w:left w:val="single" w:color="auto" w:sz="4" w:space="0"/>
              <w:bottom w:val="single" w:color="auto" w:sz="4" w:space="0"/>
              <w:right w:val="single" w:color="auto" w:sz="4" w:space="0"/>
            </w:tcBorders>
            <w:noWrap/>
            <w:vAlign w:val="center"/>
          </w:tcPr>
          <w:p>
            <w:pPr>
              <w:pStyle w:val="19"/>
              <w:spacing w:line="220" w:lineRule="exact"/>
              <w:ind w:firstLine="422"/>
              <w:jc w:val="center"/>
              <w:rPr>
                <w:rFonts w:ascii="宋体"/>
                <w:b/>
                <w:bCs/>
                <w:color w:val="auto"/>
                <w:sz w:val="21"/>
                <w:szCs w:val="21"/>
              </w:rPr>
            </w:pPr>
            <w:r>
              <w:rPr>
                <w:rFonts w:hint="eastAsia" w:ascii="宋体"/>
                <w:b/>
                <w:bCs/>
                <w:color w:val="auto"/>
                <w:sz w:val="21"/>
                <w:szCs w:val="21"/>
              </w:rPr>
              <w:t>评分标准</w:t>
            </w:r>
          </w:p>
        </w:tc>
        <w:tc>
          <w:tcPr>
            <w:tcW w:w="782" w:type="dxa"/>
            <w:tcBorders>
              <w:top w:val="single" w:color="auto" w:sz="4" w:space="0"/>
              <w:left w:val="single" w:color="auto" w:sz="4" w:space="0"/>
              <w:bottom w:val="single" w:color="auto" w:sz="4" w:space="0"/>
            </w:tcBorders>
            <w:noWrap/>
            <w:vAlign w:val="center"/>
          </w:tcPr>
          <w:p>
            <w:pPr>
              <w:pStyle w:val="19"/>
              <w:spacing w:line="220" w:lineRule="exact"/>
              <w:ind w:firstLine="0" w:firstLineChars="0"/>
              <w:jc w:val="center"/>
              <w:rPr>
                <w:rFonts w:ascii="宋体"/>
                <w:b/>
                <w:bCs/>
                <w:color w:val="auto"/>
                <w:sz w:val="21"/>
                <w:szCs w:val="21"/>
              </w:rPr>
            </w:pPr>
            <w:r>
              <w:rPr>
                <w:rFonts w:hint="eastAsia" w:ascii="宋体"/>
                <w:b/>
                <w:bCs/>
                <w:color w:val="auto"/>
                <w:sz w:val="21"/>
                <w:szCs w:val="21"/>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108" w:type="dxa"/>
            <w:tcBorders>
              <w:top w:val="single" w:color="auto" w:sz="4" w:space="0"/>
              <w:bottom w:val="single" w:color="auto" w:sz="4" w:space="0"/>
              <w:right w:val="single" w:color="auto" w:sz="4" w:space="0"/>
            </w:tcBorders>
            <w:noWrap/>
            <w:vAlign w:val="center"/>
          </w:tcPr>
          <w:p>
            <w:pPr>
              <w:pStyle w:val="19"/>
              <w:spacing w:line="220" w:lineRule="exact"/>
              <w:ind w:firstLine="0" w:firstLineChars="0"/>
              <w:jc w:val="center"/>
              <w:rPr>
                <w:rFonts w:ascii="宋体"/>
                <w:b/>
                <w:bCs/>
                <w:color w:val="auto"/>
                <w:sz w:val="21"/>
                <w:szCs w:val="21"/>
              </w:rPr>
            </w:pPr>
            <w:r>
              <w:rPr>
                <w:rFonts w:hint="eastAsia" w:ascii="宋体"/>
                <w:b/>
                <w:bCs/>
                <w:color w:val="auto"/>
                <w:sz w:val="21"/>
                <w:szCs w:val="21"/>
              </w:rPr>
              <w:t>一</w:t>
            </w:r>
          </w:p>
        </w:tc>
        <w:tc>
          <w:tcPr>
            <w:tcW w:w="1111" w:type="dxa"/>
            <w:tcBorders>
              <w:top w:val="single" w:color="auto" w:sz="4" w:space="0"/>
              <w:left w:val="single" w:color="auto" w:sz="4" w:space="0"/>
              <w:bottom w:val="single" w:color="auto" w:sz="4" w:space="0"/>
              <w:right w:val="single" w:color="auto" w:sz="4" w:space="0"/>
            </w:tcBorders>
            <w:noWrap/>
            <w:vAlign w:val="center"/>
          </w:tcPr>
          <w:p>
            <w:pPr>
              <w:pStyle w:val="19"/>
              <w:spacing w:line="220" w:lineRule="exact"/>
              <w:ind w:firstLine="0" w:firstLineChars="0"/>
              <w:jc w:val="center"/>
              <w:rPr>
                <w:rFonts w:ascii="宋体"/>
                <w:b/>
                <w:bCs/>
                <w:color w:val="auto"/>
                <w:sz w:val="21"/>
                <w:szCs w:val="21"/>
              </w:rPr>
            </w:pPr>
            <w:r>
              <w:rPr>
                <w:rFonts w:hint="eastAsia" w:ascii="宋体"/>
                <w:b/>
                <w:bCs/>
                <w:color w:val="auto"/>
                <w:sz w:val="21"/>
                <w:szCs w:val="21"/>
              </w:rPr>
              <w:t>技术分</w:t>
            </w:r>
          </w:p>
        </w:tc>
        <w:tc>
          <w:tcPr>
            <w:tcW w:w="6697" w:type="dxa"/>
            <w:tcBorders>
              <w:top w:val="single" w:color="auto" w:sz="4" w:space="0"/>
              <w:left w:val="single" w:color="auto" w:sz="4" w:space="0"/>
              <w:bottom w:val="single" w:color="auto" w:sz="4" w:space="0"/>
              <w:right w:val="single" w:color="auto" w:sz="4" w:space="0"/>
            </w:tcBorders>
            <w:noWrap/>
            <w:vAlign w:val="center"/>
          </w:tcPr>
          <w:p>
            <w:pPr>
              <w:pStyle w:val="19"/>
              <w:spacing w:line="220" w:lineRule="exact"/>
              <w:ind w:firstLine="422"/>
              <w:jc w:val="center"/>
              <w:rPr>
                <w:rFonts w:ascii="宋体"/>
                <w:b/>
                <w:bCs/>
                <w:color w:val="auto"/>
                <w:sz w:val="21"/>
                <w:szCs w:val="21"/>
              </w:rPr>
            </w:pPr>
          </w:p>
        </w:tc>
        <w:tc>
          <w:tcPr>
            <w:tcW w:w="782" w:type="dxa"/>
            <w:tcBorders>
              <w:top w:val="single" w:color="auto" w:sz="4" w:space="0"/>
              <w:left w:val="single" w:color="auto" w:sz="4" w:space="0"/>
              <w:bottom w:val="single" w:color="auto" w:sz="4" w:space="0"/>
            </w:tcBorders>
            <w:noWrap/>
            <w:vAlign w:val="center"/>
          </w:tcPr>
          <w:p>
            <w:pPr>
              <w:pStyle w:val="19"/>
              <w:spacing w:line="220" w:lineRule="exact"/>
              <w:ind w:firstLine="0" w:firstLineChars="0"/>
              <w:jc w:val="center"/>
              <w:rPr>
                <w:rFonts w:ascii="宋体"/>
                <w:b/>
                <w:bCs/>
                <w:color w:val="auto"/>
                <w:sz w:val="21"/>
                <w:szCs w:val="21"/>
              </w:rPr>
            </w:pPr>
            <w:r>
              <w:rPr>
                <w:rFonts w:hint="eastAsia" w:ascii="宋体"/>
                <w:b/>
                <w:bCs/>
                <w:color w:val="auto"/>
                <w:sz w:val="21"/>
                <w:szCs w:val="21"/>
              </w:rPr>
              <w:t>37分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34" w:hRule="atLeast"/>
          <w:jc w:val="center"/>
        </w:trPr>
        <w:tc>
          <w:tcPr>
            <w:tcW w:w="1108" w:type="dxa"/>
            <w:tcBorders>
              <w:top w:val="single" w:color="auto" w:sz="4" w:space="0"/>
              <w:bottom w:val="single" w:color="auto" w:sz="4" w:space="0"/>
              <w:right w:val="single" w:color="auto" w:sz="4" w:space="0"/>
            </w:tcBorders>
            <w:noWrap/>
            <w:vAlign w:val="center"/>
          </w:tcPr>
          <w:p>
            <w:pPr>
              <w:widowControl/>
              <w:spacing w:line="260" w:lineRule="exact"/>
              <w:jc w:val="center"/>
              <w:rPr>
                <w:rFonts w:ascii="宋体"/>
                <w:color w:val="auto"/>
                <w:szCs w:val="21"/>
              </w:rPr>
            </w:pPr>
            <w:r>
              <w:rPr>
                <w:rFonts w:ascii="宋体" w:hAnsi="宋体"/>
                <w:color w:val="auto"/>
                <w:szCs w:val="21"/>
              </w:rPr>
              <w:t>1</w:t>
            </w:r>
          </w:p>
        </w:tc>
        <w:tc>
          <w:tcPr>
            <w:tcW w:w="111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宋体"/>
                <w:color w:val="auto"/>
                <w:szCs w:val="21"/>
              </w:rPr>
            </w:pPr>
            <w:r>
              <w:rPr>
                <w:rFonts w:hint="eastAsia" w:ascii="宋体" w:hAnsi="宋体"/>
                <w:color w:val="auto"/>
                <w:szCs w:val="21"/>
              </w:rPr>
              <w:t>技术方案、工期等</w:t>
            </w:r>
          </w:p>
        </w:tc>
        <w:tc>
          <w:tcPr>
            <w:tcW w:w="6697"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left"/>
              <w:rPr>
                <w:rFonts w:ascii="宋体" w:hAnsi="宋体"/>
                <w:color w:val="auto"/>
                <w:szCs w:val="21"/>
              </w:rPr>
            </w:pPr>
            <w:r>
              <w:rPr>
                <w:rFonts w:ascii="宋体" w:hAnsi="宋体"/>
                <w:color w:val="auto"/>
                <w:szCs w:val="21"/>
              </w:rPr>
              <w:t>1.</w:t>
            </w:r>
            <w:r>
              <w:rPr>
                <w:rFonts w:hint="eastAsia" w:ascii="宋体" w:hAnsi="宋体"/>
                <w:color w:val="auto"/>
                <w:szCs w:val="21"/>
              </w:rPr>
              <w:t>维修、养护方案的合理性、全面性（3分）。</w:t>
            </w:r>
          </w:p>
          <w:p>
            <w:pPr>
              <w:widowControl/>
              <w:spacing w:line="260" w:lineRule="exact"/>
              <w:jc w:val="left"/>
              <w:rPr>
                <w:rFonts w:ascii="宋体" w:hAnsi="宋体"/>
                <w:color w:val="auto"/>
                <w:szCs w:val="21"/>
              </w:rPr>
            </w:pPr>
            <w:r>
              <w:rPr>
                <w:rFonts w:ascii="宋体" w:hAnsi="宋体"/>
                <w:color w:val="auto"/>
                <w:szCs w:val="21"/>
              </w:rPr>
              <w:t>3.</w:t>
            </w:r>
            <w:r>
              <w:rPr>
                <w:rFonts w:hint="eastAsia" w:ascii="宋体" w:hAnsi="宋体"/>
                <w:color w:val="auto"/>
                <w:szCs w:val="21"/>
              </w:rPr>
              <w:t xml:space="preserve"> 保证维修质量的技术方案和措施（4分。</w:t>
            </w:r>
          </w:p>
          <w:p>
            <w:pPr>
              <w:widowControl/>
              <w:spacing w:line="260" w:lineRule="exact"/>
              <w:jc w:val="left"/>
              <w:rPr>
                <w:rFonts w:ascii="宋体" w:hAnsi="宋体"/>
                <w:color w:val="auto"/>
                <w:szCs w:val="21"/>
              </w:rPr>
            </w:pPr>
            <w:r>
              <w:rPr>
                <w:rFonts w:ascii="宋体" w:hAnsi="宋体"/>
                <w:color w:val="auto"/>
                <w:szCs w:val="21"/>
              </w:rPr>
              <w:t>6.</w:t>
            </w:r>
            <w:r>
              <w:rPr>
                <w:rFonts w:hint="eastAsia" w:ascii="宋体" w:hAnsi="宋体"/>
                <w:color w:val="auto"/>
                <w:szCs w:val="21"/>
              </w:rPr>
              <w:t xml:space="preserve"> 安全文明施工措施（3分）。</w:t>
            </w:r>
          </w:p>
          <w:p>
            <w:pPr>
              <w:widowControl/>
              <w:spacing w:line="260" w:lineRule="exact"/>
              <w:jc w:val="left"/>
              <w:rPr>
                <w:rFonts w:ascii="宋体" w:hAnsi="宋体"/>
                <w:color w:val="auto"/>
                <w:szCs w:val="21"/>
              </w:rPr>
            </w:pPr>
            <w:r>
              <w:rPr>
                <w:rFonts w:ascii="宋体" w:hAnsi="宋体"/>
                <w:color w:val="auto"/>
                <w:szCs w:val="21"/>
              </w:rPr>
              <w:t>8.</w:t>
            </w:r>
            <w:r>
              <w:rPr>
                <w:rFonts w:hint="eastAsia" w:ascii="宋体" w:hAnsi="宋体"/>
                <w:color w:val="auto"/>
                <w:szCs w:val="21"/>
              </w:rPr>
              <w:t xml:space="preserve"> 维修、养护过程中与招标人的配合。（3分）</w:t>
            </w:r>
          </w:p>
          <w:p>
            <w:pPr>
              <w:widowControl/>
              <w:spacing w:line="260" w:lineRule="exact"/>
              <w:jc w:val="left"/>
              <w:rPr>
                <w:rFonts w:ascii="宋体"/>
                <w:color w:val="auto"/>
                <w:szCs w:val="21"/>
              </w:rPr>
            </w:pPr>
            <w:r>
              <w:rPr>
                <w:rFonts w:ascii="宋体" w:hAnsi="宋体"/>
                <w:color w:val="auto"/>
                <w:szCs w:val="21"/>
              </w:rPr>
              <w:t>9.</w:t>
            </w:r>
            <w:r>
              <w:rPr>
                <w:rFonts w:hint="eastAsia" w:ascii="宋体" w:hAnsi="宋体"/>
                <w:color w:val="auto"/>
                <w:szCs w:val="21"/>
              </w:rPr>
              <w:t xml:space="preserve"> 对本项目有效的改进措施和合理化建议（3分）。</w:t>
            </w:r>
          </w:p>
        </w:tc>
        <w:tc>
          <w:tcPr>
            <w:tcW w:w="782" w:type="dxa"/>
            <w:tcBorders>
              <w:top w:val="single" w:color="auto" w:sz="4" w:space="0"/>
              <w:left w:val="single" w:color="auto" w:sz="4" w:space="0"/>
              <w:bottom w:val="single" w:color="auto" w:sz="4" w:space="0"/>
            </w:tcBorders>
            <w:noWrap/>
            <w:vAlign w:val="center"/>
          </w:tcPr>
          <w:p>
            <w:pPr>
              <w:pStyle w:val="19"/>
              <w:spacing w:line="260" w:lineRule="exact"/>
              <w:ind w:left="-105" w:leftChars="-50" w:right="-105" w:rightChars="-50" w:firstLine="0" w:firstLineChars="0"/>
              <w:jc w:val="center"/>
              <w:rPr>
                <w:rFonts w:ascii="宋体"/>
                <w:color w:val="auto"/>
                <w:sz w:val="21"/>
                <w:szCs w:val="21"/>
              </w:rPr>
            </w:pPr>
            <w:r>
              <w:rPr>
                <w:rFonts w:ascii="宋体"/>
                <w:color w:val="auto"/>
                <w:sz w:val="21"/>
                <w:szCs w:val="21"/>
              </w:rPr>
              <w:t>0-</w:t>
            </w:r>
            <w:r>
              <w:rPr>
                <w:rFonts w:hint="eastAsia" w:ascii="宋体"/>
                <w:color w:val="auto"/>
                <w:sz w:val="21"/>
                <w:szCs w:val="21"/>
              </w:rPr>
              <w:t>16分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45" w:hRule="atLeast"/>
          <w:jc w:val="center"/>
        </w:trPr>
        <w:tc>
          <w:tcPr>
            <w:tcW w:w="1108" w:type="dxa"/>
            <w:tcBorders>
              <w:top w:val="single" w:color="auto" w:sz="4" w:space="0"/>
              <w:bottom w:val="single" w:color="auto" w:sz="4" w:space="0"/>
              <w:right w:val="single" w:color="auto" w:sz="4" w:space="0"/>
            </w:tcBorders>
            <w:noWrap/>
            <w:vAlign w:val="center"/>
          </w:tcPr>
          <w:p>
            <w:pPr>
              <w:widowControl/>
              <w:spacing w:line="260" w:lineRule="exact"/>
              <w:jc w:val="center"/>
              <w:rPr>
                <w:rFonts w:ascii="宋体" w:hAnsi="宋体"/>
                <w:color w:val="auto"/>
                <w:szCs w:val="21"/>
              </w:rPr>
            </w:pPr>
            <w:r>
              <w:rPr>
                <w:rFonts w:hint="eastAsia" w:ascii="宋体" w:hAnsi="宋体"/>
                <w:color w:val="auto"/>
                <w:szCs w:val="21"/>
              </w:rPr>
              <w:t>2</w:t>
            </w:r>
          </w:p>
        </w:tc>
        <w:tc>
          <w:tcPr>
            <w:tcW w:w="111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color w:val="auto"/>
                <w:szCs w:val="21"/>
              </w:rPr>
            </w:pPr>
            <w:r>
              <w:rPr>
                <w:rFonts w:hint="eastAsia" w:ascii="宋体" w:hAnsi="宋体"/>
                <w:color w:val="auto"/>
                <w:szCs w:val="21"/>
              </w:rPr>
              <w:t>进度计划</w:t>
            </w:r>
          </w:p>
        </w:tc>
        <w:tc>
          <w:tcPr>
            <w:tcW w:w="6697"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left"/>
              <w:rPr>
                <w:rFonts w:ascii="宋体" w:hAnsi="宋体"/>
                <w:color w:val="auto"/>
                <w:szCs w:val="21"/>
              </w:rPr>
            </w:pPr>
            <w:r>
              <w:rPr>
                <w:rFonts w:hint="eastAsia" w:ascii="宋体" w:hAnsi="宋体"/>
                <w:color w:val="auto"/>
                <w:szCs w:val="21"/>
              </w:rPr>
              <w:t>1.投标人承诺在施工前提供详细的进度计划表及网络图，完成各分项进度计划的具体措施和劳动力安排（1分），未承诺的不得分。</w:t>
            </w:r>
          </w:p>
          <w:p>
            <w:pPr>
              <w:widowControl/>
              <w:spacing w:line="260" w:lineRule="exact"/>
              <w:jc w:val="left"/>
              <w:rPr>
                <w:rFonts w:ascii="宋体" w:hAnsi="宋体"/>
                <w:color w:val="auto"/>
                <w:szCs w:val="21"/>
              </w:rPr>
            </w:pPr>
            <w:r>
              <w:rPr>
                <w:rFonts w:hint="eastAsia" w:ascii="宋体" w:hAnsi="宋体"/>
                <w:color w:val="auto"/>
                <w:szCs w:val="21"/>
              </w:rPr>
              <w:t>2. 保证维修施工进度（工期）的方案和措施（4分）</w:t>
            </w:r>
          </w:p>
        </w:tc>
        <w:tc>
          <w:tcPr>
            <w:tcW w:w="782" w:type="dxa"/>
            <w:tcBorders>
              <w:top w:val="single" w:color="auto" w:sz="4" w:space="0"/>
              <w:left w:val="single" w:color="auto" w:sz="4" w:space="0"/>
              <w:bottom w:val="single" w:color="auto" w:sz="4" w:space="0"/>
            </w:tcBorders>
            <w:noWrap/>
            <w:vAlign w:val="center"/>
          </w:tcPr>
          <w:p>
            <w:pPr>
              <w:pStyle w:val="19"/>
              <w:spacing w:line="260" w:lineRule="exact"/>
              <w:ind w:left="-105" w:leftChars="-50" w:right="-105" w:rightChars="-50" w:firstLine="0" w:firstLineChars="0"/>
              <w:jc w:val="center"/>
              <w:rPr>
                <w:rFonts w:ascii="宋体"/>
                <w:color w:val="auto"/>
                <w:sz w:val="21"/>
                <w:szCs w:val="21"/>
              </w:rPr>
            </w:pPr>
            <w:r>
              <w:rPr>
                <w:rFonts w:hint="eastAsia" w:ascii="宋体"/>
                <w:color w:val="auto"/>
                <w:sz w:val="21"/>
                <w:szCs w:val="21"/>
              </w:rPr>
              <w:t>0-5分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15" w:hRule="atLeast"/>
          <w:jc w:val="center"/>
        </w:trPr>
        <w:tc>
          <w:tcPr>
            <w:tcW w:w="1108" w:type="dxa"/>
            <w:tcBorders>
              <w:top w:val="single" w:color="auto" w:sz="4" w:space="0"/>
              <w:bottom w:val="single" w:color="auto" w:sz="4" w:space="0"/>
              <w:right w:val="single" w:color="auto" w:sz="4" w:space="0"/>
            </w:tcBorders>
            <w:noWrap/>
            <w:vAlign w:val="center"/>
          </w:tcPr>
          <w:p>
            <w:pPr>
              <w:widowControl/>
              <w:spacing w:line="260" w:lineRule="exact"/>
              <w:jc w:val="center"/>
              <w:rPr>
                <w:rFonts w:ascii="宋体" w:hAnsi="宋体"/>
                <w:color w:val="auto"/>
                <w:szCs w:val="21"/>
              </w:rPr>
            </w:pPr>
            <w:r>
              <w:rPr>
                <w:rFonts w:hint="eastAsia" w:ascii="宋体" w:hAnsi="宋体"/>
                <w:color w:val="auto"/>
                <w:szCs w:val="21"/>
              </w:rPr>
              <w:t>3</w:t>
            </w:r>
          </w:p>
        </w:tc>
        <w:tc>
          <w:tcPr>
            <w:tcW w:w="111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color w:val="auto"/>
                <w:szCs w:val="21"/>
              </w:rPr>
            </w:pPr>
            <w:r>
              <w:rPr>
                <w:rFonts w:hint="eastAsia" w:ascii="宋体" w:hAnsi="宋体"/>
                <w:color w:val="auto"/>
                <w:sz w:val="24"/>
              </w:rPr>
              <w:t>项目实施人员</w:t>
            </w:r>
          </w:p>
        </w:tc>
        <w:tc>
          <w:tcPr>
            <w:tcW w:w="6697"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left"/>
              <w:rPr>
                <w:rFonts w:ascii="宋体" w:hAnsi="宋体"/>
                <w:color w:val="auto"/>
                <w:szCs w:val="21"/>
              </w:rPr>
            </w:pPr>
            <w:r>
              <w:rPr>
                <w:rFonts w:hint="eastAsia" w:ascii="宋体" w:hAnsi="宋体"/>
                <w:color w:val="auto"/>
                <w:szCs w:val="21"/>
              </w:rPr>
              <w:t xml:space="preserve"> 保证项目维修小组的技术力量和人力资源安排（7分），人员岗位齐备的得2分，驻点人员每个得1分，最多加5分。</w:t>
            </w:r>
          </w:p>
          <w:p>
            <w:pPr>
              <w:widowControl/>
              <w:spacing w:line="260" w:lineRule="exact"/>
              <w:jc w:val="left"/>
              <w:rPr>
                <w:rFonts w:ascii="宋体" w:hAnsi="宋体"/>
                <w:color w:val="auto"/>
                <w:szCs w:val="21"/>
              </w:rPr>
            </w:pPr>
          </w:p>
        </w:tc>
        <w:tc>
          <w:tcPr>
            <w:tcW w:w="782" w:type="dxa"/>
            <w:tcBorders>
              <w:top w:val="single" w:color="auto" w:sz="4" w:space="0"/>
              <w:left w:val="single" w:color="auto" w:sz="4" w:space="0"/>
              <w:bottom w:val="single" w:color="auto" w:sz="4" w:space="0"/>
            </w:tcBorders>
            <w:noWrap/>
            <w:vAlign w:val="center"/>
          </w:tcPr>
          <w:p>
            <w:pPr>
              <w:pStyle w:val="19"/>
              <w:spacing w:line="260" w:lineRule="exact"/>
              <w:ind w:left="-105" w:leftChars="-50" w:right="-105" w:rightChars="-50" w:firstLine="0" w:firstLineChars="0"/>
              <w:jc w:val="center"/>
              <w:rPr>
                <w:rFonts w:ascii="宋体"/>
                <w:color w:val="auto"/>
                <w:sz w:val="21"/>
                <w:szCs w:val="21"/>
              </w:rPr>
            </w:pPr>
            <w:r>
              <w:rPr>
                <w:rFonts w:hint="eastAsia" w:ascii="宋体"/>
                <w:color w:val="auto"/>
                <w:sz w:val="21"/>
                <w:szCs w:val="21"/>
              </w:rPr>
              <w:t>0-7分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89" w:hRule="atLeast"/>
          <w:jc w:val="center"/>
        </w:trPr>
        <w:tc>
          <w:tcPr>
            <w:tcW w:w="1108" w:type="dxa"/>
            <w:tcBorders>
              <w:top w:val="single" w:color="auto" w:sz="4" w:space="0"/>
              <w:bottom w:val="single" w:color="auto" w:sz="4" w:space="0"/>
              <w:right w:val="single" w:color="auto" w:sz="4" w:space="0"/>
            </w:tcBorders>
            <w:noWrap/>
            <w:vAlign w:val="center"/>
          </w:tcPr>
          <w:p>
            <w:pPr>
              <w:widowControl/>
              <w:spacing w:line="260" w:lineRule="exact"/>
              <w:jc w:val="center"/>
              <w:rPr>
                <w:rFonts w:ascii="宋体" w:hAnsi="宋体"/>
                <w:color w:val="auto"/>
                <w:szCs w:val="21"/>
              </w:rPr>
            </w:pPr>
            <w:r>
              <w:rPr>
                <w:rFonts w:hint="eastAsia" w:ascii="宋体" w:hAnsi="宋体"/>
                <w:color w:val="auto"/>
                <w:szCs w:val="21"/>
              </w:rPr>
              <w:t>4</w:t>
            </w:r>
          </w:p>
        </w:tc>
        <w:tc>
          <w:tcPr>
            <w:tcW w:w="111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color w:val="auto"/>
                <w:szCs w:val="21"/>
              </w:rPr>
            </w:pPr>
            <w:r>
              <w:rPr>
                <w:rFonts w:hint="eastAsia" w:ascii="宋体" w:hAnsi="宋体"/>
                <w:color w:val="auto"/>
                <w:sz w:val="24"/>
              </w:rPr>
              <w:t>施工机械设备</w:t>
            </w:r>
          </w:p>
        </w:tc>
        <w:tc>
          <w:tcPr>
            <w:tcW w:w="6697"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left"/>
              <w:rPr>
                <w:rFonts w:hint="eastAsia" w:eastAsia="宋体"/>
                <w:color w:val="auto"/>
                <w:lang w:eastAsia="zh-CN"/>
              </w:rPr>
            </w:pPr>
            <w:r>
              <w:rPr>
                <w:rFonts w:hint="eastAsia" w:ascii="宋体" w:hAnsi="宋体"/>
                <w:color w:val="auto"/>
                <w:szCs w:val="21"/>
              </w:rPr>
              <w:t>施工机械的选用及配置合理性（9分），维修常用的小工具（泥桶、刷子、推车等）齐全0-2分；大型机械配置</w:t>
            </w:r>
            <w:r>
              <w:rPr>
                <w:rFonts w:hint="eastAsia" w:ascii="宋体" w:hAnsi="宋体"/>
                <w:color w:val="auto"/>
                <w:szCs w:val="21"/>
                <w:lang w:eastAsia="zh-CN"/>
              </w:rPr>
              <w:t>（</w:t>
            </w:r>
            <w:r>
              <w:rPr>
                <w:rFonts w:hint="eastAsia" w:ascii="宋体" w:hAnsi="宋体"/>
                <w:color w:val="auto"/>
                <w:szCs w:val="21"/>
                <w:lang w:val="en-US" w:eastAsia="zh-CN"/>
              </w:rPr>
              <w:t>推土机、压路机、摊铺机、铣刨机等</w:t>
            </w:r>
            <w:r>
              <w:rPr>
                <w:rFonts w:hint="eastAsia" w:ascii="宋体" w:hAnsi="宋体"/>
                <w:color w:val="auto"/>
                <w:szCs w:val="21"/>
                <w:lang w:eastAsia="zh-CN"/>
              </w:rPr>
              <w:t>）</w:t>
            </w:r>
            <w:r>
              <w:rPr>
                <w:rFonts w:hint="eastAsia" w:ascii="宋体" w:hAnsi="宋体"/>
                <w:color w:val="auto"/>
                <w:szCs w:val="21"/>
              </w:rPr>
              <w:t>齐全0-3</w:t>
            </w:r>
            <w:r>
              <w:rPr>
                <w:rFonts w:hint="eastAsia" w:ascii="宋体" w:hAnsi="宋体"/>
                <w:color w:val="auto"/>
                <w:szCs w:val="21"/>
                <w:lang w:eastAsia="zh-CN"/>
              </w:rPr>
              <w:t>分</w:t>
            </w:r>
            <w:r>
              <w:rPr>
                <w:rFonts w:hint="eastAsia" w:ascii="宋体" w:hAnsi="宋体"/>
                <w:color w:val="auto"/>
                <w:szCs w:val="21"/>
              </w:rPr>
              <w:t>；不低于2000型沥青搅拌楼，自有</w:t>
            </w:r>
            <w:r>
              <w:rPr>
                <w:rFonts w:hint="eastAsia" w:ascii="宋体" w:hAnsi="宋体"/>
                <w:color w:val="auto"/>
                <w:szCs w:val="21"/>
                <w:lang w:eastAsia="zh-CN"/>
              </w:rPr>
              <w:t>设备</w:t>
            </w:r>
            <w:r>
              <w:rPr>
                <w:rFonts w:hint="eastAsia" w:ascii="宋体" w:hAnsi="宋体"/>
                <w:color w:val="auto"/>
                <w:szCs w:val="21"/>
              </w:rPr>
              <w:t>得4分，租赁得2分</w:t>
            </w:r>
            <w:r>
              <w:rPr>
                <w:rFonts w:hint="eastAsia" w:ascii="宋体" w:hAnsi="宋体"/>
                <w:color w:val="auto"/>
                <w:szCs w:val="21"/>
                <w:lang w:eastAsia="zh-CN"/>
              </w:rPr>
              <w:t>。注：自有设备提供购买发票或者转让合同，租赁需提供租赁合同。</w:t>
            </w:r>
          </w:p>
          <w:p>
            <w:pPr>
              <w:widowControl/>
              <w:spacing w:line="260" w:lineRule="exact"/>
              <w:jc w:val="left"/>
              <w:rPr>
                <w:rFonts w:ascii="宋体" w:hAnsi="宋体"/>
                <w:color w:val="auto"/>
                <w:szCs w:val="21"/>
              </w:rPr>
            </w:pPr>
          </w:p>
        </w:tc>
        <w:tc>
          <w:tcPr>
            <w:tcW w:w="782" w:type="dxa"/>
            <w:tcBorders>
              <w:top w:val="single" w:color="auto" w:sz="4" w:space="0"/>
              <w:left w:val="single" w:color="auto" w:sz="4" w:space="0"/>
              <w:bottom w:val="single" w:color="auto" w:sz="4" w:space="0"/>
            </w:tcBorders>
            <w:noWrap/>
            <w:vAlign w:val="center"/>
          </w:tcPr>
          <w:p>
            <w:pPr>
              <w:pStyle w:val="19"/>
              <w:spacing w:line="260" w:lineRule="exact"/>
              <w:ind w:left="-105" w:leftChars="-50" w:right="-105" w:rightChars="-50" w:firstLine="0" w:firstLineChars="0"/>
              <w:jc w:val="center"/>
              <w:rPr>
                <w:rFonts w:ascii="宋体"/>
                <w:color w:val="auto"/>
                <w:sz w:val="21"/>
                <w:szCs w:val="21"/>
              </w:rPr>
            </w:pPr>
            <w:r>
              <w:rPr>
                <w:rFonts w:hint="eastAsia" w:ascii="宋体"/>
                <w:color w:val="auto"/>
                <w:sz w:val="21"/>
                <w:szCs w:val="21"/>
              </w:rPr>
              <w:t>0-9分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79" w:hRule="atLeast"/>
          <w:jc w:val="center"/>
        </w:trPr>
        <w:tc>
          <w:tcPr>
            <w:tcW w:w="1108" w:type="dxa"/>
            <w:tcBorders>
              <w:top w:val="single" w:color="auto" w:sz="4" w:space="0"/>
              <w:bottom w:val="single" w:color="auto" w:sz="4" w:space="0"/>
              <w:right w:val="single" w:color="auto" w:sz="4" w:space="0"/>
            </w:tcBorders>
            <w:noWrap/>
            <w:vAlign w:val="center"/>
          </w:tcPr>
          <w:p>
            <w:pPr>
              <w:widowControl/>
              <w:spacing w:line="220" w:lineRule="exact"/>
              <w:jc w:val="center"/>
              <w:rPr>
                <w:rFonts w:ascii="宋体"/>
                <w:b/>
                <w:color w:val="auto"/>
                <w:szCs w:val="21"/>
              </w:rPr>
            </w:pPr>
            <w:r>
              <w:rPr>
                <w:rFonts w:hint="eastAsia" w:ascii="宋体" w:hAnsi="宋体"/>
                <w:b/>
                <w:color w:val="auto"/>
                <w:szCs w:val="21"/>
              </w:rPr>
              <w:t>二</w:t>
            </w:r>
          </w:p>
        </w:tc>
        <w:tc>
          <w:tcPr>
            <w:tcW w:w="1111" w:type="dxa"/>
            <w:tcBorders>
              <w:top w:val="single" w:color="auto" w:sz="4" w:space="0"/>
              <w:left w:val="single" w:color="auto" w:sz="4" w:space="0"/>
              <w:bottom w:val="single" w:color="auto" w:sz="4" w:space="0"/>
              <w:right w:val="single" w:color="auto" w:sz="4" w:space="0"/>
            </w:tcBorders>
            <w:noWrap/>
            <w:vAlign w:val="center"/>
          </w:tcPr>
          <w:p>
            <w:pPr>
              <w:widowControl/>
              <w:spacing w:line="220" w:lineRule="exact"/>
              <w:jc w:val="center"/>
              <w:rPr>
                <w:rFonts w:ascii="宋体"/>
                <w:b/>
                <w:color w:val="auto"/>
                <w:szCs w:val="21"/>
              </w:rPr>
            </w:pPr>
            <w:r>
              <w:rPr>
                <w:rFonts w:hint="eastAsia" w:ascii="宋体" w:hAnsi="宋体"/>
                <w:b/>
                <w:color w:val="auto"/>
                <w:szCs w:val="21"/>
              </w:rPr>
              <w:t>商务分</w:t>
            </w:r>
          </w:p>
        </w:tc>
        <w:tc>
          <w:tcPr>
            <w:tcW w:w="6697"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left"/>
              <w:rPr>
                <w:rFonts w:ascii="宋体" w:hAnsi="宋体"/>
                <w:color w:val="auto"/>
                <w:szCs w:val="21"/>
              </w:rPr>
            </w:pPr>
          </w:p>
        </w:tc>
        <w:tc>
          <w:tcPr>
            <w:tcW w:w="782" w:type="dxa"/>
            <w:tcBorders>
              <w:top w:val="single" w:color="auto" w:sz="4" w:space="0"/>
              <w:left w:val="single" w:color="auto" w:sz="4" w:space="0"/>
              <w:bottom w:val="single" w:color="auto" w:sz="4" w:space="0"/>
            </w:tcBorders>
            <w:noWrap/>
            <w:vAlign w:val="center"/>
          </w:tcPr>
          <w:p>
            <w:pPr>
              <w:pStyle w:val="19"/>
              <w:spacing w:line="220" w:lineRule="exact"/>
              <w:ind w:firstLine="0" w:firstLineChars="0"/>
              <w:jc w:val="center"/>
              <w:rPr>
                <w:rFonts w:ascii="宋体"/>
                <w:b/>
                <w:color w:val="auto"/>
                <w:sz w:val="21"/>
                <w:szCs w:val="21"/>
              </w:rPr>
            </w:pPr>
            <w:r>
              <w:rPr>
                <w:rFonts w:ascii="宋体"/>
                <w:b/>
                <w:color w:val="auto"/>
                <w:sz w:val="21"/>
                <w:szCs w:val="21"/>
              </w:rPr>
              <w:t>1</w:t>
            </w:r>
            <w:r>
              <w:rPr>
                <w:rFonts w:hint="eastAsia" w:ascii="宋体"/>
                <w:b/>
                <w:color w:val="auto"/>
                <w:sz w:val="21"/>
                <w:szCs w:val="21"/>
              </w:rPr>
              <w:t>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22" w:hRule="atLeast"/>
          <w:jc w:val="center"/>
        </w:trPr>
        <w:tc>
          <w:tcPr>
            <w:tcW w:w="1108" w:type="dxa"/>
            <w:tcBorders>
              <w:top w:val="single" w:color="auto" w:sz="4" w:space="0"/>
              <w:bottom w:val="single" w:color="auto" w:sz="4" w:space="0"/>
              <w:right w:val="single" w:color="auto" w:sz="4" w:space="0"/>
            </w:tcBorders>
            <w:noWrap/>
            <w:vAlign w:val="center"/>
          </w:tcPr>
          <w:p>
            <w:pPr>
              <w:widowControl/>
              <w:spacing w:line="260" w:lineRule="exact"/>
              <w:jc w:val="center"/>
              <w:rPr>
                <w:rFonts w:ascii="宋体"/>
                <w:b/>
                <w:color w:val="auto"/>
                <w:szCs w:val="21"/>
              </w:rPr>
            </w:pPr>
            <w:r>
              <w:rPr>
                <w:rFonts w:hint="eastAsia" w:ascii="宋体"/>
                <w:b/>
                <w:color w:val="auto"/>
                <w:szCs w:val="21"/>
              </w:rPr>
              <w:t>5</w:t>
            </w:r>
          </w:p>
        </w:tc>
        <w:tc>
          <w:tcPr>
            <w:tcW w:w="111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宋体"/>
                <w:color w:val="auto"/>
                <w:szCs w:val="21"/>
              </w:rPr>
            </w:pPr>
            <w:r>
              <w:rPr>
                <w:rFonts w:hint="eastAsia" w:ascii="宋体" w:hAnsi="宋体"/>
                <w:color w:val="auto"/>
                <w:szCs w:val="21"/>
              </w:rPr>
              <w:t>售后服务内容及措施</w:t>
            </w:r>
          </w:p>
        </w:tc>
        <w:tc>
          <w:tcPr>
            <w:tcW w:w="6697"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left"/>
              <w:rPr>
                <w:rFonts w:ascii="宋体" w:hAnsi="宋体"/>
                <w:color w:val="auto"/>
                <w:szCs w:val="21"/>
              </w:rPr>
            </w:pPr>
            <w:r>
              <w:rPr>
                <w:rFonts w:hint="eastAsia" w:ascii="宋体" w:hAnsi="宋体"/>
                <w:color w:val="auto"/>
                <w:szCs w:val="21"/>
              </w:rPr>
              <w:t>投标人应从维修项目的各个方面进行阐述；包括维修质量率、响应及时性、用户回访、应急事件处理、投诉件处理服务态度等方面。</w:t>
            </w:r>
          </w:p>
          <w:p>
            <w:pPr>
              <w:widowControl/>
              <w:spacing w:line="260" w:lineRule="exact"/>
              <w:jc w:val="left"/>
              <w:rPr>
                <w:rFonts w:ascii="宋体" w:hAnsi="宋体"/>
                <w:color w:val="auto"/>
                <w:szCs w:val="21"/>
              </w:rPr>
            </w:pPr>
            <w:r>
              <w:rPr>
                <w:rFonts w:hint="eastAsia" w:ascii="宋体" w:hAnsi="宋体"/>
                <w:color w:val="auto"/>
                <w:szCs w:val="21"/>
              </w:rPr>
              <w:t>除招标文件规定内容外无其他售后服务承诺的，该项不得分；</w:t>
            </w:r>
          </w:p>
        </w:tc>
        <w:tc>
          <w:tcPr>
            <w:tcW w:w="782" w:type="dxa"/>
            <w:tcBorders>
              <w:top w:val="single" w:color="auto" w:sz="4" w:space="0"/>
              <w:left w:val="single" w:color="auto" w:sz="4" w:space="0"/>
              <w:bottom w:val="single" w:color="auto" w:sz="4" w:space="0"/>
            </w:tcBorders>
            <w:noWrap/>
            <w:vAlign w:val="center"/>
          </w:tcPr>
          <w:p>
            <w:pPr>
              <w:widowControl/>
              <w:spacing w:line="260" w:lineRule="exact"/>
              <w:jc w:val="center"/>
              <w:rPr>
                <w:rFonts w:ascii="宋体"/>
                <w:color w:val="auto"/>
                <w:szCs w:val="21"/>
              </w:rPr>
            </w:pPr>
            <w:r>
              <w:rPr>
                <w:rFonts w:ascii="宋体" w:hAnsi="宋体"/>
                <w:color w:val="auto"/>
                <w:szCs w:val="21"/>
              </w:rPr>
              <w:t>0-6</w:t>
            </w:r>
            <w:r>
              <w:rPr>
                <w:rFonts w:hint="eastAsia" w:ascii="宋体" w:hAnsi="宋体"/>
                <w:color w:val="auto"/>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22" w:hRule="atLeast"/>
          <w:jc w:val="center"/>
        </w:trPr>
        <w:tc>
          <w:tcPr>
            <w:tcW w:w="1108" w:type="dxa"/>
            <w:tcBorders>
              <w:top w:val="single" w:color="auto" w:sz="4" w:space="0"/>
              <w:bottom w:val="single" w:color="auto" w:sz="4" w:space="0"/>
              <w:right w:val="single" w:color="auto" w:sz="4" w:space="0"/>
            </w:tcBorders>
            <w:noWrap/>
            <w:vAlign w:val="center"/>
          </w:tcPr>
          <w:p>
            <w:pPr>
              <w:widowControl/>
              <w:spacing w:line="260" w:lineRule="exact"/>
              <w:jc w:val="center"/>
              <w:rPr>
                <w:rFonts w:ascii="宋体"/>
                <w:color w:val="auto"/>
                <w:szCs w:val="21"/>
              </w:rPr>
            </w:pPr>
            <w:r>
              <w:rPr>
                <w:rFonts w:hint="eastAsia" w:ascii="宋体"/>
                <w:color w:val="auto"/>
                <w:szCs w:val="21"/>
              </w:rPr>
              <w:t>6</w:t>
            </w:r>
          </w:p>
        </w:tc>
        <w:tc>
          <w:tcPr>
            <w:tcW w:w="1111"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宋体" w:hAnsi="宋体"/>
                <w:color w:val="auto"/>
                <w:szCs w:val="21"/>
              </w:rPr>
            </w:pPr>
            <w:r>
              <w:rPr>
                <w:rFonts w:hint="eastAsia" w:ascii="宋体" w:hAnsi="宋体"/>
                <w:color w:val="auto"/>
                <w:szCs w:val="21"/>
              </w:rPr>
              <w:t>支付承诺</w:t>
            </w:r>
          </w:p>
        </w:tc>
        <w:tc>
          <w:tcPr>
            <w:tcW w:w="6697" w:type="dxa"/>
            <w:tcBorders>
              <w:top w:val="single" w:color="auto" w:sz="4" w:space="0"/>
              <w:left w:val="single" w:color="auto" w:sz="4" w:space="0"/>
              <w:bottom w:val="single" w:color="auto" w:sz="4" w:space="0"/>
              <w:right w:val="single" w:color="auto" w:sz="4" w:space="0"/>
            </w:tcBorders>
            <w:noWrap/>
            <w:vAlign w:val="center"/>
          </w:tcPr>
          <w:p>
            <w:pPr>
              <w:spacing w:beforeLines="50" w:afterLines="50" w:line="260" w:lineRule="exact"/>
              <w:rPr>
                <w:rFonts w:ascii="宋体" w:hAnsi="宋体"/>
                <w:color w:val="auto"/>
                <w:szCs w:val="21"/>
              </w:rPr>
            </w:pPr>
            <w:r>
              <w:rPr>
                <w:rFonts w:hint="eastAsia" w:ascii="宋体" w:hAnsi="宋体"/>
                <w:color w:val="auto"/>
                <w:szCs w:val="21"/>
              </w:rPr>
              <w:t>投标人须承诺及时支付农民工工资得4分，未承诺的不得分。</w:t>
            </w:r>
          </w:p>
        </w:tc>
        <w:tc>
          <w:tcPr>
            <w:tcW w:w="782" w:type="dxa"/>
            <w:tcBorders>
              <w:top w:val="single" w:color="auto" w:sz="4" w:space="0"/>
              <w:left w:val="single" w:color="auto" w:sz="4" w:space="0"/>
              <w:bottom w:val="single" w:color="auto" w:sz="4" w:space="0"/>
            </w:tcBorders>
            <w:noWrap/>
            <w:vAlign w:val="center"/>
          </w:tcPr>
          <w:p>
            <w:pPr>
              <w:widowControl/>
              <w:spacing w:line="260" w:lineRule="exact"/>
              <w:jc w:val="center"/>
              <w:rPr>
                <w:rFonts w:ascii="宋体"/>
                <w:color w:val="auto"/>
                <w:szCs w:val="21"/>
              </w:rPr>
            </w:pPr>
            <w:r>
              <w:rPr>
                <w:rFonts w:ascii="宋体" w:hAnsi="宋体"/>
                <w:color w:val="auto"/>
                <w:szCs w:val="21"/>
              </w:rPr>
              <w:t>0-</w:t>
            </w:r>
            <w:r>
              <w:rPr>
                <w:rFonts w:hint="eastAsia" w:ascii="宋体" w:hAnsi="宋体"/>
                <w:color w:val="auto"/>
                <w:szCs w:val="21"/>
              </w:rPr>
              <w:t>4分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4" w:hRule="atLeast"/>
          <w:jc w:val="center"/>
        </w:trPr>
        <w:tc>
          <w:tcPr>
            <w:tcW w:w="1108" w:type="dxa"/>
            <w:tcBorders>
              <w:top w:val="single" w:color="auto" w:sz="4" w:space="0"/>
              <w:bottom w:val="single" w:color="auto" w:sz="4" w:space="0"/>
              <w:right w:val="single" w:color="auto" w:sz="4" w:space="0"/>
            </w:tcBorders>
            <w:noWrap/>
            <w:vAlign w:val="center"/>
          </w:tcPr>
          <w:p>
            <w:pPr>
              <w:widowControl/>
              <w:spacing w:line="220" w:lineRule="exact"/>
              <w:jc w:val="center"/>
              <w:rPr>
                <w:rFonts w:ascii="宋体"/>
                <w:b/>
                <w:color w:val="auto"/>
                <w:szCs w:val="21"/>
              </w:rPr>
            </w:pPr>
            <w:r>
              <w:rPr>
                <w:rFonts w:hint="eastAsia" w:ascii="宋体" w:hAnsi="宋体"/>
                <w:b/>
                <w:color w:val="auto"/>
                <w:szCs w:val="21"/>
              </w:rPr>
              <w:t>三</w:t>
            </w:r>
          </w:p>
        </w:tc>
        <w:tc>
          <w:tcPr>
            <w:tcW w:w="1111" w:type="dxa"/>
            <w:tcBorders>
              <w:top w:val="single" w:color="auto" w:sz="4" w:space="0"/>
              <w:left w:val="single" w:color="auto" w:sz="4" w:space="0"/>
              <w:bottom w:val="single" w:color="auto" w:sz="4" w:space="0"/>
              <w:right w:val="single" w:color="auto" w:sz="4" w:space="0"/>
            </w:tcBorders>
            <w:noWrap/>
            <w:vAlign w:val="center"/>
          </w:tcPr>
          <w:p>
            <w:pPr>
              <w:widowControl/>
              <w:spacing w:line="220" w:lineRule="exact"/>
              <w:jc w:val="center"/>
              <w:rPr>
                <w:rFonts w:ascii="宋体"/>
                <w:color w:val="auto"/>
                <w:szCs w:val="21"/>
              </w:rPr>
            </w:pPr>
            <w:r>
              <w:rPr>
                <w:rFonts w:hint="eastAsia" w:ascii="宋体" w:hAnsi="宋体"/>
                <w:b/>
                <w:color w:val="auto"/>
                <w:szCs w:val="21"/>
              </w:rPr>
              <w:t>资信及其他分</w:t>
            </w:r>
          </w:p>
        </w:tc>
        <w:tc>
          <w:tcPr>
            <w:tcW w:w="6697" w:type="dxa"/>
            <w:tcBorders>
              <w:top w:val="single" w:color="auto" w:sz="4" w:space="0"/>
              <w:left w:val="single" w:color="auto" w:sz="4" w:space="0"/>
              <w:bottom w:val="single" w:color="auto" w:sz="4" w:space="0"/>
              <w:right w:val="single" w:color="auto" w:sz="4" w:space="0"/>
            </w:tcBorders>
            <w:noWrap/>
            <w:vAlign w:val="center"/>
          </w:tcPr>
          <w:p>
            <w:pPr>
              <w:tabs>
                <w:tab w:val="left" w:pos="1080"/>
              </w:tabs>
              <w:ind w:firstLine="315" w:firstLineChars="150"/>
              <w:rPr>
                <w:rFonts w:ascii="宋体"/>
                <w:color w:val="auto"/>
                <w:szCs w:val="21"/>
              </w:rPr>
            </w:pPr>
          </w:p>
        </w:tc>
        <w:tc>
          <w:tcPr>
            <w:tcW w:w="782" w:type="dxa"/>
            <w:tcBorders>
              <w:top w:val="single" w:color="auto" w:sz="4" w:space="0"/>
              <w:left w:val="single" w:color="auto" w:sz="4" w:space="0"/>
              <w:bottom w:val="single" w:color="auto" w:sz="4" w:space="0"/>
            </w:tcBorders>
            <w:noWrap/>
            <w:vAlign w:val="center"/>
          </w:tcPr>
          <w:p>
            <w:pPr>
              <w:pStyle w:val="19"/>
              <w:spacing w:line="220" w:lineRule="exact"/>
              <w:ind w:firstLine="0" w:firstLineChars="0"/>
              <w:jc w:val="center"/>
              <w:rPr>
                <w:rFonts w:ascii="宋体"/>
                <w:b/>
                <w:color w:val="auto"/>
                <w:sz w:val="21"/>
                <w:szCs w:val="21"/>
              </w:rPr>
            </w:pPr>
            <w:r>
              <w:rPr>
                <w:rFonts w:hint="eastAsia" w:ascii="宋体"/>
                <w:b/>
                <w:color w:val="auto"/>
                <w:sz w:val="21"/>
                <w:szCs w:val="21"/>
              </w:rPr>
              <w:t>23分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4" w:hRule="atLeast"/>
          <w:jc w:val="center"/>
        </w:trPr>
        <w:tc>
          <w:tcPr>
            <w:tcW w:w="1108" w:type="dxa"/>
            <w:tcBorders>
              <w:top w:val="single" w:color="auto" w:sz="4" w:space="0"/>
              <w:bottom w:val="single" w:color="auto" w:sz="4" w:space="0"/>
              <w:right w:val="single" w:color="auto" w:sz="4" w:space="0"/>
            </w:tcBorders>
            <w:noWrap/>
            <w:vAlign w:val="center"/>
          </w:tcPr>
          <w:p>
            <w:pPr>
              <w:widowControl/>
              <w:spacing w:line="220" w:lineRule="exact"/>
              <w:jc w:val="center"/>
              <w:rPr>
                <w:rFonts w:ascii="宋体"/>
                <w:color w:val="auto"/>
                <w:szCs w:val="21"/>
              </w:rPr>
            </w:pPr>
            <w:r>
              <w:rPr>
                <w:rFonts w:hint="eastAsia" w:ascii="宋体"/>
                <w:color w:val="auto"/>
                <w:szCs w:val="21"/>
              </w:rPr>
              <w:t>7</w:t>
            </w:r>
          </w:p>
        </w:tc>
        <w:tc>
          <w:tcPr>
            <w:tcW w:w="1111" w:type="dxa"/>
            <w:tcBorders>
              <w:top w:val="single" w:color="auto" w:sz="4" w:space="0"/>
              <w:left w:val="single" w:color="auto" w:sz="4" w:space="0"/>
              <w:bottom w:val="single" w:color="auto" w:sz="4" w:space="0"/>
              <w:right w:val="single" w:color="auto" w:sz="4" w:space="0"/>
            </w:tcBorders>
            <w:noWrap/>
            <w:vAlign w:val="center"/>
          </w:tcPr>
          <w:p>
            <w:pPr>
              <w:widowControl/>
              <w:spacing w:line="220" w:lineRule="exact"/>
              <w:jc w:val="center"/>
              <w:rPr>
                <w:rFonts w:ascii="宋体"/>
                <w:color w:val="auto"/>
                <w:szCs w:val="21"/>
              </w:rPr>
            </w:pPr>
            <w:r>
              <w:rPr>
                <w:rFonts w:hint="eastAsia" w:ascii="宋体" w:hAnsi="宋体"/>
                <w:color w:val="auto"/>
                <w:szCs w:val="21"/>
              </w:rPr>
              <w:t>认证证书</w:t>
            </w:r>
          </w:p>
        </w:tc>
        <w:tc>
          <w:tcPr>
            <w:tcW w:w="669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olor w:val="auto"/>
                <w:szCs w:val="21"/>
              </w:rPr>
            </w:pPr>
            <w:r>
              <w:rPr>
                <w:rFonts w:hint="eastAsia" w:ascii="宋体" w:hAnsi="宋体"/>
                <w:color w:val="auto"/>
                <w:szCs w:val="21"/>
              </w:rPr>
              <w:t>投标人提供有效的质量管理体系、环境认证体系、职业健康体系证书，凭相关证书复印件加盖公章每项得1分，最高得3分；</w:t>
            </w:r>
          </w:p>
        </w:tc>
        <w:tc>
          <w:tcPr>
            <w:tcW w:w="782" w:type="dxa"/>
            <w:tcBorders>
              <w:top w:val="single" w:color="auto" w:sz="4" w:space="0"/>
              <w:left w:val="single" w:color="auto" w:sz="4" w:space="0"/>
              <w:bottom w:val="single" w:color="auto" w:sz="4" w:space="0"/>
            </w:tcBorders>
            <w:noWrap/>
            <w:vAlign w:val="center"/>
          </w:tcPr>
          <w:p>
            <w:pPr>
              <w:pStyle w:val="19"/>
              <w:spacing w:line="220" w:lineRule="exact"/>
              <w:ind w:firstLine="0" w:firstLineChars="0"/>
              <w:jc w:val="center"/>
              <w:rPr>
                <w:rFonts w:ascii="宋体"/>
                <w:color w:val="auto"/>
                <w:sz w:val="21"/>
                <w:szCs w:val="21"/>
              </w:rPr>
            </w:pPr>
            <w:r>
              <w:rPr>
                <w:rFonts w:ascii="宋体"/>
                <w:color w:val="auto"/>
                <w:sz w:val="21"/>
                <w:szCs w:val="21"/>
              </w:rPr>
              <w:t>0-</w:t>
            </w:r>
            <w:r>
              <w:rPr>
                <w:rFonts w:hint="eastAsia" w:ascii="宋体"/>
                <w:color w:val="auto"/>
                <w:sz w:val="21"/>
                <w:szCs w:val="21"/>
              </w:rPr>
              <w:t>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1108" w:type="dxa"/>
            <w:tcBorders>
              <w:top w:val="single" w:color="auto" w:sz="4" w:space="0"/>
              <w:bottom w:val="single" w:color="auto" w:sz="4" w:space="0"/>
              <w:right w:val="single" w:color="auto" w:sz="4" w:space="0"/>
            </w:tcBorders>
            <w:noWrap/>
            <w:vAlign w:val="center"/>
          </w:tcPr>
          <w:p>
            <w:pPr>
              <w:widowControl/>
              <w:spacing w:line="220" w:lineRule="exact"/>
              <w:jc w:val="center"/>
              <w:rPr>
                <w:rFonts w:ascii="宋体"/>
                <w:color w:val="auto"/>
                <w:szCs w:val="21"/>
              </w:rPr>
            </w:pPr>
            <w:r>
              <w:rPr>
                <w:rFonts w:hint="eastAsia" w:ascii="宋体"/>
                <w:color w:val="auto"/>
                <w:szCs w:val="21"/>
              </w:rPr>
              <w:t>8</w:t>
            </w:r>
          </w:p>
        </w:tc>
        <w:tc>
          <w:tcPr>
            <w:tcW w:w="11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auto"/>
                <w:szCs w:val="21"/>
              </w:rPr>
            </w:pPr>
            <w:r>
              <w:rPr>
                <w:rFonts w:hint="eastAsia" w:ascii="宋体" w:hAnsi="宋体"/>
                <w:color w:val="auto"/>
                <w:szCs w:val="21"/>
              </w:rPr>
              <w:t>投标人</w:t>
            </w:r>
          </w:p>
          <w:p>
            <w:pPr>
              <w:widowControl/>
              <w:jc w:val="center"/>
              <w:rPr>
                <w:rFonts w:ascii="宋体" w:hAnsi="宋体"/>
                <w:color w:val="auto"/>
                <w:szCs w:val="21"/>
              </w:rPr>
            </w:pPr>
            <w:r>
              <w:rPr>
                <w:rFonts w:hint="eastAsia" w:ascii="宋体" w:hAnsi="宋体"/>
                <w:color w:val="auto"/>
                <w:szCs w:val="21"/>
              </w:rPr>
              <w:t>综合实力</w:t>
            </w:r>
          </w:p>
        </w:tc>
        <w:tc>
          <w:tcPr>
            <w:tcW w:w="669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olor w:val="auto"/>
                <w:szCs w:val="21"/>
              </w:rPr>
            </w:pPr>
            <w:r>
              <w:rPr>
                <w:rFonts w:hint="eastAsia" w:ascii="宋体" w:hAnsi="宋体"/>
                <w:color w:val="auto"/>
                <w:szCs w:val="21"/>
              </w:rPr>
              <w:t>投标人具有机电设备安装工程专业承包资质的得1分</w:t>
            </w:r>
          </w:p>
          <w:p>
            <w:pPr>
              <w:widowControl/>
              <w:jc w:val="left"/>
              <w:rPr>
                <w:rFonts w:ascii="宋体" w:hAnsi="宋体"/>
                <w:color w:val="auto"/>
                <w:szCs w:val="21"/>
              </w:rPr>
            </w:pPr>
            <w:r>
              <w:rPr>
                <w:rFonts w:hint="eastAsia" w:ascii="宋体" w:hAnsi="宋体"/>
                <w:color w:val="auto"/>
                <w:szCs w:val="21"/>
              </w:rPr>
              <w:t>投标人具有消防设施工程专业承包资质的得1分</w:t>
            </w:r>
          </w:p>
          <w:p>
            <w:pPr>
              <w:widowControl/>
              <w:jc w:val="left"/>
              <w:rPr>
                <w:rFonts w:ascii="宋体" w:hAnsi="宋体"/>
                <w:color w:val="auto"/>
                <w:szCs w:val="21"/>
              </w:rPr>
            </w:pPr>
            <w:r>
              <w:rPr>
                <w:rFonts w:hint="eastAsia" w:ascii="宋体" w:hAnsi="宋体"/>
                <w:color w:val="auto"/>
                <w:szCs w:val="21"/>
              </w:rPr>
              <w:t>投标人具有城市及道路照明工程专业承包资质的得1分</w:t>
            </w:r>
          </w:p>
        </w:tc>
        <w:tc>
          <w:tcPr>
            <w:tcW w:w="782" w:type="dxa"/>
            <w:tcBorders>
              <w:top w:val="single" w:color="auto" w:sz="4" w:space="0"/>
              <w:left w:val="single" w:color="auto" w:sz="4" w:space="0"/>
              <w:bottom w:val="single" w:color="auto" w:sz="4" w:space="0"/>
            </w:tcBorders>
            <w:noWrap/>
            <w:vAlign w:val="center"/>
          </w:tcPr>
          <w:p>
            <w:pPr>
              <w:pStyle w:val="19"/>
              <w:spacing w:line="220" w:lineRule="exact"/>
              <w:ind w:firstLine="0" w:firstLineChars="0"/>
              <w:jc w:val="center"/>
              <w:rPr>
                <w:rFonts w:ascii="宋体"/>
                <w:color w:val="auto"/>
                <w:sz w:val="21"/>
                <w:szCs w:val="21"/>
              </w:rPr>
            </w:pPr>
            <w:r>
              <w:rPr>
                <w:rFonts w:hint="eastAsia" w:ascii="宋体"/>
                <w:color w:val="auto"/>
                <w:sz w:val="21"/>
                <w:szCs w:val="21"/>
              </w:rPr>
              <w:t>0-3分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63" w:hRule="atLeast"/>
          <w:jc w:val="center"/>
        </w:trPr>
        <w:tc>
          <w:tcPr>
            <w:tcW w:w="1108" w:type="dxa"/>
            <w:tcBorders>
              <w:top w:val="single" w:color="auto" w:sz="4" w:space="0"/>
              <w:bottom w:val="single" w:color="auto" w:sz="4" w:space="0"/>
              <w:right w:val="single" w:color="auto" w:sz="4" w:space="0"/>
            </w:tcBorders>
            <w:noWrap/>
            <w:vAlign w:val="center"/>
          </w:tcPr>
          <w:p>
            <w:pPr>
              <w:widowControl/>
              <w:spacing w:line="260" w:lineRule="exact"/>
              <w:jc w:val="center"/>
              <w:rPr>
                <w:rFonts w:ascii="宋体" w:hAnsi="宋体"/>
                <w:color w:val="auto"/>
                <w:szCs w:val="21"/>
              </w:rPr>
            </w:pPr>
            <w:r>
              <w:rPr>
                <w:rFonts w:hint="eastAsia" w:ascii="宋体" w:hAnsi="宋体"/>
                <w:color w:val="auto"/>
                <w:szCs w:val="21"/>
              </w:rPr>
              <w:t>9</w:t>
            </w:r>
          </w:p>
        </w:tc>
        <w:tc>
          <w:tcPr>
            <w:tcW w:w="11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auto"/>
                <w:szCs w:val="21"/>
              </w:rPr>
            </w:pPr>
            <w:r>
              <w:rPr>
                <w:rFonts w:hint="eastAsia" w:ascii="宋体" w:hAnsi="宋体"/>
                <w:color w:val="auto"/>
                <w:szCs w:val="21"/>
              </w:rPr>
              <w:t>投标人</w:t>
            </w:r>
          </w:p>
          <w:p>
            <w:pPr>
              <w:widowControl/>
              <w:jc w:val="center"/>
              <w:rPr>
                <w:rFonts w:ascii="宋体" w:hAnsi="宋体"/>
                <w:color w:val="auto"/>
                <w:szCs w:val="21"/>
              </w:rPr>
            </w:pPr>
            <w:r>
              <w:rPr>
                <w:rFonts w:hint="eastAsia" w:ascii="宋体" w:hAnsi="宋体"/>
                <w:color w:val="auto"/>
                <w:szCs w:val="21"/>
              </w:rPr>
              <w:t>信誉</w:t>
            </w:r>
          </w:p>
        </w:tc>
        <w:tc>
          <w:tcPr>
            <w:tcW w:w="669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olor w:val="auto"/>
                <w:szCs w:val="21"/>
              </w:rPr>
            </w:pPr>
            <w:r>
              <w:rPr>
                <w:rFonts w:hint="eastAsia" w:ascii="宋体" w:hAnsi="宋体"/>
                <w:color w:val="auto"/>
                <w:szCs w:val="21"/>
              </w:rPr>
              <w:t>投标人信用等级证书评委根据投标人提供的有效的信用等级证书进行评定，AAA级得3，AA级得2分，A级得1分，复印件加盖公章。未提供不得分。</w:t>
            </w:r>
          </w:p>
        </w:tc>
        <w:tc>
          <w:tcPr>
            <w:tcW w:w="782" w:type="dxa"/>
            <w:tcBorders>
              <w:top w:val="single" w:color="auto" w:sz="4" w:space="0"/>
              <w:left w:val="single" w:color="auto" w:sz="4" w:space="0"/>
              <w:bottom w:val="single" w:color="auto" w:sz="4" w:space="0"/>
            </w:tcBorders>
            <w:noWrap/>
            <w:vAlign w:val="center"/>
          </w:tcPr>
          <w:p>
            <w:pPr>
              <w:pStyle w:val="19"/>
              <w:spacing w:line="220" w:lineRule="exact"/>
              <w:ind w:firstLine="0" w:firstLineChars="0"/>
              <w:jc w:val="center"/>
              <w:rPr>
                <w:rFonts w:ascii="宋体"/>
                <w:color w:val="auto"/>
                <w:sz w:val="21"/>
                <w:szCs w:val="21"/>
              </w:rPr>
            </w:pPr>
            <w:r>
              <w:rPr>
                <w:rFonts w:hint="eastAsia" w:ascii="宋体"/>
                <w:color w:val="auto"/>
                <w:sz w:val="21"/>
                <w:szCs w:val="21"/>
              </w:rPr>
              <w:t>0-3分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63" w:hRule="atLeast"/>
          <w:jc w:val="center"/>
        </w:trPr>
        <w:tc>
          <w:tcPr>
            <w:tcW w:w="1108" w:type="dxa"/>
            <w:tcBorders>
              <w:top w:val="single" w:color="auto" w:sz="4" w:space="0"/>
              <w:bottom w:val="single" w:color="auto" w:sz="4" w:space="0"/>
              <w:right w:val="single" w:color="auto" w:sz="4" w:space="0"/>
            </w:tcBorders>
            <w:noWrap/>
            <w:vAlign w:val="center"/>
          </w:tcPr>
          <w:p>
            <w:pPr>
              <w:widowControl/>
              <w:spacing w:line="260" w:lineRule="exact"/>
              <w:jc w:val="center"/>
              <w:rPr>
                <w:rFonts w:ascii="宋体" w:hAnsi="宋体"/>
                <w:color w:val="auto"/>
                <w:szCs w:val="21"/>
              </w:rPr>
            </w:pPr>
            <w:r>
              <w:rPr>
                <w:rFonts w:hint="eastAsia" w:ascii="宋体" w:hAnsi="宋体"/>
                <w:color w:val="auto"/>
                <w:szCs w:val="21"/>
              </w:rPr>
              <w:t>10</w:t>
            </w:r>
          </w:p>
        </w:tc>
        <w:tc>
          <w:tcPr>
            <w:tcW w:w="1111" w:type="dxa"/>
            <w:tcBorders>
              <w:top w:val="single" w:color="auto" w:sz="4" w:space="0"/>
              <w:left w:val="single" w:color="auto" w:sz="4" w:space="0"/>
              <w:bottom w:val="single" w:color="auto" w:sz="4" w:space="0"/>
              <w:right w:val="single" w:color="auto" w:sz="4" w:space="0"/>
            </w:tcBorders>
            <w:noWrap/>
            <w:vAlign w:val="center"/>
          </w:tcPr>
          <w:p>
            <w:pPr>
              <w:widowControl/>
              <w:spacing w:line="220" w:lineRule="exact"/>
              <w:jc w:val="center"/>
              <w:rPr>
                <w:rFonts w:ascii="宋体" w:hAnsi="宋体"/>
                <w:color w:val="auto"/>
                <w:szCs w:val="21"/>
              </w:rPr>
            </w:pPr>
            <w:r>
              <w:rPr>
                <w:rFonts w:hint="eastAsia" w:ascii="宋体" w:hAnsi="宋体"/>
                <w:color w:val="auto"/>
                <w:szCs w:val="21"/>
              </w:rPr>
              <w:t>投标人</w:t>
            </w:r>
          </w:p>
          <w:p>
            <w:pPr>
              <w:widowControl/>
              <w:spacing w:line="220" w:lineRule="exact"/>
              <w:jc w:val="center"/>
              <w:rPr>
                <w:rFonts w:ascii="宋体"/>
                <w:color w:val="auto"/>
                <w:szCs w:val="21"/>
              </w:rPr>
            </w:pPr>
            <w:r>
              <w:rPr>
                <w:rFonts w:hint="eastAsia" w:ascii="宋体" w:hAnsi="宋体"/>
                <w:color w:val="auto"/>
                <w:szCs w:val="21"/>
              </w:rPr>
              <w:t>业绩</w:t>
            </w:r>
          </w:p>
        </w:tc>
        <w:tc>
          <w:tcPr>
            <w:tcW w:w="6697"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olor w:val="auto"/>
                <w:szCs w:val="21"/>
              </w:rPr>
            </w:pPr>
            <w:r>
              <w:rPr>
                <w:rFonts w:hint="eastAsia" w:ascii="宋体" w:hAnsi="宋体"/>
                <w:color w:val="auto"/>
                <w:szCs w:val="21"/>
              </w:rPr>
              <w:t>投标人自201</w:t>
            </w:r>
            <w:r>
              <w:rPr>
                <w:rFonts w:hint="eastAsia" w:ascii="宋体" w:hAnsi="宋体"/>
                <w:color w:val="auto"/>
                <w:szCs w:val="21"/>
                <w:lang w:val="en-US" w:eastAsia="zh-CN"/>
              </w:rPr>
              <w:t>8</w:t>
            </w:r>
            <w:r>
              <w:rPr>
                <w:rFonts w:hint="eastAsia" w:ascii="宋体" w:hAnsi="宋体"/>
                <w:color w:val="auto"/>
                <w:szCs w:val="21"/>
              </w:rPr>
              <w:t>年1月1日至今（以竣工报告时间为准）完成的</w:t>
            </w:r>
            <w:r>
              <w:rPr>
                <w:rFonts w:hint="eastAsia" w:ascii="宋体" w:hAnsi="宋体"/>
                <w:color w:val="auto"/>
                <w:szCs w:val="21"/>
                <w:lang w:val="en-US" w:eastAsia="zh-CN"/>
              </w:rPr>
              <w:t>同类项目</w:t>
            </w:r>
            <w:r>
              <w:rPr>
                <w:rFonts w:hint="eastAsia" w:ascii="宋体" w:hAnsi="宋体"/>
                <w:color w:val="auto"/>
                <w:szCs w:val="21"/>
              </w:rPr>
              <w:t>业绩；</w:t>
            </w:r>
          </w:p>
          <w:p>
            <w:pPr>
              <w:widowControl/>
              <w:rPr>
                <w:rFonts w:ascii="宋体" w:hAnsi="宋体"/>
                <w:color w:val="auto"/>
                <w:szCs w:val="21"/>
              </w:rPr>
            </w:pPr>
            <w:r>
              <w:rPr>
                <w:rFonts w:hint="eastAsia" w:ascii="宋体" w:hAnsi="宋体"/>
                <w:color w:val="auto"/>
                <w:szCs w:val="21"/>
              </w:rPr>
              <w:t>2、</w:t>
            </w:r>
            <w:r>
              <w:rPr>
                <w:rFonts w:hint="eastAsia" w:ascii="宋体" w:hAnsi="宋体"/>
                <w:color w:val="auto"/>
                <w:szCs w:val="21"/>
                <w:lang w:val="en-US" w:eastAsia="zh-CN"/>
              </w:rPr>
              <w:t>建筑</w:t>
            </w:r>
            <w:r>
              <w:rPr>
                <w:rFonts w:hint="eastAsia" w:ascii="宋体" w:hAnsi="宋体"/>
                <w:color w:val="auto"/>
                <w:szCs w:val="21"/>
              </w:rPr>
              <w:t>类：</w:t>
            </w:r>
            <w:r>
              <w:rPr>
                <w:rFonts w:hint="eastAsia" w:ascii="宋体" w:hAnsi="宋体"/>
                <w:color w:val="auto"/>
                <w:szCs w:val="21"/>
                <w:lang w:val="en-US" w:eastAsia="zh-CN"/>
              </w:rPr>
              <w:t>每</w:t>
            </w:r>
            <w:r>
              <w:rPr>
                <w:rFonts w:hint="eastAsia" w:ascii="宋体" w:hAnsi="宋体"/>
                <w:color w:val="auto"/>
                <w:szCs w:val="21"/>
              </w:rPr>
              <w:t>个项目得</w:t>
            </w:r>
            <w:r>
              <w:rPr>
                <w:rFonts w:hint="eastAsia" w:ascii="宋体" w:hAnsi="宋体"/>
                <w:color w:val="auto"/>
                <w:szCs w:val="21"/>
                <w:lang w:val="en-US" w:eastAsia="zh-CN"/>
              </w:rPr>
              <w:t>2</w:t>
            </w:r>
            <w:r>
              <w:rPr>
                <w:rFonts w:hint="eastAsia" w:ascii="宋体" w:hAnsi="宋体"/>
                <w:color w:val="auto"/>
                <w:szCs w:val="21"/>
              </w:rPr>
              <w:t>分，最高得</w:t>
            </w:r>
            <w:r>
              <w:rPr>
                <w:rFonts w:hint="eastAsia" w:ascii="宋体" w:hAnsi="宋体"/>
                <w:color w:val="auto"/>
                <w:szCs w:val="21"/>
                <w:lang w:val="en-US" w:eastAsia="zh-CN"/>
              </w:rPr>
              <w:t>6</w:t>
            </w:r>
            <w:r>
              <w:rPr>
                <w:rFonts w:hint="eastAsia" w:ascii="宋体" w:hAnsi="宋体"/>
                <w:color w:val="auto"/>
                <w:szCs w:val="21"/>
              </w:rPr>
              <w:t>分。</w:t>
            </w:r>
          </w:p>
          <w:p>
            <w:pPr>
              <w:widowControl/>
              <w:rPr>
                <w:rFonts w:ascii="宋体" w:hAnsi="宋体"/>
                <w:color w:val="auto"/>
                <w:szCs w:val="21"/>
              </w:rPr>
            </w:pPr>
            <w:r>
              <w:rPr>
                <w:rFonts w:hint="eastAsia" w:ascii="宋体" w:hAnsi="宋体"/>
                <w:color w:val="auto"/>
                <w:szCs w:val="21"/>
              </w:rPr>
              <w:t>注：同一个项目不重复得分，提供中标通知书、合同及竣工报告，未提供齐全的不得分。</w:t>
            </w:r>
          </w:p>
        </w:tc>
        <w:tc>
          <w:tcPr>
            <w:tcW w:w="782" w:type="dxa"/>
            <w:tcBorders>
              <w:top w:val="single" w:color="auto" w:sz="4" w:space="0"/>
              <w:left w:val="single" w:color="auto" w:sz="4" w:space="0"/>
              <w:bottom w:val="single" w:color="auto" w:sz="4" w:space="0"/>
            </w:tcBorders>
            <w:noWrap/>
            <w:vAlign w:val="center"/>
          </w:tcPr>
          <w:p>
            <w:pPr>
              <w:pStyle w:val="19"/>
              <w:spacing w:line="220" w:lineRule="exact"/>
              <w:ind w:firstLine="0" w:firstLineChars="0"/>
              <w:jc w:val="center"/>
              <w:rPr>
                <w:rFonts w:ascii="宋体"/>
                <w:color w:val="auto"/>
                <w:sz w:val="21"/>
                <w:szCs w:val="21"/>
              </w:rPr>
            </w:pPr>
            <w:r>
              <w:rPr>
                <w:rFonts w:ascii="宋体"/>
                <w:color w:val="auto"/>
                <w:sz w:val="21"/>
                <w:szCs w:val="21"/>
              </w:rPr>
              <w:t>0-</w:t>
            </w:r>
            <w:r>
              <w:rPr>
                <w:rFonts w:hint="eastAsia" w:ascii="宋体"/>
                <w:color w:val="auto"/>
                <w:sz w:val="21"/>
                <w:szCs w:val="21"/>
              </w:rPr>
              <w:t>6分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89" w:hRule="exact"/>
          <w:jc w:val="center"/>
        </w:trPr>
        <w:tc>
          <w:tcPr>
            <w:tcW w:w="1108" w:type="dxa"/>
            <w:tcBorders>
              <w:top w:val="single" w:color="auto" w:sz="4" w:space="0"/>
              <w:bottom w:val="single" w:color="auto" w:sz="4" w:space="0"/>
              <w:right w:val="single" w:color="auto" w:sz="4" w:space="0"/>
            </w:tcBorders>
            <w:noWrap/>
            <w:vAlign w:val="center"/>
          </w:tcPr>
          <w:p>
            <w:pPr>
              <w:widowControl/>
              <w:spacing w:line="260" w:lineRule="exact"/>
              <w:jc w:val="center"/>
              <w:rPr>
                <w:rFonts w:ascii="宋体" w:hAnsi="宋体"/>
                <w:color w:val="auto"/>
                <w:szCs w:val="21"/>
              </w:rPr>
            </w:pPr>
            <w:r>
              <w:rPr>
                <w:rFonts w:hint="eastAsia" w:ascii="宋体" w:hAnsi="宋体"/>
                <w:color w:val="auto"/>
                <w:szCs w:val="21"/>
              </w:rPr>
              <w:t>11</w:t>
            </w:r>
          </w:p>
        </w:tc>
        <w:tc>
          <w:tcPr>
            <w:tcW w:w="111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宋体"/>
                <w:color w:val="auto"/>
                <w:szCs w:val="21"/>
              </w:rPr>
            </w:pPr>
            <w:r>
              <w:rPr>
                <w:rFonts w:hint="eastAsia" w:ascii="宋体"/>
                <w:color w:val="auto"/>
                <w:szCs w:val="21"/>
              </w:rPr>
              <w:t>投标人荣誉</w:t>
            </w:r>
          </w:p>
        </w:tc>
        <w:tc>
          <w:tcPr>
            <w:tcW w:w="6697"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olor w:val="auto"/>
                <w:szCs w:val="21"/>
              </w:rPr>
            </w:pPr>
            <w:r>
              <w:rPr>
                <w:rFonts w:hint="eastAsia" w:ascii="宋体" w:hAnsi="宋体"/>
                <w:color w:val="auto"/>
                <w:szCs w:val="21"/>
              </w:rPr>
              <w:t>投标人在上二年度内在全国内完成的建筑或市政</w:t>
            </w:r>
            <w:r>
              <w:rPr>
                <w:rFonts w:hint="eastAsia" w:ascii="宋体" w:hAnsi="宋体"/>
                <w:color w:val="auto"/>
                <w:szCs w:val="21"/>
                <w:lang w:val="en-US" w:eastAsia="zh-CN"/>
              </w:rPr>
              <w:t>或园林</w:t>
            </w:r>
            <w:r>
              <w:rPr>
                <w:rFonts w:hint="eastAsia" w:ascii="宋体" w:hAnsi="宋体"/>
                <w:color w:val="auto"/>
                <w:szCs w:val="21"/>
              </w:rPr>
              <w:t>类别工程获得奖项省级的得</w:t>
            </w:r>
            <w:r>
              <w:rPr>
                <w:rFonts w:hint="eastAsia" w:ascii="宋体" w:hAnsi="宋体"/>
                <w:color w:val="auto"/>
                <w:szCs w:val="21"/>
                <w:lang w:val="en-US" w:eastAsia="zh-CN"/>
              </w:rPr>
              <w:t>6</w:t>
            </w:r>
            <w:r>
              <w:rPr>
                <w:rFonts w:hint="eastAsia" w:ascii="宋体" w:hAnsi="宋体"/>
                <w:color w:val="auto"/>
                <w:szCs w:val="21"/>
              </w:rPr>
              <w:t>分，市级的得</w:t>
            </w:r>
            <w:r>
              <w:rPr>
                <w:rFonts w:hint="eastAsia" w:ascii="宋体" w:hAnsi="宋体"/>
                <w:color w:val="auto"/>
                <w:szCs w:val="21"/>
                <w:lang w:val="en-US" w:eastAsia="zh-CN"/>
              </w:rPr>
              <w:t>3</w:t>
            </w:r>
            <w:r>
              <w:rPr>
                <w:rFonts w:hint="eastAsia" w:ascii="宋体" w:hAnsi="宋体"/>
                <w:color w:val="auto"/>
                <w:szCs w:val="21"/>
              </w:rPr>
              <w:t>分。（</w:t>
            </w:r>
            <w:r>
              <w:rPr>
                <w:rFonts w:hint="eastAsia" w:ascii="宋体" w:hAnsi="宋体"/>
                <w:color w:val="auto"/>
                <w:szCs w:val="21"/>
                <w:lang w:eastAsia="zh-CN"/>
              </w:rPr>
              <w:t>以上企业荣誉需同时提供获奖文件或证书，时间以获奖证书上为准，以上资料缺少不</w:t>
            </w:r>
            <w:r>
              <w:rPr>
                <w:rFonts w:hint="eastAsia" w:ascii="宋体" w:hAnsi="宋体"/>
                <w:color w:val="auto"/>
                <w:szCs w:val="21"/>
                <w:lang w:val="en-US" w:eastAsia="zh-CN"/>
              </w:rPr>
              <w:t>得分，证明资料须原件核查，届时未提供的，则该项不予计分；不重复计分，以最高获奖工程进行计分</w:t>
            </w:r>
            <w:r>
              <w:rPr>
                <w:rFonts w:hint="eastAsia" w:ascii="宋体" w:hAnsi="宋体"/>
                <w:color w:val="auto"/>
                <w:szCs w:val="21"/>
              </w:rPr>
              <w:t>）</w:t>
            </w:r>
          </w:p>
          <w:p>
            <w:pPr>
              <w:spacing w:beforeLines="50" w:afterLines="50"/>
              <w:rPr>
                <w:rFonts w:ascii="宋体" w:hAnsi="宋体"/>
                <w:color w:val="auto"/>
                <w:szCs w:val="21"/>
              </w:rPr>
            </w:pPr>
            <w:r>
              <w:rPr>
                <w:rFonts w:hint="eastAsia" w:ascii="宋体" w:hAnsi="宋体"/>
                <w:color w:val="auto"/>
                <w:szCs w:val="21"/>
              </w:rPr>
              <w:t>（获奖时间指201</w:t>
            </w:r>
            <w:r>
              <w:rPr>
                <w:rFonts w:hint="eastAsia" w:ascii="宋体" w:hAnsi="宋体"/>
                <w:color w:val="auto"/>
                <w:szCs w:val="21"/>
                <w:lang w:val="en-US" w:eastAsia="zh-CN"/>
              </w:rPr>
              <w:t>8</w:t>
            </w:r>
            <w:r>
              <w:rPr>
                <w:rFonts w:hint="eastAsia" w:ascii="宋体" w:hAnsi="宋体"/>
                <w:color w:val="auto"/>
                <w:szCs w:val="21"/>
              </w:rPr>
              <w:t>年1月1日至今的工程质量方面奖项）</w:t>
            </w:r>
          </w:p>
        </w:tc>
        <w:tc>
          <w:tcPr>
            <w:tcW w:w="782" w:type="dxa"/>
            <w:tcBorders>
              <w:top w:val="single" w:color="auto" w:sz="4" w:space="0"/>
              <w:left w:val="single" w:color="auto" w:sz="4" w:space="0"/>
              <w:bottom w:val="single" w:color="auto" w:sz="4" w:space="0"/>
            </w:tcBorders>
            <w:noWrap/>
            <w:vAlign w:val="center"/>
          </w:tcPr>
          <w:p>
            <w:pPr>
              <w:pStyle w:val="19"/>
              <w:spacing w:line="260" w:lineRule="exact"/>
              <w:ind w:firstLine="0" w:firstLineChars="0"/>
              <w:jc w:val="center"/>
              <w:rPr>
                <w:rFonts w:ascii="宋体"/>
                <w:color w:val="auto"/>
                <w:sz w:val="21"/>
                <w:szCs w:val="21"/>
              </w:rPr>
            </w:pPr>
            <w:r>
              <w:rPr>
                <w:rFonts w:ascii="宋体"/>
                <w:color w:val="auto"/>
                <w:sz w:val="21"/>
                <w:szCs w:val="21"/>
              </w:rPr>
              <w:t>0-</w:t>
            </w:r>
            <w:r>
              <w:rPr>
                <w:rFonts w:hint="eastAsia" w:ascii="宋体"/>
                <w:color w:val="auto"/>
                <w:sz w:val="21"/>
                <w:szCs w:val="21"/>
              </w:rPr>
              <w:t>6分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60" w:hRule="exact"/>
          <w:jc w:val="center"/>
        </w:trPr>
        <w:tc>
          <w:tcPr>
            <w:tcW w:w="1108" w:type="dxa"/>
            <w:tcBorders>
              <w:top w:val="single" w:color="auto" w:sz="4" w:space="0"/>
              <w:bottom w:val="single" w:color="auto" w:sz="4" w:space="0"/>
              <w:right w:val="single" w:color="auto" w:sz="4" w:space="0"/>
            </w:tcBorders>
            <w:noWrap/>
            <w:vAlign w:val="center"/>
          </w:tcPr>
          <w:p>
            <w:pPr>
              <w:widowControl/>
              <w:spacing w:line="220" w:lineRule="exact"/>
              <w:jc w:val="center"/>
              <w:rPr>
                <w:rFonts w:ascii="宋体" w:hAnsi="宋体"/>
                <w:color w:val="auto"/>
                <w:szCs w:val="21"/>
              </w:rPr>
            </w:pPr>
            <w:r>
              <w:rPr>
                <w:rFonts w:hint="eastAsia" w:ascii="宋体" w:hAnsi="宋体"/>
                <w:color w:val="auto"/>
                <w:szCs w:val="21"/>
              </w:rPr>
              <w:t>12</w:t>
            </w:r>
          </w:p>
        </w:tc>
        <w:tc>
          <w:tcPr>
            <w:tcW w:w="1111" w:type="dxa"/>
            <w:tcBorders>
              <w:top w:val="single" w:color="auto" w:sz="4" w:space="0"/>
              <w:left w:val="single" w:color="auto" w:sz="4" w:space="0"/>
              <w:bottom w:val="single" w:color="auto" w:sz="4" w:space="0"/>
              <w:right w:val="single" w:color="auto" w:sz="4" w:space="0"/>
            </w:tcBorders>
            <w:noWrap/>
            <w:vAlign w:val="center"/>
          </w:tcPr>
          <w:p>
            <w:pPr>
              <w:widowControl/>
              <w:spacing w:line="220" w:lineRule="exact"/>
              <w:jc w:val="center"/>
              <w:rPr>
                <w:rFonts w:ascii="宋体"/>
                <w:color w:val="auto"/>
                <w:szCs w:val="21"/>
              </w:rPr>
            </w:pPr>
            <w:r>
              <w:rPr>
                <w:rFonts w:hint="eastAsia" w:ascii="宋体" w:hAnsi="宋体"/>
                <w:color w:val="auto"/>
                <w:szCs w:val="21"/>
              </w:rPr>
              <w:t>投标文件制作</w:t>
            </w:r>
          </w:p>
        </w:tc>
        <w:tc>
          <w:tcPr>
            <w:tcW w:w="669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olor w:val="auto"/>
                <w:szCs w:val="21"/>
              </w:rPr>
            </w:pPr>
            <w:r>
              <w:rPr>
                <w:rFonts w:hint="eastAsia" w:ascii="宋体" w:hAnsi="宋体"/>
                <w:color w:val="auto"/>
                <w:szCs w:val="21"/>
              </w:rPr>
              <w:t>投标文件编制完整，格式规范、符合招标文件要求的，得2分；投标文件有关内容前后矛盾、与招标文件要求不一致等，评标委员会允许且需要通过询标等程序进行澄清的，该项不得分；投标文件存在其他错漏的，每项（次）扣</w:t>
            </w:r>
            <w:r>
              <w:rPr>
                <w:rFonts w:ascii="宋体" w:hAnsi="宋体"/>
                <w:color w:val="auto"/>
                <w:szCs w:val="21"/>
              </w:rPr>
              <w:t xml:space="preserve"> 0.</w:t>
            </w:r>
            <w:r>
              <w:rPr>
                <w:rFonts w:hint="eastAsia" w:ascii="宋体" w:hAnsi="宋体"/>
                <w:color w:val="auto"/>
                <w:szCs w:val="21"/>
              </w:rPr>
              <w:t>5分，扣完该项得分为止。</w:t>
            </w:r>
          </w:p>
        </w:tc>
        <w:tc>
          <w:tcPr>
            <w:tcW w:w="782" w:type="dxa"/>
            <w:tcBorders>
              <w:top w:val="single" w:color="auto" w:sz="4" w:space="0"/>
              <w:left w:val="single" w:color="auto" w:sz="4" w:space="0"/>
              <w:bottom w:val="single" w:color="auto" w:sz="4" w:space="0"/>
            </w:tcBorders>
            <w:noWrap/>
            <w:vAlign w:val="center"/>
          </w:tcPr>
          <w:p>
            <w:pPr>
              <w:pStyle w:val="19"/>
              <w:spacing w:line="220" w:lineRule="exact"/>
              <w:ind w:firstLine="0" w:firstLineChars="0"/>
              <w:jc w:val="center"/>
              <w:rPr>
                <w:rFonts w:ascii="宋体"/>
                <w:color w:val="auto"/>
                <w:sz w:val="21"/>
                <w:szCs w:val="21"/>
              </w:rPr>
            </w:pPr>
            <w:r>
              <w:rPr>
                <w:rFonts w:ascii="宋体"/>
                <w:color w:val="auto"/>
                <w:sz w:val="21"/>
                <w:szCs w:val="21"/>
              </w:rPr>
              <w:t>0-</w:t>
            </w:r>
            <w:r>
              <w:rPr>
                <w:rFonts w:hint="eastAsia" w:ascii="宋体"/>
                <w:color w:val="auto"/>
                <w:sz w:val="21"/>
                <w:szCs w:val="21"/>
              </w:rPr>
              <w:t>2分</w:t>
            </w:r>
          </w:p>
        </w:tc>
      </w:tr>
    </w:tbl>
    <w:p>
      <w:pPr>
        <w:snapToGrid w:val="0"/>
        <w:spacing w:beforeLines="50" w:afterLines="50" w:line="440" w:lineRule="exact"/>
        <w:jc w:val="center"/>
        <w:rPr>
          <w:rFonts w:hint="eastAsia" w:ascii="仿宋" w:hAnsi="仿宋" w:eastAsia="仿宋" w:cs="仿宋"/>
          <w:sz w:val="32"/>
          <w:szCs w:val="32"/>
        </w:rPr>
      </w:pPr>
      <w:bookmarkStart w:id="221" w:name="_Toc24845"/>
    </w:p>
    <w:p>
      <w:pPr>
        <w:snapToGrid w:val="0"/>
        <w:spacing w:beforeLines="50" w:afterLines="50" w:line="440" w:lineRule="exact"/>
        <w:jc w:val="center"/>
        <w:rPr>
          <w:rFonts w:hint="eastAsia" w:ascii="仿宋" w:hAnsi="仿宋" w:eastAsia="仿宋" w:cs="仿宋"/>
          <w:sz w:val="32"/>
          <w:szCs w:val="32"/>
        </w:rPr>
      </w:pPr>
    </w:p>
    <w:p>
      <w:pPr>
        <w:snapToGrid w:val="0"/>
        <w:spacing w:beforeLines="50" w:afterLines="50" w:line="440" w:lineRule="exact"/>
        <w:jc w:val="center"/>
        <w:rPr>
          <w:rFonts w:ascii="黑体" w:hAnsi="宋体" w:eastAsia="黑体"/>
          <w:b/>
          <w:sz w:val="30"/>
          <w:szCs w:val="30"/>
        </w:rPr>
      </w:pPr>
      <w:r>
        <w:rPr>
          <w:rFonts w:hint="eastAsia" w:ascii="仿宋" w:hAnsi="仿宋" w:eastAsia="仿宋" w:cs="仿宋"/>
          <w:sz w:val="32"/>
          <w:szCs w:val="32"/>
        </w:rPr>
        <w:t>第五章</w:t>
      </w:r>
      <w:bookmarkEnd w:id="221"/>
      <w:r>
        <w:rPr>
          <w:rFonts w:hint="eastAsia" w:ascii="黑体" w:hAnsi="宋体" w:eastAsia="黑体"/>
          <w:bCs/>
          <w:sz w:val="30"/>
          <w:szCs w:val="30"/>
        </w:rPr>
        <w:t xml:space="preserve"> 合同基本条款</w:t>
      </w:r>
    </w:p>
    <w:p>
      <w:pPr>
        <w:snapToGrid w:val="0"/>
        <w:spacing w:line="460" w:lineRule="exact"/>
        <w:rPr>
          <w:rFonts w:ascii="宋体" w:hAnsi="宋体"/>
          <w:b/>
          <w:color w:val="000000"/>
          <w:sz w:val="24"/>
        </w:rPr>
      </w:pPr>
      <w:r>
        <w:rPr>
          <w:rFonts w:hint="eastAsia" w:ascii="宋体" w:hAnsi="宋体"/>
          <w:b/>
          <w:color w:val="000000"/>
          <w:sz w:val="24"/>
        </w:rPr>
        <w:t>第一部分   合同协议书</w:t>
      </w:r>
    </w:p>
    <w:p>
      <w:pPr>
        <w:snapToGrid w:val="0"/>
        <w:spacing w:line="460" w:lineRule="exact"/>
        <w:rPr>
          <w:rFonts w:ascii="宋体" w:hAnsi="宋体"/>
          <w:b/>
          <w:color w:val="000000"/>
          <w:sz w:val="24"/>
        </w:rPr>
      </w:pPr>
      <w:r>
        <w:rPr>
          <w:rFonts w:hint="eastAsia" w:ascii="宋体" w:hAnsi="宋体"/>
          <w:b/>
          <w:color w:val="000000"/>
          <w:sz w:val="24"/>
        </w:rPr>
        <w:t>第二部分   通用条款</w:t>
      </w:r>
      <w:r>
        <w:rPr>
          <w:rFonts w:hint="eastAsia" w:ascii="宋体" w:hAnsi="宋体"/>
          <w:color w:val="000000"/>
          <w:sz w:val="24"/>
        </w:rPr>
        <w:t>[省略，使用时按（GF-2013-0201）]</w:t>
      </w:r>
    </w:p>
    <w:p>
      <w:pPr>
        <w:snapToGrid w:val="0"/>
        <w:spacing w:line="460" w:lineRule="exact"/>
        <w:rPr>
          <w:rFonts w:ascii="宋体" w:hAnsi="宋体"/>
          <w:b/>
          <w:color w:val="000000"/>
          <w:sz w:val="24"/>
        </w:rPr>
      </w:pPr>
      <w:r>
        <w:rPr>
          <w:rFonts w:hint="eastAsia" w:ascii="宋体" w:hAnsi="宋体"/>
          <w:b/>
          <w:color w:val="000000"/>
          <w:sz w:val="24"/>
        </w:rPr>
        <w:t>第三部分   专用合同条款</w:t>
      </w:r>
    </w:p>
    <w:p>
      <w:pPr>
        <w:snapToGrid w:val="0"/>
        <w:spacing w:line="460" w:lineRule="exact"/>
        <w:ind w:firstLine="1418" w:firstLineChars="591"/>
        <w:rPr>
          <w:rFonts w:ascii="宋体" w:hAnsi="宋体"/>
          <w:color w:val="000000"/>
          <w:sz w:val="24"/>
        </w:rPr>
      </w:pPr>
      <w:r>
        <w:rPr>
          <w:rFonts w:hint="eastAsia" w:ascii="宋体" w:hAnsi="宋体"/>
          <w:color w:val="000000"/>
          <w:sz w:val="24"/>
        </w:rPr>
        <w:t>附件[省略，工程报价中相应体现]</w:t>
      </w:r>
    </w:p>
    <w:p>
      <w:pPr>
        <w:pStyle w:val="6"/>
        <w:numPr>
          <w:ilvl w:val="2"/>
          <w:numId w:val="9"/>
        </w:numPr>
        <w:tabs>
          <w:tab w:val="clear" w:pos="720"/>
        </w:tabs>
        <w:snapToGrid w:val="0"/>
        <w:spacing w:line="460" w:lineRule="exact"/>
        <w:rPr>
          <w:rFonts w:ascii="宋体" w:hAnsi="宋体"/>
          <w:kern w:val="2"/>
          <w:sz w:val="24"/>
          <w:szCs w:val="36"/>
        </w:rPr>
      </w:pPr>
    </w:p>
    <w:p>
      <w:pPr>
        <w:pStyle w:val="6"/>
        <w:numPr>
          <w:ilvl w:val="2"/>
          <w:numId w:val="9"/>
        </w:numPr>
        <w:tabs>
          <w:tab w:val="clear" w:pos="720"/>
        </w:tabs>
        <w:snapToGrid w:val="0"/>
        <w:spacing w:line="460" w:lineRule="exact"/>
        <w:rPr>
          <w:rFonts w:ascii="宋体" w:hAnsi="宋体"/>
          <w:kern w:val="2"/>
          <w:sz w:val="24"/>
          <w:szCs w:val="36"/>
        </w:rPr>
      </w:pPr>
      <w:r>
        <w:rPr>
          <w:rFonts w:ascii="宋体" w:hAnsi="宋体"/>
          <w:kern w:val="2"/>
          <w:sz w:val="24"/>
          <w:szCs w:val="36"/>
        </w:rPr>
        <w:t>第一部分 合同协议书</w:t>
      </w:r>
    </w:p>
    <w:p>
      <w:pPr>
        <w:snapToGrid w:val="0"/>
        <w:spacing w:line="460" w:lineRule="exact"/>
        <w:rPr>
          <w:rFonts w:ascii="宋体" w:hAnsi="宋体"/>
          <w:b/>
          <w:color w:val="000000"/>
          <w:sz w:val="24"/>
          <w:u w:val="single"/>
        </w:rPr>
      </w:pPr>
      <w:r>
        <w:rPr>
          <w:rFonts w:ascii="宋体" w:hAnsi="宋体"/>
          <w:b/>
          <w:color w:val="000000"/>
          <w:sz w:val="24"/>
        </w:rPr>
        <w:t>发包人（全称）：</w:t>
      </w:r>
    </w:p>
    <w:p>
      <w:pPr>
        <w:snapToGrid w:val="0"/>
        <w:spacing w:line="460" w:lineRule="exact"/>
        <w:rPr>
          <w:rFonts w:ascii="宋体" w:hAnsi="宋体"/>
          <w:b/>
          <w:color w:val="000000"/>
          <w:sz w:val="24"/>
          <w:u w:val="single"/>
        </w:rPr>
      </w:pPr>
      <w:r>
        <w:rPr>
          <w:rFonts w:ascii="宋体" w:hAnsi="宋体"/>
          <w:b/>
          <w:color w:val="000000"/>
          <w:sz w:val="24"/>
        </w:rPr>
        <w:t>承包人（全称）：</w:t>
      </w:r>
    </w:p>
    <w:p>
      <w:pPr>
        <w:widowControl/>
        <w:spacing w:line="460" w:lineRule="exact"/>
        <w:ind w:firstLine="480" w:firstLineChars="200"/>
        <w:jc w:val="left"/>
        <w:rPr>
          <w:rFonts w:ascii="宋体" w:hAnsi="宋体" w:cs="宋体"/>
          <w:bCs/>
          <w:color w:val="333333"/>
          <w:kern w:val="0"/>
          <w:sz w:val="24"/>
        </w:rPr>
      </w:pPr>
      <w:r>
        <w:rPr>
          <w:rFonts w:ascii="宋体" w:hAnsi="宋体"/>
          <w:color w:val="000000"/>
          <w:sz w:val="24"/>
        </w:rPr>
        <w:t>根据《中华人民共和国合同法》、《中华人民共和国建筑法》及有关法律规定，遵循平等、自愿、公平和诚实信用的原则，双方就</w:t>
      </w:r>
      <w:r>
        <w:rPr>
          <w:rFonts w:hint="eastAsia" w:ascii="宋体" w:hAnsi="宋体"/>
          <w:b/>
          <w:bCs/>
          <w:snapToGrid w:val="0"/>
          <w:sz w:val="24"/>
          <w:u w:val="single"/>
          <w:lang w:eastAsia="zh-CN"/>
        </w:rPr>
        <w:t>湖东街道零星维修项目</w:t>
      </w:r>
      <w:r>
        <w:rPr>
          <w:rFonts w:hint="eastAsia" w:ascii="宋体" w:hAnsi="宋体"/>
          <w:b/>
          <w:bCs/>
          <w:snapToGrid w:val="0"/>
          <w:sz w:val="24"/>
          <w:u w:val="single"/>
        </w:rPr>
        <w:t>（标项：）</w:t>
      </w:r>
      <w:r>
        <w:rPr>
          <w:rFonts w:ascii="宋体" w:hAnsi="宋体"/>
          <w:color w:val="000000"/>
          <w:sz w:val="24"/>
        </w:rPr>
        <w:t>施工及有关事项协商一致</w:t>
      </w:r>
      <w:r>
        <w:rPr>
          <w:rFonts w:hint="eastAsia" w:ascii="宋体" w:hAnsi="宋体"/>
          <w:color w:val="000000"/>
          <w:sz w:val="24"/>
        </w:rPr>
        <w:t>，</w:t>
      </w:r>
      <w:r>
        <w:rPr>
          <w:rFonts w:ascii="宋体" w:hAnsi="宋体"/>
          <w:color w:val="000000"/>
          <w:sz w:val="24"/>
        </w:rPr>
        <w:t>共同达成如下协议：</w:t>
      </w:r>
    </w:p>
    <w:p>
      <w:pPr>
        <w:pStyle w:val="2"/>
        <w:snapToGrid w:val="0"/>
        <w:spacing w:before="0" w:after="0" w:line="460" w:lineRule="exact"/>
        <w:rPr>
          <w:rFonts w:ascii="宋体" w:hAnsi="宋体"/>
          <w:b w:val="0"/>
          <w:sz w:val="24"/>
          <w:szCs w:val="36"/>
        </w:rPr>
      </w:pPr>
    </w:p>
    <w:p>
      <w:pPr>
        <w:pStyle w:val="2"/>
        <w:snapToGrid w:val="0"/>
        <w:spacing w:before="0" w:after="0" w:line="460" w:lineRule="exact"/>
        <w:rPr>
          <w:rFonts w:ascii="宋体" w:hAnsi="宋体"/>
          <w:b w:val="0"/>
          <w:sz w:val="24"/>
          <w:szCs w:val="36"/>
        </w:rPr>
      </w:pPr>
      <w:bookmarkStart w:id="222" w:name="_Toc351203481"/>
      <w:r>
        <w:rPr>
          <w:rFonts w:ascii="宋体" w:hAnsi="宋体"/>
          <w:b w:val="0"/>
          <w:sz w:val="24"/>
          <w:szCs w:val="36"/>
        </w:rPr>
        <w:t>一、工程概况</w:t>
      </w:r>
      <w:bookmarkEnd w:id="222"/>
    </w:p>
    <w:p>
      <w:pPr>
        <w:snapToGrid w:val="0"/>
        <w:spacing w:line="460" w:lineRule="exact"/>
        <w:rPr>
          <w:rFonts w:ascii="宋体" w:hAnsi="宋体"/>
          <w:color w:val="000000"/>
          <w:sz w:val="24"/>
          <w:u w:val="single"/>
        </w:rPr>
      </w:pPr>
      <w:r>
        <w:rPr>
          <w:rFonts w:ascii="宋体" w:hAnsi="宋体"/>
          <w:bCs/>
          <w:color w:val="000000"/>
          <w:sz w:val="24"/>
        </w:rPr>
        <w:t>1.工程名称</w:t>
      </w:r>
      <w:r>
        <w:rPr>
          <w:rFonts w:ascii="宋体" w:hAnsi="宋体"/>
          <w:color w:val="000000"/>
          <w:sz w:val="24"/>
        </w:rPr>
        <w:t>：</w:t>
      </w:r>
      <w:r>
        <w:rPr>
          <w:rFonts w:hint="eastAsia" w:ascii="宋体" w:hAnsi="宋体"/>
          <w:b/>
          <w:bCs/>
          <w:snapToGrid w:val="0"/>
          <w:color w:val="000000"/>
          <w:sz w:val="24"/>
          <w:u w:val="single"/>
          <w:lang w:eastAsia="zh-CN"/>
        </w:rPr>
        <w:t>湖东街道零星维修项目</w:t>
      </w:r>
      <w:r>
        <w:rPr>
          <w:rFonts w:ascii="宋体" w:hAnsi="宋体"/>
          <w:color w:val="000000"/>
          <w:sz w:val="24"/>
        </w:rPr>
        <w:t>。</w:t>
      </w:r>
    </w:p>
    <w:p>
      <w:pPr>
        <w:snapToGrid w:val="0"/>
        <w:spacing w:line="460" w:lineRule="exact"/>
        <w:rPr>
          <w:rFonts w:ascii="宋体" w:hAnsi="宋体"/>
          <w:bCs/>
          <w:color w:val="000000"/>
          <w:sz w:val="24"/>
        </w:rPr>
      </w:pPr>
      <w:r>
        <w:rPr>
          <w:rFonts w:ascii="宋体" w:hAnsi="宋体"/>
          <w:bCs/>
          <w:color w:val="000000"/>
          <w:sz w:val="24"/>
        </w:rPr>
        <w:t>2.工程地点：</w:t>
      </w:r>
      <w:r>
        <w:rPr>
          <w:rFonts w:hint="eastAsia" w:ascii="宋体" w:hAnsi="宋体"/>
          <w:b/>
          <w:bCs/>
          <w:snapToGrid w:val="0"/>
          <w:color w:val="000000"/>
          <w:sz w:val="24"/>
          <w:u w:val="single"/>
        </w:rPr>
        <w:t>吴兴区湖东街道</w:t>
      </w:r>
      <w:r>
        <w:rPr>
          <w:rFonts w:ascii="宋体" w:hAnsi="宋体"/>
          <w:color w:val="000000"/>
          <w:sz w:val="24"/>
        </w:rPr>
        <w:t>。</w:t>
      </w:r>
    </w:p>
    <w:p>
      <w:pPr>
        <w:snapToGrid w:val="0"/>
        <w:spacing w:line="460" w:lineRule="exact"/>
        <w:rPr>
          <w:rFonts w:ascii="宋体" w:hAnsi="宋体"/>
          <w:bCs/>
          <w:color w:val="000000"/>
          <w:sz w:val="24"/>
        </w:rPr>
      </w:pPr>
      <w:r>
        <w:rPr>
          <w:rFonts w:hint="eastAsia" w:ascii="宋体" w:hAnsi="宋体"/>
          <w:bCs/>
          <w:color w:val="000000"/>
          <w:sz w:val="24"/>
        </w:rPr>
        <w:t>3</w:t>
      </w:r>
      <w:r>
        <w:rPr>
          <w:rFonts w:ascii="宋体" w:hAnsi="宋体"/>
          <w:bCs/>
          <w:color w:val="000000"/>
          <w:sz w:val="24"/>
        </w:rPr>
        <w:t>.资金来源：</w:t>
      </w:r>
      <w:r>
        <w:rPr>
          <w:rFonts w:hint="eastAsia" w:ascii="宋体" w:hAnsi="宋体"/>
          <w:b/>
          <w:bCs/>
          <w:snapToGrid w:val="0"/>
          <w:color w:val="000000"/>
          <w:sz w:val="24"/>
          <w:u w:val="single"/>
        </w:rPr>
        <w:t>政府投资</w:t>
      </w:r>
      <w:r>
        <w:rPr>
          <w:rFonts w:ascii="宋体" w:hAnsi="宋体"/>
          <w:bCs/>
          <w:color w:val="000000"/>
          <w:sz w:val="24"/>
        </w:rPr>
        <w:t>。</w:t>
      </w:r>
    </w:p>
    <w:p>
      <w:pPr>
        <w:snapToGrid w:val="0"/>
        <w:spacing w:line="460" w:lineRule="exact"/>
        <w:rPr>
          <w:rFonts w:ascii="宋体" w:hAnsi="宋体"/>
          <w:bCs/>
          <w:color w:val="000000"/>
          <w:sz w:val="24"/>
        </w:rPr>
      </w:pPr>
      <w:r>
        <w:rPr>
          <w:rFonts w:hint="eastAsia" w:ascii="宋体" w:hAnsi="宋体"/>
          <w:bCs/>
          <w:color w:val="000000"/>
          <w:sz w:val="24"/>
        </w:rPr>
        <w:t>4.工程内容：</w:t>
      </w:r>
      <w:r>
        <w:rPr>
          <w:rFonts w:ascii="宋体" w:hAnsi="宋体"/>
          <w:bCs/>
          <w:color w:val="000000"/>
          <w:sz w:val="24"/>
        </w:rPr>
        <w:t>。</w:t>
      </w:r>
    </w:p>
    <w:p>
      <w:pPr>
        <w:snapToGrid w:val="0"/>
        <w:spacing w:line="460" w:lineRule="exact"/>
        <w:rPr>
          <w:rFonts w:ascii="宋体" w:hAnsi="宋体"/>
          <w:bCs/>
          <w:color w:val="000000"/>
          <w:sz w:val="24"/>
        </w:rPr>
      </w:pPr>
      <w:r>
        <w:rPr>
          <w:rFonts w:hint="eastAsia" w:ascii="宋体" w:hAnsi="宋体"/>
          <w:color w:val="000000"/>
          <w:sz w:val="24"/>
        </w:rPr>
        <w:t>群体工程应附《</w:t>
      </w:r>
      <w:r>
        <w:rPr>
          <w:rFonts w:ascii="宋体" w:hAnsi="宋体"/>
          <w:color w:val="000000"/>
          <w:sz w:val="24"/>
        </w:rPr>
        <w:t>承包人承揽工程项目一览表</w:t>
      </w:r>
      <w:r>
        <w:rPr>
          <w:rFonts w:hint="eastAsia" w:ascii="宋体" w:hAnsi="宋体"/>
          <w:color w:val="000000"/>
          <w:sz w:val="24"/>
        </w:rPr>
        <w:t>》。</w:t>
      </w:r>
    </w:p>
    <w:p>
      <w:pPr>
        <w:snapToGrid w:val="0"/>
        <w:spacing w:line="460" w:lineRule="exact"/>
        <w:rPr>
          <w:rFonts w:ascii="宋体" w:hAnsi="宋体"/>
          <w:bCs/>
          <w:color w:val="000000"/>
          <w:sz w:val="24"/>
        </w:rPr>
      </w:pPr>
      <w:bookmarkStart w:id="223" w:name="_Toc351203482"/>
    </w:p>
    <w:p>
      <w:pPr>
        <w:pStyle w:val="2"/>
        <w:snapToGrid w:val="0"/>
        <w:spacing w:before="0" w:after="0" w:line="460" w:lineRule="exact"/>
        <w:rPr>
          <w:rFonts w:ascii="宋体" w:hAnsi="宋体"/>
          <w:b w:val="0"/>
          <w:color w:val="000000"/>
          <w:sz w:val="24"/>
          <w:szCs w:val="32"/>
        </w:rPr>
      </w:pPr>
      <w:r>
        <w:rPr>
          <w:rFonts w:ascii="宋体" w:hAnsi="宋体"/>
          <w:b w:val="0"/>
          <w:color w:val="000000"/>
          <w:sz w:val="24"/>
          <w:szCs w:val="36"/>
        </w:rPr>
        <w:t>二、合同工期</w:t>
      </w:r>
      <w:bookmarkEnd w:id="223"/>
    </w:p>
    <w:p>
      <w:pPr>
        <w:snapToGrid w:val="0"/>
        <w:spacing w:line="460" w:lineRule="exact"/>
        <w:rPr>
          <w:rFonts w:ascii="宋体" w:hAnsi="宋体"/>
          <w:color w:val="000000"/>
          <w:sz w:val="24"/>
        </w:rPr>
      </w:pPr>
      <w:r>
        <w:rPr>
          <w:rFonts w:ascii="宋体" w:hAnsi="宋体"/>
          <w:color w:val="000000"/>
          <w:sz w:val="24"/>
        </w:rPr>
        <w:t>计划开工日期：</w:t>
      </w:r>
      <w:r>
        <w:rPr>
          <w:rFonts w:hint="eastAsia" w:ascii="宋体" w:hAnsi="宋体"/>
          <w:color w:val="000000"/>
          <w:sz w:val="24"/>
          <w:u w:val="single"/>
        </w:rPr>
        <w:t>20</w:t>
      </w:r>
      <w:r>
        <w:rPr>
          <w:rFonts w:ascii="宋体" w:hAnsi="宋体"/>
          <w:color w:val="000000"/>
          <w:sz w:val="24"/>
        </w:rPr>
        <w:t>年月日。</w:t>
      </w:r>
    </w:p>
    <w:p>
      <w:pPr>
        <w:snapToGrid w:val="0"/>
        <w:spacing w:line="460" w:lineRule="exact"/>
        <w:rPr>
          <w:rFonts w:ascii="宋体" w:hAnsi="宋体"/>
          <w:color w:val="000000"/>
          <w:sz w:val="24"/>
        </w:rPr>
      </w:pPr>
      <w:r>
        <w:rPr>
          <w:rFonts w:ascii="宋体" w:hAnsi="宋体"/>
          <w:color w:val="000000"/>
          <w:sz w:val="24"/>
        </w:rPr>
        <w:t>计划竣工日期：</w:t>
      </w:r>
      <w:r>
        <w:rPr>
          <w:rFonts w:hint="eastAsia" w:ascii="宋体" w:hAnsi="宋体"/>
          <w:color w:val="000000"/>
          <w:sz w:val="24"/>
          <w:u w:val="single"/>
        </w:rPr>
        <w:t>20</w:t>
      </w:r>
      <w:r>
        <w:rPr>
          <w:rFonts w:ascii="宋体" w:hAnsi="宋体"/>
          <w:color w:val="000000"/>
          <w:sz w:val="24"/>
        </w:rPr>
        <w:t>年月日。</w:t>
      </w:r>
    </w:p>
    <w:p>
      <w:pPr>
        <w:snapToGrid w:val="0"/>
        <w:spacing w:line="460" w:lineRule="exact"/>
        <w:rPr>
          <w:rFonts w:ascii="宋体" w:hAnsi="宋体"/>
          <w:sz w:val="24"/>
          <w:szCs w:val="36"/>
        </w:rPr>
      </w:pPr>
      <w:r>
        <w:rPr>
          <w:rFonts w:ascii="宋体" w:hAnsi="宋体"/>
          <w:color w:val="000000"/>
          <w:sz w:val="24"/>
        </w:rPr>
        <w:t>工期总日历天数：</w:t>
      </w:r>
      <w:r>
        <w:rPr>
          <w:rFonts w:hint="eastAsia" w:ascii="宋体" w:hAnsi="宋体"/>
          <w:color w:val="FF0000"/>
          <w:sz w:val="24"/>
          <w:u w:val="single"/>
          <w:lang w:val="en-US" w:eastAsia="zh-CN"/>
        </w:rPr>
        <w:t>两</w:t>
      </w:r>
      <w:r>
        <w:rPr>
          <w:rFonts w:hint="eastAsia" w:ascii="宋体" w:hAnsi="宋体"/>
          <w:color w:val="FF0000"/>
          <w:sz w:val="24"/>
          <w:u w:val="single"/>
        </w:rPr>
        <w:t>年</w:t>
      </w:r>
      <w:r>
        <w:rPr>
          <w:rFonts w:ascii="宋体" w:hAnsi="宋体"/>
          <w:color w:val="000000"/>
          <w:sz w:val="24"/>
        </w:rPr>
        <w:t>。工期总日历天数与根据前述计划开竣工日期计算的工期天数不一致的，以工期总日历天数为准。</w:t>
      </w:r>
    </w:p>
    <w:p>
      <w:pPr>
        <w:pStyle w:val="2"/>
        <w:snapToGrid w:val="0"/>
        <w:spacing w:before="0" w:after="0" w:line="460" w:lineRule="exact"/>
        <w:rPr>
          <w:rFonts w:ascii="宋体" w:hAnsi="宋体"/>
          <w:b w:val="0"/>
          <w:sz w:val="24"/>
          <w:szCs w:val="36"/>
        </w:rPr>
      </w:pPr>
      <w:bookmarkStart w:id="224" w:name="_Toc351203483"/>
      <w:r>
        <w:rPr>
          <w:rFonts w:ascii="宋体" w:hAnsi="宋体"/>
          <w:b w:val="0"/>
          <w:sz w:val="24"/>
          <w:szCs w:val="36"/>
        </w:rPr>
        <w:t>三、质量标准</w:t>
      </w:r>
      <w:bookmarkEnd w:id="224"/>
    </w:p>
    <w:p>
      <w:pPr>
        <w:snapToGrid w:val="0"/>
        <w:spacing w:line="460" w:lineRule="exact"/>
        <w:ind w:firstLine="459"/>
        <w:rPr>
          <w:rFonts w:ascii="宋体" w:hAnsi="宋体"/>
          <w:b/>
          <w:sz w:val="24"/>
          <w:szCs w:val="36"/>
        </w:rPr>
      </w:pPr>
      <w:r>
        <w:rPr>
          <w:rFonts w:ascii="宋体" w:hAnsi="宋体"/>
          <w:color w:val="000000"/>
          <w:sz w:val="24"/>
        </w:rPr>
        <w:t>工程质量符合</w:t>
      </w:r>
      <w:r>
        <w:rPr>
          <w:rFonts w:hint="eastAsia" w:ascii="宋体" w:hAnsi="宋体"/>
          <w:color w:val="000000"/>
          <w:sz w:val="24"/>
          <w:u w:val="single"/>
        </w:rPr>
        <w:t>合格</w:t>
      </w:r>
      <w:r>
        <w:rPr>
          <w:rFonts w:ascii="宋体" w:hAnsi="宋体"/>
          <w:color w:val="000000"/>
          <w:sz w:val="24"/>
        </w:rPr>
        <w:t>标准。</w:t>
      </w:r>
    </w:p>
    <w:p>
      <w:pPr>
        <w:pStyle w:val="2"/>
        <w:snapToGrid w:val="0"/>
        <w:spacing w:before="0" w:after="0" w:line="460" w:lineRule="exact"/>
        <w:rPr>
          <w:rFonts w:ascii="宋体" w:hAnsi="宋体"/>
          <w:b w:val="0"/>
          <w:sz w:val="24"/>
          <w:szCs w:val="36"/>
        </w:rPr>
      </w:pPr>
      <w:bookmarkStart w:id="225" w:name="_Toc351203484"/>
      <w:r>
        <w:rPr>
          <w:rFonts w:ascii="宋体" w:hAnsi="宋体"/>
          <w:b w:val="0"/>
          <w:sz w:val="24"/>
          <w:szCs w:val="36"/>
        </w:rPr>
        <w:t>四、签约合同价与合同价格形式</w:t>
      </w:r>
      <w:bookmarkEnd w:id="225"/>
      <w:r>
        <w:rPr>
          <w:rFonts w:ascii="宋体" w:hAnsi="宋体"/>
          <w:b w:val="0"/>
          <w:sz w:val="24"/>
          <w:szCs w:val="36"/>
        </w:rPr>
        <w:tab/>
      </w:r>
    </w:p>
    <w:p>
      <w:pPr>
        <w:snapToGrid w:val="0"/>
        <w:spacing w:line="460" w:lineRule="exact"/>
        <w:ind w:firstLine="480" w:firstLineChars="200"/>
        <w:rPr>
          <w:rFonts w:ascii="宋体" w:hAnsi="宋体"/>
          <w:sz w:val="24"/>
          <w:szCs w:val="36"/>
        </w:rPr>
      </w:pPr>
      <w:r>
        <w:rPr>
          <w:rFonts w:ascii="宋体" w:hAnsi="宋体"/>
          <w:color w:val="000000"/>
          <w:sz w:val="24"/>
        </w:rPr>
        <w:t>签约合同价为</w:t>
      </w:r>
      <w:r>
        <w:rPr>
          <w:rFonts w:hint="eastAsia" w:ascii="宋体" w:hAnsi="宋体"/>
          <w:color w:val="000000"/>
          <w:sz w:val="24"/>
        </w:rPr>
        <w:t>：</w:t>
      </w:r>
      <w:r>
        <w:rPr>
          <w:rFonts w:hint="eastAsia" w:ascii="宋体" w:hAnsi="宋体"/>
          <w:color w:val="000000"/>
          <w:sz w:val="24"/>
          <w:u w:val="single"/>
          <w:lang w:val="en-US" w:eastAsia="zh-CN"/>
        </w:rPr>
        <w:t xml:space="preserve">            </w:t>
      </w:r>
      <w:r>
        <w:rPr>
          <w:rFonts w:hint="eastAsia" w:ascii="宋体" w:hAnsi="宋体"/>
          <w:color w:val="FF0000"/>
          <w:sz w:val="24"/>
        </w:rPr>
        <w:t>。</w:t>
      </w:r>
      <w:bookmarkStart w:id="226" w:name="_Toc351203485"/>
    </w:p>
    <w:p>
      <w:pPr>
        <w:pStyle w:val="2"/>
        <w:snapToGrid w:val="0"/>
        <w:spacing w:before="0" w:after="0" w:line="460" w:lineRule="exact"/>
        <w:rPr>
          <w:rFonts w:ascii="宋体" w:hAnsi="宋体"/>
          <w:b w:val="0"/>
          <w:color w:val="000000"/>
          <w:sz w:val="24"/>
          <w:szCs w:val="32"/>
        </w:rPr>
      </w:pPr>
      <w:r>
        <w:rPr>
          <w:rFonts w:ascii="宋体" w:hAnsi="宋体"/>
          <w:b w:val="0"/>
          <w:sz w:val="24"/>
          <w:szCs w:val="36"/>
        </w:rPr>
        <w:t>五、</w:t>
      </w:r>
      <w:bookmarkEnd w:id="226"/>
      <w:r>
        <w:rPr>
          <w:rFonts w:hint="eastAsia" w:ascii="宋体" w:hAnsi="宋体"/>
          <w:b w:val="0"/>
          <w:sz w:val="24"/>
          <w:szCs w:val="36"/>
        </w:rPr>
        <w:t>项目负责人</w:t>
      </w:r>
    </w:p>
    <w:p>
      <w:pPr>
        <w:snapToGrid w:val="0"/>
        <w:spacing w:line="460" w:lineRule="exact"/>
        <w:ind w:firstLine="480" w:firstLineChars="200"/>
        <w:rPr>
          <w:rFonts w:ascii="宋体" w:hAnsi="宋体"/>
          <w:sz w:val="24"/>
          <w:szCs w:val="36"/>
        </w:rPr>
      </w:pPr>
      <w:r>
        <w:rPr>
          <w:rFonts w:ascii="宋体" w:hAnsi="宋体"/>
          <w:color w:val="000000"/>
          <w:sz w:val="24"/>
        </w:rPr>
        <w:t>承包人</w:t>
      </w:r>
      <w:r>
        <w:rPr>
          <w:rFonts w:hint="eastAsia" w:ascii="宋体" w:hAnsi="宋体"/>
          <w:color w:val="000000"/>
          <w:sz w:val="24"/>
        </w:rPr>
        <w:t>项目负责人</w:t>
      </w:r>
      <w:r>
        <w:rPr>
          <w:rFonts w:ascii="宋体" w:hAnsi="宋体"/>
          <w:color w:val="000000"/>
          <w:sz w:val="24"/>
        </w:rPr>
        <w:t>：。</w:t>
      </w:r>
    </w:p>
    <w:p>
      <w:pPr>
        <w:pStyle w:val="2"/>
        <w:snapToGrid w:val="0"/>
        <w:spacing w:before="0" w:after="0" w:line="460" w:lineRule="exact"/>
        <w:rPr>
          <w:rFonts w:ascii="宋体" w:hAnsi="宋体"/>
          <w:b w:val="0"/>
          <w:sz w:val="24"/>
          <w:szCs w:val="36"/>
        </w:rPr>
      </w:pPr>
      <w:bookmarkStart w:id="227" w:name="_Toc351203486"/>
      <w:r>
        <w:rPr>
          <w:rFonts w:ascii="宋体" w:hAnsi="宋体"/>
          <w:b w:val="0"/>
          <w:sz w:val="24"/>
          <w:szCs w:val="36"/>
        </w:rPr>
        <w:t>六、合同文件构成</w:t>
      </w:r>
      <w:bookmarkEnd w:id="227"/>
    </w:p>
    <w:p>
      <w:pPr>
        <w:snapToGrid w:val="0"/>
        <w:spacing w:line="460" w:lineRule="exact"/>
        <w:ind w:firstLine="480" w:firstLineChars="200"/>
        <w:rPr>
          <w:rFonts w:ascii="宋体" w:hAnsi="宋体"/>
          <w:bCs/>
          <w:color w:val="000000"/>
          <w:sz w:val="24"/>
        </w:rPr>
      </w:pPr>
      <w:r>
        <w:rPr>
          <w:rFonts w:hint="eastAsia" w:ascii="宋体" w:hAnsi="宋体"/>
          <w:bCs/>
          <w:color w:val="000000"/>
          <w:sz w:val="24"/>
        </w:rPr>
        <w:t>1.</w:t>
      </w:r>
      <w:r>
        <w:rPr>
          <w:rFonts w:ascii="宋体" w:hAnsi="宋体"/>
          <w:bCs/>
          <w:color w:val="000000"/>
          <w:sz w:val="24"/>
        </w:rPr>
        <w:t>本协议书与下列文件一起构成合同文件：</w:t>
      </w:r>
    </w:p>
    <w:p>
      <w:pPr>
        <w:autoSpaceDE w:val="0"/>
        <w:autoSpaceDN w:val="0"/>
        <w:adjustRightInd w:val="0"/>
        <w:snapToGrid w:val="0"/>
        <w:spacing w:line="460" w:lineRule="exact"/>
        <w:ind w:firstLine="480" w:firstLineChars="200"/>
        <w:jc w:val="left"/>
        <w:rPr>
          <w:rFonts w:ascii="宋体" w:hAnsi="宋体"/>
          <w:color w:val="000000"/>
          <w:sz w:val="24"/>
        </w:rPr>
      </w:pPr>
      <w:r>
        <w:rPr>
          <w:rFonts w:ascii="宋体" w:hAnsi="宋体"/>
          <w:color w:val="000000"/>
          <w:sz w:val="24"/>
        </w:rPr>
        <w:t>（1）中标通知书（如有）；</w:t>
      </w:r>
    </w:p>
    <w:p>
      <w:pPr>
        <w:autoSpaceDE w:val="0"/>
        <w:autoSpaceDN w:val="0"/>
        <w:adjustRightInd w:val="0"/>
        <w:snapToGrid w:val="0"/>
        <w:spacing w:line="460" w:lineRule="exact"/>
        <w:ind w:firstLine="480" w:firstLineChars="200"/>
        <w:jc w:val="left"/>
        <w:rPr>
          <w:rFonts w:ascii="宋体" w:hAnsi="宋体"/>
          <w:color w:val="000000"/>
          <w:sz w:val="24"/>
        </w:rPr>
      </w:pPr>
      <w:r>
        <w:rPr>
          <w:rFonts w:ascii="宋体" w:hAnsi="宋体"/>
          <w:color w:val="000000"/>
          <w:sz w:val="24"/>
        </w:rPr>
        <w:t xml:space="preserve">（2）投标函及其附录（如有）； </w:t>
      </w:r>
    </w:p>
    <w:p>
      <w:pPr>
        <w:autoSpaceDE w:val="0"/>
        <w:autoSpaceDN w:val="0"/>
        <w:adjustRightInd w:val="0"/>
        <w:snapToGrid w:val="0"/>
        <w:spacing w:line="460" w:lineRule="exact"/>
        <w:ind w:firstLine="480" w:firstLineChars="200"/>
        <w:jc w:val="left"/>
        <w:rPr>
          <w:rFonts w:ascii="宋体" w:hAnsi="宋体"/>
          <w:color w:val="000000"/>
          <w:sz w:val="24"/>
        </w:rPr>
      </w:pPr>
      <w:r>
        <w:rPr>
          <w:rFonts w:ascii="宋体" w:hAnsi="宋体"/>
          <w:color w:val="000000"/>
          <w:sz w:val="24"/>
        </w:rPr>
        <w:t>（3）专用合同条款及其附件；</w:t>
      </w:r>
    </w:p>
    <w:p>
      <w:pPr>
        <w:autoSpaceDE w:val="0"/>
        <w:autoSpaceDN w:val="0"/>
        <w:adjustRightInd w:val="0"/>
        <w:snapToGrid w:val="0"/>
        <w:spacing w:line="460" w:lineRule="exact"/>
        <w:ind w:firstLine="480" w:firstLineChars="200"/>
        <w:jc w:val="left"/>
        <w:rPr>
          <w:rFonts w:ascii="宋体" w:hAnsi="宋体"/>
          <w:color w:val="000000"/>
          <w:sz w:val="24"/>
        </w:rPr>
      </w:pPr>
      <w:r>
        <w:rPr>
          <w:rFonts w:ascii="宋体" w:hAnsi="宋体"/>
          <w:color w:val="000000"/>
          <w:sz w:val="24"/>
        </w:rPr>
        <w:t>（4）通用合同条款；</w:t>
      </w:r>
    </w:p>
    <w:p>
      <w:pPr>
        <w:autoSpaceDE w:val="0"/>
        <w:autoSpaceDN w:val="0"/>
        <w:adjustRightInd w:val="0"/>
        <w:snapToGrid w:val="0"/>
        <w:spacing w:line="46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5</w:t>
      </w:r>
      <w:r>
        <w:rPr>
          <w:rFonts w:ascii="宋体" w:hAnsi="宋体"/>
          <w:color w:val="000000"/>
          <w:sz w:val="24"/>
        </w:rPr>
        <w:t>）其他。</w:t>
      </w:r>
    </w:p>
    <w:p>
      <w:pPr>
        <w:autoSpaceDE w:val="0"/>
        <w:autoSpaceDN w:val="0"/>
        <w:adjustRightInd w:val="0"/>
        <w:snapToGrid w:val="0"/>
        <w:spacing w:line="460" w:lineRule="exact"/>
        <w:ind w:firstLine="480" w:firstLineChars="200"/>
        <w:jc w:val="left"/>
        <w:rPr>
          <w:rFonts w:ascii="宋体" w:hAnsi="宋体"/>
          <w:color w:val="000000"/>
          <w:sz w:val="24"/>
        </w:rPr>
      </w:pPr>
      <w:r>
        <w:rPr>
          <w:rFonts w:hint="eastAsia" w:ascii="宋体" w:hAnsi="宋体"/>
          <w:color w:val="000000"/>
          <w:sz w:val="24"/>
        </w:rPr>
        <w:t>2.</w:t>
      </w:r>
      <w:r>
        <w:rPr>
          <w:rFonts w:ascii="宋体" w:hAnsi="宋体"/>
          <w:color w:val="000000"/>
          <w:sz w:val="24"/>
        </w:rPr>
        <w:t>在合同订立及履行过程中形成的与合同有关的文件均构成合同文件组成部分。</w:t>
      </w:r>
    </w:p>
    <w:p>
      <w:pPr>
        <w:autoSpaceDE w:val="0"/>
        <w:autoSpaceDN w:val="0"/>
        <w:adjustRightInd w:val="0"/>
        <w:snapToGrid w:val="0"/>
        <w:spacing w:line="460" w:lineRule="exact"/>
        <w:ind w:firstLine="480" w:firstLineChars="200"/>
        <w:jc w:val="left"/>
        <w:rPr>
          <w:rFonts w:ascii="宋体" w:hAnsi="宋体"/>
          <w:color w:val="000000"/>
          <w:sz w:val="24"/>
        </w:rPr>
      </w:pPr>
      <w:r>
        <w:rPr>
          <w:rFonts w:hint="eastAsia" w:ascii="宋体" w:hAnsi="宋体"/>
          <w:color w:val="000000"/>
          <w:sz w:val="24"/>
        </w:rPr>
        <w:t>3.</w:t>
      </w:r>
      <w:r>
        <w:rPr>
          <w:rFonts w:ascii="宋体" w:hAnsi="宋体"/>
          <w:color w:val="000000"/>
          <w:sz w:val="24"/>
        </w:rPr>
        <w:t>上述各项合同文件包括合同当事人就该项合同文件所作出的补充和修改，属于同一类内容的文件，应以最新签署的为准。</w:t>
      </w:r>
      <w:r>
        <w:rPr>
          <w:rFonts w:hint="eastAsia" w:ascii="宋体" w:hAnsi="宋体"/>
          <w:color w:val="000000"/>
          <w:sz w:val="24"/>
        </w:rPr>
        <w:t>专用合同条款及其附件须经合同当事人签字或盖章。</w:t>
      </w:r>
    </w:p>
    <w:p>
      <w:pPr>
        <w:pStyle w:val="2"/>
        <w:snapToGrid w:val="0"/>
        <w:spacing w:before="0" w:after="0" w:line="460" w:lineRule="exact"/>
        <w:rPr>
          <w:rFonts w:ascii="宋体" w:hAnsi="宋体"/>
          <w:b w:val="0"/>
          <w:sz w:val="24"/>
          <w:szCs w:val="36"/>
        </w:rPr>
      </w:pPr>
    </w:p>
    <w:p>
      <w:pPr>
        <w:pStyle w:val="2"/>
        <w:snapToGrid w:val="0"/>
        <w:spacing w:before="0" w:after="0" w:line="460" w:lineRule="exact"/>
        <w:rPr>
          <w:rFonts w:ascii="宋体" w:hAnsi="宋体"/>
          <w:b w:val="0"/>
          <w:sz w:val="24"/>
          <w:szCs w:val="36"/>
        </w:rPr>
      </w:pPr>
      <w:bookmarkStart w:id="228" w:name="_Toc351203487"/>
      <w:r>
        <w:rPr>
          <w:rFonts w:ascii="宋体" w:hAnsi="宋体"/>
          <w:b w:val="0"/>
          <w:sz w:val="24"/>
          <w:szCs w:val="36"/>
        </w:rPr>
        <w:t>七、承诺</w:t>
      </w:r>
      <w:bookmarkEnd w:id="228"/>
    </w:p>
    <w:p>
      <w:pPr>
        <w:snapToGrid w:val="0"/>
        <w:spacing w:line="460" w:lineRule="exact"/>
        <w:ind w:firstLine="480" w:firstLineChars="200"/>
        <w:rPr>
          <w:rFonts w:ascii="宋体" w:hAnsi="宋体"/>
          <w:bCs/>
          <w:color w:val="000000"/>
          <w:sz w:val="24"/>
        </w:rPr>
      </w:pPr>
      <w:r>
        <w:rPr>
          <w:rFonts w:ascii="宋体" w:hAnsi="宋体"/>
          <w:bCs/>
          <w:color w:val="000000"/>
          <w:sz w:val="24"/>
        </w:rPr>
        <w:t>1.发包人承诺按照法律规定履行项目审批手续、筹集工程建设资金并按照合同约定的期限和方式支付合同价款。</w:t>
      </w:r>
    </w:p>
    <w:p>
      <w:pPr>
        <w:snapToGrid w:val="0"/>
        <w:spacing w:line="460" w:lineRule="exact"/>
        <w:ind w:firstLine="480" w:firstLineChars="200"/>
        <w:rPr>
          <w:rFonts w:ascii="宋体" w:hAnsi="宋体"/>
          <w:bCs/>
          <w:color w:val="000000"/>
          <w:sz w:val="24"/>
        </w:rPr>
      </w:pPr>
      <w:r>
        <w:rPr>
          <w:rFonts w:ascii="宋体" w:hAnsi="宋体"/>
          <w:bCs/>
          <w:color w:val="000000"/>
          <w:sz w:val="24"/>
        </w:rPr>
        <w:t>2.承包人承诺按照法律规定及合同约定组织完成工程施工，确保工程质量和安全，不进行转包及违法分包，并在缺陷责任期及保修期内承担相应的工程维修责任。</w:t>
      </w:r>
    </w:p>
    <w:p>
      <w:pPr>
        <w:snapToGrid w:val="0"/>
        <w:spacing w:line="460" w:lineRule="exact"/>
        <w:ind w:firstLine="480" w:firstLineChars="200"/>
        <w:rPr>
          <w:rFonts w:ascii="宋体" w:hAnsi="宋体"/>
          <w:bCs/>
          <w:color w:val="000000"/>
          <w:sz w:val="24"/>
        </w:rPr>
      </w:pPr>
      <w:r>
        <w:rPr>
          <w:rFonts w:ascii="宋体" w:hAnsi="宋体"/>
          <w:bCs/>
          <w:color w:val="000000"/>
          <w:sz w:val="24"/>
        </w:rPr>
        <w:t>3.发包人和承包人通过招投标形式签订合同的，双方理解并</w:t>
      </w:r>
      <w:r>
        <w:rPr>
          <w:rFonts w:hint="eastAsia" w:ascii="宋体" w:hAnsi="宋体"/>
          <w:bCs/>
          <w:color w:val="000000"/>
          <w:sz w:val="24"/>
        </w:rPr>
        <w:t>承诺</w:t>
      </w:r>
      <w:r>
        <w:rPr>
          <w:rFonts w:ascii="宋体" w:hAnsi="宋体"/>
          <w:bCs/>
          <w:color w:val="000000"/>
          <w:sz w:val="24"/>
        </w:rPr>
        <w:t>不再就同一工程另行签订与合同实质性内容相背离的协议。</w:t>
      </w:r>
    </w:p>
    <w:p>
      <w:pPr>
        <w:snapToGrid w:val="0"/>
        <w:spacing w:line="460" w:lineRule="exact"/>
        <w:jc w:val="center"/>
        <w:rPr>
          <w:rFonts w:ascii="宋体" w:hAnsi="宋体"/>
          <w:bCs/>
          <w:color w:val="000000"/>
          <w:sz w:val="24"/>
          <w:szCs w:val="32"/>
        </w:rPr>
      </w:pPr>
      <w:bookmarkStart w:id="229" w:name="_Toc351203488"/>
      <w:r>
        <w:rPr>
          <w:rFonts w:ascii="宋体" w:hAnsi="宋体"/>
          <w:b/>
          <w:sz w:val="24"/>
          <w:szCs w:val="36"/>
        </w:rPr>
        <w:t>八、词语含义</w:t>
      </w:r>
      <w:bookmarkEnd w:id="229"/>
    </w:p>
    <w:p>
      <w:pPr>
        <w:snapToGrid w:val="0"/>
        <w:spacing w:line="460" w:lineRule="exact"/>
        <w:ind w:firstLine="480" w:firstLineChars="200"/>
        <w:rPr>
          <w:rFonts w:ascii="宋体" w:hAnsi="宋体"/>
          <w:b w:val="0"/>
          <w:color w:val="000000"/>
          <w:sz w:val="24"/>
          <w:szCs w:val="32"/>
        </w:rPr>
      </w:pPr>
      <w:r>
        <w:rPr>
          <w:rFonts w:ascii="宋体" w:hAnsi="宋体"/>
          <w:bCs/>
          <w:color w:val="000000"/>
          <w:sz w:val="24"/>
        </w:rPr>
        <w:t>本协议书中词语含义与第二部分通用合同条款中赋予的含义相同。</w:t>
      </w:r>
      <w:bookmarkStart w:id="230" w:name="_Toc351203489"/>
    </w:p>
    <w:p>
      <w:pPr>
        <w:pStyle w:val="2"/>
        <w:snapToGrid w:val="0"/>
        <w:spacing w:before="0" w:after="0" w:line="460" w:lineRule="exact"/>
        <w:rPr>
          <w:rFonts w:ascii="宋体" w:hAnsi="宋体"/>
          <w:b w:val="0"/>
          <w:sz w:val="24"/>
          <w:szCs w:val="36"/>
        </w:rPr>
      </w:pPr>
      <w:r>
        <w:rPr>
          <w:rFonts w:ascii="宋体" w:hAnsi="宋体"/>
          <w:b w:val="0"/>
          <w:sz w:val="24"/>
          <w:szCs w:val="36"/>
        </w:rPr>
        <w:t>九、签订时间</w:t>
      </w:r>
      <w:bookmarkEnd w:id="230"/>
    </w:p>
    <w:p>
      <w:pPr>
        <w:snapToGrid w:val="0"/>
        <w:spacing w:line="460" w:lineRule="exact"/>
        <w:ind w:firstLine="480" w:firstLineChars="200"/>
        <w:rPr>
          <w:rFonts w:ascii="宋体" w:hAnsi="宋体"/>
          <w:b w:val="0"/>
          <w:sz w:val="24"/>
          <w:szCs w:val="36"/>
        </w:rPr>
      </w:pPr>
      <w:r>
        <w:rPr>
          <w:rFonts w:ascii="宋体" w:hAnsi="宋体"/>
          <w:bCs/>
          <w:color w:val="000000"/>
          <w:sz w:val="24"/>
        </w:rPr>
        <w:t>本合同于年月日签订。</w:t>
      </w:r>
      <w:bookmarkStart w:id="231" w:name="_Toc351203490"/>
    </w:p>
    <w:p>
      <w:pPr>
        <w:pStyle w:val="2"/>
        <w:snapToGrid w:val="0"/>
        <w:spacing w:before="0" w:after="0" w:line="460" w:lineRule="exact"/>
        <w:rPr>
          <w:rFonts w:ascii="宋体" w:hAnsi="宋体"/>
          <w:bCs w:val="0"/>
          <w:color w:val="000000"/>
          <w:sz w:val="24"/>
          <w:szCs w:val="32"/>
        </w:rPr>
      </w:pPr>
      <w:r>
        <w:rPr>
          <w:rFonts w:ascii="宋体" w:hAnsi="宋体"/>
          <w:b w:val="0"/>
          <w:sz w:val="24"/>
          <w:szCs w:val="36"/>
        </w:rPr>
        <w:t>十、签订地点</w:t>
      </w:r>
      <w:bookmarkEnd w:id="231"/>
    </w:p>
    <w:p>
      <w:pPr>
        <w:snapToGrid w:val="0"/>
        <w:spacing w:line="460" w:lineRule="exact"/>
        <w:ind w:firstLine="480" w:firstLineChars="200"/>
        <w:rPr>
          <w:rFonts w:ascii="宋体" w:hAnsi="宋体"/>
          <w:b w:val="0"/>
          <w:sz w:val="24"/>
          <w:szCs w:val="36"/>
        </w:rPr>
      </w:pPr>
      <w:r>
        <w:rPr>
          <w:rFonts w:ascii="宋体" w:hAnsi="宋体"/>
          <w:bCs/>
          <w:color w:val="000000"/>
          <w:sz w:val="24"/>
        </w:rPr>
        <w:t>本合同在签订。</w:t>
      </w:r>
      <w:bookmarkStart w:id="232" w:name="_Toc351203491"/>
    </w:p>
    <w:p>
      <w:pPr>
        <w:pStyle w:val="2"/>
        <w:snapToGrid w:val="0"/>
        <w:spacing w:before="0" w:after="0" w:line="460" w:lineRule="exact"/>
        <w:rPr>
          <w:rFonts w:ascii="宋体" w:hAnsi="宋体"/>
          <w:b w:val="0"/>
          <w:sz w:val="24"/>
          <w:szCs w:val="36"/>
        </w:rPr>
      </w:pPr>
      <w:r>
        <w:rPr>
          <w:rFonts w:ascii="宋体" w:hAnsi="宋体"/>
          <w:b w:val="0"/>
          <w:sz w:val="24"/>
          <w:szCs w:val="36"/>
        </w:rPr>
        <w:t>十一、补充协议</w:t>
      </w:r>
      <w:bookmarkEnd w:id="232"/>
    </w:p>
    <w:p>
      <w:pPr>
        <w:snapToGrid w:val="0"/>
        <w:spacing w:line="460" w:lineRule="exact"/>
        <w:ind w:firstLine="480" w:firstLineChars="200"/>
        <w:rPr>
          <w:rFonts w:ascii="宋体" w:hAnsi="宋体"/>
          <w:b w:val="0"/>
          <w:sz w:val="24"/>
          <w:szCs w:val="36"/>
        </w:rPr>
      </w:pPr>
      <w:r>
        <w:rPr>
          <w:rFonts w:ascii="宋体" w:hAnsi="宋体"/>
          <w:bCs/>
          <w:color w:val="000000"/>
          <w:sz w:val="24"/>
        </w:rPr>
        <w:t>合同未尽事宜，合同当事人另行签订补充协议</w:t>
      </w:r>
      <w:r>
        <w:rPr>
          <w:rFonts w:hint="eastAsia" w:ascii="宋体" w:hAnsi="宋体"/>
          <w:bCs/>
          <w:color w:val="000000"/>
          <w:sz w:val="24"/>
        </w:rPr>
        <w:t>，</w:t>
      </w:r>
      <w:r>
        <w:rPr>
          <w:rFonts w:ascii="宋体" w:hAnsi="宋体"/>
          <w:bCs/>
          <w:color w:val="000000"/>
          <w:sz w:val="24"/>
        </w:rPr>
        <w:t>补充协议是合同的组成部分。</w:t>
      </w:r>
      <w:bookmarkStart w:id="233" w:name="_Toc351203492"/>
    </w:p>
    <w:p>
      <w:pPr>
        <w:pStyle w:val="2"/>
        <w:snapToGrid w:val="0"/>
        <w:spacing w:before="0" w:after="0" w:line="460" w:lineRule="exact"/>
        <w:rPr>
          <w:rFonts w:ascii="宋体" w:hAnsi="宋体"/>
          <w:b w:val="0"/>
          <w:sz w:val="24"/>
          <w:szCs w:val="36"/>
        </w:rPr>
      </w:pPr>
      <w:r>
        <w:rPr>
          <w:rFonts w:ascii="宋体" w:hAnsi="宋体"/>
          <w:b w:val="0"/>
          <w:sz w:val="24"/>
          <w:szCs w:val="36"/>
        </w:rPr>
        <w:t>十二、合同生效</w:t>
      </w:r>
      <w:bookmarkEnd w:id="233"/>
    </w:p>
    <w:p>
      <w:pPr>
        <w:snapToGrid w:val="0"/>
        <w:spacing w:line="460" w:lineRule="exact"/>
        <w:ind w:firstLine="480" w:firstLineChars="200"/>
        <w:rPr>
          <w:rFonts w:ascii="宋体" w:hAnsi="宋体"/>
          <w:b w:val="0"/>
          <w:sz w:val="24"/>
          <w:szCs w:val="36"/>
        </w:rPr>
      </w:pPr>
      <w:r>
        <w:rPr>
          <w:rFonts w:ascii="宋体" w:hAnsi="宋体"/>
          <w:bCs/>
          <w:color w:val="000000"/>
          <w:sz w:val="24"/>
        </w:rPr>
        <w:t>本合同自生效。</w:t>
      </w:r>
      <w:bookmarkStart w:id="234" w:name="_Toc351203493"/>
    </w:p>
    <w:p>
      <w:pPr>
        <w:pStyle w:val="2"/>
        <w:snapToGrid w:val="0"/>
        <w:spacing w:before="0" w:after="0" w:line="460" w:lineRule="exact"/>
        <w:rPr>
          <w:rFonts w:ascii="宋体" w:hAnsi="宋体"/>
          <w:b w:val="0"/>
          <w:sz w:val="24"/>
          <w:szCs w:val="36"/>
        </w:rPr>
      </w:pPr>
      <w:r>
        <w:rPr>
          <w:rFonts w:ascii="宋体" w:hAnsi="宋体"/>
          <w:b w:val="0"/>
          <w:sz w:val="24"/>
          <w:szCs w:val="36"/>
        </w:rPr>
        <w:t>十三、合同份数</w:t>
      </w:r>
      <w:bookmarkEnd w:id="234"/>
    </w:p>
    <w:p>
      <w:pPr>
        <w:snapToGrid w:val="0"/>
        <w:spacing w:line="460" w:lineRule="exact"/>
        <w:ind w:firstLine="480" w:firstLineChars="200"/>
        <w:rPr>
          <w:rFonts w:ascii="宋体" w:hAnsi="宋体"/>
          <w:color w:val="000000"/>
          <w:sz w:val="24"/>
        </w:rPr>
      </w:pPr>
      <w:r>
        <w:rPr>
          <w:rFonts w:ascii="宋体" w:hAnsi="宋体"/>
          <w:bCs/>
          <w:color w:val="000000"/>
          <w:sz w:val="24"/>
        </w:rPr>
        <w:t>本合同一式份，均具有同等法律效力，发包人执份，承包人执份。</w:t>
      </w:r>
    </w:p>
    <w:p>
      <w:pPr>
        <w:snapToGrid w:val="0"/>
        <w:spacing w:line="460" w:lineRule="exact"/>
        <w:ind w:firstLine="360" w:firstLineChars="150"/>
        <w:rPr>
          <w:rFonts w:ascii="宋体" w:hAnsi="宋体"/>
          <w:color w:val="000000"/>
          <w:sz w:val="24"/>
        </w:rPr>
      </w:pPr>
      <w:r>
        <w:rPr>
          <w:rFonts w:ascii="宋体" w:hAnsi="宋体"/>
          <w:color w:val="000000"/>
          <w:sz w:val="24"/>
        </w:rPr>
        <w:t>发包人</w:t>
      </w:r>
      <w:r>
        <w:rPr>
          <w:rFonts w:hint="eastAsia" w:ascii="宋体" w:hAnsi="宋体"/>
          <w:color w:val="000000"/>
          <w:sz w:val="24"/>
        </w:rPr>
        <w:t xml:space="preserve">：  </w:t>
      </w:r>
      <w:r>
        <w:rPr>
          <w:rFonts w:ascii="宋体" w:hAnsi="宋体"/>
          <w:color w:val="000000"/>
          <w:sz w:val="24"/>
        </w:rPr>
        <w:t>(公章)承包人</w:t>
      </w:r>
      <w:r>
        <w:rPr>
          <w:rFonts w:hint="eastAsia" w:ascii="宋体" w:hAnsi="宋体"/>
          <w:color w:val="000000"/>
          <w:sz w:val="24"/>
        </w:rPr>
        <w:t xml:space="preserve">：  </w:t>
      </w:r>
      <w:r>
        <w:rPr>
          <w:rFonts w:ascii="宋体" w:hAnsi="宋体"/>
          <w:color w:val="000000"/>
          <w:sz w:val="24"/>
        </w:rPr>
        <w:t>(公章)</w:t>
      </w:r>
    </w:p>
    <w:p>
      <w:pPr>
        <w:snapToGrid w:val="0"/>
        <w:spacing w:line="460" w:lineRule="exact"/>
        <w:rPr>
          <w:rFonts w:ascii="宋体" w:hAnsi="宋体"/>
          <w:color w:val="000000"/>
          <w:sz w:val="24"/>
          <w:u w:val="single"/>
        </w:rPr>
      </w:pPr>
    </w:p>
    <w:p>
      <w:pPr>
        <w:snapToGrid w:val="0"/>
        <w:spacing w:line="460" w:lineRule="exact"/>
        <w:ind w:firstLine="240" w:firstLineChars="100"/>
        <w:rPr>
          <w:rFonts w:ascii="宋体" w:hAnsi="宋体"/>
          <w:color w:val="000000"/>
          <w:sz w:val="24"/>
        </w:rPr>
      </w:pPr>
      <w:r>
        <w:rPr>
          <w:rFonts w:hint="eastAsia" w:ascii="宋体" w:hAnsi="宋体"/>
          <w:color w:val="000000"/>
          <w:sz w:val="24"/>
        </w:rPr>
        <w:t>法定代表人或其委托代理人：            法定代表人或其委托代理人：</w:t>
      </w:r>
    </w:p>
    <w:p>
      <w:pPr>
        <w:snapToGrid w:val="0"/>
        <w:spacing w:line="460" w:lineRule="exact"/>
        <w:ind w:firstLine="240" w:firstLineChars="100"/>
        <w:rPr>
          <w:rFonts w:ascii="宋体" w:hAnsi="宋体"/>
          <w:color w:val="000000"/>
          <w:sz w:val="24"/>
        </w:rPr>
      </w:pPr>
      <w:r>
        <w:rPr>
          <w:rFonts w:hint="eastAsia" w:ascii="宋体" w:hAnsi="宋体"/>
          <w:color w:val="000000"/>
          <w:sz w:val="24"/>
        </w:rPr>
        <w:t>（签字）                              （签字）</w:t>
      </w:r>
    </w:p>
    <w:p>
      <w:pPr>
        <w:snapToGrid w:val="0"/>
        <w:spacing w:line="460" w:lineRule="exact"/>
        <w:rPr>
          <w:rFonts w:ascii="宋体" w:hAnsi="宋体"/>
          <w:color w:val="000000"/>
          <w:sz w:val="24"/>
          <w:u w:val="single"/>
        </w:rPr>
      </w:pPr>
    </w:p>
    <w:p>
      <w:pPr>
        <w:tabs>
          <w:tab w:val="left" w:pos="4410"/>
        </w:tabs>
        <w:snapToGrid w:val="0"/>
        <w:spacing w:line="460" w:lineRule="exact"/>
        <w:ind w:firstLine="240" w:firstLineChars="100"/>
        <w:rPr>
          <w:rFonts w:ascii="宋体" w:hAnsi="宋体"/>
          <w:color w:val="000000"/>
          <w:sz w:val="24"/>
        </w:rPr>
      </w:pPr>
      <w:r>
        <w:rPr>
          <w:rFonts w:hint="eastAsia" w:ascii="宋体" w:hAnsi="宋体"/>
          <w:color w:val="000000"/>
          <w:sz w:val="24"/>
        </w:rPr>
        <w:t>组织机构代码：           组织机构代码：</w:t>
      </w:r>
    </w:p>
    <w:p>
      <w:pPr>
        <w:snapToGrid w:val="0"/>
        <w:spacing w:line="460" w:lineRule="exact"/>
        <w:ind w:firstLine="240" w:firstLineChars="100"/>
        <w:rPr>
          <w:rFonts w:ascii="宋体" w:hAnsi="宋体"/>
          <w:color w:val="000000"/>
          <w:sz w:val="24"/>
        </w:rPr>
      </w:pPr>
      <w:r>
        <w:rPr>
          <w:rFonts w:ascii="宋体" w:hAnsi="宋体"/>
          <w:color w:val="000000"/>
          <w:sz w:val="24"/>
        </w:rPr>
        <w:t>地  址：地  址：</w:t>
      </w:r>
    </w:p>
    <w:p>
      <w:pPr>
        <w:snapToGrid w:val="0"/>
        <w:spacing w:line="460" w:lineRule="exact"/>
        <w:ind w:firstLine="240" w:firstLineChars="100"/>
        <w:rPr>
          <w:rFonts w:ascii="宋体" w:hAnsi="宋体"/>
          <w:color w:val="000000"/>
          <w:sz w:val="24"/>
        </w:rPr>
      </w:pPr>
      <w:r>
        <w:rPr>
          <w:rFonts w:ascii="宋体" w:hAnsi="宋体"/>
          <w:color w:val="000000"/>
          <w:sz w:val="24"/>
        </w:rPr>
        <w:t>法定代表人：法定代表人：</w:t>
      </w:r>
    </w:p>
    <w:p>
      <w:pPr>
        <w:snapToGrid w:val="0"/>
        <w:spacing w:line="460" w:lineRule="exact"/>
        <w:ind w:firstLine="240" w:firstLineChars="100"/>
        <w:rPr>
          <w:rFonts w:ascii="宋体" w:hAnsi="宋体"/>
          <w:color w:val="000000"/>
          <w:sz w:val="24"/>
        </w:rPr>
      </w:pPr>
      <w:r>
        <w:rPr>
          <w:rFonts w:ascii="宋体" w:hAnsi="宋体"/>
          <w:color w:val="000000"/>
          <w:sz w:val="24"/>
        </w:rPr>
        <w:t>委托代理人：委托代理人：</w:t>
      </w:r>
    </w:p>
    <w:p>
      <w:pPr>
        <w:snapToGrid w:val="0"/>
        <w:spacing w:line="460" w:lineRule="exact"/>
        <w:ind w:firstLine="240" w:firstLineChars="100"/>
        <w:rPr>
          <w:rFonts w:ascii="宋体" w:hAnsi="宋体"/>
          <w:color w:val="000000"/>
          <w:sz w:val="24"/>
        </w:rPr>
      </w:pPr>
      <w:r>
        <w:rPr>
          <w:rFonts w:ascii="宋体" w:hAnsi="宋体"/>
          <w:color w:val="000000"/>
          <w:sz w:val="24"/>
        </w:rPr>
        <w:t>电  话：电  话：</w:t>
      </w:r>
    </w:p>
    <w:p>
      <w:pPr>
        <w:snapToGrid w:val="0"/>
        <w:spacing w:line="460" w:lineRule="exact"/>
        <w:ind w:firstLine="240" w:firstLineChars="100"/>
        <w:rPr>
          <w:rFonts w:ascii="宋体" w:hAnsi="宋体"/>
          <w:color w:val="000000"/>
          <w:sz w:val="24"/>
        </w:rPr>
      </w:pPr>
      <w:r>
        <w:rPr>
          <w:rFonts w:ascii="宋体" w:hAnsi="宋体"/>
          <w:color w:val="000000"/>
          <w:sz w:val="24"/>
        </w:rPr>
        <w:t>传  真：传  真：</w:t>
      </w:r>
    </w:p>
    <w:p>
      <w:pPr>
        <w:snapToGrid w:val="0"/>
        <w:spacing w:line="460" w:lineRule="exact"/>
        <w:ind w:firstLine="240" w:firstLineChars="100"/>
        <w:rPr>
          <w:rFonts w:ascii="宋体" w:hAnsi="宋体"/>
          <w:color w:val="000000"/>
          <w:sz w:val="24"/>
        </w:rPr>
      </w:pPr>
      <w:r>
        <w:rPr>
          <w:rFonts w:ascii="宋体" w:hAnsi="宋体"/>
          <w:color w:val="000000"/>
          <w:sz w:val="24"/>
        </w:rPr>
        <w:t>电子信箱：电子信箱：</w:t>
      </w:r>
    </w:p>
    <w:p>
      <w:pPr>
        <w:snapToGrid w:val="0"/>
        <w:spacing w:line="460" w:lineRule="exact"/>
        <w:ind w:firstLine="240" w:firstLineChars="100"/>
        <w:rPr>
          <w:rFonts w:ascii="宋体" w:hAnsi="宋体"/>
          <w:color w:val="000000"/>
          <w:sz w:val="24"/>
        </w:rPr>
      </w:pPr>
      <w:r>
        <w:rPr>
          <w:rFonts w:ascii="宋体" w:hAnsi="宋体"/>
          <w:color w:val="000000"/>
          <w:sz w:val="24"/>
        </w:rPr>
        <w:t>开户银行：开户银行：</w:t>
      </w:r>
    </w:p>
    <w:p>
      <w:pPr>
        <w:snapToGrid w:val="0"/>
        <w:spacing w:line="460" w:lineRule="exact"/>
        <w:ind w:firstLine="240" w:firstLineChars="100"/>
        <w:rPr>
          <w:rFonts w:ascii="宋体" w:hAnsi="宋体"/>
          <w:color w:val="000000"/>
          <w:sz w:val="24"/>
        </w:rPr>
      </w:pPr>
      <w:r>
        <w:rPr>
          <w:rFonts w:ascii="宋体" w:hAnsi="宋体"/>
          <w:color w:val="000000"/>
          <w:sz w:val="24"/>
        </w:rPr>
        <w:t>账  号：账 号：</w:t>
      </w:r>
    </w:p>
    <w:p>
      <w:pPr>
        <w:pStyle w:val="6"/>
        <w:numPr>
          <w:ilvl w:val="2"/>
          <w:numId w:val="9"/>
        </w:numPr>
        <w:tabs>
          <w:tab w:val="clear" w:pos="720"/>
        </w:tabs>
        <w:snapToGrid w:val="0"/>
        <w:spacing w:line="460" w:lineRule="exact"/>
        <w:rPr>
          <w:rFonts w:ascii="宋体" w:hAnsi="宋体"/>
          <w:b w:val="0"/>
          <w:sz w:val="24"/>
          <w:szCs w:val="32"/>
        </w:rPr>
      </w:pPr>
      <w:r>
        <w:rPr>
          <w:rFonts w:hint="eastAsia" w:ascii="宋体" w:hAnsi="宋体"/>
          <w:sz w:val="24"/>
          <w:szCs w:val="44"/>
        </w:rPr>
        <w:t>第三部分 专用合同条款</w:t>
      </w:r>
      <w:bookmarkStart w:id="235" w:name="_Toc351203633"/>
    </w:p>
    <w:p>
      <w:pPr>
        <w:pStyle w:val="2"/>
        <w:snapToGrid w:val="0"/>
        <w:spacing w:before="0" w:after="0" w:line="460" w:lineRule="exact"/>
        <w:rPr>
          <w:rFonts w:ascii="宋体" w:hAnsi="宋体"/>
          <w:b w:val="0"/>
          <w:color w:val="000000"/>
          <w:sz w:val="24"/>
          <w:szCs w:val="32"/>
        </w:rPr>
      </w:pPr>
      <w:r>
        <w:rPr>
          <w:rFonts w:ascii="宋体" w:hAnsi="宋体"/>
          <w:b w:val="0"/>
          <w:color w:val="000000"/>
          <w:sz w:val="24"/>
          <w:szCs w:val="32"/>
        </w:rPr>
        <w:t>1</w:t>
      </w:r>
      <w:bookmarkStart w:id="236" w:name="_Toc296503156"/>
      <w:bookmarkStart w:id="237" w:name="_Toc296346657"/>
      <w:bookmarkStart w:id="238" w:name="_Toc296890984"/>
      <w:bookmarkStart w:id="239" w:name="_Toc296347155"/>
      <w:bookmarkStart w:id="240" w:name="_Toc292559866"/>
      <w:bookmarkStart w:id="241" w:name="_Toc296944495"/>
      <w:bookmarkStart w:id="242" w:name="_Toc292559361"/>
      <w:bookmarkStart w:id="243" w:name="_Toc296891196"/>
      <w:bookmarkStart w:id="244" w:name="_Toc297048342"/>
      <w:bookmarkStart w:id="245" w:name="_Toc297120456"/>
      <w:r>
        <w:rPr>
          <w:rFonts w:ascii="宋体" w:hAnsi="宋体"/>
          <w:b w:val="0"/>
          <w:color w:val="000000"/>
          <w:sz w:val="24"/>
          <w:szCs w:val="32"/>
        </w:rPr>
        <w:t>. 一般约定</w:t>
      </w:r>
      <w:bookmarkEnd w:id="235"/>
    </w:p>
    <w:bookmarkEnd w:id="236"/>
    <w:bookmarkEnd w:id="237"/>
    <w:bookmarkEnd w:id="238"/>
    <w:bookmarkEnd w:id="239"/>
    <w:bookmarkEnd w:id="240"/>
    <w:bookmarkEnd w:id="241"/>
    <w:bookmarkEnd w:id="242"/>
    <w:bookmarkEnd w:id="243"/>
    <w:bookmarkEnd w:id="244"/>
    <w:bookmarkEnd w:id="245"/>
    <w:p>
      <w:pPr>
        <w:snapToGrid w:val="0"/>
        <w:spacing w:line="460" w:lineRule="exact"/>
        <w:ind w:firstLine="480" w:firstLineChars="200"/>
        <w:rPr>
          <w:rFonts w:ascii="宋体" w:hAnsi="宋体"/>
          <w:color w:val="000000"/>
          <w:sz w:val="24"/>
          <w:szCs w:val="32"/>
        </w:rPr>
      </w:pPr>
      <w:r>
        <w:rPr>
          <w:rFonts w:ascii="宋体" w:hAnsi="宋体"/>
          <w:color w:val="000000"/>
          <w:sz w:val="24"/>
          <w:szCs w:val="32"/>
        </w:rPr>
        <w:t>1.1 词语定义</w:t>
      </w:r>
    </w:p>
    <w:p>
      <w:pPr>
        <w:snapToGrid w:val="0"/>
        <w:spacing w:line="460" w:lineRule="exact"/>
        <w:ind w:firstLine="480" w:firstLineChars="200"/>
        <w:rPr>
          <w:rFonts w:ascii="宋体" w:hAnsi="宋体"/>
          <w:color w:val="000000"/>
          <w:kern w:val="0"/>
          <w:sz w:val="24"/>
          <w:szCs w:val="32"/>
        </w:rPr>
      </w:pPr>
      <w:r>
        <w:rPr>
          <w:rFonts w:ascii="宋体" w:hAnsi="宋体"/>
          <w:color w:val="000000"/>
          <w:kern w:val="0"/>
          <w:sz w:val="24"/>
          <w:szCs w:val="32"/>
        </w:rPr>
        <w:t>1.1.1合同</w:t>
      </w:r>
    </w:p>
    <w:p>
      <w:pPr>
        <w:snapToGrid w:val="0"/>
        <w:spacing w:line="460" w:lineRule="exact"/>
        <w:ind w:firstLine="480" w:firstLineChars="200"/>
        <w:rPr>
          <w:rFonts w:ascii="宋体" w:hAnsi="宋体"/>
          <w:color w:val="000000"/>
          <w:kern w:val="0"/>
          <w:sz w:val="24"/>
          <w:szCs w:val="32"/>
        </w:rPr>
      </w:pPr>
      <w:r>
        <w:rPr>
          <w:rFonts w:ascii="宋体" w:hAnsi="宋体"/>
          <w:color w:val="000000"/>
          <w:kern w:val="0"/>
          <w:sz w:val="24"/>
          <w:szCs w:val="32"/>
        </w:rPr>
        <w:t>1.1.1.10其他合同文件包括：</w:t>
      </w:r>
      <w:r>
        <w:rPr>
          <w:rFonts w:ascii="宋体" w:hAnsi="宋体"/>
          <w:color w:val="000000"/>
          <w:sz w:val="24"/>
          <w:szCs w:val="32"/>
        </w:rPr>
        <w:t>。</w:t>
      </w:r>
    </w:p>
    <w:p>
      <w:pPr>
        <w:snapToGrid w:val="0"/>
        <w:spacing w:line="460" w:lineRule="exact"/>
        <w:ind w:firstLine="480" w:firstLineChars="200"/>
        <w:rPr>
          <w:rFonts w:ascii="宋体" w:hAnsi="宋体"/>
          <w:color w:val="000000"/>
          <w:sz w:val="24"/>
          <w:szCs w:val="32"/>
        </w:rPr>
      </w:pPr>
      <w:r>
        <w:rPr>
          <w:rFonts w:ascii="宋体" w:hAnsi="宋体"/>
          <w:color w:val="000000"/>
          <w:sz w:val="24"/>
          <w:szCs w:val="32"/>
        </w:rPr>
        <w:t>1.1.2 合同当事人及其他相关方</w:t>
      </w:r>
    </w:p>
    <w:p>
      <w:pPr>
        <w:snapToGrid w:val="0"/>
        <w:spacing w:line="460" w:lineRule="exact"/>
        <w:ind w:firstLine="480" w:firstLineChars="200"/>
        <w:rPr>
          <w:rFonts w:ascii="宋体" w:hAnsi="宋体"/>
          <w:color w:val="000000"/>
          <w:sz w:val="24"/>
          <w:szCs w:val="32"/>
        </w:rPr>
      </w:pPr>
      <w:r>
        <w:rPr>
          <w:rFonts w:ascii="宋体" w:hAnsi="宋体"/>
          <w:color w:val="000000"/>
          <w:sz w:val="24"/>
          <w:szCs w:val="32"/>
        </w:rPr>
        <w:t>1.1.2.4监理人：</w:t>
      </w:r>
    </w:p>
    <w:p>
      <w:pPr>
        <w:snapToGrid w:val="0"/>
        <w:spacing w:line="460" w:lineRule="exact"/>
        <w:ind w:firstLine="480" w:firstLineChars="200"/>
        <w:rPr>
          <w:rFonts w:ascii="宋体" w:hAnsi="宋体"/>
          <w:color w:val="000000"/>
          <w:sz w:val="24"/>
          <w:szCs w:val="32"/>
        </w:rPr>
      </w:pPr>
      <w:r>
        <w:rPr>
          <w:rFonts w:ascii="宋体" w:hAnsi="宋体"/>
          <w:color w:val="000000"/>
          <w:sz w:val="24"/>
          <w:szCs w:val="32"/>
        </w:rPr>
        <w:t>名    称：；</w:t>
      </w:r>
    </w:p>
    <w:p>
      <w:pPr>
        <w:snapToGrid w:val="0"/>
        <w:spacing w:line="460" w:lineRule="exact"/>
        <w:ind w:firstLine="480" w:firstLineChars="200"/>
        <w:rPr>
          <w:rFonts w:ascii="宋体" w:hAnsi="宋体"/>
          <w:color w:val="000000"/>
          <w:sz w:val="24"/>
          <w:szCs w:val="32"/>
        </w:rPr>
      </w:pPr>
      <w:r>
        <w:rPr>
          <w:rFonts w:ascii="宋体" w:hAnsi="宋体"/>
          <w:color w:val="000000"/>
          <w:sz w:val="24"/>
          <w:szCs w:val="32"/>
        </w:rPr>
        <w:t>资质类别和等级：；</w:t>
      </w:r>
    </w:p>
    <w:p>
      <w:pPr>
        <w:snapToGrid w:val="0"/>
        <w:spacing w:line="460" w:lineRule="exact"/>
        <w:ind w:firstLine="480" w:firstLineChars="200"/>
        <w:rPr>
          <w:rFonts w:ascii="宋体" w:hAnsi="宋体"/>
          <w:color w:val="000000"/>
          <w:sz w:val="24"/>
          <w:szCs w:val="32"/>
        </w:rPr>
      </w:pPr>
      <w:r>
        <w:rPr>
          <w:rFonts w:ascii="宋体" w:hAnsi="宋体"/>
          <w:color w:val="000000"/>
          <w:sz w:val="24"/>
          <w:szCs w:val="32"/>
        </w:rPr>
        <w:t>联系电话：；</w:t>
      </w:r>
    </w:p>
    <w:p>
      <w:pPr>
        <w:snapToGrid w:val="0"/>
        <w:spacing w:line="460" w:lineRule="exact"/>
        <w:ind w:firstLine="480" w:firstLineChars="200"/>
        <w:rPr>
          <w:rFonts w:ascii="宋体" w:hAnsi="宋体"/>
          <w:color w:val="000000"/>
          <w:sz w:val="24"/>
          <w:szCs w:val="32"/>
        </w:rPr>
      </w:pPr>
      <w:r>
        <w:rPr>
          <w:rFonts w:ascii="宋体" w:hAnsi="宋体"/>
          <w:color w:val="000000"/>
          <w:sz w:val="24"/>
          <w:szCs w:val="32"/>
        </w:rPr>
        <w:t>电子信箱：；</w:t>
      </w:r>
    </w:p>
    <w:p>
      <w:pPr>
        <w:snapToGrid w:val="0"/>
        <w:spacing w:line="460" w:lineRule="exact"/>
        <w:ind w:firstLine="480" w:firstLineChars="200"/>
        <w:rPr>
          <w:rFonts w:ascii="宋体" w:hAnsi="宋体"/>
          <w:color w:val="000000"/>
          <w:sz w:val="24"/>
          <w:szCs w:val="32"/>
        </w:rPr>
      </w:pPr>
      <w:r>
        <w:rPr>
          <w:rFonts w:ascii="宋体" w:hAnsi="宋体"/>
          <w:color w:val="000000"/>
          <w:sz w:val="24"/>
          <w:szCs w:val="32"/>
        </w:rPr>
        <w:t>通信地址：。</w:t>
      </w:r>
    </w:p>
    <w:p>
      <w:pPr>
        <w:snapToGrid w:val="0"/>
        <w:spacing w:line="460" w:lineRule="exact"/>
        <w:ind w:firstLine="480" w:firstLineChars="200"/>
        <w:rPr>
          <w:rFonts w:ascii="宋体" w:hAnsi="宋体"/>
          <w:color w:val="000000"/>
          <w:sz w:val="24"/>
          <w:szCs w:val="32"/>
        </w:rPr>
      </w:pPr>
      <w:r>
        <w:rPr>
          <w:rFonts w:ascii="宋体" w:hAnsi="宋体"/>
          <w:color w:val="000000"/>
          <w:sz w:val="24"/>
          <w:szCs w:val="32"/>
        </w:rPr>
        <w:t>1.1.2.5 设计人：</w:t>
      </w:r>
    </w:p>
    <w:p>
      <w:pPr>
        <w:snapToGrid w:val="0"/>
        <w:spacing w:line="460" w:lineRule="exact"/>
        <w:ind w:firstLine="480" w:firstLineChars="200"/>
        <w:rPr>
          <w:rFonts w:ascii="宋体" w:hAnsi="宋体"/>
          <w:color w:val="000000"/>
          <w:sz w:val="24"/>
          <w:szCs w:val="32"/>
        </w:rPr>
      </w:pPr>
      <w:r>
        <w:rPr>
          <w:rFonts w:ascii="宋体" w:hAnsi="宋体"/>
          <w:color w:val="000000"/>
          <w:sz w:val="24"/>
          <w:szCs w:val="32"/>
        </w:rPr>
        <w:t>名    称：；</w:t>
      </w:r>
    </w:p>
    <w:p>
      <w:pPr>
        <w:snapToGrid w:val="0"/>
        <w:spacing w:line="460" w:lineRule="exact"/>
        <w:ind w:firstLine="480" w:firstLineChars="200"/>
        <w:rPr>
          <w:rFonts w:ascii="宋体" w:hAnsi="宋体"/>
          <w:color w:val="000000"/>
          <w:sz w:val="24"/>
          <w:szCs w:val="32"/>
        </w:rPr>
      </w:pPr>
      <w:r>
        <w:rPr>
          <w:rFonts w:ascii="宋体" w:hAnsi="宋体"/>
          <w:color w:val="000000"/>
          <w:sz w:val="24"/>
          <w:szCs w:val="32"/>
        </w:rPr>
        <w:t>资质类别和等级：；</w:t>
      </w:r>
    </w:p>
    <w:p>
      <w:pPr>
        <w:snapToGrid w:val="0"/>
        <w:spacing w:line="460" w:lineRule="exact"/>
        <w:ind w:firstLine="480" w:firstLineChars="200"/>
        <w:rPr>
          <w:rFonts w:ascii="宋体" w:hAnsi="宋体"/>
          <w:color w:val="000000"/>
          <w:sz w:val="24"/>
          <w:szCs w:val="32"/>
        </w:rPr>
      </w:pPr>
      <w:r>
        <w:rPr>
          <w:rFonts w:ascii="宋体" w:hAnsi="宋体"/>
          <w:color w:val="000000"/>
          <w:sz w:val="24"/>
          <w:szCs w:val="32"/>
        </w:rPr>
        <w:t>联系电话：；</w:t>
      </w:r>
    </w:p>
    <w:p>
      <w:pPr>
        <w:snapToGrid w:val="0"/>
        <w:spacing w:line="460" w:lineRule="exact"/>
        <w:ind w:firstLine="480" w:firstLineChars="200"/>
        <w:rPr>
          <w:rFonts w:ascii="宋体" w:hAnsi="宋体"/>
          <w:color w:val="000000"/>
          <w:sz w:val="24"/>
          <w:szCs w:val="32"/>
        </w:rPr>
      </w:pPr>
      <w:r>
        <w:rPr>
          <w:rFonts w:ascii="宋体" w:hAnsi="宋体"/>
          <w:color w:val="000000"/>
          <w:sz w:val="24"/>
          <w:szCs w:val="32"/>
        </w:rPr>
        <w:t>电子信箱：；</w:t>
      </w:r>
    </w:p>
    <w:p>
      <w:pPr>
        <w:snapToGrid w:val="0"/>
        <w:spacing w:line="460" w:lineRule="exact"/>
        <w:ind w:firstLine="480" w:firstLineChars="200"/>
        <w:rPr>
          <w:rFonts w:ascii="宋体" w:hAnsi="宋体"/>
          <w:color w:val="000000"/>
          <w:sz w:val="24"/>
          <w:szCs w:val="32"/>
        </w:rPr>
      </w:pPr>
      <w:r>
        <w:rPr>
          <w:rFonts w:ascii="宋体" w:hAnsi="宋体"/>
          <w:color w:val="000000"/>
          <w:sz w:val="24"/>
          <w:szCs w:val="32"/>
        </w:rPr>
        <w:t>通信地址：。</w:t>
      </w:r>
    </w:p>
    <w:p>
      <w:pPr>
        <w:snapToGrid w:val="0"/>
        <w:spacing w:line="460" w:lineRule="exact"/>
        <w:ind w:firstLine="480" w:firstLineChars="200"/>
        <w:rPr>
          <w:rFonts w:ascii="宋体" w:hAnsi="宋体"/>
          <w:color w:val="000000"/>
          <w:sz w:val="24"/>
          <w:szCs w:val="32"/>
        </w:rPr>
      </w:pPr>
      <w:r>
        <w:rPr>
          <w:rFonts w:ascii="宋体" w:hAnsi="宋体"/>
          <w:color w:val="000000"/>
          <w:sz w:val="24"/>
          <w:szCs w:val="32"/>
        </w:rPr>
        <w:t>1.1.3 工程和设备</w:t>
      </w:r>
    </w:p>
    <w:p>
      <w:pPr>
        <w:snapToGrid w:val="0"/>
        <w:spacing w:line="460" w:lineRule="exact"/>
        <w:ind w:firstLine="480" w:firstLineChars="200"/>
        <w:rPr>
          <w:rFonts w:ascii="宋体" w:hAnsi="宋体"/>
          <w:color w:val="000000"/>
          <w:sz w:val="24"/>
          <w:szCs w:val="32"/>
          <w:u w:val="single"/>
        </w:rPr>
      </w:pPr>
      <w:r>
        <w:rPr>
          <w:rFonts w:ascii="宋体" w:hAnsi="宋体"/>
          <w:color w:val="000000"/>
          <w:sz w:val="24"/>
          <w:szCs w:val="32"/>
        </w:rPr>
        <w:t>1.1.3.7 作为施工现场组成部分的其他场所包括：。</w:t>
      </w:r>
    </w:p>
    <w:p>
      <w:pPr>
        <w:snapToGrid w:val="0"/>
        <w:spacing w:line="460" w:lineRule="exact"/>
        <w:ind w:firstLine="480" w:firstLineChars="200"/>
        <w:jc w:val="left"/>
        <w:rPr>
          <w:rFonts w:ascii="宋体" w:hAnsi="宋体"/>
          <w:color w:val="000000"/>
          <w:kern w:val="0"/>
          <w:sz w:val="24"/>
          <w:szCs w:val="32"/>
        </w:rPr>
      </w:pPr>
      <w:r>
        <w:rPr>
          <w:rFonts w:ascii="宋体" w:hAnsi="宋体"/>
          <w:color w:val="000000"/>
          <w:kern w:val="0"/>
          <w:sz w:val="24"/>
          <w:szCs w:val="32"/>
        </w:rPr>
        <w:t>1.1.3.9 永久占地包括：。</w:t>
      </w:r>
    </w:p>
    <w:p>
      <w:pPr>
        <w:snapToGrid w:val="0"/>
        <w:spacing w:line="460" w:lineRule="exact"/>
        <w:ind w:firstLine="480" w:firstLineChars="200"/>
        <w:jc w:val="left"/>
        <w:rPr>
          <w:rFonts w:ascii="宋体" w:hAnsi="宋体"/>
          <w:color w:val="000000"/>
          <w:sz w:val="24"/>
          <w:szCs w:val="32"/>
        </w:rPr>
      </w:pPr>
      <w:r>
        <w:rPr>
          <w:rFonts w:ascii="宋体" w:hAnsi="宋体"/>
          <w:color w:val="000000"/>
          <w:kern w:val="0"/>
          <w:sz w:val="24"/>
          <w:szCs w:val="32"/>
        </w:rPr>
        <w:t>1.1.3.10 临时占地包括：。</w:t>
      </w:r>
    </w:p>
    <w:p>
      <w:pPr>
        <w:snapToGrid w:val="0"/>
        <w:spacing w:line="460" w:lineRule="exact"/>
        <w:ind w:firstLine="480" w:firstLineChars="200"/>
        <w:rPr>
          <w:rFonts w:ascii="宋体" w:hAnsi="宋体"/>
          <w:color w:val="000000"/>
          <w:sz w:val="24"/>
          <w:szCs w:val="32"/>
        </w:rPr>
      </w:pPr>
      <w:r>
        <w:rPr>
          <w:rFonts w:ascii="宋体" w:hAnsi="宋体"/>
          <w:color w:val="000000"/>
          <w:sz w:val="24"/>
          <w:szCs w:val="32"/>
        </w:rPr>
        <w:t>1.3法律 适用于合同的其他规范性文件：。</w:t>
      </w:r>
    </w:p>
    <w:p>
      <w:pPr>
        <w:snapToGrid w:val="0"/>
        <w:spacing w:line="460" w:lineRule="exact"/>
        <w:ind w:firstLine="480" w:firstLineChars="200"/>
        <w:rPr>
          <w:rFonts w:ascii="宋体" w:hAnsi="宋体"/>
          <w:color w:val="000000"/>
          <w:sz w:val="24"/>
          <w:szCs w:val="32"/>
        </w:rPr>
      </w:pPr>
      <w:r>
        <w:rPr>
          <w:rFonts w:ascii="宋体" w:hAnsi="宋体"/>
          <w:color w:val="000000"/>
          <w:sz w:val="24"/>
          <w:szCs w:val="32"/>
        </w:rPr>
        <w:t>1.4 标准和规范</w:t>
      </w:r>
    </w:p>
    <w:p>
      <w:pPr>
        <w:snapToGrid w:val="0"/>
        <w:spacing w:line="460" w:lineRule="exact"/>
        <w:ind w:firstLine="480" w:firstLineChars="200"/>
        <w:rPr>
          <w:rFonts w:ascii="宋体" w:hAnsi="宋体"/>
          <w:color w:val="000000"/>
          <w:sz w:val="24"/>
          <w:szCs w:val="32"/>
        </w:rPr>
      </w:pPr>
      <w:r>
        <w:rPr>
          <w:rFonts w:ascii="宋体" w:hAnsi="宋体"/>
          <w:color w:val="000000"/>
          <w:sz w:val="24"/>
          <w:szCs w:val="32"/>
        </w:rPr>
        <w:t>1.4.1适用于工程的标准规范包括：</w:t>
      </w:r>
      <w:r>
        <w:rPr>
          <w:rFonts w:hint="eastAsia" w:ascii="宋体" w:hAnsi="宋体"/>
          <w:color w:val="000000"/>
          <w:sz w:val="24"/>
          <w:szCs w:val="32"/>
          <w:u w:val="single"/>
        </w:rPr>
        <w:t>国家标准、行业标准、地方标准，以及相应的规范、规程</w:t>
      </w:r>
      <w:r>
        <w:rPr>
          <w:rFonts w:hint="eastAsia" w:ascii="宋体" w:hAnsi="宋体"/>
          <w:color w:val="000000"/>
          <w:sz w:val="24"/>
          <w:szCs w:val="32"/>
        </w:rPr>
        <w:t>。</w:t>
      </w:r>
    </w:p>
    <w:p>
      <w:pPr>
        <w:snapToGrid w:val="0"/>
        <w:spacing w:line="460" w:lineRule="exact"/>
        <w:ind w:firstLine="480" w:firstLineChars="200"/>
        <w:rPr>
          <w:rFonts w:ascii="宋体" w:hAnsi="宋体"/>
          <w:color w:val="000000"/>
          <w:kern w:val="0"/>
          <w:sz w:val="24"/>
          <w:szCs w:val="32"/>
          <w:u w:val="single"/>
        </w:rPr>
      </w:pPr>
      <w:r>
        <w:rPr>
          <w:rFonts w:ascii="宋体" w:hAnsi="宋体"/>
          <w:color w:val="000000"/>
          <w:kern w:val="0"/>
          <w:sz w:val="24"/>
          <w:szCs w:val="32"/>
        </w:rPr>
        <w:t>1.4.2 发包人提供国外标准、规范的名称：；</w:t>
      </w:r>
    </w:p>
    <w:p>
      <w:pPr>
        <w:snapToGrid w:val="0"/>
        <w:spacing w:line="460" w:lineRule="exact"/>
        <w:ind w:firstLine="480" w:firstLineChars="200"/>
        <w:rPr>
          <w:rFonts w:ascii="宋体" w:hAnsi="宋体"/>
          <w:color w:val="000000"/>
          <w:kern w:val="0"/>
          <w:sz w:val="24"/>
          <w:szCs w:val="32"/>
        </w:rPr>
      </w:pPr>
      <w:r>
        <w:rPr>
          <w:rFonts w:ascii="宋体" w:hAnsi="宋体"/>
          <w:color w:val="000000"/>
          <w:kern w:val="0"/>
          <w:sz w:val="24"/>
          <w:szCs w:val="32"/>
        </w:rPr>
        <w:t>发包人提供国外标准、规范的份数：；</w:t>
      </w:r>
    </w:p>
    <w:p>
      <w:pPr>
        <w:snapToGrid w:val="0"/>
        <w:spacing w:line="460" w:lineRule="exact"/>
        <w:ind w:firstLine="480" w:firstLineChars="200"/>
        <w:rPr>
          <w:rFonts w:ascii="宋体" w:hAnsi="宋体"/>
          <w:color w:val="000000"/>
          <w:sz w:val="24"/>
          <w:szCs w:val="32"/>
        </w:rPr>
      </w:pPr>
      <w:r>
        <w:rPr>
          <w:rFonts w:ascii="宋体" w:hAnsi="宋体"/>
          <w:color w:val="000000"/>
          <w:kern w:val="0"/>
          <w:sz w:val="24"/>
          <w:szCs w:val="32"/>
        </w:rPr>
        <w:t>发包人提供国外标准、规范的名称：。</w:t>
      </w:r>
    </w:p>
    <w:p>
      <w:pPr>
        <w:snapToGrid w:val="0"/>
        <w:spacing w:line="460" w:lineRule="exact"/>
        <w:ind w:firstLine="480" w:firstLineChars="200"/>
        <w:rPr>
          <w:rFonts w:ascii="宋体" w:hAnsi="宋体"/>
          <w:color w:val="000000"/>
          <w:sz w:val="24"/>
          <w:szCs w:val="32"/>
        </w:rPr>
      </w:pPr>
      <w:r>
        <w:rPr>
          <w:rFonts w:ascii="宋体" w:hAnsi="宋体"/>
          <w:color w:val="000000"/>
          <w:sz w:val="24"/>
          <w:szCs w:val="32"/>
        </w:rPr>
        <w:t>1.4.3发包人对工程的技术标准和功能要求的特殊要求：</w:t>
      </w:r>
    </w:p>
    <w:p>
      <w:pPr>
        <w:snapToGrid w:val="0"/>
        <w:spacing w:line="460" w:lineRule="exact"/>
        <w:ind w:firstLine="480" w:firstLineChars="200"/>
        <w:rPr>
          <w:rFonts w:ascii="宋体" w:hAnsi="宋体"/>
          <w:color w:val="000000"/>
          <w:sz w:val="24"/>
          <w:szCs w:val="32"/>
        </w:rPr>
      </w:pPr>
      <w:r>
        <w:rPr>
          <w:rFonts w:ascii="宋体" w:hAnsi="宋体"/>
          <w:color w:val="000000"/>
          <w:sz w:val="24"/>
          <w:szCs w:val="32"/>
        </w:rPr>
        <w:t>1.5 合同文件的优先顺序</w:t>
      </w:r>
    </w:p>
    <w:p>
      <w:pPr>
        <w:autoSpaceDE w:val="0"/>
        <w:autoSpaceDN w:val="0"/>
        <w:adjustRightInd w:val="0"/>
        <w:snapToGrid w:val="0"/>
        <w:spacing w:line="460" w:lineRule="exact"/>
        <w:ind w:firstLine="480" w:firstLineChars="200"/>
        <w:jc w:val="left"/>
        <w:rPr>
          <w:rFonts w:ascii="宋体" w:hAnsi="宋体"/>
          <w:color w:val="auto"/>
          <w:sz w:val="24"/>
          <w:szCs w:val="32"/>
          <w:u w:val="single"/>
        </w:rPr>
      </w:pPr>
      <w:r>
        <w:rPr>
          <w:rFonts w:ascii="宋体" w:hAnsi="宋体"/>
          <w:color w:val="auto"/>
          <w:sz w:val="24"/>
          <w:szCs w:val="32"/>
        </w:rPr>
        <w:t>合同文件组成及优先顺序为：</w:t>
      </w:r>
      <w:r>
        <w:rPr>
          <w:rFonts w:hint="eastAsia" w:ascii="宋体" w:hAnsi="宋体"/>
          <w:color w:val="auto"/>
          <w:sz w:val="24"/>
          <w:szCs w:val="32"/>
          <w:u w:val="single"/>
        </w:rPr>
        <w:t>（1）</w:t>
      </w:r>
      <w:r>
        <w:rPr>
          <w:rFonts w:ascii="宋体" w:hAnsi="宋体"/>
          <w:color w:val="auto"/>
          <w:sz w:val="24"/>
          <w:szCs w:val="32"/>
          <w:u w:val="single"/>
        </w:rPr>
        <w:t>中标通知书；（</w:t>
      </w:r>
      <w:r>
        <w:rPr>
          <w:rFonts w:hint="eastAsia" w:ascii="宋体" w:hAnsi="宋体"/>
          <w:color w:val="auto"/>
          <w:sz w:val="24"/>
          <w:szCs w:val="32"/>
          <w:u w:val="single"/>
        </w:rPr>
        <w:t>2</w:t>
      </w:r>
      <w:r>
        <w:rPr>
          <w:rFonts w:ascii="宋体" w:hAnsi="宋体"/>
          <w:color w:val="auto"/>
          <w:sz w:val="24"/>
          <w:szCs w:val="32"/>
          <w:u w:val="single"/>
        </w:rPr>
        <w:t>）</w:t>
      </w:r>
      <w:r>
        <w:rPr>
          <w:rFonts w:hint="eastAsia" w:ascii="宋体" w:hAnsi="宋体"/>
          <w:color w:val="auto"/>
          <w:sz w:val="24"/>
          <w:szCs w:val="32"/>
          <w:u w:val="single"/>
        </w:rPr>
        <w:t>本合同协议书</w:t>
      </w:r>
      <w:r>
        <w:rPr>
          <w:rFonts w:ascii="宋体" w:hAnsi="宋体"/>
          <w:color w:val="auto"/>
          <w:sz w:val="24"/>
          <w:szCs w:val="32"/>
          <w:u w:val="single"/>
        </w:rPr>
        <w:t>（</w:t>
      </w:r>
      <w:r>
        <w:rPr>
          <w:rFonts w:hint="eastAsia" w:ascii="宋体" w:hAnsi="宋体"/>
          <w:color w:val="auto"/>
          <w:sz w:val="24"/>
          <w:szCs w:val="32"/>
          <w:u w:val="single"/>
        </w:rPr>
        <w:t>3</w:t>
      </w:r>
      <w:r>
        <w:rPr>
          <w:rFonts w:ascii="宋体" w:hAnsi="宋体"/>
          <w:color w:val="auto"/>
          <w:sz w:val="24"/>
          <w:szCs w:val="32"/>
          <w:u w:val="single"/>
        </w:rPr>
        <w:t>）</w:t>
      </w:r>
      <w:r>
        <w:rPr>
          <w:rFonts w:hint="eastAsia" w:ascii="宋体" w:hAnsi="宋体"/>
          <w:color w:val="auto"/>
          <w:sz w:val="24"/>
          <w:szCs w:val="32"/>
          <w:u w:val="single"/>
        </w:rPr>
        <w:t>本工程招标文件</w:t>
      </w:r>
      <w:r>
        <w:rPr>
          <w:rFonts w:ascii="宋体" w:hAnsi="宋体"/>
          <w:color w:val="auto"/>
          <w:sz w:val="24"/>
          <w:szCs w:val="32"/>
          <w:u w:val="single"/>
        </w:rPr>
        <w:t>；（</w:t>
      </w:r>
      <w:r>
        <w:rPr>
          <w:rFonts w:hint="eastAsia" w:ascii="宋体" w:hAnsi="宋体"/>
          <w:color w:val="auto"/>
          <w:sz w:val="24"/>
          <w:szCs w:val="32"/>
          <w:u w:val="single"/>
        </w:rPr>
        <w:t>4</w:t>
      </w:r>
      <w:r>
        <w:rPr>
          <w:rFonts w:ascii="宋体" w:hAnsi="宋体"/>
          <w:color w:val="auto"/>
          <w:sz w:val="24"/>
          <w:szCs w:val="32"/>
          <w:u w:val="single"/>
        </w:rPr>
        <w:t>）专用合同条款及其附件；（</w:t>
      </w:r>
      <w:r>
        <w:rPr>
          <w:rFonts w:hint="eastAsia" w:ascii="宋体" w:hAnsi="宋体"/>
          <w:color w:val="auto"/>
          <w:sz w:val="24"/>
          <w:szCs w:val="32"/>
          <w:u w:val="single"/>
        </w:rPr>
        <w:t>5</w:t>
      </w:r>
      <w:r>
        <w:rPr>
          <w:rFonts w:ascii="宋体" w:hAnsi="宋体"/>
          <w:color w:val="auto"/>
          <w:sz w:val="24"/>
          <w:szCs w:val="32"/>
          <w:u w:val="single"/>
        </w:rPr>
        <w:t>）通用合同条款；（</w:t>
      </w:r>
      <w:r>
        <w:rPr>
          <w:rFonts w:hint="eastAsia" w:ascii="宋体" w:hAnsi="宋体"/>
          <w:color w:val="auto"/>
          <w:sz w:val="24"/>
          <w:szCs w:val="32"/>
          <w:u w:val="single"/>
        </w:rPr>
        <w:t>6</w:t>
      </w:r>
      <w:r>
        <w:rPr>
          <w:rFonts w:ascii="宋体" w:hAnsi="宋体"/>
          <w:color w:val="auto"/>
          <w:sz w:val="24"/>
          <w:szCs w:val="32"/>
          <w:u w:val="single"/>
        </w:rPr>
        <w:t>）技术标准和要求；（</w:t>
      </w:r>
      <w:r>
        <w:rPr>
          <w:rFonts w:hint="eastAsia" w:ascii="宋体" w:hAnsi="宋体"/>
          <w:color w:val="auto"/>
          <w:sz w:val="24"/>
          <w:szCs w:val="32"/>
          <w:u w:val="single"/>
        </w:rPr>
        <w:t>7</w:t>
      </w:r>
      <w:r>
        <w:rPr>
          <w:rFonts w:ascii="宋体" w:hAnsi="宋体"/>
          <w:color w:val="auto"/>
          <w:sz w:val="24"/>
          <w:szCs w:val="32"/>
          <w:u w:val="single"/>
        </w:rPr>
        <w:t>）图纸；（</w:t>
      </w:r>
      <w:r>
        <w:rPr>
          <w:rFonts w:hint="eastAsia" w:ascii="宋体" w:hAnsi="宋体"/>
          <w:color w:val="auto"/>
          <w:sz w:val="24"/>
          <w:szCs w:val="32"/>
          <w:u w:val="single"/>
        </w:rPr>
        <w:t>8</w:t>
      </w:r>
      <w:r>
        <w:rPr>
          <w:rFonts w:ascii="宋体" w:hAnsi="宋体"/>
          <w:color w:val="auto"/>
          <w:sz w:val="24"/>
          <w:szCs w:val="32"/>
          <w:u w:val="single"/>
        </w:rPr>
        <w:t>）投标函及其附录</w:t>
      </w:r>
      <w:r>
        <w:rPr>
          <w:rFonts w:hint="eastAsia" w:ascii="宋体" w:hAnsi="宋体"/>
          <w:color w:val="auto"/>
          <w:sz w:val="24"/>
          <w:szCs w:val="32"/>
          <w:u w:val="single"/>
        </w:rPr>
        <w:t>。</w:t>
      </w:r>
    </w:p>
    <w:p>
      <w:pPr>
        <w:snapToGrid w:val="0"/>
        <w:spacing w:line="460" w:lineRule="exact"/>
        <w:ind w:firstLine="480" w:firstLineChars="200"/>
        <w:rPr>
          <w:rFonts w:ascii="宋体" w:hAnsi="宋体"/>
          <w:color w:val="000000"/>
          <w:sz w:val="24"/>
          <w:szCs w:val="32"/>
        </w:rPr>
      </w:pPr>
      <w:r>
        <w:rPr>
          <w:rFonts w:ascii="宋体" w:hAnsi="宋体"/>
          <w:color w:val="000000"/>
          <w:sz w:val="24"/>
          <w:szCs w:val="32"/>
        </w:rPr>
        <w:t>1.6 图纸和承包人文件</w:t>
      </w:r>
      <w:r>
        <w:rPr>
          <w:rFonts w:ascii="宋体" w:hAnsi="宋体"/>
          <w:color w:val="000000"/>
          <w:sz w:val="24"/>
          <w:szCs w:val="32"/>
        </w:rPr>
        <w:tab/>
      </w:r>
    </w:p>
    <w:p>
      <w:pPr>
        <w:snapToGrid w:val="0"/>
        <w:spacing w:line="460" w:lineRule="exact"/>
        <w:ind w:firstLine="480" w:firstLineChars="200"/>
        <w:rPr>
          <w:rFonts w:ascii="宋体" w:hAnsi="宋体"/>
          <w:color w:val="000000"/>
          <w:sz w:val="24"/>
          <w:szCs w:val="32"/>
        </w:rPr>
      </w:pPr>
      <w:r>
        <w:rPr>
          <w:rFonts w:ascii="宋体" w:hAnsi="宋体"/>
          <w:color w:val="000000"/>
          <w:sz w:val="24"/>
          <w:szCs w:val="32"/>
        </w:rPr>
        <w:t>1.6.1 图纸的提供</w:t>
      </w:r>
    </w:p>
    <w:p>
      <w:pPr>
        <w:snapToGrid w:val="0"/>
        <w:spacing w:line="460" w:lineRule="exact"/>
        <w:ind w:firstLine="480" w:firstLineChars="200"/>
        <w:rPr>
          <w:rFonts w:ascii="宋体" w:hAnsi="宋体"/>
          <w:color w:val="000000"/>
          <w:sz w:val="24"/>
          <w:szCs w:val="32"/>
        </w:rPr>
      </w:pPr>
      <w:r>
        <w:rPr>
          <w:rFonts w:ascii="宋体" w:hAnsi="宋体"/>
          <w:color w:val="000000"/>
          <w:sz w:val="24"/>
          <w:szCs w:val="32"/>
        </w:rPr>
        <w:t>发包人向承包人提供图纸的期限：</w:t>
      </w:r>
      <w:r>
        <w:rPr>
          <w:rFonts w:hint="eastAsia" w:ascii="宋体" w:hAnsi="宋体"/>
          <w:color w:val="000000"/>
          <w:sz w:val="24"/>
          <w:szCs w:val="32"/>
          <w:u w:val="single"/>
        </w:rPr>
        <w:t xml:space="preserve">开工日期前7天  </w:t>
      </w:r>
      <w:r>
        <w:rPr>
          <w:rFonts w:ascii="宋体" w:hAnsi="宋体"/>
          <w:color w:val="000000"/>
          <w:sz w:val="24"/>
          <w:szCs w:val="32"/>
        </w:rPr>
        <w:t>；</w:t>
      </w:r>
    </w:p>
    <w:p>
      <w:pPr>
        <w:snapToGrid w:val="0"/>
        <w:spacing w:line="460" w:lineRule="exact"/>
        <w:ind w:firstLine="480" w:firstLineChars="200"/>
        <w:rPr>
          <w:rFonts w:ascii="宋体" w:hAnsi="宋体"/>
          <w:color w:val="000000"/>
          <w:sz w:val="24"/>
          <w:szCs w:val="32"/>
        </w:rPr>
      </w:pPr>
      <w:r>
        <w:rPr>
          <w:rFonts w:ascii="宋体" w:hAnsi="宋体"/>
          <w:color w:val="000000"/>
          <w:sz w:val="24"/>
          <w:szCs w:val="32"/>
        </w:rPr>
        <w:t>发包人向承包人提供图纸的数量：</w:t>
      </w:r>
      <w:r>
        <w:rPr>
          <w:rFonts w:hint="eastAsia" w:ascii="宋体" w:hAnsi="宋体"/>
          <w:color w:val="000000"/>
          <w:sz w:val="24"/>
          <w:szCs w:val="32"/>
          <w:u w:val="single"/>
        </w:rPr>
        <w:t>2套 ；</w:t>
      </w:r>
    </w:p>
    <w:p>
      <w:pPr>
        <w:snapToGrid w:val="0"/>
        <w:spacing w:line="460" w:lineRule="exact"/>
        <w:ind w:firstLine="480" w:firstLineChars="200"/>
        <w:rPr>
          <w:rFonts w:ascii="宋体" w:hAnsi="宋体"/>
          <w:color w:val="000000"/>
          <w:sz w:val="24"/>
          <w:szCs w:val="32"/>
        </w:rPr>
      </w:pPr>
      <w:r>
        <w:rPr>
          <w:rFonts w:ascii="宋体" w:hAnsi="宋体"/>
          <w:color w:val="000000"/>
          <w:sz w:val="24"/>
          <w:szCs w:val="32"/>
        </w:rPr>
        <w:t>发包人向承包人提供图纸的内容：</w:t>
      </w:r>
      <w:r>
        <w:rPr>
          <w:rFonts w:hint="eastAsia" w:ascii="宋体" w:hAnsi="宋体"/>
          <w:color w:val="000000"/>
          <w:sz w:val="24"/>
          <w:szCs w:val="32"/>
          <w:u w:val="single"/>
        </w:rPr>
        <w:t xml:space="preserve">  施工图  </w:t>
      </w:r>
      <w:r>
        <w:rPr>
          <w:rFonts w:ascii="宋体" w:hAnsi="宋体"/>
          <w:color w:val="000000"/>
          <w:sz w:val="24"/>
          <w:szCs w:val="32"/>
        </w:rPr>
        <w:t>。</w:t>
      </w:r>
    </w:p>
    <w:p>
      <w:pPr>
        <w:snapToGrid w:val="0"/>
        <w:spacing w:line="460" w:lineRule="exact"/>
        <w:ind w:firstLine="480" w:firstLineChars="200"/>
        <w:rPr>
          <w:rFonts w:ascii="宋体" w:hAnsi="宋体"/>
          <w:color w:val="000000"/>
          <w:sz w:val="24"/>
          <w:szCs w:val="32"/>
        </w:rPr>
      </w:pPr>
      <w:r>
        <w:rPr>
          <w:rFonts w:ascii="宋体" w:hAnsi="宋体"/>
          <w:color w:val="000000"/>
          <w:sz w:val="24"/>
          <w:szCs w:val="32"/>
        </w:rPr>
        <w:t>1.6.4 承包人文件</w:t>
      </w:r>
    </w:p>
    <w:p>
      <w:pPr>
        <w:snapToGrid w:val="0"/>
        <w:spacing w:line="460" w:lineRule="exact"/>
        <w:ind w:firstLine="480" w:firstLineChars="200"/>
        <w:jc w:val="left"/>
        <w:rPr>
          <w:rFonts w:ascii="宋体" w:hAnsi="宋体"/>
          <w:color w:val="000000"/>
          <w:sz w:val="24"/>
          <w:szCs w:val="32"/>
        </w:rPr>
      </w:pPr>
      <w:r>
        <w:rPr>
          <w:rFonts w:ascii="宋体" w:hAnsi="宋体"/>
          <w:color w:val="000000"/>
          <w:sz w:val="24"/>
          <w:szCs w:val="32"/>
        </w:rPr>
        <w:t>需要由承包人提供的文件，包括：</w:t>
      </w:r>
      <w:r>
        <w:rPr>
          <w:rFonts w:hint="eastAsia" w:ascii="宋体" w:hAnsi="宋体"/>
          <w:color w:val="000000"/>
          <w:sz w:val="24"/>
          <w:szCs w:val="32"/>
          <w:u w:val="single"/>
        </w:rPr>
        <w:t>施工组织设计、工程进度计划、专项施工方案等与工程施工有关的文件</w:t>
      </w:r>
      <w:r>
        <w:rPr>
          <w:rFonts w:ascii="宋体" w:hAnsi="宋体"/>
          <w:color w:val="000000"/>
          <w:sz w:val="24"/>
          <w:szCs w:val="32"/>
        </w:rPr>
        <w:t>；</w:t>
      </w:r>
    </w:p>
    <w:p>
      <w:pPr>
        <w:snapToGrid w:val="0"/>
        <w:spacing w:line="460" w:lineRule="exact"/>
        <w:ind w:firstLine="480" w:firstLineChars="200"/>
        <w:rPr>
          <w:rFonts w:ascii="宋体" w:hAnsi="宋体"/>
          <w:color w:val="000000"/>
          <w:sz w:val="24"/>
          <w:szCs w:val="32"/>
        </w:rPr>
      </w:pPr>
      <w:r>
        <w:rPr>
          <w:rFonts w:ascii="宋体" w:hAnsi="宋体"/>
          <w:color w:val="000000"/>
          <w:sz w:val="24"/>
          <w:szCs w:val="32"/>
        </w:rPr>
        <w:t>承包人提供的文件的期限为：</w:t>
      </w:r>
      <w:r>
        <w:rPr>
          <w:rFonts w:hint="eastAsia" w:ascii="宋体" w:hAnsi="宋体"/>
          <w:color w:val="000000"/>
          <w:kern w:val="0"/>
          <w:sz w:val="24"/>
          <w:szCs w:val="32"/>
          <w:u w:val="single"/>
        </w:rPr>
        <w:t>双方约定，但最迟应在工程或相应工程部位施工前向发包人和监理人报送</w:t>
      </w:r>
      <w:r>
        <w:rPr>
          <w:rFonts w:ascii="宋体" w:hAnsi="宋体"/>
          <w:color w:val="000000"/>
          <w:sz w:val="24"/>
          <w:szCs w:val="32"/>
        </w:rPr>
        <w:t>；</w:t>
      </w:r>
    </w:p>
    <w:p>
      <w:pPr>
        <w:snapToGrid w:val="0"/>
        <w:spacing w:line="460" w:lineRule="exact"/>
        <w:ind w:firstLine="480" w:firstLineChars="200"/>
        <w:rPr>
          <w:rFonts w:ascii="宋体" w:hAnsi="宋体"/>
          <w:color w:val="000000"/>
          <w:sz w:val="24"/>
          <w:szCs w:val="32"/>
        </w:rPr>
      </w:pPr>
      <w:r>
        <w:rPr>
          <w:rFonts w:ascii="宋体" w:hAnsi="宋体"/>
          <w:color w:val="000000"/>
          <w:sz w:val="24"/>
          <w:szCs w:val="32"/>
        </w:rPr>
        <w:t>承包人提供的文件的数量为：</w:t>
      </w:r>
      <w:r>
        <w:rPr>
          <w:rFonts w:hint="eastAsia" w:ascii="宋体" w:hAnsi="宋体"/>
          <w:color w:val="000000"/>
          <w:sz w:val="24"/>
          <w:szCs w:val="32"/>
          <w:u w:val="single"/>
        </w:rPr>
        <w:t xml:space="preserve">叁份   </w:t>
      </w:r>
      <w:r>
        <w:rPr>
          <w:rFonts w:ascii="宋体" w:hAnsi="宋体"/>
          <w:color w:val="000000"/>
          <w:sz w:val="24"/>
          <w:szCs w:val="32"/>
        </w:rPr>
        <w:t>；</w:t>
      </w:r>
    </w:p>
    <w:p>
      <w:pPr>
        <w:snapToGrid w:val="0"/>
        <w:spacing w:line="460" w:lineRule="exact"/>
        <w:ind w:firstLine="480" w:firstLineChars="200"/>
        <w:rPr>
          <w:rFonts w:ascii="宋体" w:hAnsi="宋体"/>
          <w:color w:val="000000"/>
          <w:sz w:val="24"/>
          <w:szCs w:val="32"/>
        </w:rPr>
      </w:pPr>
      <w:r>
        <w:rPr>
          <w:rFonts w:ascii="宋体" w:hAnsi="宋体"/>
          <w:color w:val="000000"/>
          <w:sz w:val="24"/>
          <w:szCs w:val="32"/>
        </w:rPr>
        <w:t>承包人提供的文件的形式为：</w:t>
      </w:r>
      <w:r>
        <w:rPr>
          <w:rFonts w:hint="eastAsia" w:ascii="宋体" w:hAnsi="宋体"/>
          <w:color w:val="000000"/>
          <w:sz w:val="24"/>
          <w:szCs w:val="32"/>
          <w:u w:val="single"/>
        </w:rPr>
        <w:t>书面形式</w:t>
      </w:r>
      <w:r>
        <w:rPr>
          <w:rFonts w:ascii="宋体" w:hAnsi="宋体"/>
          <w:color w:val="000000"/>
          <w:sz w:val="24"/>
          <w:szCs w:val="32"/>
        </w:rPr>
        <w:t>；</w:t>
      </w:r>
    </w:p>
    <w:p>
      <w:pPr>
        <w:snapToGrid w:val="0"/>
        <w:spacing w:line="460" w:lineRule="exact"/>
        <w:ind w:firstLine="480" w:firstLineChars="200"/>
        <w:rPr>
          <w:rFonts w:ascii="宋体" w:hAnsi="宋体"/>
          <w:color w:val="000000"/>
          <w:sz w:val="24"/>
          <w:szCs w:val="32"/>
        </w:rPr>
      </w:pPr>
      <w:r>
        <w:rPr>
          <w:rFonts w:ascii="宋体" w:hAnsi="宋体"/>
          <w:color w:val="000000"/>
          <w:sz w:val="24"/>
          <w:szCs w:val="32"/>
        </w:rPr>
        <w:t>发包人</w:t>
      </w:r>
      <w:r>
        <w:rPr>
          <w:rFonts w:hint="eastAsia" w:ascii="宋体" w:hAnsi="宋体"/>
          <w:color w:val="000000"/>
          <w:sz w:val="24"/>
          <w:szCs w:val="32"/>
        </w:rPr>
        <w:t>审批</w:t>
      </w:r>
      <w:r>
        <w:rPr>
          <w:rFonts w:ascii="宋体" w:hAnsi="宋体"/>
          <w:color w:val="000000"/>
          <w:sz w:val="24"/>
          <w:szCs w:val="32"/>
        </w:rPr>
        <w:t>承包人文件的期限：</w:t>
      </w:r>
      <w:r>
        <w:rPr>
          <w:rFonts w:hint="eastAsia" w:ascii="宋体" w:hAnsi="宋体"/>
          <w:color w:val="000000"/>
          <w:sz w:val="24"/>
          <w:szCs w:val="32"/>
          <w:u w:val="single"/>
        </w:rPr>
        <w:t>收到文件后7天内</w:t>
      </w:r>
      <w:r>
        <w:rPr>
          <w:rFonts w:ascii="宋体" w:hAnsi="宋体"/>
          <w:color w:val="000000"/>
          <w:sz w:val="24"/>
          <w:szCs w:val="32"/>
        </w:rPr>
        <w:t>。</w:t>
      </w:r>
    </w:p>
    <w:p>
      <w:pPr>
        <w:snapToGrid w:val="0"/>
        <w:spacing w:line="460" w:lineRule="exact"/>
        <w:ind w:firstLine="480" w:firstLineChars="200"/>
        <w:rPr>
          <w:rFonts w:ascii="宋体" w:hAnsi="宋体"/>
          <w:color w:val="000000"/>
          <w:sz w:val="24"/>
          <w:szCs w:val="32"/>
        </w:rPr>
      </w:pPr>
      <w:r>
        <w:rPr>
          <w:rFonts w:ascii="宋体" w:hAnsi="宋体"/>
          <w:color w:val="000000"/>
          <w:sz w:val="24"/>
          <w:szCs w:val="32"/>
        </w:rPr>
        <w:t>1.6.5 现场图纸准备</w:t>
      </w:r>
    </w:p>
    <w:p>
      <w:pPr>
        <w:snapToGrid w:val="0"/>
        <w:spacing w:line="460" w:lineRule="exact"/>
        <w:ind w:firstLine="480" w:firstLineChars="200"/>
        <w:rPr>
          <w:rFonts w:ascii="宋体" w:hAnsi="宋体"/>
          <w:color w:val="000000"/>
          <w:sz w:val="24"/>
          <w:szCs w:val="32"/>
          <w:u w:val="single"/>
        </w:rPr>
      </w:pPr>
      <w:r>
        <w:rPr>
          <w:rFonts w:ascii="宋体" w:hAnsi="宋体"/>
          <w:color w:val="000000"/>
          <w:sz w:val="24"/>
          <w:szCs w:val="32"/>
        </w:rPr>
        <w:t>关于现场图纸准备的约定：</w:t>
      </w:r>
      <w:r>
        <w:rPr>
          <w:rFonts w:hint="eastAsia" w:ascii="宋体" w:hAnsi="宋体"/>
          <w:color w:val="000000"/>
          <w:sz w:val="24"/>
          <w:szCs w:val="32"/>
          <w:u w:val="single"/>
        </w:rPr>
        <w:t>由承包人在现场保存一套完整的图纸和承包人文件</w:t>
      </w:r>
      <w:r>
        <w:rPr>
          <w:rFonts w:ascii="宋体" w:hAnsi="宋体"/>
          <w:color w:val="000000"/>
          <w:sz w:val="24"/>
          <w:szCs w:val="32"/>
        </w:rPr>
        <w:t>。</w:t>
      </w:r>
    </w:p>
    <w:p>
      <w:pPr>
        <w:snapToGrid w:val="0"/>
        <w:spacing w:line="460" w:lineRule="exact"/>
        <w:ind w:firstLine="480" w:firstLineChars="200"/>
        <w:rPr>
          <w:rFonts w:ascii="宋体" w:hAnsi="宋体"/>
          <w:color w:val="000000"/>
          <w:sz w:val="24"/>
          <w:szCs w:val="32"/>
        </w:rPr>
      </w:pPr>
      <w:r>
        <w:rPr>
          <w:rFonts w:ascii="宋体" w:hAnsi="宋体"/>
          <w:color w:val="000000"/>
          <w:sz w:val="24"/>
          <w:szCs w:val="32"/>
        </w:rPr>
        <w:t>1.7 联络</w:t>
      </w:r>
    </w:p>
    <w:p>
      <w:pPr>
        <w:snapToGrid w:val="0"/>
        <w:spacing w:line="460" w:lineRule="exact"/>
        <w:ind w:firstLine="480" w:firstLineChars="200"/>
        <w:rPr>
          <w:rFonts w:ascii="宋体" w:hAnsi="宋体"/>
          <w:color w:val="000000"/>
          <w:kern w:val="0"/>
          <w:sz w:val="24"/>
          <w:szCs w:val="32"/>
        </w:rPr>
      </w:pPr>
      <w:r>
        <w:rPr>
          <w:rFonts w:ascii="宋体" w:hAnsi="宋体"/>
          <w:color w:val="000000"/>
          <w:kern w:val="0"/>
          <w:sz w:val="24"/>
          <w:szCs w:val="32"/>
        </w:rPr>
        <w:t>1.7.1发包人和承包人应当在</w:t>
      </w:r>
      <w:r>
        <w:rPr>
          <w:rFonts w:hint="eastAsia" w:ascii="宋体" w:hAnsi="宋体"/>
          <w:color w:val="000000"/>
          <w:sz w:val="24"/>
          <w:szCs w:val="32"/>
          <w:u w:val="single"/>
        </w:rPr>
        <w:t>3</w:t>
      </w:r>
      <w:r>
        <w:rPr>
          <w:rFonts w:ascii="宋体" w:hAnsi="宋体"/>
          <w:color w:val="000000"/>
          <w:kern w:val="0"/>
          <w:sz w:val="24"/>
          <w:szCs w:val="32"/>
        </w:rPr>
        <w:t>天内将与合同有关的通知、批准、证明、证书、指示、指令、要求、请求、同意、意见、确定和决定等书面函件送达对方当事人</w:t>
      </w:r>
      <w:r>
        <w:rPr>
          <w:rFonts w:hint="eastAsia" w:ascii="宋体" w:hAnsi="宋体"/>
          <w:color w:val="000000"/>
          <w:kern w:val="0"/>
          <w:sz w:val="24"/>
          <w:szCs w:val="32"/>
        </w:rPr>
        <w:t>。</w:t>
      </w:r>
    </w:p>
    <w:p>
      <w:pPr>
        <w:snapToGrid w:val="0"/>
        <w:spacing w:line="460" w:lineRule="exact"/>
        <w:ind w:firstLine="480" w:firstLineChars="200"/>
        <w:rPr>
          <w:rFonts w:ascii="宋体" w:hAnsi="宋体"/>
          <w:color w:val="000000"/>
          <w:kern w:val="0"/>
          <w:sz w:val="24"/>
          <w:szCs w:val="32"/>
        </w:rPr>
      </w:pPr>
      <w:r>
        <w:rPr>
          <w:rFonts w:ascii="宋体" w:hAnsi="宋体"/>
          <w:color w:val="000000"/>
          <w:kern w:val="0"/>
          <w:sz w:val="24"/>
          <w:szCs w:val="32"/>
        </w:rPr>
        <w:t>1.7.2 发包人接收文件的地点：</w:t>
      </w:r>
      <w:r>
        <w:rPr>
          <w:rFonts w:hint="eastAsia" w:ascii="宋体" w:hAnsi="宋体"/>
          <w:color w:val="000000"/>
          <w:sz w:val="24"/>
          <w:szCs w:val="32"/>
          <w:u w:val="single"/>
        </w:rPr>
        <w:t>发包人办公室</w:t>
      </w:r>
      <w:r>
        <w:rPr>
          <w:rFonts w:ascii="宋体" w:hAnsi="宋体"/>
          <w:color w:val="000000"/>
          <w:kern w:val="0"/>
          <w:sz w:val="24"/>
          <w:szCs w:val="32"/>
        </w:rPr>
        <w:t>；发包人指定的接收人为：。</w:t>
      </w:r>
    </w:p>
    <w:p>
      <w:pPr>
        <w:snapToGrid w:val="0"/>
        <w:spacing w:line="460" w:lineRule="exact"/>
        <w:ind w:firstLine="480" w:firstLineChars="200"/>
        <w:rPr>
          <w:rFonts w:ascii="宋体" w:hAnsi="宋体"/>
          <w:color w:val="000000"/>
          <w:kern w:val="0"/>
          <w:sz w:val="24"/>
          <w:szCs w:val="32"/>
        </w:rPr>
      </w:pPr>
      <w:r>
        <w:rPr>
          <w:rFonts w:ascii="宋体" w:hAnsi="宋体"/>
          <w:color w:val="000000"/>
          <w:kern w:val="0"/>
          <w:sz w:val="24"/>
          <w:szCs w:val="32"/>
        </w:rPr>
        <w:t>承包人接收文件的地点：</w:t>
      </w:r>
      <w:r>
        <w:rPr>
          <w:rFonts w:hint="eastAsia" w:ascii="宋体" w:hAnsi="宋体"/>
          <w:color w:val="000000"/>
          <w:sz w:val="24"/>
          <w:szCs w:val="32"/>
          <w:u w:val="single"/>
        </w:rPr>
        <w:t>现场工程办公室</w:t>
      </w:r>
      <w:r>
        <w:rPr>
          <w:rFonts w:ascii="宋体" w:hAnsi="宋体"/>
          <w:color w:val="000000"/>
          <w:kern w:val="0"/>
          <w:sz w:val="24"/>
          <w:szCs w:val="32"/>
        </w:rPr>
        <w:t>；承包人指定的接收人为：。</w:t>
      </w:r>
    </w:p>
    <w:p>
      <w:pPr>
        <w:snapToGrid w:val="0"/>
        <w:spacing w:line="460" w:lineRule="exact"/>
        <w:ind w:firstLine="480" w:firstLineChars="200"/>
        <w:rPr>
          <w:rFonts w:ascii="宋体" w:hAnsi="宋体"/>
          <w:color w:val="000000"/>
          <w:kern w:val="0"/>
          <w:sz w:val="24"/>
          <w:szCs w:val="32"/>
        </w:rPr>
      </w:pPr>
      <w:r>
        <w:rPr>
          <w:rFonts w:ascii="宋体" w:hAnsi="宋体"/>
          <w:color w:val="000000"/>
          <w:kern w:val="0"/>
          <w:sz w:val="24"/>
          <w:szCs w:val="32"/>
        </w:rPr>
        <w:t>监理人接收文件的地点：</w:t>
      </w:r>
      <w:r>
        <w:rPr>
          <w:rFonts w:hint="eastAsia" w:ascii="宋体" w:hAnsi="宋体"/>
          <w:color w:val="000000"/>
          <w:sz w:val="24"/>
          <w:szCs w:val="32"/>
          <w:u w:val="single"/>
        </w:rPr>
        <w:t>现场监理办公室</w:t>
      </w:r>
      <w:r>
        <w:rPr>
          <w:rFonts w:ascii="宋体" w:hAnsi="宋体"/>
          <w:color w:val="000000"/>
          <w:kern w:val="0"/>
          <w:sz w:val="24"/>
          <w:szCs w:val="32"/>
        </w:rPr>
        <w:t>；监理人指定的接收人为：</w:t>
      </w:r>
      <w:r>
        <w:rPr>
          <w:rFonts w:hint="eastAsia" w:ascii="宋体" w:hAnsi="宋体"/>
          <w:color w:val="000000"/>
          <w:sz w:val="24"/>
          <w:szCs w:val="32"/>
          <w:u w:val="single"/>
        </w:rPr>
        <w:t xml:space="preserve">     。</w:t>
      </w:r>
    </w:p>
    <w:p>
      <w:pPr>
        <w:snapToGrid w:val="0"/>
        <w:spacing w:line="460" w:lineRule="exact"/>
        <w:ind w:firstLine="480" w:firstLineChars="200"/>
        <w:rPr>
          <w:rFonts w:ascii="宋体" w:hAnsi="宋体"/>
          <w:color w:val="000000"/>
          <w:sz w:val="24"/>
          <w:szCs w:val="32"/>
        </w:rPr>
      </w:pPr>
      <w:r>
        <w:rPr>
          <w:rFonts w:ascii="宋体" w:hAnsi="宋体"/>
          <w:color w:val="000000"/>
          <w:sz w:val="24"/>
          <w:szCs w:val="32"/>
        </w:rPr>
        <w:t>1.10 交通运输</w:t>
      </w:r>
    </w:p>
    <w:p>
      <w:pPr>
        <w:snapToGrid w:val="0"/>
        <w:spacing w:line="460" w:lineRule="exact"/>
        <w:ind w:firstLine="480" w:firstLineChars="200"/>
        <w:rPr>
          <w:rFonts w:ascii="宋体" w:hAnsi="宋体"/>
          <w:sz w:val="24"/>
          <w:szCs w:val="32"/>
        </w:rPr>
      </w:pPr>
      <w:r>
        <w:rPr>
          <w:rFonts w:ascii="宋体" w:hAnsi="宋体"/>
          <w:sz w:val="24"/>
          <w:szCs w:val="32"/>
        </w:rPr>
        <w:t>1</w:t>
      </w:r>
      <w:bookmarkStart w:id="246" w:name="_Toc312677986"/>
      <w:bookmarkStart w:id="247" w:name="_Toc300934943"/>
      <w:bookmarkStart w:id="248" w:name="_Toc318581155"/>
      <w:bookmarkStart w:id="249" w:name="_Toc303539100"/>
      <w:bookmarkStart w:id="250" w:name="_Toc304295521"/>
      <w:r>
        <w:rPr>
          <w:rFonts w:ascii="宋体" w:hAnsi="宋体"/>
          <w:sz w:val="24"/>
          <w:szCs w:val="32"/>
        </w:rPr>
        <w:t>.10.1 出入现场的权利</w:t>
      </w:r>
    </w:p>
    <w:p>
      <w:pPr>
        <w:snapToGrid w:val="0"/>
        <w:spacing w:line="460" w:lineRule="exact"/>
        <w:ind w:firstLine="480" w:firstLineChars="200"/>
        <w:rPr>
          <w:rFonts w:ascii="宋体" w:hAnsi="宋体"/>
          <w:sz w:val="24"/>
          <w:szCs w:val="32"/>
        </w:rPr>
      </w:pPr>
      <w:r>
        <w:rPr>
          <w:rFonts w:ascii="宋体" w:hAnsi="宋体"/>
          <w:sz w:val="24"/>
          <w:szCs w:val="32"/>
        </w:rPr>
        <w:t>关于出入现场的权利的约定：</w:t>
      </w:r>
      <w:r>
        <w:rPr>
          <w:rFonts w:hint="eastAsia" w:ascii="宋体" w:hAnsi="宋体"/>
          <w:color w:val="000000"/>
          <w:sz w:val="24"/>
          <w:szCs w:val="32"/>
          <w:u w:val="single"/>
        </w:rPr>
        <w:t>场内部分由承包人实施，费用已包含在合同总价中</w:t>
      </w:r>
      <w:r>
        <w:rPr>
          <w:rFonts w:ascii="宋体" w:hAnsi="宋体"/>
          <w:sz w:val="24"/>
          <w:szCs w:val="32"/>
        </w:rPr>
        <w:t>。</w:t>
      </w:r>
    </w:p>
    <w:bookmarkEnd w:id="246"/>
    <w:bookmarkEnd w:id="247"/>
    <w:bookmarkEnd w:id="248"/>
    <w:bookmarkEnd w:id="249"/>
    <w:bookmarkEnd w:id="250"/>
    <w:p>
      <w:pPr>
        <w:snapToGrid w:val="0"/>
        <w:spacing w:line="460" w:lineRule="exact"/>
        <w:ind w:firstLine="480" w:firstLineChars="200"/>
        <w:jc w:val="left"/>
        <w:rPr>
          <w:rFonts w:ascii="宋体" w:hAnsi="宋体"/>
          <w:sz w:val="24"/>
          <w:szCs w:val="32"/>
        </w:rPr>
      </w:pPr>
      <w:r>
        <w:rPr>
          <w:rFonts w:ascii="宋体" w:hAnsi="宋体"/>
          <w:sz w:val="24"/>
          <w:szCs w:val="32"/>
        </w:rPr>
        <w:t>1</w:t>
      </w:r>
      <w:bookmarkStart w:id="251" w:name="_Toc318581156"/>
      <w:bookmarkStart w:id="252" w:name="_Toc304295522"/>
      <w:bookmarkStart w:id="253" w:name="_Toc303539101"/>
      <w:bookmarkStart w:id="254" w:name="_Toc312677987"/>
      <w:bookmarkStart w:id="255" w:name="_Toc300934944"/>
      <w:r>
        <w:rPr>
          <w:rFonts w:ascii="宋体" w:hAnsi="宋体"/>
          <w:sz w:val="24"/>
          <w:szCs w:val="32"/>
        </w:rPr>
        <w:t>.10.3 场内交通</w:t>
      </w:r>
    </w:p>
    <w:p>
      <w:pPr>
        <w:snapToGrid w:val="0"/>
        <w:spacing w:line="460" w:lineRule="exact"/>
        <w:ind w:firstLine="480" w:firstLineChars="200"/>
        <w:jc w:val="left"/>
        <w:rPr>
          <w:rFonts w:ascii="宋体" w:hAnsi="宋体"/>
          <w:color w:val="000000"/>
          <w:kern w:val="0"/>
          <w:sz w:val="24"/>
          <w:szCs w:val="32"/>
        </w:rPr>
      </w:pPr>
      <w:r>
        <w:rPr>
          <w:rFonts w:ascii="宋体" w:hAnsi="宋体"/>
          <w:color w:val="000000"/>
          <w:kern w:val="0"/>
          <w:sz w:val="24"/>
          <w:szCs w:val="32"/>
        </w:rPr>
        <w:t>关于场外交通和场内交通的边界的约定：</w:t>
      </w:r>
      <w:r>
        <w:rPr>
          <w:rFonts w:hint="eastAsia" w:ascii="宋体" w:hAnsi="宋体"/>
          <w:color w:val="000000"/>
          <w:kern w:val="0"/>
          <w:sz w:val="24"/>
          <w:szCs w:val="32"/>
          <w:u w:val="single"/>
        </w:rPr>
        <w:t>按《通用条款》执行</w:t>
      </w:r>
      <w:r>
        <w:rPr>
          <w:rFonts w:ascii="宋体" w:hAnsi="宋体"/>
          <w:sz w:val="24"/>
          <w:szCs w:val="32"/>
        </w:rPr>
        <w:t>。</w:t>
      </w:r>
    </w:p>
    <w:p>
      <w:pPr>
        <w:snapToGrid w:val="0"/>
        <w:spacing w:line="460" w:lineRule="exact"/>
        <w:ind w:firstLine="480" w:firstLineChars="200"/>
        <w:jc w:val="left"/>
        <w:rPr>
          <w:rFonts w:ascii="宋体" w:hAnsi="宋体"/>
          <w:sz w:val="24"/>
          <w:szCs w:val="32"/>
        </w:rPr>
      </w:pPr>
      <w:r>
        <w:rPr>
          <w:rFonts w:ascii="宋体" w:hAnsi="宋体"/>
          <w:sz w:val="24"/>
          <w:szCs w:val="32"/>
        </w:rPr>
        <w:t>关于发包人向承包人免费提供满足工程施工需要的场内道路和交通设施的约定：</w:t>
      </w:r>
      <w:r>
        <w:rPr>
          <w:rFonts w:hint="eastAsia" w:ascii="宋体" w:hAnsi="宋体"/>
          <w:color w:val="000000"/>
          <w:sz w:val="24"/>
          <w:szCs w:val="32"/>
          <w:u w:val="single"/>
        </w:rPr>
        <w:t>不提供，承包人自行考虑，费用包含在合同总价中</w:t>
      </w:r>
      <w:r>
        <w:rPr>
          <w:rFonts w:ascii="宋体" w:hAnsi="宋体"/>
          <w:sz w:val="24"/>
          <w:szCs w:val="32"/>
        </w:rPr>
        <w:t>。</w:t>
      </w:r>
      <w:bookmarkEnd w:id="251"/>
      <w:bookmarkEnd w:id="252"/>
      <w:bookmarkEnd w:id="253"/>
      <w:bookmarkEnd w:id="254"/>
      <w:bookmarkEnd w:id="255"/>
      <w:bookmarkStart w:id="256" w:name="_Toc318581157"/>
    </w:p>
    <w:p>
      <w:pPr>
        <w:snapToGrid w:val="0"/>
        <w:spacing w:line="460" w:lineRule="exact"/>
        <w:ind w:firstLine="480" w:firstLineChars="200"/>
        <w:jc w:val="left"/>
        <w:rPr>
          <w:rFonts w:ascii="宋体" w:hAnsi="宋体"/>
          <w:sz w:val="24"/>
          <w:szCs w:val="32"/>
        </w:rPr>
      </w:pPr>
      <w:r>
        <w:rPr>
          <w:rFonts w:ascii="宋体" w:hAnsi="宋体"/>
          <w:sz w:val="24"/>
          <w:szCs w:val="32"/>
        </w:rPr>
        <w:t>1.10.4超大件和超重件的运输</w:t>
      </w:r>
    </w:p>
    <w:p>
      <w:pPr>
        <w:snapToGrid w:val="0"/>
        <w:spacing w:line="460" w:lineRule="exact"/>
        <w:ind w:firstLine="480" w:firstLineChars="200"/>
        <w:jc w:val="left"/>
        <w:rPr>
          <w:rFonts w:ascii="宋体" w:hAnsi="宋体"/>
          <w:sz w:val="24"/>
          <w:szCs w:val="32"/>
        </w:rPr>
      </w:pPr>
      <w:r>
        <w:rPr>
          <w:rFonts w:ascii="宋体" w:hAnsi="宋体"/>
          <w:sz w:val="24"/>
          <w:szCs w:val="32"/>
        </w:rPr>
        <w:t>运输超大件或超重件所需的道路和桥梁临时加固改造费用和其他有关费用由</w:t>
      </w:r>
      <w:r>
        <w:rPr>
          <w:rFonts w:hint="eastAsia" w:ascii="宋体" w:hAnsi="宋体"/>
          <w:sz w:val="24"/>
          <w:szCs w:val="32"/>
          <w:u w:val="single"/>
        </w:rPr>
        <w:t xml:space="preserve">承包人 </w:t>
      </w:r>
      <w:r>
        <w:rPr>
          <w:rFonts w:ascii="宋体" w:hAnsi="宋体"/>
          <w:sz w:val="24"/>
          <w:szCs w:val="32"/>
        </w:rPr>
        <w:t>承担。</w:t>
      </w:r>
    </w:p>
    <w:bookmarkEnd w:id="256"/>
    <w:p>
      <w:pPr>
        <w:snapToGrid w:val="0"/>
        <w:spacing w:line="460" w:lineRule="exact"/>
        <w:ind w:firstLine="480" w:firstLineChars="200"/>
        <w:rPr>
          <w:rFonts w:ascii="宋体" w:hAnsi="宋体"/>
          <w:color w:val="000000"/>
          <w:sz w:val="24"/>
          <w:szCs w:val="32"/>
        </w:rPr>
      </w:pPr>
      <w:r>
        <w:rPr>
          <w:rFonts w:ascii="宋体" w:hAnsi="宋体"/>
          <w:color w:val="000000"/>
          <w:sz w:val="24"/>
          <w:szCs w:val="32"/>
        </w:rPr>
        <w:t>1.11 知识产权</w:t>
      </w:r>
    </w:p>
    <w:p>
      <w:pPr>
        <w:snapToGrid w:val="0"/>
        <w:spacing w:line="460" w:lineRule="exact"/>
        <w:ind w:firstLine="360" w:firstLineChars="150"/>
        <w:rPr>
          <w:rFonts w:ascii="宋体" w:hAnsi="宋体"/>
          <w:color w:val="000000"/>
          <w:sz w:val="24"/>
          <w:szCs w:val="32"/>
        </w:rPr>
      </w:pPr>
      <w:r>
        <w:rPr>
          <w:rFonts w:ascii="宋体" w:hAnsi="宋体"/>
          <w:color w:val="000000"/>
          <w:sz w:val="24"/>
          <w:szCs w:val="32"/>
        </w:rPr>
        <w:t>1.11.1关于发包人提供给承包人的图纸、发包人为实施工程自行编制或委托编制的技术规范以及反映发包人关于合同要求或其他类似性质的文件的著作权的归属：</w:t>
      </w:r>
      <w:r>
        <w:rPr>
          <w:rFonts w:hint="eastAsia" w:ascii="宋体" w:hAnsi="宋体"/>
          <w:color w:val="000000"/>
          <w:sz w:val="24"/>
          <w:szCs w:val="32"/>
          <w:u w:val="single"/>
        </w:rPr>
        <w:t>发包人</w:t>
      </w:r>
      <w:r>
        <w:rPr>
          <w:rFonts w:ascii="宋体" w:hAnsi="宋体"/>
          <w:color w:val="000000"/>
          <w:sz w:val="24"/>
          <w:szCs w:val="32"/>
        </w:rPr>
        <w:t>。</w:t>
      </w:r>
    </w:p>
    <w:p>
      <w:pPr>
        <w:snapToGrid w:val="0"/>
        <w:spacing w:line="460" w:lineRule="exact"/>
        <w:ind w:firstLine="480" w:firstLineChars="200"/>
        <w:rPr>
          <w:rFonts w:ascii="宋体" w:hAnsi="宋体"/>
          <w:color w:val="000000"/>
          <w:sz w:val="24"/>
          <w:szCs w:val="32"/>
        </w:rPr>
      </w:pPr>
      <w:r>
        <w:rPr>
          <w:rFonts w:ascii="宋体" w:hAnsi="宋体"/>
          <w:color w:val="000000"/>
          <w:sz w:val="24"/>
          <w:szCs w:val="32"/>
        </w:rPr>
        <w:t>关于发包人提供的上述文件的使用限制的要求：</w:t>
      </w:r>
      <w:r>
        <w:rPr>
          <w:rFonts w:hint="eastAsia" w:ascii="宋体" w:hAnsi="宋体"/>
          <w:color w:val="000000"/>
          <w:sz w:val="24"/>
          <w:szCs w:val="32"/>
          <w:u w:val="single"/>
        </w:rPr>
        <w:t>未经发包人同意，承包人不得为了合同以外的目的而复制、使用或将之提供给任何第三方</w:t>
      </w:r>
      <w:r>
        <w:rPr>
          <w:rFonts w:ascii="宋体" w:hAnsi="宋体"/>
          <w:color w:val="000000"/>
          <w:sz w:val="24"/>
          <w:szCs w:val="32"/>
        </w:rPr>
        <w:t>。</w:t>
      </w:r>
    </w:p>
    <w:p>
      <w:pPr>
        <w:snapToGrid w:val="0"/>
        <w:spacing w:line="460" w:lineRule="exact"/>
        <w:ind w:firstLine="480" w:firstLineChars="200"/>
        <w:rPr>
          <w:rFonts w:ascii="宋体" w:hAnsi="宋体"/>
          <w:color w:val="000000"/>
          <w:sz w:val="24"/>
          <w:szCs w:val="32"/>
        </w:rPr>
      </w:pPr>
      <w:r>
        <w:rPr>
          <w:rFonts w:ascii="宋体" w:hAnsi="宋体"/>
          <w:color w:val="000000"/>
          <w:sz w:val="24"/>
          <w:szCs w:val="32"/>
        </w:rPr>
        <w:t>1.11.2 关于承包人为实施工程所编制文件的著作权的归属：</w:t>
      </w:r>
      <w:r>
        <w:rPr>
          <w:rFonts w:hint="eastAsia" w:ascii="宋体" w:hAnsi="宋体"/>
          <w:color w:val="000000"/>
          <w:sz w:val="24"/>
          <w:szCs w:val="32"/>
          <w:u w:val="single"/>
        </w:rPr>
        <w:t>除署名权以外的著作权归发包人。</w:t>
      </w:r>
    </w:p>
    <w:p>
      <w:pPr>
        <w:snapToGrid w:val="0"/>
        <w:spacing w:line="460" w:lineRule="exact"/>
        <w:ind w:firstLine="600" w:firstLineChars="250"/>
        <w:rPr>
          <w:rFonts w:ascii="宋体" w:hAnsi="宋体"/>
          <w:color w:val="000000"/>
          <w:sz w:val="24"/>
          <w:szCs w:val="32"/>
        </w:rPr>
      </w:pPr>
      <w:r>
        <w:rPr>
          <w:rFonts w:ascii="宋体" w:hAnsi="宋体"/>
          <w:color w:val="000000"/>
          <w:sz w:val="24"/>
          <w:szCs w:val="32"/>
        </w:rPr>
        <w:t>关于承包人提供的上述文件的使用限制的要求：</w:t>
      </w:r>
      <w:r>
        <w:rPr>
          <w:rFonts w:hint="eastAsia" w:ascii="宋体" w:hAnsi="宋体"/>
          <w:color w:val="000000"/>
          <w:sz w:val="24"/>
          <w:szCs w:val="32"/>
          <w:u w:val="single"/>
        </w:rPr>
        <w:t>未经发包人同意，承包人不得为了合同以外的目的而复制、使用或将之提供给任何第三方</w:t>
      </w:r>
      <w:r>
        <w:rPr>
          <w:rFonts w:ascii="宋体" w:hAnsi="宋体"/>
          <w:color w:val="000000"/>
          <w:sz w:val="24"/>
          <w:szCs w:val="32"/>
        </w:rPr>
        <w:t>。</w:t>
      </w:r>
    </w:p>
    <w:p>
      <w:pPr>
        <w:snapToGrid w:val="0"/>
        <w:spacing w:line="460" w:lineRule="exact"/>
        <w:ind w:firstLine="480" w:firstLineChars="200"/>
        <w:rPr>
          <w:rFonts w:ascii="宋体" w:hAnsi="宋体"/>
          <w:sz w:val="24"/>
          <w:szCs w:val="32"/>
        </w:rPr>
      </w:pPr>
      <w:r>
        <w:rPr>
          <w:rFonts w:ascii="宋体" w:hAnsi="宋体"/>
          <w:color w:val="000000"/>
          <w:sz w:val="24"/>
          <w:szCs w:val="32"/>
        </w:rPr>
        <w:t>1.11.4 承包人在施工过程中所采用的专利、专有技术、技术秘密的使用费的承担方式：</w:t>
      </w:r>
      <w:r>
        <w:rPr>
          <w:rFonts w:hint="eastAsia" w:ascii="宋体" w:hAnsi="宋体"/>
          <w:sz w:val="24"/>
          <w:szCs w:val="32"/>
          <w:u w:val="single"/>
        </w:rPr>
        <w:t>由承包人承担</w:t>
      </w:r>
      <w:r>
        <w:rPr>
          <w:rFonts w:ascii="宋体" w:hAnsi="宋体"/>
          <w:kern w:val="0"/>
          <w:sz w:val="24"/>
          <w:szCs w:val="32"/>
        </w:rPr>
        <w:t>。</w:t>
      </w:r>
      <w:bookmarkStart w:id="257" w:name="_Toc351203634"/>
    </w:p>
    <w:p>
      <w:pPr>
        <w:pStyle w:val="2"/>
        <w:snapToGrid w:val="0"/>
        <w:spacing w:before="0" w:after="0" w:line="460" w:lineRule="exact"/>
        <w:rPr>
          <w:rFonts w:ascii="宋体" w:hAnsi="宋体"/>
          <w:b w:val="0"/>
          <w:sz w:val="24"/>
          <w:szCs w:val="32"/>
        </w:rPr>
      </w:pPr>
      <w:r>
        <w:rPr>
          <w:rFonts w:ascii="宋体" w:hAnsi="宋体"/>
          <w:b w:val="0"/>
          <w:sz w:val="24"/>
          <w:szCs w:val="32"/>
        </w:rPr>
        <w:t>2</w:t>
      </w:r>
      <w:bookmarkStart w:id="258" w:name="_Toc292559362"/>
      <w:bookmarkStart w:id="259" w:name="_Toc297120457"/>
      <w:bookmarkStart w:id="260" w:name="_Toc296346658"/>
      <w:bookmarkStart w:id="261" w:name="_Toc297048343"/>
      <w:bookmarkStart w:id="262" w:name="_Toc296347156"/>
      <w:bookmarkStart w:id="263" w:name="_Toc296891197"/>
      <w:bookmarkStart w:id="264" w:name="_Toc296890985"/>
      <w:bookmarkStart w:id="265" w:name="_Toc296503157"/>
      <w:bookmarkStart w:id="266" w:name="_Toc292559867"/>
      <w:bookmarkStart w:id="267" w:name="_Toc296944496"/>
      <w:r>
        <w:rPr>
          <w:rFonts w:ascii="宋体" w:hAnsi="宋体"/>
          <w:b w:val="0"/>
          <w:sz w:val="24"/>
          <w:szCs w:val="32"/>
        </w:rPr>
        <w:t>. 发包人</w:t>
      </w:r>
      <w:bookmarkEnd w:id="257"/>
    </w:p>
    <w:bookmarkEnd w:id="258"/>
    <w:bookmarkEnd w:id="259"/>
    <w:bookmarkEnd w:id="260"/>
    <w:bookmarkEnd w:id="261"/>
    <w:bookmarkEnd w:id="262"/>
    <w:bookmarkEnd w:id="263"/>
    <w:bookmarkEnd w:id="264"/>
    <w:bookmarkEnd w:id="265"/>
    <w:bookmarkEnd w:id="266"/>
    <w:bookmarkEnd w:id="267"/>
    <w:p>
      <w:pPr>
        <w:snapToGrid w:val="0"/>
        <w:spacing w:line="460" w:lineRule="exact"/>
        <w:ind w:firstLine="480" w:firstLineChars="200"/>
        <w:rPr>
          <w:rFonts w:ascii="宋体" w:hAnsi="宋体"/>
          <w:sz w:val="24"/>
          <w:szCs w:val="32"/>
        </w:rPr>
      </w:pPr>
      <w:r>
        <w:rPr>
          <w:rFonts w:ascii="宋体" w:hAnsi="宋体"/>
          <w:sz w:val="24"/>
          <w:szCs w:val="32"/>
        </w:rPr>
        <w:t>2.2 发包人代表</w:t>
      </w:r>
    </w:p>
    <w:p>
      <w:pPr>
        <w:snapToGrid w:val="0"/>
        <w:spacing w:line="460" w:lineRule="exact"/>
        <w:ind w:firstLine="480" w:firstLineChars="200"/>
        <w:rPr>
          <w:rFonts w:ascii="宋体" w:hAnsi="宋体"/>
          <w:sz w:val="24"/>
          <w:szCs w:val="32"/>
        </w:rPr>
      </w:pPr>
      <w:r>
        <w:rPr>
          <w:rFonts w:ascii="宋体" w:hAnsi="宋体"/>
          <w:sz w:val="24"/>
          <w:szCs w:val="32"/>
        </w:rPr>
        <w:t>发包人代表：</w:t>
      </w:r>
    </w:p>
    <w:p>
      <w:pPr>
        <w:snapToGrid w:val="0"/>
        <w:spacing w:line="460" w:lineRule="exact"/>
        <w:ind w:firstLine="480" w:firstLineChars="200"/>
        <w:rPr>
          <w:rFonts w:ascii="宋体" w:hAnsi="宋体"/>
          <w:sz w:val="24"/>
          <w:szCs w:val="32"/>
        </w:rPr>
      </w:pPr>
      <w:r>
        <w:rPr>
          <w:rFonts w:ascii="宋体" w:hAnsi="宋体"/>
          <w:sz w:val="24"/>
          <w:szCs w:val="32"/>
        </w:rPr>
        <w:t>姓    名：；</w:t>
      </w:r>
    </w:p>
    <w:p>
      <w:pPr>
        <w:snapToGrid w:val="0"/>
        <w:spacing w:line="460" w:lineRule="exact"/>
        <w:ind w:firstLine="480" w:firstLineChars="200"/>
        <w:rPr>
          <w:rFonts w:ascii="宋体" w:hAnsi="宋体"/>
          <w:sz w:val="24"/>
          <w:szCs w:val="32"/>
        </w:rPr>
      </w:pPr>
      <w:r>
        <w:rPr>
          <w:rFonts w:ascii="宋体" w:hAnsi="宋体"/>
          <w:sz w:val="24"/>
          <w:szCs w:val="32"/>
        </w:rPr>
        <w:t>身份证号：；</w:t>
      </w:r>
    </w:p>
    <w:p>
      <w:pPr>
        <w:snapToGrid w:val="0"/>
        <w:spacing w:line="460" w:lineRule="exact"/>
        <w:ind w:firstLine="480" w:firstLineChars="200"/>
        <w:rPr>
          <w:rFonts w:ascii="宋体" w:hAnsi="宋体"/>
          <w:sz w:val="24"/>
          <w:szCs w:val="32"/>
        </w:rPr>
      </w:pPr>
      <w:r>
        <w:rPr>
          <w:rFonts w:ascii="宋体" w:hAnsi="宋体"/>
          <w:sz w:val="24"/>
          <w:szCs w:val="32"/>
        </w:rPr>
        <w:t>职    务：；</w:t>
      </w:r>
    </w:p>
    <w:p>
      <w:pPr>
        <w:snapToGrid w:val="0"/>
        <w:spacing w:line="460" w:lineRule="exact"/>
        <w:ind w:firstLine="480" w:firstLineChars="200"/>
        <w:rPr>
          <w:rFonts w:ascii="宋体" w:hAnsi="宋体"/>
          <w:sz w:val="24"/>
          <w:szCs w:val="32"/>
        </w:rPr>
      </w:pPr>
      <w:r>
        <w:rPr>
          <w:rFonts w:ascii="宋体" w:hAnsi="宋体"/>
          <w:sz w:val="24"/>
          <w:szCs w:val="32"/>
        </w:rPr>
        <w:t>联系电话：；</w:t>
      </w:r>
    </w:p>
    <w:p>
      <w:pPr>
        <w:snapToGrid w:val="0"/>
        <w:spacing w:line="460" w:lineRule="exact"/>
        <w:ind w:firstLine="480" w:firstLineChars="200"/>
        <w:rPr>
          <w:rFonts w:ascii="宋体" w:hAnsi="宋体"/>
          <w:sz w:val="24"/>
          <w:szCs w:val="32"/>
        </w:rPr>
      </w:pPr>
      <w:r>
        <w:rPr>
          <w:rFonts w:ascii="宋体" w:hAnsi="宋体"/>
          <w:sz w:val="24"/>
          <w:szCs w:val="32"/>
        </w:rPr>
        <w:t>电子信箱：；</w:t>
      </w:r>
    </w:p>
    <w:p>
      <w:pPr>
        <w:snapToGrid w:val="0"/>
        <w:spacing w:line="460" w:lineRule="exact"/>
        <w:ind w:firstLine="480" w:firstLineChars="200"/>
        <w:rPr>
          <w:rFonts w:ascii="宋体" w:hAnsi="宋体"/>
          <w:sz w:val="24"/>
          <w:szCs w:val="32"/>
        </w:rPr>
      </w:pPr>
      <w:r>
        <w:rPr>
          <w:rFonts w:ascii="宋体" w:hAnsi="宋体"/>
          <w:sz w:val="24"/>
          <w:szCs w:val="32"/>
        </w:rPr>
        <w:t>通信地址：。</w:t>
      </w:r>
    </w:p>
    <w:p>
      <w:pPr>
        <w:snapToGrid w:val="0"/>
        <w:spacing w:line="460" w:lineRule="exact"/>
        <w:ind w:firstLine="480" w:firstLineChars="200"/>
        <w:rPr>
          <w:rFonts w:ascii="宋体" w:hAnsi="宋体"/>
          <w:b/>
          <w:sz w:val="24"/>
          <w:szCs w:val="32"/>
        </w:rPr>
      </w:pPr>
      <w:r>
        <w:rPr>
          <w:rFonts w:ascii="宋体" w:hAnsi="宋体"/>
          <w:sz w:val="24"/>
          <w:szCs w:val="32"/>
        </w:rPr>
        <w:t>发包人对发包人代表的授权范围如下：</w:t>
      </w:r>
      <w:r>
        <w:rPr>
          <w:rFonts w:hint="eastAsia" w:ascii="宋体" w:hAnsi="宋体"/>
          <w:sz w:val="24"/>
          <w:u w:val="single"/>
        </w:rPr>
        <w:t>负责发包人方面全过程的工程管理工作。</w:t>
      </w:r>
    </w:p>
    <w:p>
      <w:pPr>
        <w:snapToGrid w:val="0"/>
        <w:spacing w:line="460" w:lineRule="exact"/>
        <w:ind w:firstLine="480" w:firstLineChars="200"/>
        <w:rPr>
          <w:rFonts w:ascii="宋体" w:hAnsi="宋体"/>
          <w:sz w:val="24"/>
          <w:szCs w:val="32"/>
        </w:rPr>
      </w:pPr>
      <w:r>
        <w:rPr>
          <w:rFonts w:ascii="宋体" w:hAnsi="宋体"/>
          <w:sz w:val="24"/>
          <w:szCs w:val="32"/>
        </w:rPr>
        <w:t>2.4 施工现场、施工条件和基础资料的提供</w:t>
      </w:r>
    </w:p>
    <w:p>
      <w:pPr>
        <w:snapToGrid w:val="0"/>
        <w:spacing w:line="460" w:lineRule="exact"/>
        <w:ind w:firstLine="480" w:firstLineChars="200"/>
        <w:rPr>
          <w:rFonts w:ascii="宋体" w:hAnsi="宋体"/>
          <w:sz w:val="24"/>
          <w:szCs w:val="32"/>
        </w:rPr>
      </w:pPr>
      <w:r>
        <w:rPr>
          <w:rFonts w:ascii="宋体" w:hAnsi="宋体"/>
          <w:sz w:val="24"/>
          <w:szCs w:val="32"/>
        </w:rPr>
        <w:t>2.4.1 提供施工现场</w:t>
      </w:r>
    </w:p>
    <w:p>
      <w:pPr>
        <w:snapToGrid w:val="0"/>
        <w:spacing w:line="460" w:lineRule="exact"/>
        <w:ind w:firstLine="480" w:firstLineChars="200"/>
        <w:jc w:val="left"/>
        <w:rPr>
          <w:rFonts w:ascii="宋体" w:hAnsi="宋体"/>
          <w:sz w:val="24"/>
          <w:szCs w:val="32"/>
        </w:rPr>
      </w:pPr>
      <w:r>
        <w:rPr>
          <w:rFonts w:ascii="宋体" w:hAnsi="宋体"/>
          <w:sz w:val="24"/>
          <w:szCs w:val="32"/>
        </w:rPr>
        <w:t>关于发包人移交施工现场的期限要</w:t>
      </w:r>
      <w:r>
        <w:rPr>
          <w:rFonts w:hint="eastAsia" w:ascii="宋体" w:hAnsi="宋体"/>
          <w:sz w:val="24"/>
          <w:szCs w:val="32"/>
        </w:rPr>
        <w:t>求：</w:t>
      </w:r>
      <w:r>
        <w:rPr>
          <w:rFonts w:hint="eastAsia" w:ascii="宋体" w:hAnsi="宋体"/>
          <w:sz w:val="24"/>
          <w:szCs w:val="32"/>
          <w:u w:val="single"/>
        </w:rPr>
        <w:t>开工日期7天前</w:t>
      </w:r>
      <w:r>
        <w:rPr>
          <w:rFonts w:ascii="宋体" w:hAnsi="宋体"/>
          <w:sz w:val="24"/>
          <w:szCs w:val="32"/>
        </w:rPr>
        <w:t>。</w:t>
      </w:r>
    </w:p>
    <w:p>
      <w:pPr>
        <w:snapToGrid w:val="0"/>
        <w:spacing w:line="460" w:lineRule="exact"/>
        <w:ind w:firstLine="480" w:firstLineChars="200"/>
        <w:rPr>
          <w:rFonts w:ascii="宋体" w:hAnsi="宋体"/>
          <w:sz w:val="24"/>
          <w:szCs w:val="32"/>
        </w:rPr>
      </w:pPr>
      <w:r>
        <w:rPr>
          <w:rFonts w:ascii="宋体" w:hAnsi="宋体"/>
          <w:sz w:val="24"/>
          <w:szCs w:val="32"/>
        </w:rPr>
        <w:t>2.4.2 提供施工条件</w:t>
      </w:r>
    </w:p>
    <w:p>
      <w:pPr>
        <w:snapToGrid w:val="0"/>
        <w:spacing w:line="460" w:lineRule="exact"/>
        <w:ind w:firstLine="480" w:firstLineChars="200"/>
        <w:rPr>
          <w:rFonts w:ascii="宋体" w:hAnsi="宋体"/>
          <w:sz w:val="24"/>
          <w:szCs w:val="32"/>
          <w:u w:val="single"/>
        </w:rPr>
      </w:pPr>
      <w:r>
        <w:rPr>
          <w:rFonts w:ascii="宋体" w:hAnsi="宋体"/>
          <w:sz w:val="24"/>
          <w:szCs w:val="32"/>
        </w:rPr>
        <w:t>关于发包人应负责提供施工</w:t>
      </w:r>
      <w:r>
        <w:rPr>
          <w:rFonts w:hint="eastAsia" w:ascii="宋体" w:hAnsi="宋体"/>
          <w:sz w:val="24"/>
          <w:szCs w:val="32"/>
        </w:rPr>
        <w:t>所需要的条件，</w:t>
      </w:r>
      <w:r>
        <w:rPr>
          <w:rFonts w:ascii="宋体" w:hAnsi="宋体"/>
          <w:sz w:val="24"/>
          <w:szCs w:val="32"/>
        </w:rPr>
        <w:t>包括：</w:t>
      </w:r>
      <w:r>
        <w:rPr>
          <w:rFonts w:hint="eastAsia" w:ascii="宋体" w:hAnsi="宋体"/>
          <w:sz w:val="24"/>
          <w:szCs w:val="32"/>
          <w:u w:val="single"/>
        </w:rPr>
        <w:t>现场水、电接入，所需接入费和水电费由</w:t>
      </w:r>
      <w:r>
        <w:rPr>
          <w:rFonts w:ascii="宋体" w:hAnsi="宋体"/>
          <w:sz w:val="24"/>
          <w:szCs w:val="32"/>
          <w:u w:val="single"/>
        </w:rPr>
        <w:t>承包人</w:t>
      </w:r>
      <w:r>
        <w:rPr>
          <w:rFonts w:hint="eastAsia" w:ascii="宋体" w:hAnsi="宋体"/>
          <w:sz w:val="24"/>
          <w:szCs w:val="32"/>
          <w:u w:val="single"/>
        </w:rPr>
        <w:t>承担，不再另计</w:t>
      </w:r>
      <w:r>
        <w:rPr>
          <w:rFonts w:ascii="宋体" w:hAnsi="宋体"/>
          <w:sz w:val="24"/>
          <w:szCs w:val="32"/>
          <w:u w:val="single"/>
        </w:rPr>
        <w:t>。</w:t>
      </w:r>
    </w:p>
    <w:p>
      <w:pPr>
        <w:snapToGrid w:val="0"/>
        <w:spacing w:line="460" w:lineRule="exact"/>
        <w:ind w:firstLine="480" w:firstLineChars="200"/>
        <w:rPr>
          <w:rFonts w:ascii="宋体" w:hAnsi="宋体"/>
          <w:sz w:val="24"/>
          <w:szCs w:val="32"/>
        </w:rPr>
      </w:pPr>
      <w:r>
        <w:rPr>
          <w:rFonts w:ascii="宋体" w:hAnsi="宋体"/>
          <w:sz w:val="24"/>
          <w:szCs w:val="32"/>
        </w:rPr>
        <w:t>2.5 资金来源证明及支付担保</w:t>
      </w:r>
    </w:p>
    <w:p>
      <w:pPr>
        <w:snapToGrid w:val="0"/>
        <w:spacing w:line="460" w:lineRule="exact"/>
        <w:ind w:firstLine="480" w:firstLineChars="200"/>
        <w:rPr>
          <w:rFonts w:ascii="宋体" w:hAnsi="宋体"/>
          <w:sz w:val="24"/>
        </w:rPr>
      </w:pPr>
      <w:r>
        <w:rPr>
          <w:rFonts w:ascii="宋体" w:hAnsi="宋体"/>
          <w:sz w:val="24"/>
        </w:rPr>
        <w:t>发包人提供资金来源证明的期限要求：</w:t>
      </w:r>
      <w:r>
        <w:rPr>
          <w:rFonts w:hint="eastAsia" w:ascii="宋体" w:hAnsi="宋体"/>
          <w:sz w:val="24"/>
          <w:u w:val="single"/>
        </w:rPr>
        <w:t xml:space="preserve">无     </w:t>
      </w:r>
      <w:r>
        <w:rPr>
          <w:rFonts w:ascii="宋体" w:hAnsi="宋体"/>
          <w:sz w:val="24"/>
        </w:rPr>
        <w:t>。</w:t>
      </w:r>
    </w:p>
    <w:p>
      <w:pPr>
        <w:snapToGrid w:val="0"/>
        <w:spacing w:line="460" w:lineRule="exact"/>
        <w:ind w:firstLine="480" w:firstLineChars="200"/>
        <w:rPr>
          <w:rFonts w:ascii="宋体" w:hAnsi="宋体"/>
          <w:sz w:val="24"/>
        </w:rPr>
      </w:pPr>
      <w:r>
        <w:rPr>
          <w:rFonts w:ascii="宋体" w:hAnsi="宋体"/>
          <w:sz w:val="24"/>
        </w:rPr>
        <w:t>发包人是否提供支付担保：</w:t>
      </w:r>
      <w:r>
        <w:rPr>
          <w:rFonts w:hint="eastAsia" w:ascii="宋体" w:hAnsi="宋体"/>
          <w:sz w:val="24"/>
          <w:u w:val="single"/>
        </w:rPr>
        <w:t xml:space="preserve">  无     </w:t>
      </w:r>
      <w:r>
        <w:rPr>
          <w:rFonts w:ascii="宋体" w:hAnsi="宋体"/>
          <w:sz w:val="24"/>
        </w:rPr>
        <w:t>。</w:t>
      </w:r>
    </w:p>
    <w:p>
      <w:pPr>
        <w:snapToGrid w:val="0"/>
        <w:spacing w:line="460" w:lineRule="exact"/>
        <w:ind w:firstLine="480" w:firstLineChars="200"/>
        <w:rPr>
          <w:rFonts w:ascii="宋体" w:hAnsi="宋体"/>
          <w:sz w:val="24"/>
          <w:u w:val="single"/>
        </w:rPr>
      </w:pPr>
      <w:r>
        <w:rPr>
          <w:rFonts w:ascii="宋体" w:hAnsi="宋体"/>
          <w:sz w:val="24"/>
        </w:rPr>
        <w:t>发包人提供支付担保的形式：</w:t>
      </w:r>
      <w:r>
        <w:rPr>
          <w:rFonts w:hint="eastAsia" w:ascii="宋体" w:hAnsi="宋体"/>
          <w:sz w:val="24"/>
          <w:u w:val="single"/>
        </w:rPr>
        <w:t xml:space="preserve">   无      </w:t>
      </w:r>
      <w:r>
        <w:rPr>
          <w:rFonts w:ascii="宋体" w:hAnsi="宋体"/>
          <w:sz w:val="24"/>
        </w:rPr>
        <w:t>。</w:t>
      </w:r>
    </w:p>
    <w:p>
      <w:pPr>
        <w:pStyle w:val="2"/>
        <w:snapToGrid w:val="0"/>
        <w:spacing w:before="0" w:after="0" w:line="460" w:lineRule="exact"/>
        <w:rPr>
          <w:rFonts w:ascii="宋体" w:hAnsi="宋体"/>
          <w:b w:val="0"/>
          <w:sz w:val="24"/>
          <w:szCs w:val="32"/>
        </w:rPr>
      </w:pPr>
      <w:bookmarkStart w:id="268" w:name="_Toc351203635"/>
    </w:p>
    <w:p>
      <w:pPr>
        <w:pStyle w:val="2"/>
        <w:snapToGrid w:val="0"/>
        <w:spacing w:before="0" w:after="0" w:line="460" w:lineRule="exact"/>
        <w:rPr>
          <w:rFonts w:ascii="宋体" w:hAnsi="宋体"/>
          <w:b w:val="0"/>
          <w:sz w:val="24"/>
          <w:szCs w:val="32"/>
        </w:rPr>
      </w:pPr>
      <w:r>
        <w:rPr>
          <w:rFonts w:ascii="宋体" w:hAnsi="宋体"/>
          <w:b w:val="0"/>
          <w:sz w:val="24"/>
          <w:szCs w:val="32"/>
        </w:rPr>
        <w:t>3</w:t>
      </w:r>
      <w:bookmarkStart w:id="269" w:name="_Toc296891198"/>
      <w:bookmarkStart w:id="270" w:name="_Toc296503158"/>
      <w:bookmarkStart w:id="271" w:name="_Toc292559868"/>
      <w:bookmarkStart w:id="272" w:name="_Toc296347157"/>
      <w:bookmarkStart w:id="273" w:name="_Toc296944497"/>
      <w:bookmarkStart w:id="274" w:name="_Toc297120458"/>
      <w:bookmarkStart w:id="275" w:name="_Toc292559363"/>
      <w:bookmarkStart w:id="276" w:name="_Toc296890986"/>
      <w:bookmarkStart w:id="277" w:name="_Toc297048344"/>
      <w:bookmarkStart w:id="278" w:name="_Toc296346659"/>
      <w:r>
        <w:rPr>
          <w:rFonts w:ascii="宋体" w:hAnsi="宋体"/>
          <w:b w:val="0"/>
          <w:sz w:val="24"/>
          <w:szCs w:val="32"/>
        </w:rPr>
        <w:t>. 承包人</w:t>
      </w:r>
      <w:bookmarkEnd w:id="268"/>
    </w:p>
    <w:bookmarkEnd w:id="269"/>
    <w:bookmarkEnd w:id="270"/>
    <w:bookmarkEnd w:id="271"/>
    <w:bookmarkEnd w:id="272"/>
    <w:bookmarkEnd w:id="273"/>
    <w:bookmarkEnd w:id="274"/>
    <w:bookmarkEnd w:id="275"/>
    <w:bookmarkEnd w:id="276"/>
    <w:bookmarkEnd w:id="277"/>
    <w:bookmarkEnd w:id="278"/>
    <w:p>
      <w:pPr>
        <w:snapToGrid w:val="0"/>
        <w:spacing w:line="460" w:lineRule="exact"/>
        <w:ind w:firstLine="480" w:firstLineChars="200"/>
        <w:rPr>
          <w:rFonts w:ascii="宋体" w:hAnsi="宋体"/>
          <w:color w:val="000000"/>
          <w:sz w:val="24"/>
          <w:szCs w:val="32"/>
        </w:rPr>
      </w:pPr>
      <w:r>
        <w:rPr>
          <w:rFonts w:ascii="宋体" w:hAnsi="宋体"/>
          <w:color w:val="000000"/>
          <w:sz w:val="24"/>
          <w:szCs w:val="32"/>
        </w:rPr>
        <w:t>3.1 承包人的一般义务</w:t>
      </w:r>
    </w:p>
    <w:p>
      <w:pPr>
        <w:snapToGrid w:val="0"/>
        <w:spacing w:line="460" w:lineRule="exact"/>
        <w:ind w:firstLine="511" w:firstLineChars="213"/>
        <w:jc w:val="left"/>
        <w:rPr>
          <w:rFonts w:ascii="宋体" w:hAnsi="宋体"/>
          <w:color w:val="000000"/>
          <w:sz w:val="24"/>
        </w:rPr>
      </w:pPr>
      <w:r>
        <w:rPr>
          <w:rFonts w:ascii="宋体" w:hAnsi="宋体"/>
          <w:color w:val="000000"/>
          <w:kern w:val="0"/>
          <w:sz w:val="24"/>
        </w:rPr>
        <w:t>（</w:t>
      </w:r>
      <w:r>
        <w:rPr>
          <w:rFonts w:hint="eastAsia" w:ascii="宋体" w:hAnsi="宋体"/>
          <w:color w:val="000000"/>
          <w:kern w:val="0"/>
          <w:sz w:val="24"/>
        </w:rPr>
        <w:t>9</w:t>
      </w:r>
      <w:r>
        <w:rPr>
          <w:rFonts w:ascii="宋体" w:hAnsi="宋体"/>
          <w:color w:val="000000"/>
          <w:kern w:val="0"/>
          <w:sz w:val="24"/>
        </w:rPr>
        <w:t>）</w:t>
      </w:r>
      <w:r>
        <w:rPr>
          <w:rFonts w:ascii="宋体" w:hAnsi="宋体"/>
          <w:color w:val="000000"/>
          <w:sz w:val="24"/>
        </w:rPr>
        <w:t>承包人提交的竣工资料的内容：</w:t>
      </w:r>
      <w:r>
        <w:rPr>
          <w:rFonts w:hint="eastAsia" w:ascii="宋体" w:hAnsi="宋体"/>
          <w:color w:val="000000"/>
          <w:sz w:val="24"/>
          <w:u w:val="single"/>
        </w:rPr>
        <w:t>竣工图、竣工验收资料等</w:t>
      </w:r>
      <w:r>
        <w:rPr>
          <w:rFonts w:ascii="宋体" w:hAnsi="宋体"/>
          <w:color w:val="000000"/>
          <w:sz w:val="24"/>
        </w:rPr>
        <w:t>。</w:t>
      </w:r>
    </w:p>
    <w:p>
      <w:pPr>
        <w:snapToGrid w:val="0"/>
        <w:spacing w:line="460" w:lineRule="exact"/>
        <w:ind w:firstLine="480" w:firstLineChars="200"/>
        <w:jc w:val="left"/>
        <w:rPr>
          <w:rFonts w:ascii="宋体" w:hAnsi="宋体"/>
          <w:color w:val="000000"/>
          <w:sz w:val="24"/>
        </w:rPr>
      </w:pPr>
      <w:r>
        <w:rPr>
          <w:rFonts w:ascii="宋体" w:hAnsi="宋体"/>
          <w:color w:val="000000"/>
          <w:sz w:val="24"/>
        </w:rPr>
        <w:t>承包人需要提交的竣工资料套数：</w:t>
      </w:r>
      <w:r>
        <w:rPr>
          <w:rFonts w:hint="eastAsia" w:ascii="宋体" w:hAnsi="宋体"/>
          <w:color w:val="000000"/>
          <w:sz w:val="24"/>
          <w:u w:val="single"/>
        </w:rPr>
        <w:t>3套</w:t>
      </w:r>
      <w:r>
        <w:rPr>
          <w:rFonts w:ascii="宋体" w:hAnsi="宋体"/>
          <w:color w:val="000000"/>
          <w:sz w:val="24"/>
        </w:rPr>
        <w:t>。</w:t>
      </w:r>
    </w:p>
    <w:p>
      <w:pPr>
        <w:snapToGrid w:val="0"/>
        <w:spacing w:line="460" w:lineRule="exact"/>
        <w:ind w:left="17" w:leftChars="8" w:firstLine="494" w:firstLineChars="206"/>
        <w:jc w:val="left"/>
        <w:rPr>
          <w:rFonts w:ascii="宋体" w:hAnsi="宋体"/>
          <w:color w:val="000000"/>
          <w:sz w:val="24"/>
        </w:rPr>
      </w:pPr>
      <w:r>
        <w:rPr>
          <w:rFonts w:ascii="宋体" w:hAnsi="宋体"/>
          <w:color w:val="000000"/>
          <w:sz w:val="24"/>
        </w:rPr>
        <w:t>承包人提交的竣工资料的费用承担：</w:t>
      </w:r>
      <w:r>
        <w:rPr>
          <w:rFonts w:hint="eastAsia" w:ascii="宋体" w:hAnsi="宋体"/>
          <w:color w:val="000000"/>
          <w:sz w:val="24"/>
          <w:u w:val="single"/>
        </w:rPr>
        <w:t>由承包人承担，在规定时间内未提供完整的竣工资料，发包人有权委托另外的单位进行资料整理，并在工程款中扣除一万元作为资料整理费</w:t>
      </w:r>
      <w:r>
        <w:rPr>
          <w:rFonts w:ascii="宋体" w:hAnsi="宋体"/>
          <w:color w:val="000000"/>
          <w:sz w:val="24"/>
        </w:rPr>
        <w:t>。</w:t>
      </w:r>
    </w:p>
    <w:p>
      <w:pPr>
        <w:snapToGrid w:val="0"/>
        <w:spacing w:line="460" w:lineRule="exact"/>
        <w:ind w:firstLine="480" w:firstLineChars="200"/>
        <w:jc w:val="left"/>
        <w:rPr>
          <w:rFonts w:ascii="宋体" w:hAnsi="宋体"/>
          <w:color w:val="000000"/>
          <w:sz w:val="24"/>
        </w:rPr>
      </w:pPr>
      <w:r>
        <w:rPr>
          <w:rFonts w:ascii="宋体" w:hAnsi="宋体"/>
          <w:color w:val="000000"/>
          <w:sz w:val="24"/>
        </w:rPr>
        <w:t>承包人提交的竣工资料移交时间：</w:t>
      </w:r>
      <w:r>
        <w:rPr>
          <w:rFonts w:hint="eastAsia" w:ascii="宋体" w:hAnsi="宋体"/>
          <w:color w:val="000000"/>
          <w:sz w:val="24"/>
          <w:u w:val="single"/>
        </w:rPr>
        <w:t xml:space="preserve"> 竣工验收合格后一个月内 </w:t>
      </w:r>
      <w:r>
        <w:rPr>
          <w:rFonts w:ascii="宋体" w:hAnsi="宋体"/>
          <w:color w:val="000000"/>
          <w:sz w:val="24"/>
        </w:rPr>
        <w:t>。</w:t>
      </w:r>
    </w:p>
    <w:p>
      <w:pPr>
        <w:snapToGrid w:val="0"/>
        <w:spacing w:line="460" w:lineRule="exact"/>
        <w:ind w:firstLine="480" w:firstLineChars="200"/>
        <w:jc w:val="left"/>
        <w:rPr>
          <w:rFonts w:ascii="宋体" w:hAnsi="宋体"/>
          <w:color w:val="000000"/>
          <w:sz w:val="24"/>
        </w:rPr>
      </w:pPr>
      <w:r>
        <w:rPr>
          <w:rFonts w:ascii="宋体" w:hAnsi="宋体"/>
          <w:color w:val="000000"/>
          <w:sz w:val="24"/>
        </w:rPr>
        <w:t>承包人提交的竣工资料形式要求：</w:t>
      </w:r>
      <w:r>
        <w:rPr>
          <w:rFonts w:hint="eastAsia" w:ascii="宋体" w:hAnsi="宋体"/>
          <w:color w:val="000000"/>
          <w:sz w:val="24"/>
          <w:u w:val="single"/>
        </w:rPr>
        <w:t>书面形式提交给发包人</w:t>
      </w:r>
      <w:r>
        <w:rPr>
          <w:rFonts w:ascii="宋体" w:hAnsi="宋体"/>
          <w:color w:val="000000"/>
          <w:sz w:val="24"/>
        </w:rPr>
        <w:t>。</w:t>
      </w:r>
    </w:p>
    <w:p>
      <w:pPr>
        <w:numPr>
          <w:ilvl w:val="0"/>
          <w:numId w:val="10"/>
        </w:numPr>
        <w:snapToGrid w:val="0"/>
        <w:spacing w:line="460" w:lineRule="exact"/>
        <w:ind w:firstLine="480" w:firstLineChars="200"/>
        <w:rPr>
          <w:rFonts w:ascii="宋体" w:hAnsi="宋体"/>
          <w:color w:val="000000"/>
          <w:sz w:val="24"/>
          <w:u w:val="single"/>
        </w:rPr>
      </w:pPr>
      <w:r>
        <w:rPr>
          <w:rFonts w:ascii="宋体" w:hAnsi="宋体"/>
          <w:color w:val="000000"/>
          <w:kern w:val="0"/>
          <w:sz w:val="24"/>
        </w:rPr>
        <w:t>承包人应履行的其他义务：</w:t>
      </w:r>
    </w:p>
    <w:p>
      <w:pPr>
        <w:snapToGrid w:val="0"/>
        <w:spacing w:line="460" w:lineRule="exact"/>
        <w:ind w:firstLine="511" w:firstLineChars="213"/>
        <w:rPr>
          <w:rFonts w:ascii="宋体" w:hAnsi="宋体"/>
          <w:sz w:val="24"/>
          <w:u w:val="single"/>
        </w:rPr>
      </w:pPr>
      <w:r>
        <w:rPr>
          <w:rFonts w:hint="eastAsia" w:ascii="宋体" w:hAnsi="宋体"/>
          <w:sz w:val="24"/>
          <w:u w:val="single"/>
        </w:rPr>
        <w:t>a、承包人须做好施工期间与居民、业主、社区的协调沟通工作，施工过程中发生与住户之间的矛盾冲突由承包人负责协调解决，监理单位、发包人负责协助工程；</w:t>
      </w:r>
    </w:p>
    <w:p>
      <w:pPr>
        <w:snapToGrid w:val="0"/>
        <w:spacing w:line="460" w:lineRule="exact"/>
        <w:ind w:firstLine="511" w:firstLineChars="213"/>
        <w:rPr>
          <w:rFonts w:ascii="宋体" w:hAnsi="宋体"/>
          <w:sz w:val="24"/>
          <w:u w:val="single"/>
        </w:rPr>
      </w:pPr>
      <w:r>
        <w:rPr>
          <w:rFonts w:hint="eastAsia" w:ascii="宋体" w:hAnsi="宋体"/>
          <w:sz w:val="24"/>
          <w:u w:val="single"/>
        </w:rPr>
        <w:t>b、承包人应做好现场施工噪音、环境卫生、材料堆放、安全警示等工作，并负责施工期间与环保、交通城管等部门的沟通协调工作，做好现场秩序的维护，如因承包人原因受到处罚、赔款、纠纷或因此而引起发包人经济损失的，均由承包人承担责任；</w:t>
      </w:r>
    </w:p>
    <w:p>
      <w:pPr>
        <w:snapToGrid w:val="0"/>
        <w:spacing w:line="460" w:lineRule="exact"/>
        <w:ind w:firstLine="511" w:firstLineChars="213"/>
        <w:rPr>
          <w:rFonts w:ascii="宋体" w:hAnsi="宋体"/>
          <w:sz w:val="24"/>
          <w:u w:val="single"/>
        </w:rPr>
      </w:pPr>
      <w:r>
        <w:rPr>
          <w:rFonts w:hint="eastAsia" w:ascii="宋体" w:hAnsi="宋体"/>
          <w:sz w:val="24"/>
          <w:u w:val="single"/>
        </w:rPr>
        <w:t>c、承包人在施工前做好各项进场准备工作，如因周边环境等原因造成施工中断，由承包人负责协调解决；</w:t>
      </w:r>
    </w:p>
    <w:p>
      <w:pPr>
        <w:snapToGrid w:val="0"/>
        <w:spacing w:line="460" w:lineRule="exact"/>
        <w:ind w:firstLine="511" w:firstLineChars="213"/>
        <w:rPr>
          <w:rFonts w:ascii="宋体" w:hAnsi="宋体"/>
          <w:sz w:val="24"/>
          <w:u w:val="single"/>
        </w:rPr>
      </w:pPr>
      <w:r>
        <w:rPr>
          <w:rFonts w:hint="eastAsia" w:ascii="宋体" w:hAnsi="宋体"/>
          <w:sz w:val="24"/>
          <w:u w:val="single"/>
        </w:rPr>
        <w:t>d、承包人应仔细勘察现场，施工时按照工程建设的需要及发包人的要求，统一服从发包人及监理的现场管理；</w:t>
      </w:r>
    </w:p>
    <w:p>
      <w:pPr>
        <w:snapToGrid w:val="0"/>
        <w:spacing w:line="460" w:lineRule="exact"/>
        <w:ind w:firstLine="511" w:firstLineChars="213"/>
        <w:rPr>
          <w:rFonts w:ascii="宋体" w:hAnsi="宋体"/>
          <w:sz w:val="24"/>
          <w:u w:val="single"/>
        </w:rPr>
      </w:pPr>
      <w:r>
        <w:rPr>
          <w:rFonts w:hint="eastAsia" w:ascii="宋体" w:hAnsi="宋体"/>
          <w:sz w:val="24"/>
          <w:u w:val="single"/>
        </w:rPr>
        <w:t>e、根据湖建发〔2013〕66号文件精神，承包人应当切实做好建筑施工扬尘治理工作；</w:t>
      </w:r>
    </w:p>
    <w:p>
      <w:pPr>
        <w:snapToGrid w:val="0"/>
        <w:spacing w:line="460" w:lineRule="exact"/>
        <w:ind w:firstLine="511" w:firstLineChars="213"/>
        <w:rPr>
          <w:rFonts w:ascii="宋体" w:hAnsi="宋体"/>
          <w:sz w:val="24"/>
          <w:u w:val="single"/>
        </w:rPr>
      </w:pPr>
      <w:r>
        <w:rPr>
          <w:rFonts w:hint="eastAsia" w:ascii="宋体" w:hAnsi="宋体"/>
          <w:sz w:val="24"/>
          <w:u w:val="single"/>
        </w:rPr>
        <w:t>f、因承包人原因造成周边设施损坏的，承包人必须在发包人规定的期限内修复，超出规定时间未修复的，发包人有权委托第三方对损坏设施进行修复，发生的费用直接在工程款中扣除，承包人必须无条件接受；</w:t>
      </w:r>
    </w:p>
    <w:p>
      <w:pPr>
        <w:snapToGrid w:val="0"/>
        <w:spacing w:line="460" w:lineRule="exact"/>
        <w:ind w:firstLine="511" w:firstLineChars="213"/>
        <w:rPr>
          <w:rFonts w:ascii="宋体" w:hAnsi="宋体"/>
          <w:sz w:val="24"/>
          <w:u w:val="single"/>
        </w:rPr>
      </w:pPr>
      <w:r>
        <w:rPr>
          <w:rFonts w:hint="eastAsia" w:ascii="宋体" w:hAnsi="宋体"/>
          <w:sz w:val="24"/>
          <w:u w:val="single"/>
        </w:rPr>
        <w:t>g、发包人有权增加或减少工程量，承包人不得以任何理由拒绝；无论工程量的增减，本工程施工措施费不予调整；</w:t>
      </w:r>
    </w:p>
    <w:p>
      <w:pPr>
        <w:snapToGrid w:val="0"/>
        <w:spacing w:line="460" w:lineRule="exact"/>
        <w:ind w:firstLine="511" w:firstLineChars="213"/>
        <w:rPr>
          <w:rFonts w:ascii="宋体" w:hAnsi="宋体"/>
          <w:sz w:val="24"/>
          <w:u w:val="single"/>
        </w:rPr>
      </w:pPr>
      <w:r>
        <w:rPr>
          <w:rFonts w:hint="eastAsia" w:ascii="宋体" w:hAnsi="宋体"/>
          <w:sz w:val="24"/>
          <w:u w:val="single"/>
        </w:rPr>
        <w:t>h、发包人有权要求承包人撤换工作不负责任、管理不力、贻误工期和造成严重的安全和质量事故、违法乱纪的工程技术管理人员或项目负责</w:t>
      </w:r>
      <w:r>
        <w:rPr>
          <w:rFonts w:ascii="宋体" w:hAnsi="宋体"/>
          <w:sz w:val="24"/>
          <w:u w:val="single"/>
        </w:rPr>
        <w:t>人</w:t>
      </w:r>
      <w:r>
        <w:rPr>
          <w:rFonts w:hint="eastAsia" w:ascii="宋体" w:hAnsi="宋体"/>
          <w:sz w:val="24"/>
          <w:u w:val="single"/>
        </w:rPr>
        <w:t>，直至发包人满意为止。</w:t>
      </w:r>
    </w:p>
    <w:p>
      <w:pPr>
        <w:snapToGrid w:val="0"/>
        <w:spacing w:line="460" w:lineRule="exact"/>
        <w:ind w:firstLine="480" w:firstLineChars="200"/>
        <w:rPr>
          <w:rFonts w:ascii="宋体" w:hAnsi="宋体"/>
          <w:color w:val="000000"/>
          <w:sz w:val="24"/>
        </w:rPr>
      </w:pPr>
      <w:r>
        <w:rPr>
          <w:rFonts w:ascii="宋体" w:hAnsi="宋体"/>
          <w:color w:val="000000"/>
          <w:sz w:val="24"/>
        </w:rPr>
        <w:t>3.2 项目</w:t>
      </w:r>
      <w:r>
        <w:rPr>
          <w:rFonts w:hint="eastAsia" w:ascii="宋体" w:hAnsi="宋体"/>
          <w:color w:val="000000"/>
          <w:sz w:val="24"/>
        </w:rPr>
        <w:t>负责人</w:t>
      </w:r>
    </w:p>
    <w:p>
      <w:pPr>
        <w:snapToGrid w:val="0"/>
        <w:spacing w:line="460" w:lineRule="exact"/>
        <w:ind w:firstLine="480" w:firstLineChars="200"/>
        <w:rPr>
          <w:rFonts w:ascii="宋体" w:hAnsi="宋体"/>
          <w:color w:val="000000"/>
          <w:sz w:val="24"/>
        </w:rPr>
      </w:pPr>
      <w:r>
        <w:rPr>
          <w:rFonts w:ascii="宋体" w:hAnsi="宋体"/>
          <w:color w:val="000000"/>
          <w:kern w:val="0"/>
          <w:sz w:val="24"/>
        </w:rPr>
        <w:t xml:space="preserve">3.2.1 </w:t>
      </w:r>
      <w:r>
        <w:rPr>
          <w:rFonts w:ascii="宋体" w:hAnsi="宋体"/>
          <w:color w:val="000000"/>
          <w:sz w:val="24"/>
        </w:rPr>
        <w:t>项目</w:t>
      </w:r>
      <w:r>
        <w:rPr>
          <w:rFonts w:hint="eastAsia" w:ascii="宋体" w:hAnsi="宋体"/>
          <w:color w:val="000000"/>
          <w:sz w:val="24"/>
        </w:rPr>
        <w:t>负责人</w:t>
      </w:r>
      <w:r>
        <w:rPr>
          <w:rFonts w:ascii="宋体" w:hAnsi="宋体"/>
          <w:color w:val="000000"/>
          <w:sz w:val="24"/>
        </w:rPr>
        <w:t>：</w:t>
      </w:r>
    </w:p>
    <w:p>
      <w:pPr>
        <w:snapToGrid w:val="0"/>
        <w:spacing w:line="460" w:lineRule="exact"/>
        <w:ind w:firstLine="480" w:firstLineChars="200"/>
        <w:rPr>
          <w:rFonts w:ascii="宋体" w:hAnsi="宋体"/>
          <w:color w:val="000000"/>
          <w:sz w:val="24"/>
        </w:rPr>
      </w:pPr>
      <w:r>
        <w:rPr>
          <w:rFonts w:ascii="宋体" w:hAnsi="宋体"/>
          <w:color w:val="000000"/>
          <w:sz w:val="24"/>
        </w:rPr>
        <w:t>姓    名：；</w:t>
      </w:r>
    </w:p>
    <w:p>
      <w:pPr>
        <w:snapToGrid w:val="0"/>
        <w:spacing w:line="460" w:lineRule="exact"/>
        <w:ind w:firstLine="480" w:firstLineChars="200"/>
        <w:rPr>
          <w:rFonts w:ascii="宋体" w:hAnsi="宋体"/>
          <w:color w:val="000000"/>
          <w:sz w:val="24"/>
        </w:rPr>
      </w:pPr>
      <w:r>
        <w:rPr>
          <w:rFonts w:ascii="宋体" w:hAnsi="宋体"/>
          <w:color w:val="000000"/>
          <w:sz w:val="24"/>
        </w:rPr>
        <w:t>身份证号：；</w:t>
      </w:r>
    </w:p>
    <w:p>
      <w:pPr>
        <w:snapToGrid w:val="0"/>
        <w:spacing w:line="460" w:lineRule="exact"/>
        <w:ind w:firstLine="480" w:firstLineChars="200"/>
        <w:rPr>
          <w:rFonts w:ascii="宋体" w:hAnsi="宋体"/>
          <w:color w:val="000000"/>
          <w:sz w:val="24"/>
        </w:rPr>
      </w:pPr>
      <w:r>
        <w:rPr>
          <w:rFonts w:ascii="宋体" w:hAnsi="宋体"/>
          <w:color w:val="000000"/>
          <w:sz w:val="24"/>
        </w:rPr>
        <w:t>建造师执业资格等级：；</w:t>
      </w:r>
    </w:p>
    <w:p>
      <w:pPr>
        <w:snapToGrid w:val="0"/>
        <w:spacing w:line="460" w:lineRule="exact"/>
        <w:ind w:firstLine="480" w:firstLineChars="200"/>
        <w:rPr>
          <w:rFonts w:ascii="宋体" w:hAnsi="宋体"/>
          <w:color w:val="000000"/>
          <w:sz w:val="24"/>
        </w:rPr>
      </w:pPr>
      <w:r>
        <w:rPr>
          <w:rFonts w:ascii="宋体" w:hAnsi="宋体"/>
          <w:color w:val="000000"/>
          <w:sz w:val="24"/>
        </w:rPr>
        <w:t>建造师注册证书号：；</w:t>
      </w:r>
    </w:p>
    <w:p>
      <w:pPr>
        <w:snapToGrid w:val="0"/>
        <w:spacing w:line="460" w:lineRule="exact"/>
        <w:ind w:firstLine="480" w:firstLineChars="200"/>
        <w:rPr>
          <w:rFonts w:ascii="宋体" w:hAnsi="宋体"/>
          <w:color w:val="000000"/>
          <w:sz w:val="24"/>
        </w:rPr>
      </w:pPr>
      <w:r>
        <w:rPr>
          <w:rFonts w:ascii="宋体" w:hAnsi="宋体"/>
          <w:color w:val="000000"/>
          <w:sz w:val="24"/>
        </w:rPr>
        <w:t>建造师执业印章号：；</w:t>
      </w:r>
    </w:p>
    <w:p>
      <w:pPr>
        <w:snapToGrid w:val="0"/>
        <w:spacing w:line="460" w:lineRule="exact"/>
        <w:ind w:firstLine="480" w:firstLineChars="200"/>
        <w:rPr>
          <w:rFonts w:ascii="宋体" w:hAnsi="宋体"/>
          <w:color w:val="000000"/>
          <w:sz w:val="24"/>
        </w:rPr>
      </w:pPr>
      <w:r>
        <w:rPr>
          <w:rFonts w:ascii="宋体" w:hAnsi="宋体"/>
          <w:color w:val="000000"/>
          <w:sz w:val="24"/>
        </w:rPr>
        <w:t>安全生产考核合格证书号：；</w:t>
      </w:r>
    </w:p>
    <w:p>
      <w:pPr>
        <w:snapToGrid w:val="0"/>
        <w:spacing w:line="460" w:lineRule="exact"/>
        <w:ind w:firstLine="480" w:firstLineChars="200"/>
        <w:rPr>
          <w:rFonts w:ascii="宋体" w:hAnsi="宋体"/>
          <w:color w:val="000000"/>
          <w:sz w:val="24"/>
        </w:rPr>
      </w:pPr>
      <w:r>
        <w:rPr>
          <w:rFonts w:ascii="宋体" w:hAnsi="宋体"/>
          <w:color w:val="000000"/>
          <w:sz w:val="24"/>
        </w:rPr>
        <w:t>联系电话：；</w:t>
      </w:r>
    </w:p>
    <w:p>
      <w:pPr>
        <w:snapToGrid w:val="0"/>
        <w:spacing w:line="460" w:lineRule="exact"/>
        <w:ind w:firstLine="480" w:firstLineChars="200"/>
        <w:rPr>
          <w:rFonts w:ascii="宋体" w:hAnsi="宋体"/>
          <w:color w:val="000000"/>
          <w:sz w:val="24"/>
        </w:rPr>
      </w:pPr>
      <w:r>
        <w:rPr>
          <w:rFonts w:ascii="宋体" w:hAnsi="宋体"/>
          <w:color w:val="000000"/>
          <w:sz w:val="24"/>
        </w:rPr>
        <w:t>电子信箱：；</w:t>
      </w:r>
    </w:p>
    <w:p>
      <w:pPr>
        <w:snapToGrid w:val="0"/>
        <w:spacing w:line="460" w:lineRule="exact"/>
        <w:ind w:firstLine="480" w:firstLineChars="200"/>
        <w:rPr>
          <w:rFonts w:ascii="宋体" w:hAnsi="宋体"/>
          <w:color w:val="000000"/>
          <w:sz w:val="24"/>
        </w:rPr>
      </w:pPr>
      <w:r>
        <w:rPr>
          <w:rFonts w:ascii="宋体" w:hAnsi="宋体"/>
          <w:color w:val="000000"/>
          <w:sz w:val="24"/>
        </w:rPr>
        <w:t>通信地址：；</w:t>
      </w:r>
    </w:p>
    <w:p>
      <w:pPr>
        <w:snapToGrid w:val="0"/>
        <w:spacing w:line="460" w:lineRule="exact"/>
        <w:ind w:firstLine="480" w:firstLineChars="200"/>
        <w:rPr>
          <w:rFonts w:ascii="宋体" w:hAnsi="宋体"/>
          <w:color w:val="000000"/>
          <w:sz w:val="24"/>
        </w:rPr>
      </w:pPr>
      <w:r>
        <w:rPr>
          <w:rFonts w:ascii="宋体" w:hAnsi="宋体"/>
          <w:color w:val="000000"/>
          <w:sz w:val="24"/>
        </w:rPr>
        <w:t>承包人对项目</w:t>
      </w:r>
      <w:r>
        <w:rPr>
          <w:rFonts w:hint="eastAsia" w:ascii="宋体" w:hAnsi="宋体"/>
          <w:color w:val="000000"/>
          <w:sz w:val="24"/>
        </w:rPr>
        <w:t>负责人</w:t>
      </w:r>
      <w:r>
        <w:rPr>
          <w:rFonts w:ascii="宋体" w:hAnsi="宋体"/>
          <w:color w:val="000000"/>
          <w:sz w:val="24"/>
        </w:rPr>
        <w:t>的授权范围如下</w:t>
      </w:r>
      <w:r>
        <w:rPr>
          <w:rFonts w:hint="eastAsia" w:ascii="宋体" w:hAnsi="宋体"/>
          <w:color w:val="000000"/>
          <w:sz w:val="24"/>
        </w:rPr>
        <w:t>：</w:t>
      </w:r>
    </w:p>
    <w:p>
      <w:pPr>
        <w:snapToGrid w:val="0"/>
        <w:spacing w:line="460" w:lineRule="exact"/>
        <w:ind w:firstLine="480" w:firstLineChars="200"/>
        <w:jc w:val="left"/>
        <w:rPr>
          <w:rFonts w:ascii="宋体" w:hAnsi="宋体"/>
          <w:color w:val="000000"/>
          <w:kern w:val="0"/>
          <w:sz w:val="24"/>
        </w:rPr>
      </w:pPr>
      <w:r>
        <w:rPr>
          <w:rFonts w:ascii="宋体" w:hAnsi="宋体"/>
          <w:color w:val="000000"/>
          <w:kern w:val="0"/>
          <w:sz w:val="24"/>
        </w:rPr>
        <w:t>关于项目</w:t>
      </w:r>
      <w:r>
        <w:rPr>
          <w:rFonts w:hint="eastAsia" w:ascii="宋体" w:hAnsi="宋体"/>
          <w:color w:val="000000"/>
          <w:sz w:val="24"/>
        </w:rPr>
        <w:t>负责人</w:t>
      </w:r>
      <w:r>
        <w:rPr>
          <w:rFonts w:ascii="宋体" w:hAnsi="宋体"/>
          <w:color w:val="000000"/>
          <w:kern w:val="0"/>
          <w:sz w:val="24"/>
        </w:rPr>
        <w:t>每月在施工现场的时间要求：</w:t>
      </w:r>
      <w:r>
        <w:rPr>
          <w:rFonts w:hint="eastAsia" w:ascii="宋体" w:hAnsi="宋体"/>
          <w:color w:val="000000"/>
          <w:sz w:val="24"/>
          <w:u w:val="single"/>
        </w:rPr>
        <w:t>承担本工程施工的项目负责人、项目技术负责人到位率应达到施工总日历天数85%以上，否则视为项目负责人不到位，处1000元/天的违约金并扣罚相应履约保证金</w:t>
      </w:r>
      <w:r>
        <w:rPr>
          <w:rFonts w:ascii="宋体" w:hAnsi="宋体"/>
          <w:color w:val="000000"/>
          <w:sz w:val="24"/>
        </w:rPr>
        <w:t>。</w:t>
      </w:r>
    </w:p>
    <w:p>
      <w:pPr>
        <w:snapToGrid w:val="0"/>
        <w:spacing w:line="460" w:lineRule="exact"/>
        <w:ind w:firstLine="480" w:firstLineChars="200"/>
        <w:rPr>
          <w:rFonts w:ascii="宋体" w:hAnsi="宋体"/>
          <w:kern w:val="0"/>
          <w:sz w:val="24"/>
        </w:rPr>
      </w:pPr>
      <w:r>
        <w:rPr>
          <w:rFonts w:ascii="宋体" w:hAnsi="宋体"/>
          <w:kern w:val="0"/>
          <w:sz w:val="24"/>
        </w:rPr>
        <w:t>承包人未提交劳动合同，以及没有为项目</w:t>
      </w:r>
      <w:r>
        <w:rPr>
          <w:rFonts w:hint="eastAsia" w:ascii="宋体" w:hAnsi="宋体"/>
          <w:color w:val="000000"/>
          <w:sz w:val="24"/>
        </w:rPr>
        <w:t>负责人</w:t>
      </w:r>
      <w:r>
        <w:rPr>
          <w:rFonts w:ascii="宋体" w:hAnsi="宋体"/>
          <w:kern w:val="0"/>
          <w:sz w:val="24"/>
        </w:rPr>
        <w:t>缴纳社会保险证明的违约责任：</w:t>
      </w:r>
      <w:r>
        <w:rPr>
          <w:rFonts w:hint="eastAsia" w:ascii="宋体" w:hAnsi="宋体"/>
          <w:sz w:val="24"/>
          <w:u w:val="single"/>
        </w:rPr>
        <w:t>发包人有权解除合同或提出索赔</w:t>
      </w:r>
      <w:r>
        <w:rPr>
          <w:rFonts w:ascii="宋体" w:hAnsi="宋体"/>
          <w:sz w:val="24"/>
        </w:rPr>
        <w:t>。</w:t>
      </w:r>
    </w:p>
    <w:p>
      <w:pPr>
        <w:snapToGrid w:val="0"/>
        <w:spacing w:line="460" w:lineRule="exact"/>
        <w:ind w:firstLine="480" w:firstLineChars="200"/>
        <w:rPr>
          <w:rFonts w:ascii="宋体" w:hAnsi="宋体"/>
          <w:sz w:val="24"/>
          <w:u w:val="single"/>
        </w:rPr>
      </w:pPr>
      <w:r>
        <w:rPr>
          <w:rFonts w:ascii="宋体" w:hAnsi="宋体"/>
          <w:kern w:val="0"/>
          <w:sz w:val="24"/>
        </w:rPr>
        <w:t>项目</w:t>
      </w:r>
      <w:r>
        <w:rPr>
          <w:rFonts w:hint="eastAsia" w:ascii="宋体" w:hAnsi="宋体"/>
          <w:color w:val="000000"/>
          <w:sz w:val="24"/>
        </w:rPr>
        <w:t>负责人</w:t>
      </w:r>
      <w:r>
        <w:rPr>
          <w:rFonts w:ascii="宋体" w:hAnsi="宋体"/>
          <w:kern w:val="0"/>
          <w:sz w:val="24"/>
        </w:rPr>
        <w:t>未经批准，擅自离开施工现场的违约责任：</w:t>
      </w:r>
      <w:r>
        <w:rPr>
          <w:rFonts w:hint="eastAsia" w:ascii="宋体" w:hAnsi="宋体"/>
          <w:sz w:val="24"/>
          <w:u w:val="single"/>
        </w:rPr>
        <w:t>在合同总价款中按1000元/天扣罚，累计达到5次或总天数达到5天的，发包人有权要求更换</w:t>
      </w:r>
      <w:r>
        <w:rPr>
          <w:rFonts w:ascii="宋体" w:hAnsi="宋体"/>
          <w:sz w:val="24"/>
          <w:u w:val="single"/>
        </w:rPr>
        <w:t>项目</w:t>
      </w:r>
      <w:r>
        <w:rPr>
          <w:rFonts w:hint="eastAsia" w:ascii="宋体" w:hAnsi="宋体"/>
          <w:sz w:val="24"/>
          <w:u w:val="single"/>
        </w:rPr>
        <w:t>负责人，并从合同总价款中扣罚1万元</w:t>
      </w:r>
      <w:r>
        <w:rPr>
          <w:rFonts w:ascii="宋体" w:hAnsi="宋体"/>
          <w:sz w:val="24"/>
        </w:rPr>
        <w:t>。</w:t>
      </w:r>
    </w:p>
    <w:p>
      <w:pPr>
        <w:snapToGrid w:val="0"/>
        <w:spacing w:line="460" w:lineRule="exact"/>
        <w:ind w:firstLine="480" w:firstLineChars="200"/>
        <w:rPr>
          <w:rFonts w:ascii="宋体" w:hAnsi="宋体"/>
          <w:kern w:val="0"/>
          <w:sz w:val="24"/>
        </w:rPr>
      </w:pPr>
      <w:r>
        <w:rPr>
          <w:rFonts w:ascii="宋体" w:hAnsi="宋体"/>
          <w:kern w:val="0"/>
          <w:sz w:val="24"/>
        </w:rPr>
        <w:t>3.2.3 承包人擅自更换项目</w:t>
      </w:r>
      <w:r>
        <w:rPr>
          <w:rFonts w:hint="eastAsia" w:ascii="宋体" w:hAnsi="宋体"/>
          <w:color w:val="000000"/>
          <w:sz w:val="24"/>
        </w:rPr>
        <w:t>负责人</w:t>
      </w:r>
      <w:r>
        <w:rPr>
          <w:rFonts w:ascii="宋体" w:hAnsi="宋体"/>
          <w:kern w:val="0"/>
          <w:sz w:val="24"/>
        </w:rPr>
        <w:t>的违约责任：</w:t>
      </w:r>
      <w:r>
        <w:rPr>
          <w:rFonts w:hint="eastAsia" w:ascii="宋体" w:hAnsi="宋体"/>
          <w:sz w:val="24"/>
          <w:u w:val="single"/>
        </w:rPr>
        <w:t>原则上不可变更，除不可抗力的情况外，必须变更的，须经发包人同意，且更换的项目负责人的资质等级及业绩不能低于原项目负责人的资质及业绩。更换项目负责人扣罚按1万元/次</w:t>
      </w:r>
      <w:r>
        <w:rPr>
          <w:rFonts w:ascii="宋体" w:hAnsi="宋体"/>
          <w:kern w:val="0"/>
          <w:sz w:val="24"/>
        </w:rPr>
        <w:t>。</w:t>
      </w:r>
    </w:p>
    <w:p>
      <w:pPr>
        <w:snapToGrid w:val="0"/>
        <w:spacing w:line="460" w:lineRule="exact"/>
        <w:rPr>
          <w:rFonts w:ascii="宋体" w:hAnsi="宋体"/>
          <w:sz w:val="24"/>
        </w:rPr>
      </w:pPr>
      <w:r>
        <w:rPr>
          <w:rFonts w:ascii="宋体" w:hAnsi="宋体"/>
          <w:kern w:val="0"/>
          <w:sz w:val="24"/>
        </w:rPr>
        <w:t xml:space="preserve">    3.2.4 承包人无正当理由拒绝更换项目</w:t>
      </w:r>
      <w:r>
        <w:rPr>
          <w:rFonts w:hint="eastAsia" w:ascii="宋体" w:hAnsi="宋体"/>
          <w:color w:val="000000"/>
          <w:sz w:val="24"/>
        </w:rPr>
        <w:t>负责人</w:t>
      </w:r>
      <w:r>
        <w:rPr>
          <w:rFonts w:ascii="宋体" w:hAnsi="宋体"/>
          <w:kern w:val="0"/>
          <w:sz w:val="24"/>
        </w:rPr>
        <w:t>的违约责任：</w:t>
      </w:r>
      <w:r>
        <w:rPr>
          <w:rFonts w:hint="eastAsia" w:ascii="宋体" w:hAnsi="宋体"/>
          <w:sz w:val="24"/>
          <w:u w:val="single"/>
        </w:rPr>
        <w:t>按承包人违约处理，扣罚全额履约保证金，发包人有权单方解除合同，并上报行政主管部门</w:t>
      </w:r>
      <w:r>
        <w:rPr>
          <w:rFonts w:hint="eastAsia" w:ascii="宋体" w:hAnsi="宋体"/>
          <w:kern w:val="0"/>
          <w:sz w:val="24"/>
        </w:rPr>
        <w:t xml:space="preserve">。  </w:t>
      </w:r>
    </w:p>
    <w:p>
      <w:pPr>
        <w:snapToGrid w:val="0"/>
        <w:spacing w:line="460" w:lineRule="exact"/>
        <w:ind w:firstLine="480" w:firstLineChars="200"/>
        <w:rPr>
          <w:rFonts w:ascii="宋体" w:hAnsi="宋体"/>
          <w:sz w:val="24"/>
        </w:rPr>
      </w:pPr>
      <w:r>
        <w:rPr>
          <w:rFonts w:ascii="宋体" w:hAnsi="宋体"/>
          <w:sz w:val="24"/>
        </w:rPr>
        <w:t>3.3 承包人人员</w:t>
      </w:r>
    </w:p>
    <w:p>
      <w:pPr>
        <w:snapToGrid w:val="0"/>
        <w:spacing w:line="460" w:lineRule="exact"/>
        <w:ind w:firstLine="480" w:firstLineChars="200"/>
        <w:rPr>
          <w:rFonts w:ascii="宋体" w:hAnsi="宋体"/>
          <w:sz w:val="24"/>
          <w:u w:val="single"/>
        </w:rPr>
      </w:pPr>
      <w:r>
        <w:rPr>
          <w:rFonts w:ascii="宋体" w:hAnsi="宋体"/>
          <w:sz w:val="24"/>
        </w:rPr>
        <w:t>3.3.1 承包人提交项目管理机构及施工现场管理人员安排报告的期限：</w:t>
      </w:r>
      <w:r>
        <w:rPr>
          <w:rFonts w:hint="eastAsia" w:ascii="宋体" w:hAnsi="宋体"/>
          <w:color w:val="000000"/>
          <w:kern w:val="0"/>
          <w:sz w:val="24"/>
          <w:szCs w:val="32"/>
          <w:u w:val="single"/>
        </w:rPr>
        <w:t>按《通用条款》执行。</w:t>
      </w:r>
    </w:p>
    <w:p>
      <w:pPr>
        <w:snapToGrid w:val="0"/>
        <w:spacing w:line="460" w:lineRule="exact"/>
        <w:ind w:firstLine="480" w:firstLineChars="200"/>
        <w:rPr>
          <w:rFonts w:ascii="宋体" w:hAnsi="宋体"/>
          <w:sz w:val="24"/>
        </w:rPr>
      </w:pPr>
      <w:r>
        <w:rPr>
          <w:rFonts w:ascii="宋体" w:hAnsi="宋体"/>
          <w:sz w:val="24"/>
        </w:rPr>
        <w:t>3.3.3承包人无正当理由拒绝撤换主要施工管理人员的违约责任：</w:t>
      </w:r>
      <w:r>
        <w:rPr>
          <w:rFonts w:hint="eastAsia" w:ascii="宋体" w:hAnsi="宋体"/>
          <w:sz w:val="24"/>
          <w:u w:val="single"/>
        </w:rPr>
        <w:t>按承包人违约处理，发包人有权单方解除合同，扣罚全额履约保证金，并上报行政主管部门</w:t>
      </w:r>
      <w:r>
        <w:rPr>
          <w:rFonts w:ascii="宋体" w:hAnsi="宋体"/>
          <w:sz w:val="24"/>
        </w:rPr>
        <w:t>。</w:t>
      </w:r>
    </w:p>
    <w:p>
      <w:pPr>
        <w:snapToGrid w:val="0"/>
        <w:spacing w:line="460" w:lineRule="exact"/>
        <w:ind w:firstLine="480" w:firstLineChars="200"/>
        <w:rPr>
          <w:rFonts w:ascii="宋体" w:hAnsi="宋体"/>
          <w:color w:val="000000"/>
          <w:sz w:val="24"/>
        </w:rPr>
      </w:pPr>
      <w:r>
        <w:rPr>
          <w:rFonts w:ascii="宋体" w:hAnsi="宋体"/>
          <w:color w:val="000000"/>
          <w:sz w:val="24"/>
        </w:rPr>
        <w:t>3.3.4 承包人主要施工管理人员离开施工现场的批准要求：</w:t>
      </w:r>
    </w:p>
    <w:p>
      <w:pPr>
        <w:snapToGrid w:val="0"/>
        <w:spacing w:line="460" w:lineRule="exact"/>
        <w:ind w:firstLine="480" w:firstLineChars="200"/>
        <w:rPr>
          <w:rFonts w:ascii="宋体" w:hAnsi="宋体"/>
          <w:sz w:val="24"/>
          <w:u w:val="single"/>
        </w:rPr>
      </w:pPr>
      <w:r>
        <w:rPr>
          <w:rFonts w:hint="eastAsia" w:ascii="宋体" w:hAnsi="宋体"/>
          <w:sz w:val="24"/>
          <w:u w:val="single"/>
        </w:rPr>
        <w:t>安全负责人及其他项目管理人员到位率应达到施工总日历天数85%以上，否则视为项目管理人员不到位，处1000元/天·人的违约金并扣罚相应履约保证金</w:t>
      </w:r>
      <w:r>
        <w:rPr>
          <w:rFonts w:hint="eastAsia" w:ascii="宋体" w:hAnsi="宋体"/>
          <w:sz w:val="24"/>
        </w:rPr>
        <w:t>。</w:t>
      </w:r>
    </w:p>
    <w:p>
      <w:pPr>
        <w:snapToGrid w:val="0"/>
        <w:spacing w:line="460" w:lineRule="exact"/>
        <w:ind w:firstLine="480" w:firstLineChars="200"/>
        <w:rPr>
          <w:rFonts w:ascii="宋体" w:hAnsi="宋体"/>
          <w:sz w:val="24"/>
        </w:rPr>
      </w:pPr>
      <w:r>
        <w:rPr>
          <w:rFonts w:ascii="宋体" w:hAnsi="宋体"/>
          <w:sz w:val="24"/>
        </w:rPr>
        <w:t>3.3.5承包人擅自更换主要施工管理人员的违约责任：</w:t>
      </w:r>
      <w:r>
        <w:rPr>
          <w:rFonts w:hint="eastAsia" w:ascii="宋体" w:hAnsi="宋体"/>
          <w:sz w:val="24"/>
          <w:u w:val="single"/>
        </w:rPr>
        <w:t>按承包人违约处理，扣罚全额履约保证金，发包人有权单方解除合同，并上报行政主管部门</w:t>
      </w:r>
      <w:r>
        <w:rPr>
          <w:rFonts w:ascii="宋体" w:hAnsi="宋体"/>
          <w:sz w:val="24"/>
        </w:rPr>
        <w:t>。</w:t>
      </w:r>
    </w:p>
    <w:p>
      <w:pPr>
        <w:snapToGrid w:val="0"/>
        <w:spacing w:line="460" w:lineRule="exact"/>
        <w:ind w:firstLine="480" w:firstLineChars="200"/>
        <w:rPr>
          <w:rFonts w:ascii="宋体" w:hAnsi="宋体"/>
          <w:sz w:val="24"/>
        </w:rPr>
      </w:pPr>
      <w:r>
        <w:rPr>
          <w:rFonts w:ascii="宋体" w:hAnsi="宋体"/>
          <w:sz w:val="24"/>
        </w:rPr>
        <w:t>承包人主要施工管理人员擅自离开施工现场的违约责任：</w:t>
      </w:r>
      <w:r>
        <w:rPr>
          <w:rFonts w:hint="eastAsia" w:ascii="宋体" w:hAnsi="宋体"/>
          <w:sz w:val="24"/>
          <w:u w:val="single"/>
        </w:rPr>
        <w:t>在合同总价款中按1000元/天·人扣罚，累计达到5次或总天数达到5天的，发包人有权要求更换人员，并从合同总价款中扣罚1万元。</w:t>
      </w:r>
    </w:p>
    <w:p>
      <w:pPr>
        <w:snapToGrid w:val="0"/>
        <w:spacing w:line="460" w:lineRule="exact"/>
        <w:ind w:firstLine="480" w:firstLineChars="200"/>
        <w:rPr>
          <w:rFonts w:ascii="宋体" w:hAnsi="宋体"/>
          <w:sz w:val="24"/>
        </w:rPr>
      </w:pPr>
      <w:r>
        <w:rPr>
          <w:rFonts w:ascii="宋体" w:hAnsi="宋体"/>
          <w:sz w:val="24"/>
        </w:rPr>
        <w:t>3</w:t>
      </w:r>
      <w:bookmarkStart w:id="279" w:name="_Toc296346660"/>
      <w:bookmarkStart w:id="280" w:name="_Toc292559869"/>
      <w:bookmarkStart w:id="281" w:name="_Toc300934945"/>
      <w:bookmarkStart w:id="282" w:name="_Toc303539102"/>
      <w:bookmarkStart w:id="283" w:name="_Toc304295523"/>
      <w:bookmarkStart w:id="284" w:name="_Toc312677988"/>
      <w:bookmarkStart w:id="285" w:name="_Toc296890987"/>
      <w:bookmarkStart w:id="286" w:name="_Toc292559364"/>
      <w:bookmarkStart w:id="287" w:name="_Toc297120459"/>
      <w:bookmarkStart w:id="288" w:name="_Toc297216151"/>
      <w:bookmarkStart w:id="289" w:name="_Toc296891199"/>
      <w:bookmarkStart w:id="290" w:name="_Toc297048345"/>
      <w:bookmarkStart w:id="291" w:name="_Toc296944498"/>
      <w:bookmarkStart w:id="292" w:name="_Toc296347158"/>
      <w:bookmarkStart w:id="293" w:name="_Toc297123492"/>
      <w:bookmarkStart w:id="294" w:name="_Toc296503159"/>
      <w:r>
        <w:rPr>
          <w:rFonts w:ascii="宋体" w:hAnsi="宋体"/>
          <w:sz w:val="24"/>
        </w:rPr>
        <w:t>.5 分包</w:t>
      </w:r>
    </w:p>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Pr>
        <w:snapToGrid w:val="0"/>
        <w:spacing w:line="460" w:lineRule="exact"/>
        <w:ind w:firstLine="480" w:firstLineChars="200"/>
        <w:rPr>
          <w:rFonts w:ascii="宋体" w:hAnsi="宋体"/>
          <w:sz w:val="24"/>
        </w:rPr>
      </w:pPr>
      <w:r>
        <w:rPr>
          <w:rFonts w:ascii="宋体" w:hAnsi="宋体"/>
          <w:sz w:val="24"/>
        </w:rPr>
        <w:t>3</w:t>
      </w:r>
      <w:bookmarkStart w:id="295" w:name="_Toc297123493"/>
      <w:bookmarkStart w:id="296" w:name="_Toc297048346"/>
      <w:bookmarkStart w:id="297" w:name="_Toc292559870"/>
      <w:bookmarkStart w:id="298" w:name="_Toc296503160"/>
      <w:bookmarkStart w:id="299" w:name="_Toc296891200"/>
      <w:bookmarkStart w:id="300" w:name="_Toc297216152"/>
      <w:bookmarkStart w:id="301" w:name="_Toc296944499"/>
      <w:bookmarkStart w:id="302" w:name="_Toc300934946"/>
      <w:bookmarkStart w:id="303" w:name="_Toc303539103"/>
      <w:bookmarkStart w:id="304" w:name="_Toc304295524"/>
      <w:bookmarkStart w:id="305" w:name="_Toc296346661"/>
      <w:bookmarkStart w:id="306" w:name="_Toc297120460"/>
      <w:bookmarkStart w:id="307" w:name="_Toc296890988"/>
      <w:bookmarkStart w:id="308" w:name="_Toc292559365"/>
      <w:bookmarkStart w:id="309" w:name="_Toc296347159"/>
      <w:bookmarkStart w:id="310" w:name="_Toc312677989"/>
      <w:bookmarkStart w:id="311" w:name="_Toc318581158"/>
      <w:r>
        <w:rPr>
          <w:rFonts w:ascii="宋体" w:hAnsi="宋体"/>
          <w:sz w:val="24"/>
        </w:rPr>
        <w:t>.5.1 分包的一般约定</w:t>
      </w:r>
    </w:p>
    <w:p>
      <w:pPr>
        <w:snapToGrid w:val="0"/>
        <w:spacing w:line="460" w:lineRule="exact"/>
        <w:ind w:firstLine="480" w:firstLineChars="200"/>
        <w:jc w:val="left"/>
        <w:rPr>
          <w:rFonts w:ascii="宋体" w:hAnsi="宋体"/>
          <w:sz w:val="24"/>
        </w:rPr>
      </w:pPr>
      <w:r>
        <w:rPr>
          <w:rFonts w:ascii="宋体" w:hAnsi="宋体"/>
          <w:sz w:val="24"/>
        </w:rPr>
        <w:t>禁止分包的工程包括：</w:t>
      </w:r>
      <w:r>
        <w:rPr>
          <w:rFonts w:hint="eastAsia" w:ascii="宋体" w:hAnsi="宋体"/>
          <w:sz w:val="24"/>
          <w:u w:val="single"/>
        </w:rPr>
        <w:t>所有工程严禁分包</w:t>
      </w:r>
      <w:r>
        <w:rPr>
          <w:rFonts w:ascii="宋体" w:hAnsi="宋体"/>
          <w:color w:val="000000"/>
          <w:sz w:val="24"/>
        </w:rPr>
        <w:t>。</w:t>
      </w:r>
    </w:p>
    <w:p>
      <w:pPr>
        <w:snapToGrid w:val="0"/>
        <w:spacing w:line="460" w:lineRule="exact"/>
        <w:ind w:firstLine="480" w:firstLineChars="200"/>
        <w:jc w:val="left"/>
        <w:rPr>
          <w:rFonts w:ascii="宋体" w:hAnsi="宋体"/>
          <w:color w:val="000000"/>
          <w:sz w:val="24"/>
          <w:u w:val="single"/>
        </w:rPr>
      </w:pPr>
      <w:r>
        <w:rPr>
          <w:rFonts w:ascii="宋体" w:hAnsi="宋体"/>
          <w:sz w:val="24"/>
        </w:rPr>
        <w:t>主体结构、关键性工作的范围</w:t>
      </w:r>
      <w:r>
        <w:rPr>
          <w:rFonts w:hint="eastAsia" w:ascii="宋体" w:hAnsi="宋体"/>
          <w:color w:val="000000"/>
          <w:sz w:val="24"/>
          <w:u w:val="single"/>
        </w:rPr>
        <w:t>无</w:t>
      </w:r>
      <w:r>
        <w:rPr>
          <w:rFonts w:ascii="宋体" w:hAnsi="宋体"/>
          <w:color w:val="000000"/>
          <w:sz w:val="24"/>
        </w:rPr>
        <w:t>。</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Start w:id="312" w:name="_Toc296347160"/>
      <w:bookmarkStart w:id="313" w:name="_Toc296503161"/>
      <w:bookmarkStart w:id="314" w:name="_Toc296346662"/>
      <w:bookmarkStart w:id="315" w:name="_Toc296890989"/>
      <w:bookmarkStart w:id="316" w:name="_Toc297048347"/>
      <w:bookmarkStart w:id="317" w:name="_Toc297120461"/>
      <w:bookmarkStart w:id="318" w:name="_Toc296891201"/>
      <w:bookmarkStart w:id="319" w:name="_Toc296944500"/>
      <w:bookmarkStart w:id="320" w:name="_Toc297123494"/>
      <w:bookmarkStart w:id="321" w:name="_Toc297216153"/>
      <w:bookmarkStart w:id="322" w:name="_Toc300934947"/>
      <w:bookmarkStart w:id="323" w:name="_Toc303539104"/>
      <w:bookmarkStart w:id="324" w:name="_Toc304295525"/>
    </w:p>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Pr>
        <w:snapToGrid w:val="0"/>
        <w:spacing w:line="460" w:lineRule="exact"/>
        <w:rPr>
          <w:rFonts w:ascii="宋体" w:hAnsi="宋体"/>
          <w:sz w:val="24"/>
        </w:rPr>
      </w:pPr>
      <w:r>
        <w:rPr>
          <w:rFonts w:ascii="宋体" w:hAnsi="宋体"/>
          <w:sz w:val="24"/>
        </w:rPr>
        <w:t xml:space="preserve">    3</w:t>
      </w:r>
      <w:bookmarkStart w:id="325" w:name="_Toc318581159"/>
      <w:bookmarkStart w:id="326" w:name="_Toc312677990"/>
      <w:r>
        <w:rPr>
          <w:rFonts w:ascii="宋体" w:hAnsi="宋体"/>
          <w:sz w:val="24"/>
        </w:rPr>
        <w:t>.5.2分包的确定</w:t>
      </w:r>
    </w:p>
    <w:p>
      <w:pPr>
        <w:snapToGrid w:val="0"/>
        <w:spacing w:line="460" w:lineRule="exact"/>
        <w:ind w:firstLine="480" w:firstLineChars="200"/>
        <w:rPr>
          <w:rFonts w:ascii="宋体" w:hAnsi="宋体"/>
          <w:sz w:val="24"/>
        </w:rPr>
      </w:pPr>
      <w:r>
        <w:rPr>
          <w:rFonts w:ascii="宋体" w:hAnsi="宋体"/>
          <w:sz w:val="24"/>
        </w:rPr>
        <w:t>允许分包的专业工程包括：</w:t>
      </w:r>
      <w:r>
        <w:rPr>
          <w:rFonts w:hint="eastAsia" w:ascii="宋体" w:hAnsi="宋体"/>
          <w:sz w:val="24"/>
          <w:u w:val="single"/>
        </w:rPr>
        <w:t>严禁分包</w:t>
      </w:r>
      <w:r>
        <w:rPr>
          <w:rFonts w:ascii="宋体" w:hAnsi="宋体"/>
          <w:sz w:val="24"/>
        </w:rPr>
        <w:t>。</w:t>
      </w:r>
    </w:p>
    <w:p>
      <w:pPr>
        <w:snapToGrid w:val="0"/>
        <w:spacing w:line="460" w:lineRule="exact"/>
        <w:ind w:firstLine="480" w:firstLineChars="200"/>
        <w:rPr>
          <w:rFonts w:ascii="宋体" w:hAnsi="宋体"/>
          <w:sz w:val="24"/>
        </w:rPr>
      </w:pPr>
      <w:r>
        <w:rPr>
          <w:rFonts w:ascii="宋体" w:hAnsi="宋体"/>
          <w:sz w:val="24"/>
        </w:rPr>
        <w:t>其他关于分包的约定：</w:t>
      </w:r>
      <w:r>
        <w:rPr>
          <w:rFonts w:hint="eastAsia" w:ascii="宋体" w:hAnsi="宋体"/>
          <w:sz w:val="24"/>
          <w:u w:val="single"/>
        </w:rPr>
        <w:t>严禁分包</w:t>
      </w:r>
      <w:r>
        <w:rPr>
          <w:rFonts w:ascii="宋体" w:hAnsi="宋体"/>
          <w:sz w:val="24"/>
        </w:rPr>
        <w:t>。</w:t>
      </w:r>
    </w:p>
    <w:p>
      <w:pPr>
        <w:snapToGrid w:val="0"/>
        <w:spacing w:line="460" w:lineRule="exact"/>
        <w:ind w:firstLine="480" w:firstLineChars="200"/>
        <w:rPr>
          <w:rFonts w:ascii="宋体" w:hAnsi="宋体"/>
          <w:sz w:val="24"/>
        </w:rPr>
      </w:pPr>
      <w:r>
        <w:rPr>
          <w:rFonts w:ascii="宋体" w:hAnsi="宋体"/>
          <w:sz w:val="24"/>
        </w:rPr>
        <w:t>3.5.4 分包合同价款</w:t>
      </w:r>
    </w:p>
    <w:p>
      <w:pPr>
        <w:snapToGrid w:val="0"/>
        <w:spacing w:line="460" w:lineRule="exact"/>
        <w:ind w:firstLine="480" w:firstLineChars="200"/>
        <w:rPr>
          <w:rFonts w:ascii="宋体" w:hAnsi="宋体"/>
          <w:sz w:val="24"/>
        </w:rPr>
      </w:pPr>
      <w:r>
        <w:rPr>
          <w:rFonts w:ascii="宋体" w:hAnsi="宋体"/>
          <w:sz w:val="24"/>
        </w:rPr>
        <w:t>关于分包合同价款支付的约定：</w:t>
      </w:r>
      <w:r>
        <w:rPr>
          <w:rFonts w:ascii="宋体" w:hAnsi="宋体"/>
          <w:color w:val="000000"/>
          <w:sz w:val="24"/>
        </w:rPr>
        <w:t>。</w:t>
      </w:r>
    </w:p>
    <w:bookmarkEnd w:id="325"/>
    <w:bookmarkEnd w:id="326"/>
    <w:p>
      <w:pPr>
        <w:snapToGrid w:val="0"/>
        <w:spacing w:line="460" w:lineRule="exact"/>
        <w:ind w:firstLine="480" w:firstLineChars="200"/>
        <w:rPr>
          <w:rFonts w:ascii="宋体" w:hAnsi="宋体"/>
          <w:color w:val="000000"/>
          <w:sz w:val="24"/>
        </w:rPr>
      </w:pPr>
      <w:r>
        <w:rPr>
          <w:rFonts w:ascii="宋体" w:hAnsi="宋体"/>
          <w:color w:val="000000"/>
          <w:sz w:val="24"/>
        </w:rPr>
        <w:t>3.6 工程照管与成品、半成品保护</w:t>
      </w:r>
    </w:p>
    <w:p>
      <w:pPr>
        <w:snapToGrid w:val="0"/>
        <w:spacing w:line="460" w:lineRule="exact"/>
        <w:ind w:firstLine="480" w:firstLineChars="200"/>
        <w:rPr>
          <w:rFonts w:ascii="宋体" w:hAnsi="宋体"/>
          <w:color w:val="000000"/>
          <w:kern w:val="0"/>
          <w:sz w:val="24"/>
          <w:u w:val="single"/>
        </w:rPr>
      </w:pPr>
      <w:r>
        <w:rPr>
          <w:rFonts w:ascii="宋体" w:hAnsi="宋体"/>
          <w:color w:val="000000"/>
          <w:kern w:val="0"/>
          <w:sz w:val="24"/>
        </w:rPr>
        <w:t>承包人负责照管工程及工程相关的材料、工程设备的起始时间：</w:t>
      </w:r>
      <w:r>
        <w:rPr>
          <w:rFonts w:hint="eastAsia" w:ascii="宋体" w:hAnsi="宋体"/>
          <w:color w:val="000000"/>
          <w:kern w:val="0"/>
          <w:sz w:val="24"/>
          <w:u w:val="single"/>
        </w:rPr>
        <w:t>自发包人向承包人移交施工现场之日起，至颁发工程接收证书之日止</w:t>
      </w:r>
      <w:r>
        <w:rPr>
          <w:rFonts w:ascii="宋体" w:hAnsi="宋体"/>
          <w:color w:val="000000"/>
          <w:kern w:val="0"/>
          <w:sz w:val="24"/>
        </w:rPr>
        <w:t>。</w:t>
      </w:r>
    </w:p>
    <w:p>
      <w:pPr>
        <w:snapToGrid w:val="0"/>
        <w:spacing w:line="460" w:lineRule="exact"/>
        <w:ind w:firstLine="480" w:firstLineChars="200"/>
        <w:rPr>
          <w:rFonts w:ascii="宋体" w:hAnsi="宋体"/>
          <w:color w:val="000000"/>
          <w:sz w:val="24"/>
        </w:rPr>
      </w:pPr>
      <w:r>
        <w:rPr>
          <w:rFonts w:ascii="宋体" w:hAnsi="宋体"/>
          <w:color w:val="000000"/>
          <w:sz w:val="24"/>
        </w:rPr>
        <w:t>3.7 履约担保</w:t>
      </w:r>
    </w:p>
    <w:p>
      <w:pPr>
        <w:snapToGrid w:val="0"/>
        <w:spacing w:line="460" w:lineRule="exact"/>
        <w:ind w:firstLine="480" w:firstLineChars="200"/>
        <w:jc w:val="left"/>
        <w:rPr>
          <w:rFonts w:ascii="宋体" w:hAnsi="宋体"/>
          <w:color w:val="000000"/>
          <w:sz w:val="24"/>
        </w:rPr>
      </w:pPr>
      <w:r>
        <w:rPr>
          <w:rFonts w:hint="eastAsia" w:ascii="宋体" w:hAnsi="宋体"/>
          <w:color w:val="000000"/>
          <w:sz w:val="24"/>
        </w:rPr>
        <w:t>承包人是否提供履约担保：</w:t>
      </w:r>
      <w:r>
        <w:rPr>
          <w:rFonts w:hint="eastAsia" w:ascii="宋体" w:hAnsi="宋体"/>
          <w:color w:val="000000"/>
          <w:sz w:val="24"/>
          <w:u w:val="single"/>
        </w:rPr>
        <w:t>是</w:t>
      </w:r>
      <w:r>
        <w:rPr>
          <w:rFonts w:ascii="宋体" w:hAnsi="宋体"/>
          <w:color w:val="000000"/>
          <w:sz w:val="24"/>
        </w:rPr>
        <w:t>。</w:t>
      </w:r>
    </w:p>
    <w:p>
      <w:pPr>
        <w:snapToGrid w:val="0"/>
        <w:spacing w:line="460" w:lineRule="exact"/>
        <w:ind w:firstLine="480" w:firstLineChars="200"/>
        <w:jc w:val="left"/>
        <w:rPr>
          <w:rFonts w:ascii="宋体" w:hAnsi="宋体"/>
          <w:color w:val="000000"/>
          <w:sz w:val="24"/>
        </w:rPr>
      </w:pPr>
      <w:r>
        <w:rPr>
          <w:rFonts w:ascii="宋体" w:hAnsi="宋体"/>
          <w:color w:val="000000"/>
          <w:sz w:val="24"/>
        </w:rPr>
        <w:t>承包人提供履约担保的形式</w:t>
      </w:r>
      <w:r>
        <w:rPr>
          <w:rFonts w:hint="eastAsia" w:ascii="宋体" w:hAnsi="宋体"/>
          <w:color w:val="000000"/>
          <w:sz w:val="24"/>
        </w:rPr>
        <w:t>、金额及期限的要求</w:t>
      </w:r>
      <w:r>
        <w:rPr>
          <w:rFonts w:ascii="宋体" w:hAnsi="宋体"/>
          <w:color w:val="000000"/>
          <w:sz w:val="24"/>
        </w:rPr>
        <w:t>：</w:t>
      </w:r>
      <w:r>
        <w:rPr>
          <w:rFonts w:hint="eastAsia" w:ascii="宋体" w:hAnsi="宋体"/>
          <w:color w:val="000000"/>
          <w:sz w:val="24"/>
          <w:u w:val="single"/>
        </w:rPr>
        <w:t>在合同签订前以现金或银行转账形式向发包人提交履约保证金壹佰万元。</w:t>
      </w:r>
    </w:p>
    <w:p>
      <w:pPr>
        <w:pStyle w:val="2"/>
        <w:snapToGrid w:val="0"/>
        <w:spacing w:before="0" w:after="0" w:line="460" w:lineRule="exact"/>
        <w:rPr>
          <w:rFonts w:ascii="宋体" w:hAnsi="宋体"/>
          <w:b w:val="0"/>
          <w:color w:val="000000"/>
          <w:sz w:val="24"/>
          <w:szCs w:val="24"/>
        </w:rPr>
      </w:pPr>
      <w:bookmarkStart w:id="327" w:name="_Toc351203636"/>
    </w:p>
    <w:p>
      <w:pPr>
        <w:pStyle w:val="2"/>
        <w:snapToGrid w:val="0"/>
        <w:spacing w:before="0" w:after="0" w:line="460" w:lineRule="exact"/>
        <w:rPr>
          <w:rFonts w:ascii="宋体" w:hAnsi="宋体"/>
          <w:b w:val="0"/>
          <w:color w:val="000000"/>
          <w:sz w:val="24"/>
          <w:szCs w:val="24"/>
        </w:rPr>
      </w:pPr>
      <w:r>
        <w:rPr>
          <w:rFonts w:ascii="宋体" w:hAnsi="宋体"/>
          <w:b w:val="0"/>
          <w:color w:val="000000"/>
          <w:sz w:val="24"/>
          <w:szCs w:val="24"/>
        </w:rPr>
        <w:t>4</w:t>
      </w:r>
      <w:bookmarkStart w:id="328" w:name="_Toc297120462"/>
      <w:bookmarkStart w:id="329" w:name="_Toc292559366"/>
      <w:bookmarkStart w:id="330" w:name="_Toc267251413"/>
      <w:bookmarkStart w:id="331" w:name="_Toc292559871"/>
      <w:bookmarkStart w:id="332" w:name="_Toc296346663"/>
      <w:bookmarkStart w:id="333" w:name="_Toc296890990"/>
      <w:bookmarkStart w:id="334" w:name="_Toc296891202"/>
      <w:bookmarkStart w:id="335" w:name="_Toc296347161"/>
      <w:bookmarkStart w:id="336" w:name="_Toc296944501"/>
      <w:bookmarkStart w:id="337" w:name="_Toc296503162"/>
      <w:bookmarkStart w:id="338" w:name="_Toc297048348"/>
      <w:r>
        <w:rPr>
          <w:rFonts w:ascii="宋体" w:hAnsi="宋体"/>
          <w:b w:val="0"/>
          <w:color w:val="000000"/>
          <w:sz w:val="24"/>
          <w:szCs w:val="24"/>
        </w:rPr>
        <w:t>. 监</w:t>
      </w:r>
      <w:bookmarkEnd w:id="328"/>
      <w:bookmarkEnd w:id="329"/>
      <w:bookmarkEnd w:id="330"/>
      <w:bookmarkEnd w:id="331"/>
      <w:bookmarkEnd w:id="332"/>
      <w:bookmarkEnd w:id="333"/>
      <w:bookmarkEnd w:id="334"/>
      <w:bookmarkEnd w:id="335"/>
      <w:bookmarkEnd w:id="336"/>
      <w:bookmarkEnd w:id="337"/>
      <w:bookmarkEnd w:id="338"/>
      <w:r>
        <w:rPr>
          <w:rFonts w:ascii="宋体" w:hAnsi="宋体"/>
          <w:b w:val="0"/>
          <w:color w:val="000000"/>
          <w:sz w:val="24"/>
          <w:szCs w:val="24"/>
        </w:rPr>
        <w:t>理人</w:t>
      </w:r>
      <w:bookmarkEnd w:id="327"/>
    </w:p>
    <w:p>
      <w:pPr>
        <w:snapToGrid w:val="0"/>
        <w:spacing w:line="460" w:lineRule="exact"/>
        <w:ind w:firstLine="480" w:firstLineChars="200"/>
        <w:rPr>
          <w:rFonts w:ascii="宋体" w:hAnsi="宋体"/>
          <w:color w:val="000000"/>
          <w:sz w:val="24"/>
        </w:rPr>
      </w:pPr>
      <w:r>
        <w:rPr>
          <w:rFonts w:ascii="宋体" w:hAnsi="宋体"/>
          <w:color w:val="000000"/>
          <w:sz w:val="24"/>
        </w:rPr>
        <w:t>4.1监理人的一般规定</w:t>
      </w:r>
    </w:p>
    <w:p>
      <w:pPr>
        <w:snapToGrid w:val="0"/>
        <w:spacing w:line="460" w:lineRule="exact"/>
        <w:ind w:firstLine="480" w:firstLineChars="200"/>
        <w:jc w:val="left"/>
        <w:rPr>
          <w:rFonts w:ascii="宋体" w:hAnsi="宋体"/>
          <w:color w:val="000000"/>
          <w:sz w:val="24"/>
        </w:rPr>
      </w:pPr>
      <w:bookmarkStart w:id="339" w:name="_Toc267251441"/>
      <w:bookmarkStart w:id="340" w:name="_Toc267251433"/>
      <w:bookmarkStart w:id="341" w:name="_Toc267251435"/>
      <w:bookmarkStart w:id="342" w:name="_Toc267251437"/>
      <w:bookmarkStart w:id="343" w:name="_Toc267251439"/>
      <w:bookmarkStart w:id="344" w:name="_Toc267251440"/>
      <w:bookmarkStart w:id="345" w:name="_Toc267251442"/>
      <w:r>
        <w:rPr>
          <w:rFonts w:ascii="宋体" w:hAnsi="宋体"/>
          <w:color w:val="000000"/>
          <w:sz w:val="24"/>
        </w:rPr>
        <w:t>关于监理人的监理内容：</w:t>
      </w:r>
      <w:r>
        <w:rPr>
          <w:rFonts w:ascii="宋体" w:hAnsi="宋体"/>
          <w:color w:val="000000"/>
          <w:sz w:val="24"/>
          <w:u w:val="single"/>
        </w:rPr>
        <w:t>根据发包人授权及法律规定，代表发包人对工程施工相关事项进行检查、查验、审核、验收，并签发相关指示，但监理人无权修改合同，且无权减轻或免除合同约定的承包人的任何责任与义务</w:t>
      </w:r>
      <w:r>
        <w:rPr>
          <w:rFonts w:ascii="宋体" w:hAnsi="宋体"/>
          <w:color w:val="000000"/>
          <w:sz w:val="24"/>
        </w:rPr>
        <w:t>。</w:t>
      </w:r>
    </w:p>
    <w:p>
      <w:pPr>
        <w:snapToGrid w:val="0"/>
        <w:spacing w:line="460" w:lineRule="exact"/>
        <w:ind w:firstLine="480" w:firstLineChars="200"/>
        <w:jc w:val="left"/>
        <w:rPr>
          <w:rFonts w:ascii="宋体" w:hAnsi="宋体"/>
          <w:color w:val="000000"/>
          <w:sz w:val="24"/>
        </w:rPr>
      </w:pPr>
      <w:r>
        <w:rPr>
          <w:rFonts w:ascii="宋体" w:hAnsi="宋体"/>
          <w:color w:val="000000"/>
          <w:sz w:val="24"/>
        </w:rPr>
        <w:t>关于监理人的监理权限：</w:t>
      </w:r>
      <w:r>
        <w:rPr>
          <w:rFonts w:hint="eastAsia" w:ascii="宋体" w:hAnsi="宋体"/>
          <w:color w:val="000000"/>
          <w:sz w:val="24"/>
          <w:u w:val="single"/>
        </w:rPr>
        <w:t>现场管理质量、安全、进度及监理合同范围内的其它职能</w:t>
      </w:r>
      <w:r>
        <w:rPr>
          <w:rFonts w:ascii="宋体" w:hAnsi="宋体"/>
          <w:color w:val="000000"/>
          <w:sz w:val="24"/>
        </w:rPr>
        <w:t xml:space="preserve">。 </w:t>
      </w:r>
    </w:p>
    <w:p>
      <w:pPr>
        <w:snapToGrid w:val="0"/>
        <w:spacing w:line="460" w:lineRule="exact"/>
        <w:rPr>
          <w:rFonts w:ascii="宋体" w:hAnsi="宋体"/>
          <w:color w:val="000000"/>
          <w:sz w:val="24"/>
        </w:rPr>
      </w:pPr>
      <w:r>
        <w:rPr>
          <w:rFonts w:ascii="宋体" w:hAnsi="宋体"/>
          <w:color w:val="000000"/>
          <w:sz w:val="24"/>
        </w:rPr>
        <w:t>关于监理人在施工现场的办公场所、生活场所的提供和费用承担的约定：</w:t>
      </w:r>
      <w:r>
        <w:rPr>
          <w:rFonts w:ascii="宋体" w:hAnsi="宋体"/>
          <w:color w:val="000000"/>
          <w:sz w:val="24"/>
          <w:u w:val="single"/>
        </w:rPr>
        <w:t>监理人在施工现场的办公场所、生活场所由承包人提供，所发生的费用由发包人承担</w:t>
      </w:r>
      <w:r>
        <w:rPr>
          <w:rFonts w:ascii="宋体" w:hAnsi="宋体"/>
          <w:color w:val="000000"/>
          <w:kern w:val="0"/>
          <w:sz w:val="24"/>
        </w:rPr>
        <w:t>。</w:t>
      </w:r>
    </w:p>
    <w:p>
      <w:pPr>
        <w:snapToGrid w:val="0"/>
        <w:spacing w:line="460" w:lineRule="exact"/>
        <w:ind w:firstLine="480" w:firstLineChars="200"/>
        <w:rPr>
          <w:rFonts w:ascii="宋体" w:hAnsi="宋体"/>
          <w:color w:val="000000"/>
          <w:sz w:val="24"/>
        </w:rPr>
      </w:pPr>
      <w:r>
        <w:rPr>
          <w:rFonts w:ascii="宋体" w:hAnsi="宋体"/>
          <w:color w:val="000000"/>
          <w:sz w:val="24"/>
        </w:rPr>
        <w:t>4.2 监理人员</w:t>
      </w:r>
    </w:p>
    <w:p>
      <w:pPr>
        <w:snapToGrid w:val="0"/>
        <w:spacing w:line="460" w:lineRule="exact"/>
        <w:ind w:firstLine="480" w:firstLineChars="200"/>
        <w:rPr>
          <w:rFonts w:ascii="宋体" w:hAnsi="宋体"/>
          <w:color w:val="000000"/>
          <w:sz w:val="24"/>
        </w:rPr>
      </w:pPr>
      <w:r>
        <w:rPr>
          <w:rFonts w:ascii="宋体" w:hAnsi="宋体"/>
          <w:color w:val="000000"/>
          <w:sz w:val="24"/>
        </w:rPr>
        <w:t>总监理工程师：</w:t>
      </w:r>
    </w:p>
    <w:p>
      <w:pPr>
        <w:snapToGrid w:val="0"/>
        <w:spacing w:line="460" w:lineRule="exact"/>
        <w:ind w:firstLine="480" w:firstLineChars="200"/>
        <w:rPr>
          <w:rFonts w:ascii="宋体" w:hAnsi="宋体"/>
          <w:color w:val="000000"/>
          <w:sz w:val="24"/>
        </w:rPr>
      </w:pPr>
      <w:r>
        <w:rPr>
          <w:rFonts w:ascii="宋体" w:hAnsi="宋体"/>
          <w:color w:val="000000"/>
          <w:sz w:val="24"/>
        </w:rPr>
        <w:t>姓    名：；</w:t>
      </w:r>
    </w:p>
    <w:p>
      <w:pPr>
        <w:snapToGrid w:val="0"/>
        <w:spacing w:line="460" w:lineRule="exact"/>
        <w:ind w:firstLine="480" w:firstLineChars="200"/>
        <w:rPr>
          <w:rFonts w:ascii="宋体" w:hAnsi="宋体"/>
          <w:color w:val="000000"/>
          <w:sz w:val="24"/>
        </w:rPr>
      </w:pPr>
      <w:r>
        <w:rPr>
          <w:rFonts w:ascii="宋体" w:hAnsi="宋体"/>
          <w:color w:val="000000"/>
          <w:sz w:val="24"/>
        </w:rPr>
        <w:t>职    务：；</w:t>
      </w:r>
    </w:p>
    <w:p>
      <w:pPr>
        <w:snapToGrid w:val="0"/>
        <w:spacing w:line="460" w:lineRule="exact"/>
        <w:ind w:firstLine="480" w:firstLineChars="200"/>
        <w:rPr>
          <w:rFonts w:ascii="宋体" w:hAnsi="宋体"/>
          <w:color w:val="000000"/>
          <w:sz w:val="24"/>
        </w:rPr>
      </w:pPr>
      <w:r>
        <w:rPr>
          <w:rFonts w:ascii="宋体" w:hAnsi="宋体"/>
          <w:color w:val="000000"/>
          <w:sz w:val="24"/>
        </w:rPr>
        <w:t>监理工程师执业资格证书号：；</w:t>
      </w:r>
    </w:p>
    <w:p>
      <w:pPr>
        <w:snapToGrid w:val="0"/>
        <w:spacing w:line="460" w:lineRule="exact"/>
        <w:ind w:firstLine="480" w:firstLineChars="200"/>
        <w:rPr>
          <w:rFonts w:ascii="宋体" w:hAnsi="宋体"/>
          <w:color w:val="000000"/>
          <w:sz w:val="24"/>
        </w:rPr>
      </w:pPr>
      <w:r>
        <w:rPr>
          <w:rFonts w:ascii="宋体" w:hAnsi="宋体"/>
          <w:color w:val="000000"/>
          <w:sz w:val="24"/>
        </w:rPr>
        <w:t>联系电话：；</w:t>
      </w:r>
    </w:p>
    <w:p>
      <w:pPr>
        <w:snapToGrid w:val="0"/>
        <w:spacing w:line="460" w:lineRule="exact"/>
        <w:ind w:firstLine="480" w:firstLineChars="200"/>
        <w:rPr>
          <w:rFonts w:ascii="宋体" w:hAnsi="宋体"/>
          <w:color w:val="000000"/>
          <w:sz w:val="24"/>
        </w:rPr>
      </w:pPr>
      <w:r>
        <w:rPr>
          <w:rFonts w:ascii="宋体" w:hAnsi="宋体"/>
          <w:color w:val="000000"/>
          <w:sz w:val="24"/>
        </w:rPr>
        <w:t>电子信箱：；</w:t>
      </w:r>
    </w:p>
    <w:p>
      <w:pPr>
        <w:snapToGrid w:val="0"/>
        <w:spacing w:line="460" w:lineRule="exact"/>
        <w:ind w:firstLine="480" w:firstLineChars="200"/>
        <w:rPr>
          <w:rFonts w:ascii="宋体" w:hAnsi="宋体"/>
          <w:color w:val="000000"/>
          <w:sz w:val="24"/>
        </w:rPr>
      </w:pPr>
      <w:r>
        <w:rPr>
          <w:rFonts w:ascii="宋体" w:hAnsi="宋体"/>
          <w:color w:val="000000"/>
          <w:sz w:val="24"/>
        </w:rPr>
        <w:t>通信地址：；</w:t>
      </w:r>
    </w:p>
    <w:p>
      <w:pPr>
        <w:snapToGrid w:val="0"/>
        <w:spacing w:line="460" w:lineRule="exact"/>
        <w:ind w:firstLine="480" w:firstLineChars="200"/>
        <w:rPr>
          <w:rFonts w:ascii="宋体" w:hAnsi="宋体"/>
          <w:color w:val="000000"/>
          <w:sz w:val="24"/>
        </w:rPr>
      </w:pPr>
      <w:r>
        <w:rPr>
          <w:rFonts w:ascii="宋体" w:hAnsi="宋体"/>
          <w:color w:val="000000"/>
          <w:sz w:val="24"/>
        </w:rPr>
        <w:t>关于监理人的其他约定：</w:t>
      </w:r>
      <w:r>
        <w:rPr>
          <w:rFonts w:hint="eastAsia" w:ascii="宋体" w:hAnsi="宋体"/>
          <w:color w:val="000000"/>
          <w:sz w:val="24"/>
          <w:u w:val="single"/>
        </w:rPr>
        <w:t>无</w:t>
      </w:r>
      <w:r>
        <w:rPr>
          <w:rFonts w:ascii="宋体" w:hAnsi="宋体"/>
          <w:color w:val="000000"/>
          <w:sz w:val="24"/>
        </w:rPr>
        <w:t>。</w:t>
      </w:r>
    </w:p>
    <w:p>
      <w:pPr>
        <w:snapToGrid w:val="0"/>
        <w:spacing w:line="460" w:lineRule="exact"/>
        <w:ind w:firstLine="480" w:firstLineChars="200"/>
        <w:rPr>
          <w:rFonts w:ascii="宋体" w:hAnsi="宋体"/>
          <w:color w:val="000000"/>
          <w:sz w:val="24"/>
        </w:rPr>
      </w:pPr>
      <w:r>
        <w:rPr>
          <w:rFonts w:ascii="宋体" w:hAnsi="宋体"/>
          <w:color w:val="000000"/>
          <w:sz w:val="24"/>
        </w:rPr>
        <w:t>4.4 商定或确定</w:t>
      </w:r>
    </w:p>
    <w:p>
      <w:pPr>
        <w:snapToGrid w:val="0"/>
        <w:spacing w:line="460" w:lineRule="exact"/>
        <w:ind w:firstLine="480" w:firstLineChars="200"/>
        <w:rPr>
          <w:rFonts w:ascii="宋体" w:hAnsi="宋体"/>
          <w:color w:val="000000"/>
          <w:sz w:val="24"/>
        </w:rPr>
      </w:pPr>
      <w:bookmarkStart w:id="346" w:name="_Toc267251418"/>
      <w:r>
        <w:rPr>
          <w:rFonts w:ascii="宋体" w:hAnsi="宋体"/>
          <w:color w:val="000000"/>
          <w:sz w:val="24"/>
        </w:rPr>
        <w:t>在发包人和承包人不能通过协商达成一致意见时，发包人授权监理人对以下事项进行确定：</w:t>
      </w:r>
    </w:p>
    <w:p>
      <w:pPr>
        <w:autoSpaceDE w:val="0"/>
        <w:autoSpaceDN w:val="0"/>
        <w:adjustRightInd w:val="0"/>
        <w:snapToGrid w:val="0"/>
        <w:spacing w:line="460" w:lineRule="exact"/>
        <w:ind w:firstLine="480" w:firstLineChars="200"/>
        <w:jc w:val="left"/>
        <w:rPr>
          <w:rFonts w:ascii="宋体" w:hAnsi="宋体"/>
          <w:color w:val="000000"/>
          <w:kern w:val="0"/>
          <w:sz w:val="24"/>
        </w:rPr>
      </w:pPr>
      <w:r>
        <w:rPr>
          <w:rFonts w:ascii="宋体" w:hAnsi="宋体"/>
          <w:color w:val="000000"/>
          <w:kern w:val="0"/>
          <w:sz w:val="24"/>
        </w:rPr>
        <w:t>（1）</w:t>
      </w:r>
      <w:r>
        <w:rPr>
          <w:rFonts w:ascii="宋体" w:hAnsi="宋体"/>
          <w:color w:val="000000"/>
          <w:sz w:val="24"/>
        </w:rPr>
        <w:t>；</w:t>
      </w:r>
    </w:p>
    <w:p>
      <w:pPr>
        <w:autoSpaceDE w:val="0"/>
        <w:autoSpaceDN w:val="0"/>
        <w:adjustRightInd w:val="0"/>
        <w:snapToGrid w:val="0"/>
        <w:spacing w:line="460" w:lineRule="exact"/>
        <w:ind w:firstLine="480" w:firstLineChars="200"/>
        <w:jc w:val="left"/>
        <w:rPr>
          <w:rFonts w:ascii="宋体" w:hAnsi="宋体"/>
          <w:color w:val="000000"/>
          <w:kern w:val="0"/>
          <w:sz w:val="24"/>
        </w:rPr>
      </w:pPr>
      <w:r>
        <w:rPr>
          <w:rFonts w:ascii="宋体" w:hAnsi="宋体"/>
          <w:color w:val="000000"/>
          <w:kern w:val="0"/>
          <w:sz w:val="24"/>
        </w:rPr>
        <w:t>（2）</w:t>
      </w:r>
      <w:r>
        <w:rPr>
          <w:rFonts w:ascii="宋体" w:hAnsi="宋体"/>
          <w:color w:val="000000"/>
          <w:sz w:val="24"/>
        </w:rPr>
        <w:t>；</w:t>
      </w:r>
    </w:p>
    <w:p>
      <w:pPr>
        <w:autoSpaceDE w:val="0"/>
        <w:autoSpaceDN w:val="0"/>
        <w:adjustRightInd w:val="0"/>
        <w:snapToGrid w:val="0"/>
        <w:spacing w:line="460" w:lineRule="exact"/>
        <w:ind w:firstLine="480" w:firstLineChars="200"/>
        <w:jc w:val="left"/>
        <w:rPr>
          <w:rFonts w:ascii="宋体" w:hAnsi="宋体"/>
          <w:color w:val="000000"/>
          <w:sz w:val="24"/>
        </w:rPr>
      </w:pPr>
      <w:r>
        <w:rPr>
          <w:rFonts w:ascii="宋体" w:hAnsi="宋体"/>
          <w:color w:val="000000"/>
          <w:kern w:val="0"/>
          <w:sz w:val="24"/>
        </w:rPr>
        <w:t>（3）</w:t>
      </w:r>
      <w:r>
        <w:rPr>
          <w:rFonts w:ascii="宋体" w:hAnsi="宋体"/>
          <w:color w:val="000000"/>
          <w:sz w:val="24"/>
        </w:rPr>
        <w:t>。</w:t>
      </w:r>
      <w:bookmarkStart w:id="347" w:name="_Toc351203637"/>
    </w:p>
    <w:p>
      <w:pPr>
        <w:pStyle w:val="2"/>
        <w:snapToGrid w:val="0"/>
        <w:spacing w:before="0" w:after="0" w:line="460" w:lineRule="exact"/>
        <w:rPr>
          <w:rFonts w:ascii="宋体" w:hAnsi="宋体"/>
          <w:b w:val="0"/>
          <w:color w:val="000000"/>
          <w:sz w:val="24"/>
          <w:szCs w:val="24"/>
        </w:rPr>
      </w:pPr>
      <w:r>
        <w:rPr>
          <w:rFonts w:ascii="宋体" w:hAnsi="宋体"/>
          <w:b w:val="0"/>
          <w:color w:val="000000"/>
          <w:sz w:val="24"/>
          <w:szCs w:val="24"/>
        </w:rPr>
        <w:t>5</w:t>
      </w:r>
      <w:bookmarkEnd w:id="346"/>
      <w:bookmarkStart w:id="348" w:name="_Toc292559367"/>
      <w:bookmarkStart w:id="349" w:name="_Toc296944502"/>
      <w:bookmarkStart w:id="350" w:name="_Toc296890991"/>
      <w:bookmarkStart w:id="351" w:name="_Toc296503163"/>
      <w:bookmarkStart w:id="352" w:name="_Toc296347162"/>
      <w:bookmarkStart w:id="353" w:name="_Toc292559872"/>
      <w:bookmarkStart w:id="354" w:name="_Toc297120463"/>
      <w:bookmarkStart w:id="355" w:name="_Toc296346664"/>
      <w:bookmarkStart w:id="356" w:name="_Toc297048349"/>
      <w:bookmarkStart w:id="357" w:name="_Toc296891203"/>
      <w:r>
        <w:rPr>
          <w:rFonts w:ascii="宋体" w:hAnsi="宋体"/>
          <w:b w:val="0"/>
          <w:color w:val="000000"/>
          <w:sz w:val="24"/>
          <w:szCs w:val="24"/>
        </w:rPr>
        <w:t>. 工程质量</w:t>
      </w:r>
      <w:bookmarkEnd w:id="347"/>
    </w:p>
    <w:p>
      <w:pPr>
        <w:snapToGrid w:val="0"/>
        <w:spacing w:line="460" w:lineRule="exact"/>
        <w:ind w:firstLine="511" w:firstLineChars="213"/>
        <w:jc w:val="left"/>
        <w:rPr>
          <w:rFonts w:ascii="宋体" w:hAnsi="宋体"/>
          <w:sz w:val="24"/>
        </w:rPr>
      </w:pPr>
      <w:r>
        <w:rPr>
          <w:rFonts w:ascii="宋体" w:hAnsi="宋体"/>
          <w:sz w:val="24"/>
        </w:rPr>
        <w:t>5.1 质量要求</w:t>
      </w:r>
    </w:p>
    <w:p>
      <w:pPr>
        <w:snapToGrid w:val="0"/>
        <w:spacing w:line="460" w:lineRule="exact"/>
        <w:ind w:firstLine="511" w:firstLineChars="213"/>
        <w:jc w:val="left"/>
        <w:rPr>
          <w:rFonts w:ascii="宋体" w:hAnsi="宋体"/>
          <w:sz w:val="24"/>
        </w:rPr>
      </w:pPr>
      <w:r>
        <w:rPr>
          <w:rFonts w:ascii="宋体" w:hAnsi="宋体"/>
          <w:sz w:val="24"/>
        </w:rPr>
        <w:t>5</w:t>
      </w:r>
      <w:bookmarkStart w:id="358" w:name="_Toc304295527"/>
      <w:bookmarkStart w:id="359" w:name="_Toc297123496"/>
      <w:bookmarkStart w:id="360" w:name="_Toc300934949"/>
      <w:bookmarkStart w:id="361" w:name="_Toc318581164"/>
      <w:bookmarkStart w:id="362" w:name="_Toc297216155"/>
      <w:bookmarkStart w:id="363" w:name="_Toc303539106"/>
      <w:bookmarkStart w:id="364" w:name="_Toc312677997"/>
      <w:r>
        <w:rPr>
          <w:rFonts w:ascii="宋体" w:hAnsi="宋体"/>
          <w:sz w:val="24"/>
        </w:rPr>
        <w:t>.1.1 特殊质量标准和要求：</w:t>
      </w:r>
      <w:r>
        <w:rPr>
          <w:rFonts w:hint="eastAsia" w:ascii="宋体" w:hAnsi="宋体"/>
          <w:sz w:val="24"/>
          <w:u w:val="single"/>
        </w:rPr>
        <w:t>竣工验收合格</w:t>
      </w:r>
      <w:r>
        <w:rPr>
          <w:rFonts w:ascii="宋体" w:hAnsi="宋体"/>
          <w:sz w:val="24"/>
        </w:rPr>
        <w:t>。</w:t>
      </w:r>
    </w:p>
    <w:p>
      <w:pPr>
        <w:snapToGrid w:val="0"/>
        <w:spacing w:line="460" w:lineRule="exact"/>
        <w:ind w:firstLine="511" w:firstLineChars="213"/>
        <w:jc w:val="left"/>
        <w:rPr>
          <w:rFonts w:ascii="宋体" w:hAnsi="宋体"/>
          <w:sz w:val="24"/>
        </w:rPr>
      </w:pPr>
      <w:r>
        <w:rPr>
          <w:rFonts w:hint="eastAsia" w:ascii="宋体" w:hAnsi="宋体"/>
          <w:sz w:val="24"/>
        </w:rPr>
        <w:t>5.1.2工程质量保证期：</w:t>
      </w:r>
      <w:r>
        <w:rPr>
          <w:rFonts w:hint="eastAsia" w:ascii="宋体" w:hAnsi="宋体"/>
          <w:sz w:val="24"/>
          <w:u w:val="single"/>
        </w:rPr>
        <w:t xml:space="preserve"> </w:t>
      </w:r>
      <w:r>
        <w:rPr>
          <w:rFonts w:hint="eastAsia" w:ascii="宋体" w:hAnsi="宋体"/>
          <w:sz w:val="24"/>
          <w:u w:val="single"/>
          <w:lang w:val="en-US" w:eastAsia="zh-CN"/>
        </w:rPr>
        <w:t>两</w:t>
      </w:r>
      <w:r>
        <w:rPr>
          <w:rFonts w:hint="eastAsia" w:ascii="宋体" w:hAnsi="宋体"/>
          <w:sz w:val="24"/>
          <w:u w:val="single"/>
        </w:rPr>
        <w:t xml:space="preserve">年 </w:t>
      </w:r>
      <w:r>
        <w:rPr>
          <w:rFonts w:hint="eastAsia" w:ascii="宋体" w:hAnsi="宋体"/>
          <w:sz w:val="24"/>
        </w:rPr>
        <w:t>。</w:t>
      </w:r>
    </w:p>
    <w:p>
      <w:pPr>
        <w:snapToGrid w:val="0"/>
        <w:spacing w:line="460" w:lineRule="exact"/>
        <w:ind w:firstLine="511" w:firstLineChars="213"/>
        <w:jc w:val="left"/>
        <w:rPr>
          <w:rFonts w:ascii="宋体" w:hAnsi="宋体"/>
          <w:color w:val="000000"/>
          <w:sz w:val="24"/>
        </w:rPr>
      </w:pPr>
      <w:r>
        <w:rPr>
          <w:rFonts w:hint="eastAsia" w:ascii="宋体" w:hAnsi="宋体"/>
          <w:sz w:val="24"/>
        </w:rPr>
        <w:t>5.1.3</w:t>
      </w:r>
      <w:r>
        <w:rPr>
          <w:rFonts w:ascii="宋体" w:hAnsi="宋体"/>
          <w:sz w:val="24"/>
        </w:rPr>
        <w:t>关于工程奖项的约定：</w:t>
      </w:r>
      <w:r>
        <w:rPr>
          <w:rFonts w:hint="eastAsia" w:ascii="宋体" w:hAnsi="宋体"/>
          <w:sz w:val="24"/>
          <w:u w:val="single"/>
        </w:rPr>
        <w:t>无</w:t>
      </w:r>
      <w:r>
        <w:rPr>
          <w:rFonts w:ascii="宋体" w:hAnsi="宋体"/>
          <w:sz w:val="24"/>
        </w:rPr>
        <w:t>。</w:t>
      </w:r>
    </w:p>
    <w:p>
      <w:pPr>
        <w:snapToGrid w:val="0"/>
        <w:spacing w:line="460" w:lineRule="exact"/>
        <w:ind w:firstLine="511" w:firstLineChars="213"/>
        <w:jc w:val="left"/>
        <w:rPr>
          <w:rFonts w:ascii="宋体" w:hAnsi="宋体"/>
          <w:color w:val="000000"/>
          <w:sz w:val="24"/>
        </w:rPr>
      </w:pPr>
      <w:r>
        <w:rPr>
          <w:rFonts w:ascii="宋体" w:hAnsi="宋体"/>
          <w:color w:val="000000"/>
          <w:sz w:val="24"/>
        </w:rPr>
        <w:t>5.</w:t>
      </w:r>
      <w:r>
        <w:rPr>
          <w:rFonts w:ascii="宋体" w:hAnsi="宋体"/>
          <w:sz w:val="24"/>
        </w:rPr>
        <w:t>3 隐蔽工程检查</w:t>
      </w:r>
    </w:p>
    <w:p>
      <w:pPr>
        <w:snapToGrid w:val="0"/>
        <w:spacing w:line="460" w:lineRule="exact"/>
        <w:ind w:firstLine="511" w:firstLineChars="213"/>
        <w:jc w:val="left"/>
        <w:rPr>
          <w:rFonts w:ascii="宋体" w:hAnsi="宋体"/>
          <w:sz w:val="24"/>
        </w:rPr>
      </w:pPr>
      <w:r>
        <w:rPr>
          <w:rFonts w:ascii="宋体" w:hAnsi="宋体"/>
          <w:sz w:val="24"/>
        </w:rPr>
        <w:t>5.3.2承包人提前通知监理人隐蔽工程检查的期限的约定：</w:t>
      </w:r>
      <w:r>
        <w:rPr>
          <w:rFonts w:hint="eastAsia" w:ascii="宋体" w:hAnsi="宋体"/>
          <w:sz w:val="24"/>
          <w:u w:val="single"/>
        </w:rPr>
        <w:t>共同检查前48小时通知监理人</w:t>
      </w:r>
      <w:r>
        <w:rPr>
          <w:rFonts w:ascii="宋体" w:hAnsi="宋体"/>
          <w:sz w:val="24"/>
        </w:rPr>
        <w:t>。</w:t>
      </w:r>
    </w:p>
    <w:p>
      <w:pPr>
        <w:snapToGrid w:val="0"/>
        <w:spacing w:line="460" w:lineRule="exact"/>
        <w:ind w:firstLine="480" w:firstLineChars="200"/>
        <w:jc w:val="left"/>
        <w:rPr>
          <w:rFonts w:ascii="宋体" w:hAnsi="宋体"/>
          <w:sz w:val="24"/>
        </w:rPr>
      </w:pPr>
      <w:r>
        <w:rPr>
          <w:rFonts w:ascii="宋体" w:hAnsi="宋体"/>
          <w:sz w:val="24"/>
        </w:rPr>
        <w:t>监理人不能按时进行检查时，应提前</w:t>
      </w:r>
      <w:r>
        <w:rPr>
          <w:rFonts w:hint="eastAsia" w:ascii="宋体" w:hAnsi="宋体"/>
          <w:sz w:val="24"/>
          <w:u w:val="single"/>
        </w:rPr>
        <w:t>24</w:t>
      </w:r>
      <w:r>
        <w:rPr>
          <w:rFonts w:ascii="宋体" w:hAnsi="宋体"/>
          <w:sz w:val="24"/>
        </w:rPr>
        <w:t>小时提交书面延期要求。</w:t>
      </w:r>
    </w:p>
    <w:p>
      <w:pPr>
        <w:snapToGrid w:val="0"/>
        <w:spacing w:line="460" w:lineRule="exact"/>
        <w:ind w:firstLine="480" w:firstLineChars="200"/>
        <w:jc w:val="left"/>
        <w:rPr>
          <w:rFonts w:ascii="宋体" w:hAnsi="宋体"/>
          <w:color w:val="000000"/>
          <w:sz w:val="24"/>
        </w:rPr>
      </w:pPr>
      <w:r>
        <w:rPr>
          <w:rFonts w:ascii="宋体" w:hAnsi="宋体"/>
          <w:sz w:val="24"/>
        </w:rPr>
        <w:t>关于延期最长不得超过：</w:t>
      </w:r>
      <w:r>
        <w:rPr>
          <w:rFonts w:hint="eastAsia" w:ascii="宋体" w:hAnsi="宋体"/>
          <w:sz w:val="24"/>
          <w:u w:val="single"/>
        </w:rPr>
        <w:t>48</w:t>
      </w:r>
      <w:r>
        <w:rPr>
          <w:rFonts w:ascii="宋体" w:hAnsi="宋体"/>
          <w:sz w:val="24"/>
        </w:rPr>
        <w:t>小时。</w:t>
      </w:r>
      <w:bookmarkStart w:id="365" w:name="_Toc351203638"/>
    </w:p>
    <w:p>
      <w:pPr>
        <w:pStyle w:val="2"/>
        <w:snapToGrid w:val="0"/>
        <w:spacing w:before="0" w:after="0" w:line="460" w:lineRule="exact"/>
        <w:rPr>
          <w:rFonts w:ascii="宋体" w:hAnsi="宋体"/>
          <w:b w:val="0"/>
          <w:color w:val="000000"/>
          <w:sz w:val="24"/>
          <w:szCs w:val="24"/>
        </w:rPr>
      </w:pPr>
      <w:r>
        <w:rPr>
          <w:rFonts w:ascii="宋体" w:hAnsi="宋体"/>
          <w:b w:val="0"/>
          <w:color w:val="000000"/>
          <w:sz w:val="24"/>
          <w:szCs w:val="24"/>
        </w:rPr>
        <w:t>6. 安全文明施工与环境保护</w:t>
      </w:r>
      <w:bookmarkEnd w:id="365"/>
    </w:p>
    <w:p>
      <w:pPr>
        <w:snapToGrid w:val="0"/>
        <w:spacing w:line="460" w:lineRule="exact"/>
        <w:ind w:firstLine="480" w:firstLineChars="200"/>
        <w:rPr>
          <w:rFonts w:ascii="宋体" w:hAnsi="宋体"/>
          <w:color w:val="000000"/>
          <w:sz w:val="24"/>
        </w:rPr>
      </w:pPr>
      <w:r>
        <w:rPr>
          <w:rFonts w:ascii="宋体" w:hAnsi="宋体"/>
          <w:color w:val="000000"/>
          <w:sz w:val="24"/>
        </w:rPr>
        <w:t>6</w:t>
      </w:r>
      <w:r>
        <w:rPr>
          <w:rFonts w:ascii="宋体" w:hAnsi="宋体"/>
          <w:sz w:val="24"/>
        </w:rPr>
        <w:t>.1安全文明施工</w:t>
      </w:r>
    </w:p>
    <w:p>
      <w:pPr>
        <w:snapToGrid w:val="0"/>
        <w:spacing w:line="460" w:lineRule="exact"/>
        <w:ind w:firstLine="511" w:firstLineChars="213"/>
        <w:jc w:val="left"/>
        <w:rPr>
          <w:rFonts w:ascii="宋体" w:hAnsi="宋体"/>
          <w:color w:val="000000"/>
          <w:sz w:val="24"/>
        </w:rPr>
      </w:pPr>
      <w:r>
        <w:rPr>
          <w:rFonts w:ascii="宋体" w:hAnsi="宋体"/>
          <w:sz w:val="24"/>
        </w:rPr>
        <w:t>6.1.1</w:t>
      </w:r>
      <w:r>
        <w:rPr>
          <w:rFonts w:ascii="宋体" w:hAnsi="宋体"/>
          <w:color w:val="000000"/>
          <w:sz w:val="24"/>
        </w:rPr>
        <w:t xml:space="preserve"> 项目安全生产的达标目标及相应事项的约定：</w:t>
      </w:r>
    </w:p>
    <w:p>
      <w:pPr>
        <w:snapToGrid w:val="0"/>
        <w:spacing w:line="460" w:lineRule="exact"/>
        <w:ind w:left="5" w:firstLine="504" w:firstLineChars="210"/>
        <w:jc w:val="left"/>
        <w:rPr>
          <w:rFonts w:ascii="宋体" w:hAnsi="宋体"/>
          <w:sz w:val="24"/>
          <w:u w:val="single"/>
        </w:rPr>
      </w:pPr>
      <w:r>
        <w:rPr>
          <w:rFonts w:hint="eastAsia" w:ascii="宋体" w:hAnsi="宋体"/>
          <w:sz w:val="24"/>
          <w:u w:val="single"/>
        </w:rPr>
        <w:t>1、</w:t>
      </w:r>
      <w:r>
        <w:rPr>
          <w:rFonts w:ascii="宋体" w:hAnsi="宋体"/>
          <w:sz w:val="24"/>
          <w:u w:val="single"/>
        </w:rPr>
        <w:t>承包人应严格要求按照湖州市建筑工程安全文明标准化工地的要求组织施工，遵守工程建设安全文明施工的有关规定。认真落实各项安全保护措施，并随时接受建设单位、监理单位及有关部门的监督检查</w:t>
      </w:r>
      <w:r>
        <w:rPr>
          <w:rFonts w:hint="eastAsia" w:ascii="宋体" w:hAnsi="宋体"/>
          <w:sz w:val="24"/>
          <w:u w:val="single"/>
        </w:rPr>
        <w:t>。</w:t>
      </w:r>
    </w:p>
    <w:p>
      <w:pPr>
        <w:snapToGrid w:val="0"/>
        <w:spacing w:line="460" w:lineRule="exact"/>
        <w:ind w:firstLine="511" w:firstLineChars="213"/>
        <w:jc w:val="left"/>
        <w:rPr>
          <w:rFonts w:ascii="宋体" w:hAnsi="宋体"/>
          <w:sz w:val="24"/>
          <w:u w:val="single"/>
        </w:rPr>
      </w:pPr>
      <w:r>
        <w:rPr>
          <w:rFonts w:hint="eastAsia" w:ascii="宋体" w:hAnsi="宋体"/>
          <w:sz w:val="24"/>
          <w:u w:val="single"/>
        </w:rPr>
        <w:t>2、</w:t>
      </w:r>
      <w:r>
        <w:rPr>
          <w:rFonts w:ascii="宋体" w:hAnsi="宋体"/>
          <w:sz w:val="24"/>
          <w:u w:val="single"/>
        </w:rPr>
        <w:t>承包人要做好安全防护工作，合理安排工程车辆进出。承包人应建立有效安全责任制，落实到人，加强现场施工人员安全教育，提高安全意识。如由于承包人安全措施不力造成事故的责任和由此发生的费用，由承包人承担。监理工程师每发出一次安全整改通知书，在安全文明施工保证金中扣罚5000元。建设行政主管部门发出的书面整改通知书，每发一次扣罚10000元；受到建设行政主管部门书面下达通报批评及以上处罚或停工整改通知，扣罚相应的全额履约保证金</w:t>
      </w:r>
      <w:r>
        <w:rPr>
          <w:rFonts w:hint="eastAsia" w:ascii="宋体" w:hAnsi="宋体"/>
          <w:sz w:val="24"/>
          <w:u w:val="single"/>
        </w:rPr>
        <w:t>。</w:t>
      </w:r>
    </w:p>
    <w:p>
      <w:pPr>
        <w:snapToGrid w:val="0"/>
        <w:spacing w:line="460" w:lineRule="exact"/>
        <w:ind w:left="7" w:firstLine="504" w:firstLineChars="210"/>
        <w:jc w:val="left"/>
        <w:rPr>
          <w:rFonts w:ascii="宋体" w:hAnsi="宋体"/>
          <w:sz w:val="24"/>
          <w:u w:val="single"/>
        </w:rPr>
      </w:pPr>
      <w:r>
        <w:rPr>
          <w:rFonts w:hint="eastAsia" w:ascii="宋体" w:hAnsi="宋体"/>
          <w:sz w:val="24"/>
          <w:u w:val="single"/>
        </w:rPr>
        <w:t>3、</w:t>
      </w:r>
      <w:r>
        <w:rPr>
          <w:rFonts w:ascii="宋体" w:hAnsi="宋体"/>
          <w:sz w:val="24"/>
          <w:u w:val="single"/>
        </w:rPr>
        <w:t>承包人在施工区域内应做好前期协调工作，以保证工程顺利进行</w:t>
      </w:r>
      <w:r>
        <w:rPr>
          <w:rFonts w:hint="eastAsia" w:ascii="宋体" w:hAnsi="宋体"/>
          <w:sz w:val="24"/>
          <w:u w:val="single"/>
        </w:rPr>
        <w:t>；</w:t>
      </w:r>
    </w:p>
    <w:p>
      <w:pPr>
        <w:snapToGrid w:val="0"/>
        <w:spacing w:line="460" w:lineRule="exact"/>
        <w:ind w:firstLine="511" w:firstLineChars="213"/>
        <w:jc w:val="left"/>
        <w:rPr>
          <w:rFonts w:ascii="宋体" w:hAnsi="宋体"/>
          <w:sz w:val="24"/>
          <w:u w:val="single"/>
        </w:rPr>
      </w:pPr>
      <w:r>
        <w:rPr>
          <w:rFonts w:hint="eastAsia" w:ascii="宋体" w:hAnsi="宋体"/>
          <w:sz w:val="24"/>
          <w:u w:val="single"/>
        </w:rPr>
        <w:t>4、承包人须确实做好文明施工和安全生产工作，所有进出现场的工程车辆必须按要求做好冲洗工作。</w:t>
      </w:r>
    </w:p>
    <w:p>
      <w:pPr>
        <w:snapToGrid w:val="0"/>
        <w:spacing w:line="460" w:lineRule="exact"/>
        <w:ind w:firstLine="480" w:firstLineChars="200"/>
        <w:jc w:val="left"/>
        <w:rPr>
          <w:rFonts w:ascii="宋体" w:hAnsi="宋体"/>
          <w:sz w:val="24"/>
        </w:rPr>
      </w:pPr>
      <w:r>
        <w:rPr>
          <w:rFonts w:ascii="宋体" w:hAnsi="宋体"/>
          <w:sz w:val="24"/>
        </w:rPr>
        <w:t>6.1.4 关于治安保卫的特别约定：</w:t>
      </w:r>
      <w:r>
        <w:rPr>
          <w:rFonts w:hint="eastAsia" w:ascii="宋体" w:hAnsi="宋体"/>
          <w:sz w:val="24"/>
          <w:u w:val="single"/>
        </w:rPr>
        <w:t>由承包人承担</w:t>
      </w:r>
      <w:r>
        <w:rPr>
          <w:rFonts w:ascii="宋体" w:hAnsi="宋体"/>
          <w:sz w:val="24"/>
        </w:rPr>
        <w:t>。</w:t>
      </w:r>
    </w:p>
    <w:p>
      <w:pPr>
        <w:snapToGrid w:val="0"/>
        <w:spacing w:line="460" w:lineRule="exact"/>
        <w:ind w:firstLine="480" w:firstLineChars="200"/>
        <w:jc w:val="left"/>
        <w:rPr>
          <w:rFonts w:ascii="宋体" w:hAnsi="宋体"/>
          <w:sz w:val="24"/>
        </w:rPr>
      </w:pPr>
      <w:r>
        <w:rPr>
          <w:rFonts w:ascii="宋体" w:hAnsi="宋体"/>
          <w:sz w:val="24"/>
        </w:rPr>
        <w:t>关于编制施工场地治安管理计划的约定：</w:t>
      </w:r>
      <w:r>
        <w:rPr>
          <w:rFonts w:hint="eastAsia" w:ascii="宋体" w:hAnsi="宋体"/>
          <w:sz w:val="24"/>
          <w:u w:val="single"/>
        </w:rPr>
        <w:t>由承包人编制，发包人审核</w:t>
      </w:r>
      <w:r>
        <w:rPr>
          <w:rFonts w:ascii="宋体" w:hAnsi="宋体"/>
          <w:sz w:val="24"/>
        </w:rPr>
        <w:t>。</w:t>
      </w:r>
    </w:p>
    <w:p>
      <w:pPr>
        <w:snapToGrid w:val="0"/>
        <w:spacing w:line="460" w:lineRule="exact"/>
        <w:ind w:firstLine="480" w:firstLineChars="200"/>
        <w:jc w:val="left"/>
        <w:rPr>
          <w:rFonts w:ascii="宋体" w:hAnsi="宋体"/>
          <w:sz w:val="24"/>
        </w:rPr>
      </w:pPr>
      <w:r>
        <w:rPr>
          <w:rFonts w:hint="eastAsia" w:ascii="宋体" w:hAnsi="宋体"/>
          <w:sz w:val="24"/>
        </w:rPr>
        <w:t>6.1.5 文明施工</w:t>
      </w:r>
    </w:p>
    <w:p>
      <w:pPr>
        <w:snapToGrid w:val="0"/>
        <w:spacing w:line="460" w:lineRule="exact"/>
        <w:ind w:firstLine="511" w:firstLineChars="213"/>
        <w:jc w:val="left"/>
        <w:rPr>
          <w:rFonts w:ascii="宋体" w:hAnsi="宋体"/>
          <w:sz w:val="24"/>
        </w:rPr>
      </w:pPr>
      <w:r>
        <w:rPr>
          <w:rFonts w:hint="eastAsia" w:ascii="宋体" w:hAnsi="宋体"/>
          <w:sz w:val="24"/>
        </w:rPr>
        <w:t>合同当事人对文明施工的要求：</w:t>
      </w:r>
      <w:r>
        <w:rPr>
          <w:rFonts w:hint="eastAsia" w:ascii="宋体" w:hAnsi="宋体"/>
          <w:sz w:val="24"/>
          <w:u w:val="single"/>
        </w:rPr>
        <w:t xml:space="preserve"> 按湖州市标化工程要求执行</w:t>
      </w:r>
      <w:r>
        <w:rPr>
          <w:rFonts w:hint="eastAsia" w:ascii="宋体" w:hAnsi="宋体"/>
          <w:sz w:val="24"/>
        </w:rPr>
        <w:t>。</w:t>
      </w:r>
    </w:p>
    <w:p>
      <w:pPr>
        <w:adjustRightInd w:val="0"/>
        <w:snapToGrid w:val="0"/>
        <w:spacing w:line="460" w:lineRule="exact"/>
        <w:ind w:firstLine="482" w:firstLineChars="200"/>
        <w:rPr>
          <w:rFonts w:ascii="宋体" w:hAnsi="宋体"/>
          <w:b/>
          <w:bCs/>
          <w:sz w:val="24"/>
          <w:u w:val="single"/>
          <w:shd w:val="clear" w:color="auto" w:fill="CCFFFF"/>
        </w:rPr>
      </w:pPr>
      <w:r>
        <w:rPr>
          <w:rFonts w:hint="eastAsia" w:ascii="宋体" w:hAnsi="宋体"/>
          <w:b/>
          <w:bCs/>
          <w:sz w:val="24"/>
          <w:u w:val="single"/>
          <w:shd w:val="clear" w:color="auto" w:fill="CCFFFF"/>
        </w:rPr>
        <w:t>承包人有效保证工程车辆安全文明出行，双方签订《工程运输车辆安全文明管理补充协议》（见附件1）。</w:t>
      </w:r>
    </w:p>
    <w:p>
      <w:pPr>
        <w:snapToGrid w:val="0"/>
        <w:spacing w:line="460" w:lineRule="exact"/>
        <w:ind w:firstLine="480" w:firstLineChars="200"/>
        <w:jc w:val="left"/>
        <w:rPr>
          <w:rFonts w:ascii="宋体" w:hAnsi="宋体"/>
          <w:sz w:val="24"/>
          <w:u w:val="single"/>
        </w:rPr>
      </w:pPr>
      <w:r>
        <w:rPr>
          <w:rFonts w:ascii="宋体" w:hAnsi="宋体"/>
          <w:sz w:val="24"/>
        </w:rPr>
        <w:t>6.1.6 关于安全文明施工费支付比例和支付期限的约定：</w:t>
      </w:r>
      <w:r>
        <w:rPr>
          <w:rFonts w:hint="eastAsia" w:ascii="宋体" w:hAnsi="宋体"/>
          <w:sz w:val="24"/>
          <w:u w:val="single"/>
        </w:rPr>
        <w:t xml:space="preserve"> 包含在进度款中支付 。</w:t>
      </w:r>
      <w:bookmarkEnd w:id="358"/>
      <w:bookmarkEnd w:id="359"/>
      <w:bookmarkEnd w:id="360"/>
      <w:bookmarkEnd w:id="361"/>
      <w:bookmarkEnd w:id="362"/>
      <w:bookmarkEnd w:id="363"/>
      <w:bookmarkEnd w:id="364"/>
      <w:bookmarkStart w:id="366" w:name="_Toc351203639"/>
    </w:p>
    <w:p>
      <w:pPr>
        <w:pStyle w:val="2"/>
        <w:snapToGrid w:val="0"/>
        <w:spacing w:before="0" w:after="0" w:line="460" w:lineRule="exact"/>
        <w:rPr>
          <w:rFonts w:ascii="宋体" w:hAnsi="宋体"/>
          <w:b w:val="0"/>
          <w:color w:val="000000"/>
          <w:sz w:val="24"/>
          <w:szCs w:val="24"/>
        </w:rPr>
      </w:pPr>
      <w:r>
        <w:rPr>
          <w:rFonts w:ascii="宋体" w:hAnsi="宋体"/>
          <w:b w:val="0"/>
          <w:color w:val="000000"/>
          <w:sz w:val="24"/>
          <w:szCs w:val="24"/>
        </w:rPr>
        <w:t>7. 工期和进度</w:t>
      </w:r>
      <w:bookmarkEnd w:id="366"/>
    </w:p>
    <w:p>
      <w:pPr>
        <w:autoSpaceDE w:val="0"/>
        <w:autoSpaceDN w:val="0"/>
        <w:adjustRightInd w:val="0"/>
        <w:snapToGrid w:val="0"/>
        <w:spacing w:line="460" w:lineRule="exact"/>
        <w:ind w:firstLine="480" w:firstLineChars="200"/>
        <w:jc w:val="left"/>
        <w:rPr>
          <w:rFonts w:ascii="宋体" w:hAnsi="宋体"/>
          <w:color w:val="000000"/>
          <w:kern w:val="0"/>
          <w:sz w:val="24"/>
        </w:rPr>
      </w:pPr>
      <w:r>
        <w:rPr>
          <w:rFonts w:ascii="宋体" w:hAnsi="宋体"/>
          <w:color w:val="000000"/>
          <w:kern w:val="0"/>
          <w:sz w:val="24"/>
        </w:rPr>
        <w:t>7.1 施工组织设计</w:t>
      </w:r>
    </w:p>
    <w:p>
      <w:pPr>
        <w:autoSpaceDE w:val="0"/>
        <w:autoSpaceDN w:val="0"/>
        <w:adjustRightInd w:val="0"/>
        <w:snapToGrid w:val="0"/>
        <w:spacing w:line="460" w:lineRule="exact"/>
        <w:ind w:firstLine="480" w:firstLineChars="200"/>
        <w:jc w:val="left"/>
        <w:rPr>
          <w:rFonts w:ascii="宋体" w:hAnsi="宋体"/>
          <w:color w:val="000000"/>
          <w:kern w:val="0"/>
          <w:sz w:val="24"/>
        </w:rPr>
      </w:pPr>
      <w:r>
        <w:rPr>
          <w:rFonts w:ascii="宋体" w:hAnsi="宋体"/>
          <w:sz w:val="24"/>
        </w:rPr>
        <w:t>7.1.</w:t>
      </w:r>
      <w:r>
        <w:rPr>
          <w:rFonts w:hint="eastAsia" w:ascii="宋体" w:hAnsi="宋体"/>
          <w:sz w:val="24"/>
        </w:rPr>
        <w:t xml:space="preserve">1 </w:t>
      </w:r>
      <w:r>
        <w:rPr>
          <w:rFonts w:hint="eastAsia" w:ascii="宋体" w:hAnsi="宋体"/>
          <w:color w:val="000000"/>
          <w:sz w:val="24"/>
        </w:rPr>
        <w:t>合</w:t>
      </w:r>
      <w:r>
        <w:rPr>
          <w:rFonts w:hint="eastAsia" w:ascii="宋体" w:hAnsi="宋体"/>
          <w:color w:val="000000"/>
          <w:kern w:val="0"/>
          <w:sz w:val="24"/>
        </w:rPr>
        <w:t>同当事人约定的</w:t>
      </w:r>
      <w:r>
        <w:rPr>
          <w:rFonts w:ascii="宋体" w:hAnsi="宋体"/>
          <w:color w:val="000000"/>
          <w:kern w:val="0"/>
          <w:sz w:val="24"/>
        </w:rPr>
        <w:t>施工组织设计</w:t>
      </w:r>
      <w:r>
        <w:rPr>
          <w:rFonts w:hint="eastAsia" w:ascii="宋体" w:hAnsi="宋体"/>
          <w:color w:val="000000"/>
          <w:kern w:val="0"/>
          <w:sz w:val="24"/>
        </w:rPr>
        <w:t>应包括的其他内容</w:t>
      </w:r>
      <w:r>
        <w:rPr>
          <w:rFonts w:ascii="宋体" w:hAnsi="宋体"/>
          <w:color w:val="000000"/>
          <w:kern w:val="0"/>
          <w:sz w:val="24"/>
        </w:rPr>
        <w:t>：</w:t>
      </w:r>
      <w:r>
        <w:rPr>
          <w:rFonts w:hint="eastAsia" w:ascii="宋体" w:hAnsi="宋体"/>
          <w:sz w:val="24"/>
          <w:szCs w:val="32"/>
          <w:u w:val="single"/>
        </w:rPr>
        <w:t>1、施工方案；2、施工现场平面布置图；3、施工进度计划和保证措施；4、劳动力及材料供应计划；5、施工机械设备的选用；6、质量保证体系及措施；7、安全生产、文明施工措施；8、环境保护、成本控制措施；9、其他</w:t>
      </w:r>
      <w:r>
        <w:rPr>
          <w:rFonts w:hint="eastAsia" w:ascii="宋体" w:hAnsi="宋体"/>
          <w:sz w:val="24"/>
          <w:u w:val="single"/>
        </w:rPr>
        <w:t>。</w:t>
      </w:r>
    </w:p>
    <w:p>
      <w:pPr>
        <w:autoSpaceDE w:val="0"/>
        <w:autoSpaceDN w:val="0"/>
        <w:adjustRightInd w:val="0"/>
        <w:snapToGrid w:val="0"/>
        <w:spacing w:line="460" w:lineRule="exact"/>
        <w:ind w:firstLine="480" w:firstLineChars="200"/>
        <w:jc w:val="left"/>
        <w:rPr>
          <w:rFonts w:ascii="宋体" w:hAnsi="宋体"/>
          <w:color w:val="000000"/>
          <w:kern w:val="0"/>
          <w:sz w:val="24"/>
        </w:rPr>
      </w:pPr>
      <w:r>
        <w:rPr>
          <w:rFonts w:ascii="宋体" w:hAnsi="宋体"/>
          <w:sz w:val="24"/>
        </w:rPr>
        <w:t>7.1.2</w:t>
      </w:r>
      <w:r>
        <w:rPr>
          <w:rFonts w:ascii="宋体" w:hAnsi="宋体"/>
          <w:color w:val="000000"/>
          <w:kern w:val="0"/>
          <w:sz w:val="24"/>
        </w:rPr>
        <w:t>施工组织设计的提交和修改</w:t>
      </w:r>
    </w:p>
    <w:p>
      <w:pPr>
        <w:autoSpaceDE w:val="0"/>
        <w:autoSpaceDN w:val="0"/>
        <w:adjustRightInd w:val="0"/>
        <w:snapToGrid w:val="0"/>
        <w:spacing w:line="460" w:lineRule="exact"/>
        <w:ind w:firstLine="480" w:firstLineChars="200"/>
        <w:jc w:val="left"/>
        <w:rPr>
          <w:rFonts w:ascii="宋体" w:hAnsi="宋体"/>
          <w:color w:val="000000"/>
          <w:kern w:val="0"/>
          <w:sz w:val="24"/>
        </w:rPr>
      </w:pPr>
      <w:r>
        <w:rPr>
          <w:rFonts w:ascii="宋体" w:hAnsi="宋体"/>
          <w:color w:val="000000"/>
          <w:kern w:val="0"/>
          <w:sz w:val="24"/>
        </w:rPr>
        <w:t>承包人提交详细施工组织设计的期限的约定：</w:t>
      </w:r>
      <w:r>
        <w:rPr>
          <w:rFonts w:hint="eastAsia" w:ascii="宋体" w:hAnsi="宋体"/>
          <w:sz w:val="24"/>
          <w:szCs w:val="32"/>
          <w:u w:val="single"/>
        </w:rPr>
        <w:t>合同签订后8天内，开工前5天</w:t>
      </w:r>
      <w:r>
        <w:rPr>
          <w:rFonts w:ascii="宋体" w:hAnsi="宋体"/>
          <w:sz w:val="24"/>
        </w:rPr>
        <w:t>。</w:t>
      </w:r>
    </w:p>
    <w:p>
      <w:pPr>
        <w:snapToGrid w:val="0"/>
        <w:spacing w:line="460" w:lineRule="exact"/>
        <w:ind w:firstLine="480" w:firstLineChars="200"/>
        <w:jc w:val="left"/>
        <w:rPr>
          <w:rFonts w:ascii="宋体" w:hAnsi="宋体"/>
          <w:color w:val="000000"/>
          <w:sz w:val="24"/>
        </w:rPr>
      </w:pPr>
      <w:r>
        <w:rPr>
          <w:rFonts w:ascii="宋体" w:hAnsi="宋体"/>
          <w:color w:val="000000"/>
          <w:sz w:val="24"/>
        </w:rPr>
        <w:t>发包人和监理人在收到</w:t>
      </w:r>
      <w:r>
        <w:rPr>
          <w:rFonts w:hint="eastAsia" w:ascii="宋体" w:hAnsi="宋体"/>
          <w:color w:val="000000"/>
          <w:sz w:val="24"/>
        </w:rPr>
        <w:t>详细的施工组织设计</w:t>
      </w:r>
      <w:r>
        <w:rPr>
          <w:rFonts w:ascii="宋体" w:hAnsi="宋体"/>
          <w:color w:val="000000"/>
          <w:sz w:val="24"/>
        </w:rPr>
        <w:t>后确认或提出修改意见的期限：</w:t>
      </w:r>
      <w:r>
        <w:rPr>
          <w:rFonts w:hint="eastAsia" w:ascii="宋体" w:hAnsi="宋体"/>
          <w:sz w:val="24"/>
          <w:szCs w:val="32"/>
          <w:u w:val="single"/>
        </w:rPr>
        <w:t>收到后7天内</w:t>
      </w:r>
      <w:r>
        <w:rPr>
          <w:rFonts w:ascii="宋体" w:hAnsi="宋体"/>
          <w:sz w:val="24"/>
        </w:rPr>
        <w:t>。</w:t>
      </w:r>
    </w:p>
    <w:p>
      <w:pPr>
        <w:autoSpaceDE w:val="0"/>
        <w:autoSpaceDN w:val="0"/>
        <w:adjustRightInd w:val="0"/>
        <w:snapToGrid w:val="0"/>
        <w:spacing w:line="460" w:lineRule="exact"/>
        <w:ind w:firstLine="480" w:firstLineChars="200"/>
        <w:jc w:val="left"/>
        <w:rPr>
          <w:rFonts w:ascii="宋体" w:hAnsi="宋体"/>
          <w:color w:val="000000"/>
          <w:kern w:val="0"/>
          <w:sz w:val="24"/>
        </w:rPr>
      </w:pPr>
      <w:r>
        <w:rPr>
          <w:rFonts w:ascii="宋体" w:hAnsi="宋体"/>
          <w:color w:val="000000"/>
          <w:kern w:val="0"/>
          <w:sz w:val="24"/>
        </w:rPr>
        <w:t>7</w:t>
      </w:r>
      <w:bookmarkStart w:id="367" w:name="_Toc312678005"/>
      <w:bookmarkStart w:id="368" w:name="_Toc312677479"/>
      <w:bookmarkStart w:id="369" w:name="_Toc297216173"/>
      <w:bookmarkStart w:id="370" w:name="_Toc303539123"/>
      <w:bookmarkStart w:id="371" w:name="_Toc297123514"/>
      <w:bookmarkStart w:id="372" w:name="_Toc304295541"/>
      <w:bookmarkStart w:id="373" w:name="_Toc300934966"/>
      <w:r>
        <w:rPr>
          <w:rFonts w:ascii="宋体" w:hAnsi="宋体"/>
          <w:color w:val="000000"/>
          <w:kern w:val="0"/>
          <w:sz w:val="24"/>
        </w:rPr>
        <w:t>.2 施工进度计划</w:t>
      </w:r>
    </w:p>
    <w:p>
      <w:pPr>
        <w:snapToGrid w:val="0"/>
        <w:spacing w:line="460" w:lineRule="exact"/>
        <w:ind w:firstLine="480" w:firstLineChars="200"/>
        <w:jc w:val="left"/>
        <w:rPr>
          <w:rFonts w:ascii="宋体" w:hAnsi="宋体"/>
          <w:color w:val="000000"/>
          <w:sz w:val="24"/>
        </w:rPr>
      </w:pPr>
      <w:r>
        <w:rPr>
          <w:rFonts w:ascii="宋体" w:hAnsi="宋体"/>
          <w:color w:val="000000"/>
          <w:sz w:val="24"/>
        </w:rPr>
        <w:t>7.2.2 施工进度计划的修订</w:t>
      </w:r>
    </w:p>
    <w:p>
      <w:pPr>
        <w:snapToGrid w:val="0"/>
        <w:spacing w:line="460" w:lineRule="exact"/>
        <w:ind w:firstLine="480" w:firstLineChars="200"/>
        <w:jc w:val="left"/>
        <w:rPr>
          <w:rFonts w:ascii="宋体" w:hAnsi="宋体"/>
          <w:color w:val="000000"/>
          <w:sz w:val="24"/>
        </w:rPr>
      </w:pPr>
      <w:r>
        <w:rPr>
          <w:rFonts w:ascii="宋体" w:hAnsi="宋体"/>
          <w:color w:val="000000"/>
          <w:sz w:val="24"/>
        </w:rPr>
        <w:t>发包人和监理人在收到修订的施工进度计划后确认或提出修改意见的期限：</w:t>
      </w:r>
      <w:r>
        <w:rPr>
          <w:rFonts w:hint="eastAsia" w:ascii="宋体" w:hAnsi="宋体"/>
          <w:sz w:val="24"/>
          <w:szCs w:val="32"/>
          <w:u w:val="single"/>
        </w:rPr>
        <w:t>收到后7天内</w:t>
      </w:r>
      <w:r>
        <w:rPr>
          <w:rFonts w:ascii="宋体" w:hAnsi="宋体"/>
          <w:sz w:val="24"/>
        </w:rPr>
        <w:t>。</w:t>
      </w:r>
    </w:p>
    <w:p>
      <w:pPr>
        <w:autoSpaceDE w:val="0"/>
        <w:autoSpaceDN w:val="0"/>
        <w:adjustRightInd w:val="0"/>
        <w:snapToGrid w:val="0"/>
        <w:spacing w:line="460" w:lineRule="exact"/>
        <w:ind w:firstLine="480" w:firstLineChars="200"/>
        <w:jc w:val="left"/>
        <w:rPr>
          <w:rFonts w:ascii="宋体" w:hAnsi="宋体"/>
          <w:color w:val="000000"/>
          <w:kern w:val="0"/>
          <w:sz w:val="24"/>
        </w:rPr>
      </w:pPr>
      <w:r>
        <w:rPr>
          <w:rFonts w:ascii="宋体" w:hAnsi="宋体"/>
          <w:color w:val="000000"/>
          <w:kern w:val="0"/>
          <w:sz w:val="24"/>
        </w:rPr>
        <w:t>7.3 开工</w:t>
      </w:r>
    </w:p>
    <w:p>
      <w:pPr>
        <w:snapToGrid w:val="0"/>
        <w:spacing w:line="460" w:lineRule="exact"/>
        <w:ind w:firstLine="480" w:firstLineChars="200"/>
        <w:jc w:val="left"/>
        <w:rPr>
          <w:rFonts w:ascii="宋体" w:hAnsi="宋体"/>
          <w:sz w:val="24"/>
        </w:rPr>
      </w:pPr>
      <w:r>
        <w:rPr>
          <w:rFonts w:ascii="宋体" w:hAnsi="宋体"/>
          <w:sz w:val="24"/>
        </w:rPr>
        <w:t>7.3.1 开工准备</w:t>
      </w:r>
    </w:p>
    <w:p>
      <w:pPr>
        <w:snapToGrid w:val="0"/>
        <w:spacing w:line="460" w:lineRule="exact"/>
        <w:ind w:firstLine="645"/>
        <w:jc w:val="left"/>
        <w:rPr>
          <w:rFonts w:ascii="宋体" w:hAnsi="宋体"/>
          <w:sz w:val="24"/>
          <w:u w:val="single"/>
        </w:rPr>
      </w:pPr>
      <w:r>
        <w:rPr>
          <w:rFonts w:ascii="宋体" w:hAnsi="宋体"/>
          <w:sz w:val="24"/>
        </w:rPr>
        <w:t>关于承包人提交</w:t>
      </w:r>
      <w:r>
        <w:rPr>
          <w:rFonts w:ascii="宋体" w:hAnsi="宋体"/>
          <w:kern w:val="0"/>
          <w:sz w:val="24"/>
        </w:rPr>
        <w:t>工程开工报审表的期限：</w:t>
      </w:r>
      <w:r>
        <w:rPr>
          <w:rFonts w:hint="eastAsia" w:ascii="宋体" w:hAnsi="宋体"/>
          <w:sz w:val="24"/>
          <w:u w:val="single"/>
        </w:rPr>
        <w:t>按施工组织设计约定的期限</w:t>
      </w:r>
      <w:r>
        <w:rPr>
          <w:rFonts w:ascii="宋体" w:hAnsi="宋体"/>
          <w:sz w:val="24"/>
        </w:rPr>
        <w:t>。</w:t>
      </w:r>
    </w:p>
    <w:p>
      <w:pPr>
        <w:snapToGrid w:val="0"/>
        <w:spacing w:line="460" w:lineRule="exact"/>
        <w:ind w:firstLine="645"/>
        <w:jc w:val="left"/>
        <w:rPr>
          <w:rFonts w:ascii="宋体" w:hAnsi="宋体"/>
          <w:sz w:val="24"/>
          <w:u w:val="single"/>
        </w:rPr>
      </w:pPr>
      <w:r>
        <w:rPr>
          <w:rFonts w:ascii="宋体" w:hAnsi="宋体"/>
          <w:color w:val="000000"/>
          <w:sz w:val="24"/>
        </w:rPr>
        <w:t>关于发包人应完成的其他开工准备工作及期限：</w:t>
      </w:r>
      <w:r>
        <w:rPr>
          <w:rFonts w:hint="eastAsia" w:ascii="宋体" w:hAnsi="宋体"/>
          <w:color w:val="000000"/>
          <w:kern w:val="0"/>
          <w:sz w:val="24"/>
          <w:szCs w:val="32"/>
          <w:u w:val="single"/>
        </w:rPr>
        <w:t>按《通用条款》执行</w:t>
      </w:r>
      <w:r>
        <w:rPr>
          <w:rFonts w:ascii="宋体" w:hAnsi="宋体"/>
          <w:sz w:val="24"/>
        </w:rPr>
        <w:t>。</w:t>
      </w:r>
    </w:p>
    <w:p>
      <w:pPr>
        <w:snapToGrid w:val="0"/>
        <w:spacing w:line="460" w:lineRule="exact"/>
        <w:ind w:firstLine="645"/>
        <w:jc w:val="left"/>
        <w:rPr>
          <w:rFonts w:ascii="宋体" w:hAnsi="宋体"/>
          <w:sz w:val="24"/>
          <w:u w:val="single"/>
        </w:rPr>
      </w:pPr>
      <w:r>
        <w:rPr>
          <w:rFonts w:ascii="宋体" w:hAnsi="宋体"/>
          <w:color w:val="000000"/>
          <w:sz w:val="24"/>
        </w:rPr>
        <w:t>关于承包人应完成的其他开工准备工作及期限：</w:t>
      </w:r>
      <w:r>
        <w:rPr>
          <w:rFonts w:hint="eastAsia" w:ascii="宋体" w:hAnsi="宋体"/>
          <w:color w:val="000000"/>
          <w:kern w:val="0"/>
          <w:sz w:val="24"/>
          <w:szCs w:val="32"/>
          <w:u w:val="single"/>
        </w:rPr>
        <w:t>按《通用条款》执行</w:t>
      </w:r>
      <w:r>
        <w:rPr>
          <w:rFonts w:ascii="宋体" w:hAnsi="宋体"/>
          <w:sz w:val="24"/>
        </w:rPr>
        <w:t>。</w:t>
      </w:r>
    </w:p>
    <w:p>
      <w:pPr>
        <w:snapToGrid w:val="0"/>
        <w:spacing w:line="460" w:lineRule="exact"/>
        <w:ind w:firstLine="480" w:firstLineChars="200"/>
        <w:jc w:val="left"/>
        <w:rPr>
          <w:rFonts w:ascii="宋体" w:hAnsi="宋体"/>
          <w:sz w:val="24"/>
        </w:rPr>
      </w:pPr>
      <w:r>
        <w:rPr>
          <w:rFonts w:ascii="宋体" w:hAnsi="宋体"/>
          <w:sz w:val="24"/>
        </w:rPr>
        <w:t>7.3.2开工通知</w:t>
      </w:r>
    </w:p>
    <w:p>
      <w:pPr>
        <w:snapToGrid w:val="0"/>
        <w:spacing w:line="460" w:lineRule="exact"/>
        <w:ind w:firstLine="480" w:firstLineChars="200"/>
        <w:jc w:val="left"/>
        <w:rPr>
          <w:rFonts w:ascii="宋体" w:hAnsi="宋体"/>
          <w:sz w:val="24"/>
        </w:rPr>
      </w:pPr>
      <w:r>
        <w:rPr>
          <w:rFonts w:ascii="宋体" w:hAnsi="宋体"/>
          <w:sz w:val="24"/>
        </w:rPr>
        <w:t>因发包人原因造成监理人未能在计划开工日期之日起</w:t>
      </w:r>
      <w:r>
        <w:rPr>
          <w:rFonts w:hint="eastAsia" w:ascii="宋体" w:hAnsi="宋体"/>
          <w:sz w:val="24"/>
          <w:u w:val="single"/>
        </w:rPr>
        <w:t>90</w:t>
      </w:r>
      <w:r>
        <w:rPr>
          <w:rFonts w:ascii="宋体" w:hAnsi="宋体"/>
          <w:sz w:val="24"/>
        </w:rPr>
        <w:t>天内发出开工通知的，承包人有权提出价格调整要求，或者解除合同。</w:t>
      </w:r>
    </w:p>
    <w:bookmarkEnd w:id="367"/>
    <w:bookmarkEnd w:id="368"/>
    <w:bookmarkEnd w:id="369"/>
    <w:bookmarkEnd w:id="370"/>
    <w:bookmarkEnd w:id="371"/>
    <w:bookmarkEnd w:id="372"/>
    <w:bookmarkEnd w:id="373"/>
    <w:p>
      <w:pPr>
        <w:autoSpaceDE w:val="0"/>
        <w:autoSpaceDN w:val="0"/>
        <w:adjustRightInd w:val="0"/>
        <w:snapToGrid w:val="0"/>
        <w:spacing w:line="460" w:lineRule="exact"/>
        <w:ind w:firstLine="480" w:firstLineChars="200"/>
        <w:jc w:val="left"/>
        <w:rPr>
          <w:rFonts w:ascii="宋体" w:hAnsi="宋体"/>
          <w:color w:val="000000"/>
          <w:kern w:val="0"/>
          <w:sz w:val="24"/>
        </w:rPr>
      </w:pPr>
      <w:r>
        <w:rPr>
          <w:rFonts w:ascii="宋体" w:hAnsi="宋体"/>
          <w:color w:val="000000"/>
          <w:kern w:val="0"/>
          <w:sz w:val="24"/>
        </w:rPr>
        <w:t>7.4 测量放线</w:t>
      </w:r>
    </w:p>
    <w:p>
      <w:pPr>
        <w:snapToGrid w:val="0"/>
        <w:spacing w:line="460" w:lineRule="exact"/>
        <w:ind w:firstLine="480" w:firstLineChars="200"/>
        <w:jc w:val="left"/>
        <w:rPr>
          <w:rFonts w:ascii="宋体" w:hAnsi="宋体"/>
          <w:sz w:val="24"/>
          <w:u w:val="single"/>
        </w:rPr>
      </w:pPr>
      <w:r>
        <w:rPr>
          <w:rFonts w:ascii="宋体" w:hAnsi="宋体"/>
          <w:sz w:val="24"/>
        </w:rPr>
        <w:t>7.4.1发包人通过监理人向承包人提供测量基准点、基准线和水准点及其书面资料的期限：</w:t>
      </w:r>
      <w:r>
        <w:rPr>
          <w:rFonts w:hint="eastAsia" w:ascii="宋体" w:hAnsi="宋体"/>
          <w:sz w:val="24"/>
          <w:szCs w:val="32"/>
          <w:u w:val="single"/>
        </w:rPr>
        <w:t>开工日期前7天</w:t>
      </w:r>
      <w:r>
        <w:rPr>
          <w:rFonts w:ascii="宋体" w:hAnsi="宋体"/>
          <w:sz w:val="24"/>
        </w:rPr>
        <w:t>。</w:t>
      </w:r>
    </w:p>
    <w:p>
      <w:pPr>
        <w:autoSpaceDE w:val="0"/>
        <w:autoSpaceDN w:val="0"/>
        <w:adjustRightInd w:val="0"/>
        <w:snapToGrid w:val="0"/>
        <w:spacing w:line="460" w:lineRule="exact"/>
        <w:ind w:firstLine="480" w:firstLineChars="200"/>
        <w:jc w:val="left"/>
        <w:rPr>
          <w:rFonts w:ascii="宋体" w:hAnsi="宋体"/>
          <w:color w:val="000000"/>
          <w:kern w:val="0"/>
          <w:sz w:val="24"/>
        </w:rPr>
      </w:pPr>
      <w:r>
        <w:rPr>
          <w:rFonts w:ascii="宋体" w:hAnsi="宋体"/>
          <w:color w:val="000000"/>
          <w:kern w:val="0"/>
          <w:sz w:val="24"/>
        </w:rPr>
        <w:t>7</w:t>
      </w:r>
      <w:bookmarkStart w:id="374" w:name="_Toc303539125"/>
      <w:bookmarkStart w:id="375" w:name="_Toc304295546"/>
      <w:bookmarkStart w:id="376" w:name="_Toc297123516"/>
      <w:bookmarkStart w:id="377" w:name="_Toc297216175"/>
      <w:bookmarkStart w:id="378" w:name="_Toc300934968"/>
      <w:bookmarkStart w:id="379" w:name="_Toc312677484"/>
      <w:bookmarkStart w:id="380" w:name="_Toc312678010"/>
      <w:r>
        <w:rPr>
          <w:rFonts w:ascii="宋体" w:hAnsi="宋体"/>
          <w:color w:val="000000"/>
          <w:kern w:val="0"/>
          <w:sz w:val="24"/>
        </w:rPr>
        <w:t>.5 工期延误</w:t>
      </w:r>
    </w:p>
    <w:bookmarkEnd w:id="374"/>
    <w:bookmarkEnd w:id="375"/>
    <w:bookmarkEnd w:id="376"/>
    <w:bookmarkEnd w:id="377"/>
    <w:bookmarkEnd w:id="378"/>
    <w:bookmarkEnd w:id="379"/>
    <w:bookmarkEnd w:id="380"/>
    <w:p>
      <w:pPr>
        <w:snapToGrid w:val="0"/>
        <w:spacing w:line="460" w:lineRule="exact"/>
        <w:ind w:firstLine="480" w:firstLineChars="200"/>
        <w:jc w:val="left"/>
        <w:rPr>
          <w:rFonts w:ascii="宋体" w:hAnsi="宋体"/>
          <w:sz w:val="24"/>
        </w:rPr>
      </w:pPr>
      <w:r>
        <w:rPr>
          <w:rFonts w:ascii="宋体" w:hAnsi="宋体"/>
          <w:sz w:val="24"/>
        </w:rPr>
        <w:t>7.5.1 因发包人原因导致工期延误</w:t>
      </w:r>
    </w:p>
    <w:p>
      <w:pPr>
        <w:snapToGrid w:val="0"/>
        <w:spacing w:line="460" w:lineRule="exact"/>
        <w:ind w:firstLine="511" w:firstLineChars="213"/>
        <w:jc w:val="left"/>
        <w:rPr>
          <w:rFonts w:ascii="宋体" w:hAnsi="宋体"/>
          <w:sz w:val="24"/>
        </w:rPr>
      </w:pPr>
      <w:r>
        <w:rPr>
          <w:rFonts w:ascii="宋体" w:hAnsi="宋体"/>
          <w:sz w:val="24"/>
        </w:rPr>
        <w:t>（7）因发包人原因导致工期延误的其他情形：</w:t>
      </w:r>
      <w:r>
        <w:rPr>
          <w:rFonts w:hint="eastAsia" w:ascii="宋体" w:hAnsi="宋体"/>
          <w:sz w:val="24"/>
          <w:u w:val="single"/>
        </w:rPr>
        <w:t xml:space="preserve">  无   </w:t>
      </w:r>
      <w:r>
        <w:rPr>
          <w:rFonts w:ascii="宋体" w:hAnsi="宋体"/>
          <w:sz w:val="24"/>
        </w:rPr>
        <w:t>。</w:t>
      </w:r>
    </w:p>
    <w:p>
      <w:pPr>
        <w:snapToGrid w:val="0"/>
        <w:spacing w:line="460" w:lineRule="exact"/>
        <w:ind w:firstLine="480" w:firstLineChars="200"/>
        <w:jc w:val="left"/>
        <w:rPr>
          <w:rFonts w:ascii="宋体" w:hAnsi="宋体"/>
          <w:sz w:val="24"/>
        </w:rPr>
      </w:pPr>
      <w:r>
        <w:rPr>
          <w:rFonts w:ascii="宋体" w:hAnsi="宋体"/>
          <w:sz w:val="24"/>
        </w:rPr>
        <w:t>7</w:t>
      </w:r>
      <w:bookmarkStart w:id="381" w:name="_Toc312678012"/>
      <w:bookmarkStart w:id="382" w:name="_Toc318581169"/>
      <w:bookmarkStart w:id="383" w:name="_Toc312677486"/>
      <w:bookmarkStart w:id="384" w:name="_Toc303539127"/>
      <w:bookmarkStart w:id="385" w:name="_Toc304295548"/>
      <w:bookmarkStart w:id="386" w:name="_Toc297216177"/>
      <w:bookmarkStart w:id="387" w:name="_Toc297123518"/>
      <w:bookmarkStart w:id="388" w:name="_Toc300934970"/>
      <w:r>
        <w:rPr>
          <w:rFonts w:ascii="宋体" w:hAnsi="宋体"/>
          <w:sz w:val="24"/>
        </w:rPr>
        <w:t>.5.2 因承包人原因导致工期延误</w:t>
      </w:r>
    </w:p>
    <w:bookmarkEnd w:id="381"/>
    <w:bookmarkEnd w:id="382"/>
    <w:bookmarkEnd w:id="383"/>
    <w:p>
      <w:pPr>
        <w:snapToGrid w:val="0"/>
        <w:spacing w:line="460" w:lineRule="exact"/>
        <w:ind w:firstLine="480" w:firstLineChars="200"/>
        <w:jc w:val="left"/>
        <w:rPr>
          <w:rFonts w:ascii="宋体" w:hAnsi="宋体"/>
          <w:sz w:val="24"/>
          <w:u w:val="single"/>
        </w:rPr>
      </w:pPr>
      <w:r>
        <w:rPr>
          <w:rFonts w:ascii="宋体" w:hAnsi="宋体"/>
          <w:sz w:val="24"/>
        </w:rPr>
        <w:t>因</w:t>
      </w:r>
      <w:bookmarkStart w:id="389" w:name="_Toc312677487"/>
      <w:bookmarkStart w:id="390" w:name="_Toc312678013"/>
      <w:bookmarkStart w:id="391" w:name="_Toc318581170"/>
      <w:r>
        <w:rPr>
          <w:rFonts w:ascii="宋体" w:hAnsi="宋体"/>
          <w:sz w:val="24"/>
        </w:rPr>
        <w:t>承包人原因造成工期延误，逾期竣工违约金的计算方法为：</w:t>
      </w:r>
      <w:r>
        <w:rPr>
          <w:rFonts w:hint="eastAsia" w:ascii="宋体" w:hAnsi="宋体"/>
          <w:sz w:val="24"/>
          <w:u w:val="single"/>
        </w:rPr>
        <w:t>承包人应按投标文件中承诺工期完成。如由于承包人原因而引起延期承诺工期，承包人则按每延期一天承担工程造价的千分之一的违约金。</w:t>
      </w:r>
      <w:bookmarkEnd w:id="384"/>
      <w:bookmarkEnd w:id="385"/>
      <w:bookmarkEnd w:id="386"/>
      <w:bookmarkEnd w:id="387"/>
      <w:bookmarkEnd w:id="388"/>
      <w:bookmarkEnd w:id="389"/>
      <w:bookmarkEnd w:id="390"/>
    </w:p>
    <w:bookmarkEnd w:id="391"/>
    <w:p>
      <w:pPr>
        <w:snapToGrid w:val="0"/>
        <w:spacing w:line="460" w:lineRule="exact"/>
        <w:ind w:firstLine="480" w:firstLineChars="200"/>
        <w:jc w:val="left"/>
        <w:rPr>
          <w:rFonts w:ascii="宋体" w:hAnsi="宋体"/>
          <w:sz w:val="24"/>
        </w:rPr>
      </w:pPr>
      <w:r>
        <w:rPr>
          <w:rFonts w:ascii="宋体" w:hAnsi="宋体"/>
          <w:sz w:val="24"/>
        </w:rPr>
        <w:t>因承包人原因造成工期延误，逾</w:t>
      </w:r>
      <w:bookmarkStart w:id="392" w:name="_Toc312678014"/>
      <w:bookmarkStart w:id="393" w:name="_Toc318581171"/>
      <w:r>
        <w:rPr>
          <w:rFonts w:ascii="宋体" w:hAnsi="宋体"/>
          <w:sz w:val="24"/>
        </w:rPr>
        <w:t>期竣工违约金的上限：</w:t>
      </w:r>
      <w:r>
        <w:rPr>
          <w:rFonts w:hint="eastAsia" w:ascii="宋体" w:hAnsi="宋体"/>
          <w:sz w:val="24"/>
          <w:u w:val="single"/>
        </w:rPr>
        <w:t xml:space="preserve"> 全额履约保证金  </w:t>
      </w:r>
      <w:r>
        <w:rPr>
          <w:rFonts w:ascii="宋体" w:hAnsi="宋体"/>
          <w:sz w:val="24"/>
        </w:rPr>
        <w:t>。</w:t>
      </w:r>
    </w:p>
    <w:bookmarkEnd w:id="392"/>
    <w:bookmarkEnd w:id="393"/>
    <w:p>
      <w:pPr>
        <w:snapToGrid w:val="0"/>
        <w:spacing w:line="460" w:lineRule="exact"/>
        <w:ind w:firstLine="480" w:firstLineChars="200"/>
        <w:rPr>
          <w:rFonts w:ascii="宋体" w:hAnsi="宋体"/>
          <w:color w:val="000000"/>
          <w:kern w:val="0"/>
          <w:sz w:val="24"/>
        </w:rPr>
      </w:pPr>
      <w:r>
        <w:rPr>
          <w:rFonts w:ascii="宋体" w:hAnsi="宋体"/>
          <w:color w:val="000000"/>
          <w:sz w:val="24"/>
        </w:rPr>
        <w:t>7</w:t>
      </w:r>
      <w:bookmarkStart w:id="394" w:name="_Toc297123519"/>
      <w:bookmarkStart w:id="395" w:name="_Toc297216178"/>
      <w:bookmarkStart w:id="396" w:name="_Toc300934971"/>
      <w:bookmarkStart w:id="397" w:name="_Toc304295549"/>
      <w:bookmarkStart w:id="398" w:name="_Toc312678015"/>
      <w:bookmarkStart w:id="399" w:name="_Toc303539128"/>
      <w:r>
        <w:rPr>
          <w:rFonts w:ascii="宋体" w:hAnsi="宋体"/>
          <w:color w:val="000000"/>
          <w:kern w:val="0"/>
          <w:sz w:val="24"/>
        </w:rPr>
        <w:t>.6 不</w:t>
      </w:r>
      <w:bookmarkEnd w:id="394"/>
      <w:bookmarkEnd w:id="395"/>
      <w:bookmarkEnd w:id="396"/>
      <w:bookmarkEnd w:id="397"/>
      <w:bookmarkEnd w:id="398"/>
      <w:bookmarkEnd w:id="399"/>
      <w:r>
        <w:rPr>
          <w:rFonts w:ascii="宋体" w:hAnsi="宋体"/>
          <w:color w:val="000000"/>
          <w:kern w:val="0"/>
          <w:sz w:val="24"/>
        </w:rPr>
        <w:t>利物质条件</w:t>
      </w:r>
    </w:p>
    <w:p>
      <w:pPr>
        <w:snapToGrid w:val="0"/>
        <w:spacing w:line="460" w:lineRule="exact"/>
        <w:ind w:firstLine="511" w:firstLineChars="213"/>
        <w:jc w:val="left"/>
        <w:rPr>
          <w:rFonts w:ascii="宋体" w:hAnsi="宋体"/>
          <w:sz w:val="24"/>
        </w:rPr>
      </w:pPr>
      <w:bookmarkStart w:id="400" w:name="_Toc318581172"/>
      <w:bookmarkStart w:id="401" w:name="_Toc300934972"/>
      <w:bookmarkStart w:id="402" w:name="_Toc297216179"/>
      <w:bookmarkStart w:id="403" w:name="_Toc297123520"/>
      <w:bookmarkStart w:id="404" w:name="_Toc303539129"/>
      <w:bookmarkStart w:id="405" w:name="_Toc312678016"/>
      <w:bookmarkStart w:id="406" w:name="_Toc304295550"/>
      <w:r>
        <w:rPr>
          <w:rFonts w:ascii="宋体" w:hAnsi="宋体"/>
          <w:sz w:val="24"/>
        </w:rPr>
        <w:t>不利物质条件的其他情形和有关约定：</w:t>
      </w:r>
      <w:r>
        <w:rPr>
          <w:rFonts w:hint="eastAsia" w:ascii="宋体" w:hAnsi="宋体"/>
          <w:color w:val="000000"/>
          <w:kern w:val="0"/>
          <w:sz w:val="24"/>
          <w:szCs w:val="32"/>
          <w:u w:val="single"/>
        </w:rPr>
        <w:t>按《通用条款》执行</w:t>
      </w:r>
      <w:r>
        <w:rPr>
          <w:rFonts w:ascii="宋体" w:hAnsi="宋体"/>
          <w:sz w:val="24"/>
        </w:rPr>
        <w:t>。</w:t>
      </w:r>
    </w:p>
    <w:bookmarkEnd w:id="400"/>
    <w:bookmarkEnd w:id="401"/>
    <w:bookmarkEnd w:id="402"/>
    <w:bookmarkEnd w:id="403"/>
    <w:bookmarkEnd w:id="404"/>
    <w:bookmarkEnd w:id="405"/>
    <w:bookmarkEnd w:id="406"/>
    <w:p>
      <w:pPr>
        <w:snapToGrid w:val="0"/>
        <w:spacing w:line="460" w:lineRule="exact"/>
        <w:ind w:firstLine="480" w:firstLineChars="200"/>
        <w:rPr>
          <w:rFonts w:ascii="宋体" w:hAnsi="宋体"/>
          <w:color w:val="000000"/>
          <w:kern w:val="0"/>
          <w:sz w:val="24"/>
        </w:rPr>
      </w:pPr>
      <w:r>
        <w:rPr>
          <w:rFonts w:ascii="宋体" w:hAnsi="宋体"/>
          <w:sz w:val="24"/>
        </w:rPr>
        <w:t>7</w:t>
      </w:r>
      <w:bookmarkStart w:id="407" w:name="_Toc303539130"/>
      <w:bookmarkStart w:id="408" w:name="_Toc312678017"/>
      <w:bookmarkStart w:id="409" w:name="_Toc300934973"/>
      <w:bookmarkStart w:id="410" w:name="_Toc297123521"/>
      <w:bookmarkStart w:id="411" w:name="_Toc304295551"/>
      <w:bookmarkStart w:id="412" w:name="_Toc297216180"/>
      <w:r>
        <w:rPr>
          <w:rFonts w:ascii="宋体" w:hAnsi="宋体"/>
          <w:color w:val="000000"/>
          <w:kern w:val="0"/>
          <w:sz w:val="24"/>
        </w:rPr>
        <w:t>.7异常恶劣的气候条件</w:t>
      </w:r>
    </w:p>
    <w:bookmarkEnd w:id="407"/>
    <w:bookmarkEnd w:id="408"/>
    <w:bookmarkEnd w:id="409"/>
    <w:bookmarkEnd w:id="410"/>
    <w:bookmarkEnd w:id="411"/>
    <w:bookmarkEnd w:id="412"/>
    <w:p>
      <w:pPr>
        <w:snapToGrid w:val="0"/>
        <w:spacing w:line="460" w:lineRule="exact"/>
        <w:ind w:firstLine="480" w:firstLineChars="200"/>
        <w:jc w:val="left"/>
        <w:rPr>
          <w:rFonts w:ascii="宋体" w:hAnsi="宋体"/>
          <w:sz w:val="24"/>
        </w:rPr>
      </w:pPr>
      <w:r>
        <w:rPr>
          <w:rFonts w:ascii="宋体" w:hAnsi="宋体"/>
          <w:sz w:val="24"/>
        </w:rPr>
        <w:t>发包人和承包人同意以下情形视为异常恶劣的气候条件：</w:t>
      </w:r>
    </w:p>
    <w:p>
      <w:pPr>
        <w:snapToGrid w:val="0"/>
        <w:spacing w:line="460" w:lineRule="exact"/>
        <w:ind w:firstLine="480" w:firstLineChars="200"/>
        <w:jc w:val="left"/>
        <w:rPr>
          <w:rFonts w:ascii="宋体" w:hAnsi="宋体"/>
          <w:sz w:val="24"/>
        </w:rPr>
      </w:pPr>
      <w:r>
        <w:rPr>
          <w:rFonts w:ascii="宋体" w:hAnsi="宋体"/>
          <w:sz w:val="24"/>
        </w:rPr>
        <w:t>（1）</w:t>
      </w:r>
      <w:r>
        <w:rPr>
          <w:rFonts w:hint="eastAsia" w:ascii="宋体" w:hAnsi="宋体"/>
          <w:color w:val="000000"/>
          <w:kern w:val="0"/>
          <w:sz w:val="24"/>
          <w:szCs w:val="32"/>
          <w:u w:val="single"/>
        </w:rPr>
        <w:t xml:space="preserve">24小时内降水量达到50mm以上的暴雨  </w:t>
      </w:r>
      <w:r>
        <w:rPr>
          <w:rFonts w:ascii="宋体" w:hAnsi="宋体"/>
          <w:sz w:val="24"/>
        </w:rPr>
        <w:t>；</w:t>
      </w:r>
    </w:p>
    <w:p>
      <w:pPr>
        <w:snapToGrid w:val="0"/>
        <w:spacing w:line="460" w:lineRule="exact"/>
        <w:ind w:firstLine="480" w:firstLineChars="200"/>
        <w:jc w:val="left"/>
        <w:rPr>
          <w:rFonts w:ascii="宋体" w:hAnsi="宋体"/>
          <w:sz w:val="24"/>
        </w:rPr>
      </w:pPr>
      <w:r>
        <w:rPr>
          <w:rFonts w:ascii="宋体" w:hAnsi="宋体"/>
          <w:sz w:val="24"/>
        </w:rPr>
        <w:t>（2）</w:t>
      </w:r>
      <w:r>
        <w:rPr>
          <w:rFonts w:hint="eastAsia" w:ascii="宋体" w:hAnsi="宋体"/>
          <w:color w:val="000000"/>
          <w:kern w:val="0"/>
          <w:sz w:val="24"/>
          <w:szCs w:val="32"/>
          <w:u w:val="single"/>
        </w:rPr>
        <w:t>8级以上的台风</w:t>
      </w:r>
      <w:r>
        <w:rPr>
          <w:rFonts w:ascii="宋体" w:hAnsi="宋体"/>
          <w:sz w:val="24"/>
        </w:rPr>
        <w:t>；</w:t>
      </w:r>
    </w:p>
    <w:p>
      <w:pPr>
        <w:snapToGrid w:val="0"/>
        <w:spacing w:line="460" w:lineRule="exact"/>
        <w:ind w:firstLine="480" w:firstLineChars="200"/>
        <w:jc w:val="left"/>
        <w:rPr>
          <w:rFonts w:ascii="宋体" w:hAnsi="宋体"/>
          <w:sz w:val="24"/>
        </w:rPr>
      </w:pPr>
      <w:r>
        <w:rPr>
          <w:rFonts w:ascii="宋体" w:hAnsi="宋体"/>
          <w:sz w:val="24"/>
        </w:rPr>
        <w:t>（3）</w:t>
      </w:r>
      <w:r>
        <w:rPr>
          <w:rFonts w:hint="eastAsia" w:ascii="宋体" w:hAnsi="宋体"/>
          <w:color w:val="000000"/>
          <w:kern w:val="0"/>
          <w:sz w:val="24"/>
          <w:szCs w:val="32"/>
          <w:u w:val="single"/>
        </w:rPr>
        <w:t>地震</w:t>
      </w:r>
      <w:r>
        <w:rPr>
          <w:rFonts w:ascii="宋体" w:hAnsi="宋体"/>
          <w:sz w:val="24"/>
        </w:rPr>
        <w:t>。</w:t>
      </w:r>
    </w:p>
    <w:p>
      <w:pPr>
        <w:snapToGrid w:val="0"/>
        <w:spacing w:line="460" w:lineRule="exact"/>
        <w:ind w:firstLine="480" w:firstLineChars="200"/>
        <w:rPr>
          <w:rFonts w:ascii="宋体" w:hAnsi="宋体"/>
          <w:color w:val="000000"/>
          <w:kern w:val="0"/>
          <w:sz w:val="24"/>
        </w:rPr>
      </w:pPr>
      <w:r>
        <w:rPr>
          <w:rFonts w:ascii="宋体" w:hAnsi="宋体"/>
          <w:color w:val="000000"/>
          <w:kern w:val="0"/>
          <w:sz w:val="24"/>
        </w:rPr>
        <w:t>7.9 提前竣工的奖励</w:t>
      </w:r>
    </w:p>
    <w:p>
      <w:pPr>
        <w:snapToGrid w:val="0"/>
        <w:spacing w:line="460" w:lineRule="exact"/>
        <w:ind w:firstLine="480" w:firstLineChars="200"/>
        <w:jc w:val="left"/>
        <w:rPr>
          <w:rFonts w:ascii="宋体" w:hAnsi="宋体"/>
          <w:color w:val="000000"/>
          <w:sz w:val="24"/>
        </w:rPr>
      </w:pPr>
      <w:r>
        <w:rPr>
          <w:rFonts w:ascii="宋体" w:hAnsi="宋体"/>
          <w:sz w:val="24"/>
        </w:rPr>
        <w:t>7.9.2提前竣工的奖励：</w:t>
      </w:r>
      <w:r>
        <w:rPr>
          <w:rFonts w:hint="eastAsia" w:ascii="宋体" w:hAnsi="宋体"/>
          <w:sz w:val="24"/>
          <w:u w:val="single"/>
        </w:rPr>
        <w:t>无</w:t>
      </w:r>
      <w:r>
        <w:rPr>
          <w:rFonts w:ascii="宋体" w:hAnsi="宋体"/>
          <w:sz w:val="24"/>
        </w:rPr>
        <w:t>。</w:t>
      </w:r>
      <w:bookmarkStart w:id="413" w:name="_Toc351203640"/>
    </w:p>
    <w:p>
      <w:pPr>
        <w:pStyle w:val="2"/>
        <w:snapToGrid w:val="0"/>
        <w:spacing w:before="0" w:after="0" w:line="460" w:lineRule="exact"/>
        <w:rPr>
          <w:rFonts w:ascii="宋体" w:hAnsi="宋体"/>
          <w:b w:val="0"/>
          <w:color w:val="000000"/>
          <w:sz w:val="24"/>
          <w:szCs w:val="24"/>
        </w:rPr>
      </w:pPr>
      <w:r>
        <w:rPr>
          <w:rFonts w:ascii="宋体" w:hAnsi="宋体"/>
          <w:b w:val="0"/>
          <w:color w:val="000000"/>
          <w:sz w:val="24"/>
          <w:szCs w:val="24"/>
        </w:rPr>
        <w:t>8. 材料与设备</w:t>
      </w:r>
      <w:bookmarkEnd w:id="413"/>
    </w:p>
    <w:bookmarkEnd w:id="348"/>
    <w:bookmarkEnd w:id="349"/>
    <w:bookmarkEnd w:id="350"/>
    <w:bookmarkEnd w:id="351"/>
    <w:bookmarkEnd w:id="352"/>
    <w:bookmarkEnd w:id="353"/>
    <w:bookmarkEnd w:id="354"/>
    <w:bookmarkEnd w:id="355"/>
    <w:bookmarkEnd w:id="356"/>
    <w:bookmarkEnd w:id="357"/>
    <w:p>
      <w:pPr>
        <w:snapToGrid w:val="0"/>
        <w:spacing w:line="460" w:lineRule="exact"/>
        <w:ind w:firstLine="480" w:firstLineChars="200"/>
        <w:jc w:val="left"/>
        <w:rPr>
          <w:rFonts w:ascii="宋体" w:hAnsi="宋体"/>
          <w:sz w:val="24"/>
        </w:rPr>
      </w:pPr>
      <w:r>
        <w:rPr>
          <w:rFonts w:ascii="宋体" w:hAnsi="宋体"/>
          <w:sz w:val="24"/>
        </w:rPr>
        <w:t>8</w:t>
      </w:r>
      <w:bookmarkStart w:id="414" w:name="_Toc303539136"/>
      <w:bookmarkStart w:id="415" w:name="_Toc280868654"/>
      <w:bookmarkStart w:id="416" w:name="_Toc297048353"/>
      <w:bookmarkStart w:id="417" w:name="_Toc300934979"/>
      <w:bookmarkStart w:id="418" w:name="_Toc304295556"/>
      <w:bookmarkStart w:id="419" w:name="_Toc312678019"/>
      <w:bookmarkStart w:id="420" w:name="_Toc292559372"/>
      <w:bookmarkStart w:id="421" w:name="_Toc292559877"/>
      <w:bookmarkStart w:id="422" w:name="_Toc296346668"/>
      <w:bookmarkStart w:id="423" w:name="_Toc312677493"/>
      <w:bookmarkStart w:id="424" w:name="_Toc296347166"/>
      <w:bookmarkStart w:id="425" w:name="_Toc296503167"/>
      <w:bookmarkStart w:id="426" w:name="_Toc296890995"/>
      <w:bookmarkStart w:id="427" w:name="_Toc296944506"/>
      <w:bookmarkStart w:id="428" w:name="_Toc296891207"/>
      <w:bookmarkStart w:id="429" w:name="_Toc297120467"/>
      <w:bookmarkStart w:id="430" w:name="_Toc297123527"/>
      <w:bookmarkStart w:id="431" w:name="_Toc297216186"/>
      <w:bookmarkStart w:id="432" w:name="_Toc267251424"/>
      <w:bookmarkStart w:id="433" w:name="_Toc280868656"/>
      <w:bookmarkStart w:id="434" w:name="_Toc280868655"/>
      <w:r>
        <w:rPr>
          <w:rFonts w:ascii="宋体" w:hAnsi="宋体"/>
          <w:sz w:val="24"/>
        </w:rPr>
        <w:t>.4材料与工程设备的保管与使用</w:t>
      </w:r>
    </w:p>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Pr>
        <w:snapToGrid w:val="0"/>
        <w:spacing w:line="460" w:lineRule="exact"/>
        <w:ind w:firstLine="480" w:firstLineChars="200"/>
        <w:jc w:val="left"/>
        <w:rPr>
          <w:rFonts w:ascii="宋体" w:hAnsi="宋体"/>
          <w:sz w:val="24"/>
        </w:rPr>
      </w:pPr>
      <w:r>
        <w:rPr>
          <w:rFonts w:ascii="宋体" w:hAnsi="宋体"/>
          <w:sz w:val="24"/>
        </w:rPr>
        <w:t>8</w:t>
      </w:r>
      <w:bookmarkStart w:id="435" w:name="_Toc292559373"/>
      <w:bookmarkStart w:id="436" w:name="_Toc292559878"/>
      <w:bookmarkStart w:id="437" w:name="_Toc296347167"/>
      <w:bookmarkStart w:id="438" w:name="_Toc303539137"/>
      <w:bookmarkStart w:id="439" w:name="_Toc296890996"/>
      <w:bookmarkStart w:id="440" w:name="_Toc312678020"/>
      <w:bookmarkStart w:id="441" w:name="_Toc312677494"/>
      <w:bookmarkStart w:id="442" w:name="_Toc296503168"/>
      <w:bookmarkStart w:id="443" w:name="_Toc296346669"/>
      <w:bookmarkStart w:id="444" w:name="_Toc318581173"/>
      <w:bookmarkStart w:id="445" w:name="_Toc297123528"/>
      <w:bookmarkStart w:id="446" w:name="_Toc297120468"/>
      <w:bookmarkStart w:id="447" w:name="_Toc297216187"/>
      <w:bookmarkStart w:id="448" w:name="_Toc296944507"/>
      <w:bookmarkStart w:id="449" w:name="_Toc300934980"/>
      <w:bookmarkStart w:id="450" w:name="_Toc296891208"/>
      <w:bookmarkStart w:id="451" w:name="_Toc304295557"/>
      <w:bookmarkStart w:id="452" w:name="_Toc297048354"/>
      <w:r>
        <w:rPr>
          <w:rFonts w:ascii="宋体" w:hAnsi="宋体"/>
          <w:sz w:val="24"/>
        </w:rPr>
        <w:t>.4.1发包人供应的材料设备的保管费用的承担：</w:t>
      </w:r>
      <w:r>
        <w:rPr>
          <w:rFonts w:hint="eastAsia" w:ascii="宋体" w:hAnsi="宋体"/>
          <w:color w:val="000000"/>
          <w:kern w:val="0"/>
          <w:sz w:val="24"/>
          <w:szCs w:val="32"/>
          <w:u w:val="single"/>
        </w:rPr>
        <w:t>由发包人承担</w:t>
      </w:r>
      <w:r>
        <w:rPr>
          <w:rFonts w:ascii="宋体" w:hAnsi="宋体"/>
          <w:sz w:val="24"/>
        </w:rPr>
        <w:t>。</w:t>
      </w:r>
      <w:bookmarkEnd w:id="435"/>
      <w:bookmarkEnd w:id="436"/>
    </w:p>
    <w:p>
      <w:pPr>
        <w:snapToGrid w:val="0"/>
        <w:spacing w:line="460" w:lineRule="exact"/>
        <w:ind w:firstLine="480" w:firstLineChars="200"/>
        <w:jc w:val="left"/>
        <w:rPr>
          <w:rFonts w:ascii="宋体" w:hAnsi="宋体"/>
          <w:sz w:val="24"/>
        </w:rPr>
      </w:pPr>
      <w:r>
        <w:rPr>
          <w:rFonts w:ascii="宋体" w:hAnsi="宋体"/>
          <w:sz w:val="24"/>
        </w:rPr>
        <w:t>8.6 样品</w:t>
      </w:r>
    </w:p>
    <w:p>
      <w:pPr>
        <w:autoSpaceDE w:val="0"/>
        <w:autoSpaceDN w:val="0"/>
        <w:adjustRightInd w:val="0"/>
        <w:snapToGrid w:val="0"/>
        <w:spacing w:line="460" w:lineRule="exact"/>
        <w:ind w:firstLine="480" w:firstLineChars="200"/>
        <w:jc w:val="left"/>
        <w:rPr>
          <w:rFonts w:ascii="宋体" w:hAnsi="宋体"/>
          <w:color w:val="000000"/>
          <w:kern w:val="0"/>
          <w:sz w:val="24"/>
        </w:rPr>
      </w:pPr>
      <w:r>
        <w:rPr>
          <w:rFonts w:ascii="宋体" w:hAnsi="宋体"/>
          <w:color w:val="000000"/>
          <w:kern w:val="0"/>
          <w:sz w:val="24"/>
        </w:rPr>
        <w:t>8.6.1</w:t>
      </w:r>
      <w:r>
        <w:rPr>
          <w:rFonts w:ascii="宋体" w:hAnsi="宋体"/>
          <w:color w:val="000000"/>
          <w:kern w:val="0"/>
          <w:sz w:val="24"/>
        </w:rPr>
        <w:tab/>
      </w:r>
      <w:r>
        <w:rPr>
          <w:rFonts w:ascii="宋体" w:hAnsi="宋体"/>
          <w:color w:val="000000"/>
          <w:kern w:val="0"/>
          <w:sz w:val="24"/>
        </w:rPr>
        <w:t>样品的报送</w:t>
      </w:r>
      <w:r>
        <w:rPr>
          <w:rFonts w:hint="eastAsia" w:ascii="宋体" w:hAnsi="宋体"/>
          <w:color w:val="000000"/>
          <w:kern w:val="0"/>
          <w:sz w:val="24"/>
        </w:rPr>
        <w:t>与封存</w:t>
      </w:r>
    </w:p>
    <w:p>
      <w:pPr>
        <w:autoSpaceDE w:val="0"/>
        <w:autoSpaceDN w:val="0"/>
        <w:adjustRightInd w:val="0"/>
        <w:snapToGrid w:val="0"/>
        <w:spacing w:line="460" w:lineRule="exact"/>
        <w:ind w:firstLine="511" w:firstLineChars="213"/>
        <w:jc w:val="left"/>
        <w:rPr>
          <w:rFonts w:ascii="宋体" w:hAnsi="宋体"/>
          <w:sz w:val="24"/>
        </w:rPr>
      </w:pPr>
      <w:r>
        <w:rPr>
          <w:rFonts w:ascii="宋体" w:hAnsi="宋体"/>
          <w:color w:val="000000"/>
          <w:kern w:val="0"/>
          <w:sz w:val="24"/>
        </w:rPr>
        <w:t>需要承包人报送样品的材料或工程设备，样品的种类、名称、规格、数量要求：</w:t>
      </w:r>
      <w:r>
        <w:rPr>
          <w:rFonts w:hint="eastAsia" w:ascii="宋体" w:hAnsi="宋体"/>
          <w:color w:val="000000"/>
          <w:kern w:val="0"/>
          <w:sz w:val="24"/>
          <w:szCs w:val="32"/>
          <w:u w:val="single"/>
        </w:rPr>
        <w:t>按《通用条款》执行</w:t>
      </w:r>
      <w:r>
        <w:rPr>
          <w:rFonts w:ascii="宋体" w:hAnsi="宋体"/>
          <w:sz w:val="24"/>
        </w:rPr>
        <w:t>。</w:t>
      </w:r>
    </w:p>
    <w:p>
      <w:pPr>
        <w:snapToGrid w:val="0"/>
        <w:spacing w:line="460" w:lineRule="exact"/>
        <w:ind w:firstLine="480" w:firstLineChars="200"/>
        <w:jc w:val="left"/>
        <w:rPr>
          <w:rFonts w:ascii="宋体" w:hAnsi="宋体"/>
          <w:sz w:val="24"/>
        </w:rPr>
      </w:pPr>
      <w:r>
        <w:rPr>
          <w:rFonts w:ascii="宋体" w:hAnsi="宋体"/>
          <w:sz w:val="24"/>
        </w:rPr>
        <w:t>8.8 施工设备和临时设施</w:t>
      </w:r>
    </w:p>
    <w:p>
      <w:pPr>
        <w:autoSpaceDE w:val="0"/>
        <w:autoSpaceDN w:val="0"/>
        <w:adjustRightInd w:val="0"/>
        <w:snapToGrid w:val="0"/>
        <w:spacing w:line="460" w:lineRule="exact"/>
        <w:ind w:firstLine="480" w:firstLineChars="200"/>
        <w:jc w:val="left"/>
        <w:rPr>
          <w:rFonts w:ascii="宋体" w:hAnsi="宋体"/>
          <w:sz w:val="24"/>
        </w:rPr>
      </w:pPr>
      <w:r>
        <w:rPr>
          <w:rFonts w:ascii="宋体" w:hAnsi="宋体"/>
          <w:sz w:val="24"/>
        </w:rPr>
        <w:t>8.8.1 承包人提供的施工设备和临时设施</w:t>
      </w:r>
    </w:p>
    <w:p>
      <w:pPr>
        <w:autoSpaceDE w:val="0"/>
        <w:autoSpaceDN w:val="0"/>
        <w:adjustRightInd w:val="0"/>
        <w:snapToGrid w:val="0"/>
        <w:spacing w:line="460" w:lineRule="exact"/>
        <w:ind w:firstLine="511" w:firstLineChars="213"/>
        <w:jc w:val="left"/>
        <w:rPr>
          <w:rFonts w:ascii="宋体" w:hAnsi="宋体"/>
          <w:color w:val="000000"/>
          <w:sz w:val="24"/>
        </w:rPr>
      </w:pPr>
      <w:r>
        <w:rPr>
          <w:rFonts w:ascii="宋体" w:hAnsi="宋体"/>
          <w:sz w:val="24"/>
        </w:rPr>
        <w:t>关于修建临时设施费用承担的约定：</w:t>
      </w:r>
      <w:r>
        <w:rPr>
          <w:rFonts w:hint="eastAsia" w:ascii="宋体" w:hAnsi="宋体"/>
          <w:sz w:val="24"/>
          <w:u w:val="single"/>
        </w:rPr>
        <w:t>由承包人承担</w:t>
      </w:r>
      <w:r>
        <w:rPr>
          <w:rFonts w:ascii="宋体" w:hAnsi="宋体"/>
          <w:sz w:val="24"/>
        </w:rPr>
        <w:t>。</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Start w:id="453" w:name="_Toc351203641"/>
    </w:p>
    <w:p>
      <w:pPr>
        <w:pStyle w:val="2"/>
        <w:snapToGrid w:val="0"/>
        <w:spacing w:before="0" w:after="0" w:line="460" w:lineRule="exact"/>
        <w:rPr>
          <w:rFonts w:ascii="宋体" w:hAnsi="宋体"/>
          <w:b w:val="0"/>
          <w:color w:val="000000"/>
          <w:sz w:val="24"/>
          <w:szCs w:val="24"/>
        </w:rPr>
      </w:pPr>
      <w:r>
        <w:rPr>
          <w:rFonts w:ascii="宋体" w:hAnsi="宋体"/>
          <w:b w:val="0"/>
          <w:color w:val="000000"/>
          <w:sz w:val="24"/>
          <w:szCs w:val="24"/>
        </w:rPr>
        <w:t>9</w:t>
      </w:r>
      <w:bookmarkEnd w:id="432"/>
      <w:bookmarkEnd w:id="433"/>
      <w:bookmarkEnd w:id="434"/>
      <w:bookmarkStart w:id="454" w:name="_Toc312678021"/>
      <w:bookmarkStart w:id="455" w:name="_Toc297216192"/>
      <w:bookmarkStart w:id="456" w:name="_Toc297123533"/>
      <w:bookmarkStart w:id="457" w:name="_Toc300934982"/>
      <w:bookmarkStart w:id="458" w:name="_Toc312677495"/>
      <w:bookmarkStart w:id="459" w:name="_Toc303539139"/>
      <w:bookmarkStart w:id="460" w:name="_Toc304295559"/>
      <w:bookmarkStart w:id="461" w:name="_Toc296891213"/>
      <w:bookmarkStart w:id="462" w:name="_Toc296503173"/>
      <w:bookmarkStart w:id="463" w:name="_Toc297120473"/>
      <w:bookmarkStart w:id="464" w:name="_Toc267251427"/>
      <w:bookmarkStart w:id="465" w:name="_Toc292559883"/>
      <w:bookmarkStart w:id="466" w:name="_Toc296944512"/>
      <w:bookmarkStart w:id="467" w:name="_Toc267251428"/>
      <w:bookmarkStart w:id="468" w:name="_Toc297048359"/>
      <w:bookmarkStart w:id="469" w:name="_Toc296891001"/>
      <w:bookmarkStart w:id="470" w:name="_Toc296347172"/>
      <w:bookmarkStart w:id="471" w:name="_Toc292559378"/>
      <w:bookmarkStart w:id="472" w:name="_Toc296346674"/>
      <w:r>
        <w:rPr>
          <w:rFonts w:ascii="宋体" w:hAnsi="宋体"/>
          <w:b w:val="0"/>
          <w:color w:val="000000"/>
          <w:sz w:val="24"/>
          <w:szCs w:val="24"/>
        </w:rPr>
        <w:t>. 试验与检验</w:t>
      </w:r>
      <w:bookmarkEnd w:id="453"/>
    </w:p>
    <w:bookmarkEnd w:id="454"/>
    <w:bookmarkEnd w:id="455"/>
    <w:bookmarkEnd w:id="456"/>
    <w:bookmarkEnd w:id="457"/>
    <w:bookmarkEnd w:id="458"/>
    <w:bookmarkEnd w:id="459"/>
    <w:bookmarkEnd w:id="460"/>
    <w:p>
      <w:pPr>
        <w:snapToGrid w:val="0"/>
        <w:spacing w:line="460" w:lineRule="exact"/>
        <w:ind w:firstLine="480" w:firstLineChars="200"/>
        <w:jc w:val="left"/>
        <w:rPr>
          <w:rFonts w:ascii="宋体" w:hAnsi="宋体"/>
          <w:sz w:val="24"/>
        </w:rPr>
      </w:pPr>
      <w:r>
        <w:rPr>
          <w:rFonts w:ascii="宋体" w:hAnsi="宋体"/>
          <w:sz w:val="24"/>
        </w:rPr>
        <w:t>9</w:t>
      </w:r>
      <w:bookmarkStart w:id="473" w:name="_Toc304295560"/>
      <w:bookmarkStart w:id="474" w:name="_Toc297123534"/>
      <w:bookmarkStart w:id="475" w:name="_Toc303539140"/>
      <w:bookmarkStart w:id="476" w:name="_Toc312678022"/>
      <w:bookmarkStart w:id="477" w:name="_Toc312677496"/>
      <w:bookmarkStart w:id="478" w:name="_Toc297216193"/>
      <w:bookmarkStart w:id="479" w:name="_Toc300934983"/>
      <w:r>
        <w:rPr>
          <w:rFonts w:ascii="宋体" w:hAnsi="宋体"/>
          <w:sz w:val="24"/>
        </w:rPr>
        <w:t>.1试验设备与试验人员</w:t>
      </w:r>
    </w:p>
    <w:bookmarkEnd w:id="473"/>
    <w:bookmarkEnd w:id="474"/>
    <w:bookmarkEnd w:id="475"/>
    <w:bookmarkEnd w:id="476"/>
    <w:bookmarkEnd w:id="477"/>
    <w:bookmarkEnd w:id="478"/>
    <w:bookmarkEnd w:id="479"/>
    <w:p>
      <w:pPr>
        <w:snapToGrid w:val="0"/>
        <w:spacing w:line="460" w:lineRule="exact"/>
        <w:ind w:firstLine="480" w:firstLineChars="200"/>
        <w:jc w:val="left"/>
        <w:rPr>
          <w:rFonts w:ascii="宋体" w:hAnsi="宋体"/>
          <w:sz w:val="24"/>
        </w:rPr>
      </w:pPr>
      <w:r>
        <w:rPr>
          <w:rFonts w:ascii="宋体" w:hAnsi="宋体"/>
          <w:sz w:val="24"/>
        </w:rPr>
        <w:t>9</w:t>
      </w:r>
      <w:bookmarkStart w:id="480" w:name="_Toc297216194"/>
      <w:bookmarkStart w:id="481" w:name="_Toc303539141"/>
      <w:bookmarkStart w:id="482" w:name="_Toc312678023"/>
      <w:bookmarkStart w:id="483" w:name="_Toc304295561"/>
      <w:bookmarkStart w:id="484" w:name="_Toc297123535"/>
      <w:bookmarkStart w:id="485" w:name="_Toc300934984"/>
      <w:bookmarkStart w:id="486" w:name="_Toc312677497"/>
      <w:bookmarkStart w:id="487" w:name="_Toc318581174"/>
      <w:r>
        <w:rPr>
          <w:rFonts w:ascii="宋体" w:hAnsi="宋体"/>
          <w:sz w:val="24"/>
        </w:rPr>
        <w:t>.1.2 试验设备</w:t>
      </w:r>
    </w:p>
    <w:p>
      <w:pPr>
        <w:snapToGrid w:val="0"/>
        <w:spacing w:line="460" w:lineRule="exact"/>
        <w:ind w:firstLine="511" w:firstLineChars="213"/>
        <w:jc w:val="left"/>
        <w:rPr>
          <w:rFonts w:ascii="宋体" w:hAnsi="宋体"/>
          <w:sz w:val="24"/>
        </w:rPr>
      </w:pPr>
      <w:r>
        <w:rPr>
          <w:rFonts w:ascii="宋体" w:hAnsi="宋体"/>
          <w:sz w:val="24"/>
        </w:rPr>
        <w:t>施工现场需要配置的试验场所：</w:t>
      </w:r>
      <w:bookmarkEnd w:id="480"/>
      <w:bookmarkEnd w:id="481"/>
      <w:bookmarkEnd w:id="482"/>
      <w:bookmarkEnd w:id="483"/>
      <w:bookmarkEnd w:id="484"/>
      <w:bookmarkEnd w:id="485"/>
      <w:bookmarkEnd w:id="486"/>
      <w:bookmarkStart w:id="488" w:name="_Toc300934985"/>
      <w:bookmarkStart w:id="489" w:name="_Toc303539142"/>
      <w:bookmarkStart w:id="490" w:name="_Toc297123536"/>
      <w:bookmarkStart w:id="491" w:name="_Toc297216195"/>
      <w:bookmarkStart w:id="492" w:name="_Toc312677498"/>
      <w:bookmarkStart w:id="493" w:name="_Toc312678024"/>
      <w:bookmarkStart w:id="494" w:name="_Toc304295562"/>
      <w:r>
        <w:rPr>
          <w:rFonts w:hint="eastAsia" w:ascii="宋体" w:hAnsi="宋体"/>
          <w:sz w:val="24"/>
          <w:u w:val="single"/>
        </w:rPr>
        <w:t>无</w:t>
      </w:r>
      <w:r>
        <w:rPr>
          <w:rFonts w:ascii="宋体" w:hAnsi="宋体"/>
          <w:sz w:val="24"/>
        </w:rPr>
        <w:t>。</w:t>
      </w:r>
    </w:p>
    <w:p>
      <w:pPr>
        <w:snapToGrid w:val="0"/>
        <w:spacing w:line="460" w:lineRule="exact"/>
        <w:ind w:firstLine="511" w:firstLineChars="213"/>
        <w:jc w:val="left"/>
        <w:rPr>
          <w:rFonts w:ascii="宋体" w:hAnsi="宋体"/>
          <w:sz w:val="24"/>
        </w:rPr>
      </w:pPr>
      <w:r>
        <w:rPr>
          <w:rFonts w:ascii="宋体" w:hAnsi="宋体"/>
          <w:sz w:val="24"/>
        </w:rPr>
        <w:t>施工现场需要配备的试验设备：</w:t>
      </w:r>
      <w:r>
        <w:rPr>
          <w:rFonts w:hint="eastAsia" w:ascii="宋体" w:hAnsi="宋体"/>
          <w:sz w:val="24"/>
          <w:u w:val="single"/>
        </w:rPr>
        <w:t>无</w:t>
      </w:r>
      <w:r>
        <w:rPr>
          <w:rFonts w:ascii="宋体" w:hAnsi="宋体"/>
          <w:sz w:val="24"/>
        </w:rPr>
        <w:t>。</w:t>
      </w:r>
    </w:p>
    <w:p>
      <w:pPr>
        <w:snapToGrid w:val="0"/>
        <w:spacing w:line="460" w:lineRule="exact"/>
        <w:ind w:firstLine="511" w:firstLineChars="213"/>
        <w:jc w:val="left"/>
        <w:rPr>
          <w:rFonts w:ascii="宋体" w:hAnsi="宋体"/>
          <w:sz w:val="24"/>
        </w:rPr>
      </w:pPr>
      <w:r>
        <w:rPr>
          <w:rFonts w:ascii="宋体" w:hAnsi="宋体"/>
          <w:sz w:val="24"/>
        </w:rPr>
        <w:t>施工现场需要具备的其他试验条件：</w:t>
      </w:r>
      <w:r>
        <w:rPr>
          <w:rFonts w:hint="eastAsia" w:ascii="宋体" w:hAnsi="宋体"/>
          <w:sz w:val="24"/>
          <w:u w:val="single"/>
        </w:rPr>
        <w:t>无</w:t>
      </w:r>
      <w:r>
        <w:rPr>
          <w:rFonts w:ascii="宋体" w:hAnsi="宋体"/>
          <w:sz w:val="24"/>
        </w:rPr>
        <w:t>。</w:t>
      </w:r>
    </w:p>
    <w:p>
      <w:pPr>
        <w:snapToGrid w:val="0"/>
        <w:spacing w:line="460" w:lineRule="exact"/>
        <w:ind w:firstLine="511" w:firstLineChars="213"/>
        <w:rPr>
          <w:rFonts w:ascii="宋体" w:hAnsi="宋体"/>
          <w:sz w:val="24"/>
        </w:rPr>
      </w:pPr>
      <w:r>
        <w:rPr>
          <w:rFonts w:ascii="宋体" w:hAnsi="宋体"/>
          <w:color w:val="000000"/>
          <w:sz w:val="24"/>
        </w:rPr>
        <w:t>9.</w:t>
      </w:r>
      <w:r>
        <w:rPr>
          <w:rFonts w:ascii="宋体" w:hAnsi="宋体"/>
          <w:sz w:val="24"/>
        </w:rPr>
        <w:t>4 现场工艺试验</w:t>
      </w:r>
    </w:p>
    <w:p>
      <w:pPr>
        <w:snapToGrid w:val="0"/>
        <w:spacing w:line="460" w:lineRule="exact"/>
        <w:ind w:firstLine="480" w:firstLineChars="200"/>
        <w:jc w:val="left"/>
        <w:rPr>
          <w:rFonts w:ascii="宋体" w:hAnsi="宋体"/>
          <w:color w:val="000000"/>
          <w:sz w:val="24"/>
        </w:rPr>
      </w:pPr>
      <w:r>
        <w:rPr>
          <w:rFonts w:ascii="宋体" w:hAnsi="宋体"/>
          <w:sz w:val="24"/>
        </w:rPr>
        <w:t>现场工艺试验的有关约定：</w:t>
      </w:r>
      <w:r>
        <w:rPr>
          <w:rFonts w:hint="eastAsia" w:ascii="宋体" w:hAnsi="宋体"/>
          <w:color w:val="000000"/>
          <w:kern w:val="0"/>
          <w:sz w:val="24"/>
          <w:szCs w:val="32"/>
          <w:u w:val="single"/>
        </w:rPr>
        <w:t>按《通用条款》执行</w:t>
      </w:r>
      <w:r>
        <w:rPr>
          <w:rFonts w:ascii="宋体" w:hAnsi="宋体"/>
          <w:sz w:val="24"/>
        </w:rPr>
        <w:t>。</w:t>
      </w:r>
      <w:bookmarkEnd w:id="461"/>
      <w:bookmarkEnd w:id="462"/>
      <w:bookmarkEnd w:id="463"/>
      <w:bookmarkEnd w:id="464"/>
      <w:bookmarkEnd w:id="465"/>
      <w:bookmarkEnd w:id="466"/>
      <w:bookmarkEnd w:id="467"/>
      <w:bookmarkEnd w:id="468"/>
      <w:bookmarkEnd w:id="469"/>
      <w:bookmarkEnd w:id="470"/>
      <w:bookmarkEnd w:id="471"/>
      <w:bookmarkEnd w:id="472"/>
      <w:bookmarkEnd w:id="487"/>
      <w:bookmarkEnd w:id="488"/>
      <w:bookmarkEnd w:id="489"/>
      <w:bookmarkEnd w:id="490"/>
      <w:bookmarkEnd w:id="491"/>
      <w:bookmarkEnd w:id="492"/>
      <w:bookmarkEnd w:id="493"/>
      <w:bookmarkEnd w:id="494"/>
    </w:p>
    <w:bookmarkEnd w:id="339"/>
    <w:bookmarkEnd w:id="340"/>
    <w:bookmarkEnd w:id="341"/>
    <w:bookmarkEnd w:id="342"/>
    <w:bookmarkEnd w:id="343"/>
    <w:bookmarkEnd w:id="344"/>
    <w:p>
      <w:pPr>
        <w:pStyle w:val="2"/>
        <w:snapToGrid w:val="0"/>
        <w:spacing w:before="0" w:after="0" w:line="460" w:lineRule="exact"/>
        <w:rPr>
          <w:rFonts w:ascii="宋体" w:hAnsi="宋体"/>
          <w:b w:val="0"/>
          <w:color w:val="000000"/>
          <w:sz w:val="24"/>
          <w:szCs w:val="24"/>
        </w:rPr>
      </w:pPr>
      <w:bookmarkStart w:id="495" w:name="_Toc296347204"/>
      <w:bookmarkStart w:id="496" w:name="_Toc292559410"/>
      <w:bookmarkStart w:id="497" w:name="_Toc296503205"/>
      <w:bookmarkStart w:id="498" w:name="_Toc296891033"/>
      <w:bookmarkStart w:id="499" w:name="_Toc296891245"/>
      <w:bookmarkStart w:id="500" w:name="_Toc296944544"/>
      <w:bookmarkStart w:id="501" w:name="_Toc297048391"/>
      <w:bookmarkStart w:id="502" w:name="_Toc292559915"/>
      <w:bookmarkStart w:id="503" w:name="_Toc296346706"/>
      <w:bookmarkStart w:id="504" w:name="_Toc297120505"/>
      <w:bookmarkStart w:id="505" w:name="_Toc351203644"/>
      <w:bookmarkStart w:id="506" w:name="_Toc312678040"/>
      <w:bookmarkStart w:id="507" w:name="_Toc303539159"/>
      <w:bookmarkStart w:id="508" w:name="_Toc297123552"/>
      <w:bookmarkStart w:id="509" w:name="_Toc297216211"/>
      <w:bookmarkStart w:id="510" w:name="_Toc300935002"/>
      <w:bookmarkStart w:id="511" w:name="_Toc304295579"/>
    </w:p>
    <w:p>
      <w:pPr>
        <w:pStyle w:val="2"/>
        <w:snapToGrid w:val="0"/>
        <w:spacing w:before="0" w:after="0" w:line="460" w:lineRule="exact"/>
        <w:rPr>
          <w:rFonts w:ascii="宋体" w:hAnsi="宋体"/>
          <w:b w:val="0"/>
          <w:color w:val="000000"/>
          <w:sz w:val="24"/>
          <w:szCs w:val="24"/>
        </w:rPr>
      </w:pPr>
      <w:r>
        <w:rPr>
          <w:rFonts w:hint="eastAsia" w:ascii="宋体" w:hAnsi="宋体"/>
          <w:b w:val="0"/>
          <w:color w:val="000000"/>
          <w:sz w:val="24"/>
          <w:szCs w:val="24"/>
        </w:rPr>
        <w:t>10</w:t>
      </w:r>
      <w:r>
        <w:rPr>
          <w:rFonts w:ascii="宋体" w:hAnsi="宋体"/>
          <w:b w:val="0"/>
          <w:color w:val="000000"/>
          <w:sz w:val="24"/>
          <w:szCs w:val="24"/>
        </w:rPr>
        <w:t>.</w:t>
      </w:r>
      <w:bookmarkEnd w:id="495"/>
      <w:bookmarkEnd w:id="496"/>
      <w:bookmarkEnd w:id="497"/>
      <w:bookmarkEnd w:id="498"/>
      <w:bookmarkEnd w:id="499"/>
      <w:bookmarkEnd w:id="500"/>
      <w:bookmarkEnd w:id="501"/>
      <w:bookmarkEnd w:id="502"/>
      <w:bookmarkEnd w:id="503"/>
      <w:bookmarkEnd w:id="504"/>
      <w:r>
        <w:rPr>
          <w:rFonts w:ascii="宋体" w:hAnsi="宋体"/>
          <w:b w:val="0"/>
          <w:color w:val="000000"/>
          <w:sz w:val="24"/>
          <w:szCs w:val="24"/>
        </w:rPr>
        <w:t>计量与支付</w:t>
      </w:r>
      <w:bookmarkEnd w:id="505"/>
    </w:p>
    <w:bookmarkEnd w:id="345"/>
    <w:bookmarkEnd w:id="506"/>
    <w:bookmarkEnd w:id="507"/>
    <w:bookmarkEnd w:id="508"/>
    <w:bookmarkEnd w:id="509"/>
    <w:bookmarkEnd w:id="510"/>
    <w:bookmarkEnd w:id="511"/>
    <w:p>
      <w:pPr>
        <w:snapToGrid w:val="0"/>
        <w:spacing w:line="460" w:lineRule="exact"/>
        <w:ind w:firstLine="480" w:firstLineChars="200"/>
        <w:jc w:val="left"/>
        <w:rPr>
          <w:rFonts w:ascii="宋体" w:hAnsi="宋体"/>
          <w:sz w:val="24"/>
        </w:rPr>
      </w:pPr>
      <w:r>
        <w:rPr>
          <w:rFonts w:hint="eastAsia" w:ascii="宋体" w:hAnsi="宋体"/>
          <w:sz w:val="24"/>
        </w:rPr>
        <w:t>10.1</w:t>
      </w:r>
      <w:r>
        <w:rPr>
          <w:rFonts w:ascii="宋体" w:hAnsi="宋体"/>
          <w:sz w:val="24"/>
        </w:rPr>
        <w:t>.1 计量原则</w:t>
      </w:r>
    </w:p>
    <w:p>
      <w:pPr>
        <w:snapToGrid w:val="0"/>
        <w:spacing w:line="460" w:lineRule="exact"/>
        <w:ind w:firstLine="480" w:firstLineChars="200"/>
        <w:jc w:val="left"/>
        <w:rPr>
          <w:rFonts w:ascii="宋体" w:hAnsi="宋体"/>
          <w:sz w:val="24"/>
        </w:rPr>
      </w:pPr>
      <w:r>
        <w:rPr>
          <w:rFonts w:ascii="宋体" w:hAnsi="宋体"/>
          <w:sz w:val="24"/>
        </w:rPr>
        <w:t>工程量计算规则：</w:t>
      </w:r>
      <w:r>
        <w:rPr>
          <w:rFonts w:hint="eastAsia" w:ascii="宋体" w:hAnsi="宋体"/>
          <w:color w:val="000000"/>
          <w:sz w:val="24"/>
          <w:szCs w:val="32"/>
          <w:u w:val="single"/>
        </w:rPr>
        <w:t>《建设工程工程量清单计价规范》（2013版）及《建设工程工程量清单计价规范（2013）浙江省补充规定）》及中标综合费率。</w:t>
      </w:r>
    </w:p>
    <w:p>
      <w:pPr>
        <w:snapToGrid w:val="0"/>
        <w:spacing w:line="460" w:lineRule="exact"/>
        <w:ind w:firstLine="480" w:firstLineChars="200"/>
        <w:jc w:val="left"/>
        <w:rPr>
          <w:rFonts w:ascii="宋体" w:hAnsi="宋体"/>
          <w:color w:val="000000"/>
          <w:sz w:val="24"/>
        </w:rPr>
      </w:pPr>
      <w:bookmarkStart w:id="512" w:name="_Toc297120511"/>
      <w:bookmarkStart w:id="513" w:name="_Toc292559416"/>
      <w:bookmarkStart w:id="514" w:name="_Toc296944550"/>
      <w:bookmarkStart w:id="515" w:name="_Toc296891039"/>
      <w:bookmarkStart w:id="516" w:name="_Toc296891251"/>
      <w:bookmarkStart w:id="517" w:name="_Toc297048397"/>
      <w:bookmarkStart w:id="518" w:name="_Toc297123556"/>
      <w:bookmarkStart w:id="519" w:name="_Toc297216215"/>
      <w:bookmarkStart w:id="520" w:name="_Toc300935006"/>
      <w:bookmarkStart w:id="521" w:name="_Toc303539163"/>
      <w:bookmarkStart w:id="522" w:name="_Toc292559921"/>
      <w:bookmarkStart w:id="523" w:name="_Toc296346712"/>
      <w:bookmarkStart w:id="524" w:name="_Toc296347210"/>
      <w:bookmarkStart w:id="525" w:name="_Toc296503211"/>
      <w:r>
        <w:rPr>
          <w:rFonts w:hint="eastAsia" w:ascii="宋体" w:hAnsi="宋体"/>
          <w:color w:val="000000"/>
          <w:sz w:val="24"/>
        </w:rPr>
        <w:t>10.1.2</w:t>
      </w:r>
      <w:r>
        <w:rPr>
          <w:rFonts w:ascii="宋体" w:hAnsi="宋体"/>
          <w:color w:val="000000"/>
          <w:sz w:val="24"/>
        </w:rPr>
        <w:t>付款周期</w:t>
      </w:r>
    </w:p>
    <w:p>
      <w:pPr>
        <w:spacing w:line="460" w:lineRule="exact"/>
        <w:ind w:firstLine="480" w:firstLineChars="200"/>
        <w:jc w:val="left"/>
        <w:rPr>
          <w:rFonts w:ascii="宋体" w:hAnsi="宋体"/>
          <w:color w:val="FF0000"/>
          <w:sz w:val="36"/>
          <w:szCs w:val="36"/>
        </w:rPr>
      </w:pPr>
      <w:r>
        <w:rPr>
          <w:rFonts w:ascii="宋体" w:hAnsi="宋体"/>
          <w:color w:val="000000"/>
          <w:sz w:val="24"/>
        </w:rPr>
        <w:t>关于付款周期的</w:t>
      </w:r>
      <w:r>
        <w:rPr>
          <w:rFonts w:ascii="宋体" w:hAnsi="宋体"/>
          <w:sz w:val="24"/>
        </w:rPr>
        <w:t>约定：</w:t>
      </w:r>
      <w:r>
        <w:rPr>
          <w:rFonts w:hint="eastAsia" w:ascii="宋体" w:hAnsi="宋体"/>
          <w:sz w:val="24"/>
          <w:u w:val="single"/>
        </w:rPr>
        <w:t>本工程结算方式：</w:t>
      </w:r>
      <w:r>
        <w:rPr>
          <w:rFonts w:hint="eastAsia" w:ascii="仿宋" w:hAnsi="仿宋" w:eastAsia="仿宋" w:cs="仿宋"/>
          <w:b/>
          <w:bCs/>
          <w:color w:val="auto"/>
          <w:sz w:val="24"/>
          <w:highlight w:val="none"/>
          <w:u w:val="single"/>
        </w:rPr>
        <w:t>采购人自采购合同生效及具备实施条件后</w:t>
      </w:r>
      <w:r>
        <w:rPr>
          <w:rFonts w:hint="eastAsia" w:ascii="仿宋" w:hAnsi="仿宋" w:eastAsia="仿宋" w:cs="仿宋"/>
          <w:b/>
          <w:bCs/>
          <w:color w:val="auto"/>
          <w:sz w:val="24"/>
          <w:highlight w:val="none"/>
          <w:u w:val="single"/>
          <w:lang w:val="en-US" w:eastAsia="zh-CN"/>
        </w:rPr>
        <w:t>15</w:t>
      </w:r>
      <w:r>
        <w:rPr>
          <w:rFonts w:hint="eastAsia" w:ascii="仿宋" w:hAnsi="仿宋" w:eastAsia="仿宋" w:cs="仿宋"/>
          <w:b/>
          <w:bCs/>
          <w:color w:val="auto"/>
          <w:sz w:val="24"/>
          <w:highlight w:val="none"/>
          <w:u w:val="single"/>
        </w:rPr>
        <w:t>日内支付预付款，即</w:t>
      </w:r>
      <w:r>
        <w:rPr>
          <w:rFonts w:hint="eastAsia" w:ascii="仿宋" w:hAnsi="仿宋" w:eastAsia="仿宋" w:cs="仿宋"/>
          <w:b/>
          <w:bCs/>
          <w:color w:val="auto"/>
          <w:sz w:val="24"/>
          <w:highlight w:val="none"/>
          <w:u w:val="single"/>
          <w:lang w:val="en-US" w:eastAsia="zh-CN"/>
        </w:rPr>
        <w:t>预算</w:t>
      </w:r>
      <w:r>
        <w:rPr>
          <w:rFonts w:hint="eastAsia" w:ascii="仿宋" w:hAnsi="仿宋" w:eastAsia="仿宋" w:cs="仿宋"/>
          <w:b/>
          <w:bCs/>
          <w:color w:val="auto"/>
          <w:sz w:val="24"/>
          <w:highlight w:val="none"/>
          <w:u w:val="single"/>
        </w:rPr>
        <w:t>金额的</w:t>
      </w:r>
      <w:r>
        <w:rPr>
          <w:rFonts w:hint="eastAsia" w:ascii="仿宋" w:hAnsi="仿宋" w:eastAsia="仿宋" w:cs="仿宋"/>
          <w:b/>
          <w:bCs/>
          <w:color w:val="auto"/>
          <w:sz w:val="24"/>
          <w:highlight w:val="none"/>
          <w:u w:val="single"/>
          <w:lang w:val="en-US" w:eastAsia="zh-CN"/>
        </w:rPr>
        <w:t>1</w:t>
      </w:r>
      <w:r>
        <w:rPr>
          <w:rFonts w:hint="eastAsia" w:ascii="仿宋" w:hAnsi="仿宋" w:eastAsia="仿宋" w:cs="仿宋"/>
          <w:b/>
          <w:bCs/>
          <w:color w:val="auto"/>
          <w:sz w:val="24"/>
          <w:highlight w:val="none"/>
          <w:u w:val="single"/>
        </w:rPr>
        <w:t>0%。</w:t>
      </w:r>
      <w:r>
        <w:rPr>
          <w:rFonts w:hint="eastAsia" w:ascii="宋体" w:hAnsi="宋体"/>
          <w:sz w:val="24"/>
          <w:u w:val="single"/>
        </w:rPr>
        <w:t>具体项目以发包人派发施工任务为准，实行按实结算制（支付时间、支付项目、付款方式以发包人为准，一般年底支付），合同期内以承包人完成该服务期内所有项目的结算审计报告总额乘以75%作为当年发包人支付工程款的付款依据。剩余25%合同履行完毕后30日内付清。（具体支付方式可另行协商）。</w:t>
      </w:r>
    </w:p>
    <w:p>
      <w:pPr>
        <w:snapToGrid w:val="0"/>
        <w:spacing w:line="460" w:lineRule="exact"/>
        <w:ind w:firstLine="480" w:firstLineChars="200"/>
        <w:jc w:val="left"/>
      </w:pPr>
      <w:r>
        <w:rPr>
          <w:rFonts w:hint="eastAsia" w:ascii="宋体" w:hAnsi="宋体"/>
          <w:sz w:val="24"/>
          <w:u w:val="single"/>
        </w:rPr>
        <w:t>承包人必须按月全额支付民工工资，并且发包人有监督的权利。如承包人未按规定兑现，发包人有权直接从工程款中扣除该费用，用于直接支付民工工资，并扣罚双倍的费用</w:t>
      </w:r>
      <w:r>
        <w:rPr>
          <w:rFonts w:ascii="宋体" w:hAnsi="宋体"/>
          <w:color w:val="000000"/>
          <w:sz w:val="24"/>
          <w:szCs w:val="32"/>
        </w:rPr>
        <w:t>。</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Start w:id="526" w:name="_Toc351203645"/>
      <w:bookmarkStart w:id="527" w:name="_Toc292559424"/>
      <w:bookmarkStart w:id="528" w:name="_Toc296346720"/>
      <w:bookmarkStart w:id="529" w:name="_Toc292559929"/>
      <w:bookmarkStart w:id="530" w:name="_Toc296347218"/>
      <w:bookmarkStart w:id="531" w:name="_Toc296891047"/>
      <w:bookmarkStart w:id="532" w:name="_Toc296503219"/>
      <w:bookmarkStart w:id="533" w:name="_Toc296891259"/>
      <w:bookmarkStart w:id="534" w:name="_Toc296944558"/>
      <w:bookmarkStart w:id="535" w:name="_Toc297048405"/>
      <w:bookmarkStart w:id="536" w:name="_Toc297123564"/>
      <w:bookmarkStart w:id="537" w:name="_Toc300935015"/>
      <w:bookmarkStart w:id="538" w:name="_Toc303539172"/>
      <w:bookmarkStart w:id="539" w:name="_Toc297216223"/>
      <w:bookmarkStart w:id="540" w:name="_Toc312678053"/>
      <w:bookmarkStart w:id="541" w:name="_Toc304295593"/>
      <w:bookmarkStart w:id="542" w:name="_Toc297120519"/>
    </w:p>
    <w:p>
      <w:pPr>
        <w:pStyle w:val="2"/>
        <w:snapToGrid w:val="0"/>
        <w:spacing w:before="0" w:after="0" w:line="460" w:lineRule="exact"/>
        <w:rPr>
          <w:rFonts w:ascii="宋体" w:hAnsi="宋体"/>
          <w:b w:val="0"/>
          <w:color w:val="000000"/>
          <w:sz w:val="24"/>
          <w:szCs w:val="24"/>
        </w:rPr>
      </w:pPr>
      <w:r>
        <w:rPr>
          <w:rFonts w:ascii="宋体" w:hAnsi="宋体"/>
          <w:b w:val="0"/>
          <w:color w:val="000000"/>
          <w:sz w:val="24"/>
          <w:szCs w:val="24"/>
        </w:rPr>
        <w:t>1</w:t>
      </w:r>
      <w:r>
        <w:rPr>
          <w:rFonts w:hint="eastAsia" w:ascii="宋体" w:hAnsi="宋体"/>
          <w:b w:val="0"/>
          <w:color w:val="000000"/>
          <w:sz w:val="24"/>
          <w:szCs w:val="24"/>
        </w:rPr>
        <w:t>2</w:t>
      </w:r>
      <w:r>
        <w:rPr>
          <w:rFonts w:ascii="宋体" w:hAnsi="宋体"/>
          <w:b w:val="0"/>
          <w:color w:val="000000"/>
          <w:sz w:val="24"/>
          <w:szCs w:val="24"/>
        </w:rPr>
        <w:t>.验收</w:t>
      </w:r>
      <w:bookmarkEnd w:id="526"/>
    </w:p>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Pr>
        <w:snapToGrid w:val="0"/>
        <w:spacing w:line="460" w:lineRule="exact"/>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1</w:t>
      </w:r>
      <w:r>
        <w:rPr>
          <w:rFonts w:ascii="宋体" w:hAnsi="宋体"/>
          <w:sz w:val="24"/>
        </w:rPr>
        <w:t>.1 分部分项工程验收</w:t>
      </w:r>
    </w:p>
    <w:p>
      <w:pPr>
        <w:snapToGrid w:val="0"/>
        <w:spacing w:line="460" w:lineRule="exact"/>
        <w:ind w:firstLine="480" w:firstLineChars="200"/>
        <w:jc w:val="left"/>
        <w:rPr>
          <w:rFonts w:ascii="宋体" w:hAnsi="宋体"/>
          <w:sz w:val="24"/>
        </w:rPr>
      </w:pPr>
      <w:r>
        <w:rPr>
          <w:rFonts w:ascii="宋体" w:hAnsi="宋体"/>
          <w:sz w:val="24"/>
        </w:rPr>
        <w:t>1</w:t>
      </w:r>
      <w:r>
        <w:rPr>
          <w:rFonts w:hint="eastAsia" w:ascii="宋体" w:hAnsi="宋体"/>
          <w:sz w:val="24"/>
        </w:rPr>
        <w:t>1</w:t>
      </w:r>
      <w:r>
        <w:rPr>
          <w:rFonts w:ascii="宋体" w:hAnsi="宋体"/>
          <w:sz w:val="24"/>
        </w:rPr>
        <w:t>.1.2监理人不能按时进行验收时，应提前</w:t>
      </w:r>
      <w:r>
        <w:rPr>
          <w:rFonts w:hint="eastAsia" w:ascii="宋体" w:hAnsi="宋体"/>
          <w:sz w:val="24"/>
          <w:u w:val="single"/>
        </w:rPr>
        <w:t>24</w:t>
      </w:r>
      <w:r>
        <w:rPr>
          <w:rFonts w:ascii="宋体" w:hAnsi="宋体"/>
          <w:sz w:val="24"/>
        </w:rPr>
        <w:t>小时提交书面延期要求</w:t>
      </w:r>
      <w:r>
        <w:rPr>
          <w:rFonts w:hint="eastAsia" w:ascii="宋体" w:hAnsi="宋体"/>
          <w:sz w:val="24"/>
        </w:rPr>
        <w:t>，</w:t>
      </w:r>
      <w:r>
        <w:rPr>
          <w:rFonts w:ascii="宋体" w:hAnsi="宋体"/>
          <w:sz w:val="24"/>
        </w:rPr>
        <w:t>延期最长不得超过：</w:t>
      </w:r>
      <w:r>
        <w:rPr>
          <w:rFonts w:hint="eastAsia" w:ascii="宋体" w:hAnsi="宋体"/>
          <w:sz w:val="24"/>
          <w:u w:val="single"/>
        </w:rPr>
        <w:t>48</w:t>
      </w:r>
      <w:r>
        <w:rPr>
          <w:rFonts w:ascii="宋体" w:hAnsi="宋体"/>
          <w:sz w:val="24"/>
        </w:rPr>
        <w:t>小时。</w:t>
      </w:r>
    </w:p>
    <w:p>
      <w:pPr>
        <w:snapToGrid w:val="0"/>
        <w:spacing w:line="460" w:lineRule="exact"/>
        <w:ind w:firstLine="480" w:firstLineChars="200"/>
        <w:rPr>
          <w:rFonts w:ascii="宋体" w:hAnsi="宋体"/>
          <w:sz w:val="24"/>
        </w:rPr>
      </w:pPr>
      <w:bookmarkStart w:id="543" w:name="_Toc292559428"/>
      <w:bookmarkStart w:id="544" w:name="_Toc292559933"/>
      <w:bookmarkStart w:id="545" w:name="_Toc296346724"/>
      <w:bookmarkStart w:id="546" w:name="_Toc296347222"/>
      <w:bookmarkStart w:id="547" w:name="_Toc296503223"/>
      <w:bookmarkStart w:id="548" w:name="_Toc296891051"/>
      <w:bookmarkStart w:id="549" w:name="_Toc296891263"/>
      <w:bookmarkStart w:id="550" w:name="_Toc296944562"/>
      <w:bookmarkStart w:id="551" w:name="_Toc297048409"/>
      <w:bookmarkStart w:id="552" w:name="_Toc297120523"/>
      <w:bookmarkStart w:id="553" w:name="_Toc297123565"/>
      <w:bookmarkStart w:id="554" w:name="_Toc297216224"/>
      <w:bookmarkStart w:id="555" w:name="_Toc300935016"/>
      <w:bookmarkStart w:id="556" w:name="_Toc303539173"/>
      <w:bookmarkStart w:id="557" w:name="_Toc304295596"/>
      <w:bookmarkStart w:id="558" w:name="_Toc312678056"/>
      <w:bookmarkStart w:id="559" w:name="_Toc267251476"/>
      <w:bookmarkStart w:id="560" w:name="_Toc267251475"/>
      <w:bookmarkStart w:id="561" w:name="_Toc267251474"/>
      <w:bookmarkStart w:id="562" w:name="_Toc267251473"/>
      <w:bookmarkStart w:id="563" w:name="_Toc267251470"/>
      <w:bookmarkStart w:id="564" w:name="_Toc267251472"/>
      <w:bookmarkStart w:id="565" w:name="_Toc267251471"/>
      <w:r>
        <w:rPr>
          <w:rFonts w:ascii="宋体" w:hAnsi="宋体"/>
          <w:color w:val="000000"/>
          <w:sz w:val="24"/>
        </w:rPr>
        <w:t>1</w:t>
      </w:r>
      <w:r>
        <w:rPr>
          <w:rFonts w:hint="eastAsia" w:ascii="宋体" w:hAnsi="宋体"/>
          <w:color w:val="000000"/>
          <w:sz w:val="24"/>
        </w:rPr>
        <w:t>1</w:t>
      </w:r>
      <w:r>
        <w:rPr>
          <w:rFonts w:ascii="宋体" w:hAnsi="宋体"/>
          <w:color w:val="000000"/>
          <w:sz w:val="24"/>
        </w:rPr>
        <w:t>.2</w:t>
      </w:r>
      <w:r>
        <w:rPr>
          <w:rFonts w:ascii="宋体" w:hAnsi="宋体"/>
          <w:sz w:val="24"/>
        </w:rPr>
        <w:t xml:space="preserve"> 竣工验收</w:t>
      </w:r>
    </w:p>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Pr>
        <w:snapToGrid w:val="0"/>
        <w:spacing w:line="460" w:lineRule="exact"/>
        <w:ind w:firstLine="480" w:firstLineChars="200"/>
        <w:jc w:val="left"/>
        <w:rPr>
          <w:rFonts w:ascii="宋体" w:hAnsi="宋体"/>
          <w:color w:val="000000"/>
          <w:sz w:val="24"/>
        </w:rPr>
      </w:pPr>
      <w:bookmarkStart w:id="566" w:name="_Toc280868704"/>
      <w:bookmarkStart w:id="567" w:name="_Toc280868705"/>
      <w:bookmarkStart w:id="568" w:name="_Toc280868706"/>
      <w:bookmarkStart w:id="569" w:name="_Toc280868707"/>
      <w:bookmarkStart w:id="570" w:name="_Toc280868708"/>
      <w:bookmarkStart w:id="571" w:name="_Toc280868709"/>
      <w:r>
        <w:rPr>
          <w:rFonts w:ascii="宋体" w:hAnsi="宋体"/>
          <w:color w:val="000000"/>
          <w:sz w:val="24"/>
        </w:rPr>
        <w:t>1</w:t>
      </w:r>
      <w:r>
        <w:rPr>
          <w:rFonts w:hint="eastAsia" w:ascii="宋体" w:hAnsi="宋体"/>
          <w:color w:val="000000"/>
          <w:sz w:val="24"/>
        </w:rPr>
        <w:t>1</w:t>
      </w:r>
      <w:r>
        <w:rPr>
          <w:rFonts w:ascii="宋体" w:hAnsi="宋体"/>
          <w:color w:val="000000"/>
          <w:sz w:val="24"/>
        </w:rPr>
        <w:t>.2.</w:t>
      </w:r>
      <w:r>
        <w:rPr>
          <w:rFonts w:hint="eastAsia" w:ascii="宋体" w:hAnsi="宋体"/>
          <w:color w:val="000000"/>
          <w:sz w:val="24"/>
        </w:rPr>
        <w:t>1</w:t>
      </w:r>
      <w:r>
        <w:rPr>
          <w:rFonts w:ascii="宋体" w:hAnsi="宋体"/>
          <w:color w:val="000000"/>
          <w:sz w:val="24"/>
        </w:rPr>
        <w:t>竣工验收程序</w:t>
      </w:r>
    </w:p>
    <w:bookmarkEnd w:id="566"/>
    <w:p>
      <w:pPr>
        <w:snapToGrid w:val="0"/>
        <w:spacing w:line="460" w:lineRule="exact"/>
        <w:ind w:firstLine="480" w:firstLineChars="200"/>
        <w:jc w:val="left"/>
        <w:rPr>
          <w:rFonts w:ascii="宋体" w:hAnsi="宋体"/>
          <w:sz w:val="24"/>
        </w:rPr>
      </w:pPr>
      <w:r>
        <w:rPr>
          <w:rFonts w:ascii="宋体" w:hAnsi="宋体"/>
          <w:color w:val="000000"/>
          <w:kern w:val="0"/>
          <w:sz w:val="24"/>
        </w:rPr>
        <w:t>关于竣工验收程序的约定：</w:t>
      </w:r>
      <w:r>
        <w:rPr>
          <w:rFonts w:hint="eastAsia" w:ascii="宋体" w:hAnsi="宋体"/>
          <w:color w:val="000000"/>
          <w:kern w:val="0"/>
          <w:sz w:val="24"/>
          <w:szCs w:val="32"/>
          <w:u w:val="single"/>
        </w:rPr>
        <w:t>按《通用条款》执行</w:t>
      </w:r>
      <w:r>
        <w:rPr>
          <w:rFonts w:ascii="宋体" w:hAnsi="宋体"/>
          <w:sz w:val="24"/>
        </w:rPr>
        <w:t>。</w:t>
      </w:r>
    </w:p>
    <w:p>
      <w:pPr>
        <w:snapToGrid w:val="0"/>
        <w:spacing w:line="460" w:lineRule="exact"/>
        <w:ind w:firstLine="511" w:firstLineChars="213"/>
        <w:jc w:val="left"/>
        <w:rPr>
          <w:rFonts w:ascii="宋体" w:hAnsi="宋体"/>
          <w:sz w:val="24"/>
        </w:rPr>
      </w:pPr>
      <w:r>
        <w:rPr>
          <w:rFonts w:ascii="宋体" w:hAnsi="宋体"/>
          <w:kern w:val="0"/>
          <w:sz w:val="24"/>
        </w:rPr>
        <w:t>发包人不按照本项约定组织竣工验收、颁发工程接收证书的违约金的计算方法：</w:t>
      </w:r>
      <w:r>
        <w:rPr>
          <w:rFonts w:hint="eastAsia" w:ascii="宋体" w:hAnsi="宋体"/>
          <w:sz w:val="24"/>
          <w:u w:val="single"/>
        </w:rPr>
        <w:t xml:space="preserve">无 </w:t>
      </w:r>
      <w:r>
        <w:rPr>
          <w:rFonts w:hint="eastAsia" w:ascii="宋体" w:hAnsi="宋体"/>
          <w:sz w:val="24"/>
        </w:rPr>
        <w:t>。</w:t>
      </w:r>
    </w:p>
    <w:bookmarkEnd w:id="567"/>
    <w:p>
      <w:pPr>
        <w:snapToGrid w:val="0"/>
        <w:spacing w:line="460" w:lineRule="exact"/>
        <w:ind w:firstLine="480" w:firstLineChars="200"/>
        <w:jc w:val="left"/>
        <w:rPr>
          <w:rFonts w:ascii="宋体" w:hAnsi="宋体"/>
          <w:sz w:val="24"/>
        </w:rPr>
      </w:pPr>
      <w:r>
        <w:rPr>
          <w:rFonts w:ascii="宋体" w:hAnsi="宋体"/>
          <w:sz w:val="24"/>
        </w:rPr>
        <w:t>1</w:t>
      </w:r>
      <w:r>
        <w:rPr>
          <w:rFonts w:hint="eastAsia" w:ascii="宋体" w:hAnsi="宋体"/>
          <w:sz w:val="24"/>
        </w:rPr>
        <w:t>1</w:t>
      </w:r>
      <w:r>
        <w:rPr>
          <w:rFonts w:ascii="宋体" w:hAnsi="宋体"/>
          <w:sz w:val="24"/>
        </w:rPr>
        <w:t>.2.</w:t>
      </w:r>
      <w:r>
        <w:rPr>
          <w:rFonts w:hint="eastAsia" w:ascii="宋体" w:hAnsi="宋体"/>
          <w:sz w:val="24"/>
        </w:rPr>
        <w:t>2</w:t>
      </w:r>
      <w:r>
        <w:rPr>
          <w:rFonts w:ascii="宋体" w:hAnsi="宋体"/>
          <w:sz w:val="24"/>
        </w:rPr>
        <w:t>移交、接收全部与部分工程</w:t>
      </w:r>
    </w:p>
    <w:bookmarkEnd w:id="568"/>
    <w:p>
      <w:pPr>
        <w:snapToGrid w:val="0"/>
        <w:spacing w:line="460" w:lineRule="exact"/>
        <w:ind w:firstLine="480" w:firstLineChars="200"/>
        <w:jc w:val="left"/>
        <w:rPr>
          <w:rFonts w:ascii="宋体" w:hAnsi="宋体"/>
          <w:kern w:val="0"/>
          <w:sz w:val="24"/>
        </w:rPr>
      </w:pPr>
      <w:r>
        <w:rPr>
          <w:rFonts w:hint="eastAsia" w:ascii="宋体" w:hAnsi="宋体"/>
          <w:kern w:val="0"/>
          <w:sz w:val="24"/>
        </w:rPr>
        <w:t>承包人向发包人移交工程的期限：</w:t>
      </w:r>
      <w:r>
        <w:rPr>
          <w:rFonts w:hint="eastAsia" w:ascii="宋体" w:hAnsi="宋体"/>
          <w:sz w:val="24"/>
          <w:u w:val="single"/>
        </w:rPr>
        <w:t xml:space="preserve"> 在发包人颁发工程接收证书后7天内</w:t>
      </w:r>
      <w:r>
        <w:rPr>
          <w:rFonts w:hint="eastAsia" w:ascii="宋体" w:hAnsi="宋体"/>
          <w:sz w:val="24"/>
        </w:rPr>
        <w:t>。</w:t>
      </w:r>
    </w:p>
    <w:p>
      <w:pPr>
        <w:snapToGrid w:val="0"/>
        <w:spacing w:line="460" w:lineRule="exact"/>
        <w:ind w:firstLine="480" w:firstLineChars="200"/>
        <w:jc w:val="left"/>
        <w:rPr>
          <w:rFonts w:ascii="宋体" w:hAnsi="宋体"/>
          <w:sz w:val="24"/>
          <w:u w:val="single"/>
        </w:rPr>
      </w:pPr>
      <w:r>
        <w:rPr>
          <w:rFonts w:ascii="宋体" w:hAnsi="宋体"/>
          <w:kern w:val="0"/>
          <w:sz w:val="24"/>
        </w:rPr>
        <w:t>发包人未按本合同约定接收全部或部分工程的，违约金的计算方法为：</w:t>
      </w:r>
      <w:r>
        <w:rPr>
          <w:rFonts w:hint="eastAsia" w:ascii="宋体" w:hAnsi="宋体"/>
          <w:sz w:val="24"/>
          <w:u w:val="single"/>
        </w:rPr>
        <w:t>无</w:t>
      </w:r>
      <w:r>
        <w:rPr>
          <w:rFonts w:ascii="宋体" w:hAnsi="宋体"/>
          <w:sz w:val="24"/>
        </w:rPr>
        <w:t>。</w:t>
      </w:r>
    </w:p>
    <w:bookmarkEnd w:id="569"/>
    <w:p>
      <w:pPr>
        <w:snapToGrid w:val="0"/>
        <w:spacing w:line="460" w:lineRule="exact"/>
        <w:ind w:firstLine="511" w:firstLineChars="213"/>
        <w:jc w:val="left"/>
        <w:rPr>
          <w:rFonts w:ascii="宋体" w:hAnsi="宋体"/>
          <w:color w:val="000000"/>
          <w:sz w:val="24"/>
        </w:rPr>
      </w:pPr>
      <w:r>
        <w:rPr>
          <w:rFonts w:ascii="宋体" w:hAnsi="宋体"/>
          <w:color w:val="000000"/>
          <w:sz w:val="24"/>
        </w:rPr>
        <w:t>承包人未按时移交工程的，违约金的计算方法为：</w:t>
      </w:r>
      <w:r>
        <w:rPr>
          <w:rFonts w:hint="eastAsia" w:ascii="宋体" w:hAnsi="宋体"/>
          <w:color w:val="000000"/>
          <w:kern w:val="0"/>
          <w:sz w:val="24"/>
          <w:szCs w:val="32"/>
          <w:u w:val="single"/>
        </w:rPr>
        <w:t>按《通用条款》执行</w:t>
      </w:r>
      <w:r>
        <w:rPr>
          <w:rFonts w:ascii="宋体" w:hAnsi="宋体"/>
          <w:color w:val="000000"/>
          <w:sz w:val="24"/>
        </w:rPr>
        <w:t>。</w:t>
      </w:r>
    </w:p>
    <w:bookmarkEnd w:id="570"/>
    <w:p>
      <w:pPr>
        <w:snapToGrid w:val="0"/>
        <w:spacing w:line="460" w:lineRule="exact"/>
        <w:ind w:firstLine="511" w:firstLineChars="213"/>
        <w:jc w:val="left"/>
        <w:rPr>
          <w:rFonts w:ascii="宋体" w:hAnsi="宋体"/>
          <w:color w:val="000000"/>
          <w:sz w:val="24"/>
        </w:rPr>
      </w:pPr>
      <w:r>
        <w:rPr>
          <w:rFonts w:ascii="宋体" w:hAnsi="宋体"/>
          <w:color w:val="000000"/>
          <w:sz w:val="24"/>
        </w:rPr>
        <w:t>1</w:t>
      </w:r>
      <w:r>
        <w:rPr>
          <w:rFonts w:hint="eastAsia" w:ascii="宋体" w:hAnsi="宋体"/>
          <w:color w:val="000000"/>
          <w:sz w:val="24"/>
        </w:rPr>
        <w:t>1</w:t>
      </w:r>
      <w:r>
        <w:rPr>
          <w:rFonts w:ascii="宋体" w:hAnsi="宋体"/>
          <w:color w:val="000000"/>
          <w:sz w:val="24"/>
        </w:rPr>
        <w:t>.</w:t>
      </w:r>
      <w:r>
        <w:rPr>
          <w:rFonts w:hint="eastAsia" w:ascii="宋体" w:hAnsi="宋体"/>
          <w:color w:val="000000"/>
          <w:sz w:val="24"/>
        </w:rPr>
        <w:t>2.3</w:t>
      </w:r>
      <w:r>
        <w:rPr>
          <w:rFonts w:ascii="宋体" w:hAnsi="宋体"/>
          <w:color w:val="000000"/>
          <w:sz w:val="24"/>
        </w:rPr>
        <w:t xml:space="preserve"> 竣工退场</w:t>
      </w:r>
    </w:p>
    <w:p>
      <w:pPr>
        <w:snapToGrid w:val="0"/>
        <w:spacing w:line="460" w:lineRule="exact"/>
        <w:ind w:firstLine="480" w:firstLineChars="200"/>
        <w:jc w:val="left"/>
        <w:rPr>
          <w:rFonts w:ascii="宋体" w:hAnsi="宋体"/>
          <w:color w:val="000000"/>
          <w:sz w:val="24"/>
        </w:rPr>
      </w:pPr>
      <w:r>
        <w:rPr>
          <w:rFonts w:ascii="宋体" w:hAnsi="宋体"/>
          <w:kern w:val="0"/>
          <w:sz w:val="24"/>
        </w:rPr>
        <w:t>承包人完成竣工退场的期限：</w:t>
      </w:r>
      <w:r>
        <w:rPr>
          <w:rFonts w:hint="eastAsia" w:ascii="宋体" w:hAnsi="宋体"/>
          <w:sz w:val="24"/>
          <w:u w:val="single"/>
        </w:rPr>
        <w:t>在发包人颁发工程接收证书后7天内</w:t>
      </w:r>
      <w:r>
        <w:rPr>
          <w:rFonts w:ascii="宋体" w:hAnsi="宋体"/>
          <w:kern w:val="0"/>
          <w:sz w:val="24"/>
        </w:rPr>
        <w:t>。</w:t>
      </w:r>
      <w:bookmarkStart w:id="572" w:name="_Toc351203646"/>
    </w:p>
    <w:p>
      <w:pPr>
        <w:pStyle w:val="2"/>
        <w:snapToGrid w:val="0"/>
        <w:spacing w:before="0" w:after="0" w:line="460" w:lineRule="exact"/>
        <w:rPr>
          <w:rFonts w:ascii="宋体" w:hAnsi="宋体"/>
          <w:b w:val="0"/>
          <w:color w:val="000000"/>
          <w:sz w:val="24"/>
          <w:szCs w:val="24"/>
        </w:rPr>
      </w:pPr>
      <w:r>
        <w:rPr>
          <w:rFonts w:ascii="宋体" w:hAnsi="宋体"/>
          <w:b w:val="0"/>
          <w:color w:val="000000"/>
          <w:sz w:val="24"/>
          <w:szCs w:val="24"/>
        </w:rPr>
        <w:t>1</w:t>
      </w:r>
      <w:r>
        <w:rPr>
          <w:rFonts w:hint="eastAsia" w:ascii="宋体" w:hAnsi="宋体"/>
          <w:b w:val="0"/>
          <w:color w:val="000000"/>
          <w:sz w:val="24"/>
          <w:szCs w:val="24"/>
        </w:rPr>
        <w:t>3</w:t>
      </w:r>
      <w:r>
        <w:rPr>
          <w:rFonts w:ascii="宋体" w:hAnsi="宋体"/>
          <w:b w:val="0"/>
          <w:color w:val="000000"/>
          <w:sz w:val="24"/>
          <w:szCs w:val="24"/>
        </w:rPr>
        <w:t>. 竣工结算</w:t>
      </w:r>
      <w:bookmarkEnd w:id="572"/>
    </w:p>
    <w:p>
      <w:pPr>
        <w:snapToGrid w:val="0"/>
        <w:spacing w:line="460" w:lineRule="exact"/>
        <w:ind w:firstLine="480" w:firstLineChars="200"/>
        <w:rPr>
          <w:rFonts w:ascii="宋体" w:hAnsi="宋体"/>
          <w:sz w:val="24"/>
        </w:rPr>
      </w:pPr>
      <w:r>
        <w:rPr>
          <w:rFonts w:ascii="宋体" w:hAnsi="宋体"/>
          <w:sz w:val="24"/>
        </w:rPr>
        <w:t>1</w:t>
      </w:r>
      <w:r>
        <w:rPr>
          <w:rFonts w:hint="eastAsia" w:ascii="宋体" w:hAnsi="宋体"/>
          <w:sz w:val="24"/>
        </w:rPr>
        <w:t>3</w:t>
      </w:r>
      <w:r>
        <w:rPr>
          <w:rFonts w:ascii="宋体" w:hAnsi="宋体"/>
          <w:sz w:val="24"/>
        </w:rPr>
        <w:t>.1 竣工</w:t>
      </w:r>
      <w:r>
        <w:rPr>
          <w:rFonts w:hint="eastAsia" w:ascii="宋体" w:hAnsi="宋体"/>
          <w:sz w:val="24"/>
        </w:rPr>
        <w:t>结算</w:t>
      </w:r>
      <w:r>
        <w:rPr>
          <w:rFonts w:ascii="宋体" w:hAnsi="宋体"/>
          <w:sz w:val="24"/>
        </w:rPr>
        <w:t>申请</w:t>
      </w:r>
    </w:p>
    <w:p>
      <w:pPr>
        <w:snapToGrid w:val="0"/>
        <w:spacing w:line="460" w:lineRule="exact"/>
        <w:ind w:firstLine="480" w:firstLineChars="200"/>
        <w:jc w:val="left"/>
        <w:rPr>
          <w:rFonts w:ascii="宋体" w:hAnsi="宋体"/>
          <w:sz w:val="24"/>
        </w:rPr>
      </w:pPr>
      <w:r>
        <w:rPr>
          <w:rFonts w:ascii="宋体" w:hAnsi="宋体"/>
          <w:sz w:val="24"/>
        </w:rPr>
        <w:t>承包人提交竣工</w:t>
      </w:r>
      <w:r>
        <w:rPr>
          <w:rFonts w:hint="eastAsia" w:ascii="宋体" w:hAnsi="宋体"/>
          <w:sz w:val="24"/>
        </w:rPr>
        <w:t>结算</w:t>
      </w:r>
      <w:r>
        <w:rPr>
          <w:rFonts w:ascii="宋体" w:hAnsi="宋体"/>
          <w:sz w:val="24"/>
        </w:rPr>
        <w:t>申请单的期限：</w:t>
      </w:r>
      <w:r>
        <w:rPr>
          <w:rFonts w:hint="eastAsia" w:ascii="宋体" w:hAnsi="宋体"/>
          <w:sz w:val="24"/>
          <w:szCs w:val="32"/>
          <w:u w:val="single"/>
        </w:rPr>
        <w:t>工程竣工验收合格后28天内</w:t>
      </w:r>
      <w:r>
        <w:rPr>
          <w:rFonts w:ascii="宋体" w:hAnsi="宋体"/>
          <w:sz w:val="24"/>
        </w:rPr>
        <w:t>。</w:t>
      </w:r>
    </w:p>
    <w:p>
      <w:pPr>
        <w:snapToGrid w:val="0"/>
        <w:spacing w:line="460" w:lineRule="exact"/>
        <w:ind w:firstLine="511" w:firstLineChars="213"/>
        <w:jc w:val="left"/>
        <w:rPr>
          <w:rFonts w:ascii="宋体" w:hAnsi="宋体"/>
          <w:sz w:val="24"/>
        </w:rPr>
      </w:pPr>
      <w:r>
        <w:rPr>
          <w:rFonts w:ascii="宋体" w:hAnsi="宋体"/>
          <w:sz w:val="24"/>
        </w:rPr>
        <w:t>竣工</w:t>
      </w:r>
      <w:r>
        <w:rPr>
          <w:rFonts w:hint="eastAsia" w:ascii="宋体" w:hAnsi="宋体"/>
          <w:sz w:val="24"/>
        </w:rPr>
        <w:t>结算</w:t>
      </w:r>
      <w:r>
        <w:rPr>
          <w:rFonts w:ascii="宋体" w:hAnsi="宋体"/>
          <w:sz w:val="24"/>
        </w:rPr>
        <w:t>申请单应包括的内容：</w:t>
      </w:r>
      <w:r>
        <w:rPr>
          <w:rFonts w:hint="eastAsia" w:ascii="宋体" w:hAnsi="宋体"/>
          <w:sz w:val="24"/>
          <w:szCs w:val="32"/>
          <w:u w:val="single"/>
        </w:rPr>
        <w:t>1、竣工结算合同价格；2、发包人已支付承包人款项；3、应扣留的质量保证金；4、发包人应支付承包人的合同价款</w:t>
      </w:r>
      <w:r>
        <w:rPr>
          <w:rFonts w:ascii="宋体" w:hAnsi="宋体"/>
          <w:sz w:val="24"/>
        </w:rPr>
        <w:t>。</w:t>
      </w:r>
    </w:p>
    <w:p>
      <w:pPr>
        <w:snapToGrid w:val="0"/>
        <w:spacing w:line="460" w:lineRule="exact"/>
        <w:ind w:firstLine="480" w:firstLineChars="200"/>
        <w:rPr>
          <w:rFonts w:ascii="宋体" w:hAnsi="宋体"/>
          <w:sz w:val="24"/>
        </w:rPr>
      </w:pPr>
      <w:r>
        <w:rPr>
          <w:rFonts w:ascii="宋体" w:hAnsi="宋体"/>
          <w:sz w:val="24"/>
        </w:rPr>
        <w:t>1</w:t>
      </w:r>
      <w:r>
        <w:rPr>
          <w:rFonts w:hint="eastAsia" w:ascii="宋体" w:hAnsi="宋体"/>
          <w:sz w:val="24"/>
        </w:rPr>
        <w:t>3</w:t>
      </w:r>
      <w:r>
        <w:rPr>
          <w:rFonts w:ascii="宋体" w:hAnsi="宋体"/>
          <w:sz w:val="24"/>
        </w:rPr>
        <w:t>.2 竣工结算审核</w:t>
      </w:r>
    </w:p>
    <w:p>
      <w:pPr>
        <w:snapToGrid w:val="0"/>
        <w:spacing w:line="460" w:lineRule="exact"/>
        <w:ind w:firstLine="480" w:firstLineChars="200"/>
        <w:jc w:val="left"/>
        <w:rPr>
          <w:rFonts w:ascii="宋体" w:hAnsi="宋体"/>
          <w:sz w:val="24"/>
        </w:rPr>
      </w:pPr>
      <w:r>
        <w:rPr>
          <w:rFonts w:ascii="宋体" w:hAnsi="宋体"/>
          <w:sz w:val="24"/>
        </w:rPr>
        <w:t>发包人</w:t>
      </w:r>
      <w:r>
        <w:rPr>
          <w:rFonts w:hint="eastAsia" w:ascii="宋体" w:hAnsi="宋体"/>
          <w:sz w:val="24"/>
        </w:rPr>
        <w:t>审批</w:t>
      </w:r>
      <w:r>
        <w:rPr>
          <w:rFonts w:ascii="宋体" w:hAnsi="宋体"/>
          <w:sz w:val="24"/>
        </w:rPr>
        <w:t>竣工付款申请单的期限：</w:t>
      </w:r>
      <w:r>
        <w:rPr>
          <w:rFonts w:hint="eastAsia" w:ascii="宋体" w:hAnsi="宋体"/>
          <w:color w:val="000000"/>
          <w:sz w:val="24"/>
          <w:szCs w:val="32"/>
          <w:u w:val="single"/>
        </w:rPr>
        <w:t>14天</w:t>
      </w:r>
      <w:r>
        <w:rPr>
          <w:rFonts w:ascii="宋体" w:hAnsi="宋体"/>
          <w:sz w:val="24"/>
        </w:rPr>
        <w:t>。</w:t>
      </w:r>
    </w:p>
    <w:p>
      <w:pPr>
        <w:snapToGrid w:val="0"/>
        <w:spacing w:line="460" w:lineRule="exact"/>
        <w:ind w:firstLine="480" w:firstLineChars="200"/>
        <w:jc w:val="left"/>
        <w:rPr>
          <w:rFonts w:ascii="宋体" w:hAnsi="宋体"/>
          <w:sz w:val="24"/>
        </w:rPr>
      </w:pPr>
      <w:r>
        <w:rPr>
          <w:rFonts w:ascii="宋体" w:hAnsi="宋体"/>
          <w:sz w:val="24"/>
        </w:rPr>
        <w:t>发包人完成竣工付款的期限：</w:t>
      </w:r>
      <w:r>
        <w:rPr>
          <w:rFonts w:hint="eastAsia" w:ascii="宋体" w:hAnsi="宋体"/>
          <w:color w:val="000000"/>
          <w:sz w:val="24"/>
          <w:szCs w:val="32"/>
          <w:u w:val="single"/>
        </w:rPr>
        <w:t>按双方约定</w:t>
      </w:r>
      <w:r>
        <w:rPr>
          <w:rFonts w:ascii="宋体" w:hAnsi="宋体"/>
          <w:sz w:val="24"/>
        </w:rPr>
        <w:t>。</w:t>
      </w:r>
    </w:p>
    <w:p>
      <w:pPr>
        <w:snapToGrid w:val="0"/>
        <w:spacing w:line="460" w:lineRule="exact"/>
        <w:ind w:firstLine="480" w:firstLineChars="200"/>
        <w:jc w:val="left"/>
        <w:rPr>
          <w:rFonts w:ascii="宋体" w:hAnsi="宋体"/>
          <w:sz w:val="24"/>
        </w:rPr>
      </w:pPr>
      <w:r>
        <w:rPr>
          <w:rFonts w:hint="eastAsia" w:ascii="宋体" w:hAnsi="宋体"/>
          <w:sz w:val="24"/>
        </w:rPr>
        <w:t>关于竣工付款证书异议部分复核的方式和程序：</w:t>
      </w:r>
      <w:r>
        <w:rPr>
          <w:rFonts w:hint="eastAsia" w:ascii="宋体" w:hAnsi="宋体"/>
          <w:color w:val="000000"/>
          <w:sz w:val="24"/>
          <w:szCs w:val="32"/>
          <w:u w:val="single"/>
        </w:rPr>
        <w:t>按《通用条款》执行</w:t>
      </w:r>
      <w:r>
        <w:rPr>
          <w:rFonts w:ascii="宋体" w:hAnsi="宋体"/>
          <w:sz w:val="24"/>
        </w:rPr>
        <w:t>。</w:t>
      </w:r>
    </w:p>
    <w:p>
      <w:pPr>
        <w:snapToGrid w:val="0"/>
        <w:spacing w:line="460" w:lineRule="exact"/>
        <w:ind w:firstLine="480" w:firstLineChars="200"/>
        <w:rPr>
          <w:rFonts w:ascii="宋体" w:hAnsi="宋体"/>
          <w:sz w:val="24"/>
        </w:rPr>
      </w:pPr>
      <w:r>
        <w:rPr>
          <w:rFonts w:ascii="宋体" w:hAnsi="宋体"/>
          <w:sz w:val="24"/>
        </w:rPr>
        <w:t>1</w:t>
      </w:r>
      <w:r>
        <w:rPr>
          <w:rFonts w:hint="eastAsia" w:ascii="宋体" w:hAnsi="宋体"/>
          <w:sz w:val="24"/>
        </w:rPr>
        <w:t>3</w:t>
      </w:r>
      <w:r>
        <w:rPr>
          <w:rFonts w:ascii="宋体" w:hAnsi="宋体"/>
          <w:sz w:val="24"/>
        </w:rPr>
        <w:t>.4 最终结清</w:t>
      </w:r>
    </w:p>
    <w:p>
      <w:pPr>
        <w:snapToGrid w:val="0"/>
        <w:spacing w:line="460" w:lineRule="exact"/>
        <w:ind w:firstLine="480" w:firstLineChars="200"/>
        <w:jc w:val="left"/>
        <w:rPr>
          <w:rFonts w:ascii="宋体" w:hAnsi="宋体"/>
          <w:kern w:val="0"/>
          <w:sz w:val="24"/>
        </w:rPr>
      </w:pPr>
      <w:r>
        <w:rPr>
          <w:rFonts w:ascii="宋体" w:hAnsi="宋体"/>
          <w:kern w:val="0"/>
          <w:sz w:val="24"/>
        </w:rPr>
        <w:t>1</w:t>
      </w:r>
      <w:r>
        <w:rPr>
          <w:rFonts w:hint="eastAsia" w:ascii="宋体" w:hAnsi="宋体"/>
          <w:kern w:val="0"/>
          <w:sz w:val="24"/>
        </w:rPr>
        <w:t>3</w:t>
      </w:r>
      <w:r>
        <w:rPr>
          <w:rFonts w:ascii="宋体" w:hAnsi="宋体"/>
          <w:kern w:val="0"/>
          <w:sz w:val="24"/>
        </w:rPr>
        <w:t>.4.1 最终结清申请单</w:t>
      </w:r>
    </w:p>
    <w:p>
      <w:pPr>
        <w:snapToGrid w:val="0"/>
        <w:spacing w:line="460" w:lineRule="exact"/>
        <w:ind w:firstLine="480" w:firstLineChars="200"/>
        <w:jc w:val="left"/>
        <w:rPr>
          <w:rFonts w:ascii="宋体" w:hAnsi="宋体"/>
          <w:kern w:val="0"/>
          <w:sz w:val="24"/>
        </w:rPr>
      </w:pPr>
      <w:r>
        <w:rPr>
          <w:rFonts w:ascii="宋体" w:hAnsi="宋体"/>
          <w:kern w:val="0"/>
          <w:sz w:val="24"/>
        </w:rPr>
        <w:t>承包人提交最终结清申请单的份数：</w:t>
      </w:r>
      <w:r>
        <w:rPr>
          <w:rFonts w:hint="eastAsia" w:ascii="宋体" w:hAnsi="宋体"/>
          <w:color w:val="000000"/>
          <w:sz w:val="24"/>
          <w:szCs w:val="32"/>
          <w:u w:val="single"/>
        </w:rPr>
        <w:t>按《通用条款》执行</w:t>
      </w:r>
      <w:r>
        <w:rPr>
          <w:rFonts w:ascii="宋体" w:hAnsi="宋体"/>
          <w:sz w:val="24"/>
        </w:rPr>
        <w:t>。</w:t>
      </w:r>
    </w:p>
    <w:p>
      <w:pPr>
        <w:snapToGrid w:val="0"/>
        <w:spacing w:line="460" w:lineRule="exact"/>
        <w:ind w:firstLine="480" w:firstLineChars="200"/>
        <w:jc w:val="left"/>
        <w:rPr>
          <w:rFonts w:ascii="宋体" w:hAnsi="宋体"/>
          <w:kern w:val="0"/>
          <w:sz w:val="24"/>
        </w:rPr>
      </w:pPr>
      <w:r>
        <w:rPr>
          <w:rFonts w:ascii="宋体" w:hAnsi="宋体"/>
          <w:kern w:val="0"/>
          <w:sz w:val="24"/>
        </w:rPr>
        <w:t>承包人提交最终结算申请单的期限：</w:t>
      </w:r>
      <w:r>
        <w:rPr>
          <w:rFonts w:hint="eastAsia" w:ascii="宋体" w:hAnsi="宋体"/>
          <w:color w:val="000000"/>
          <w:sz w:val="24"/>
          <w:szCs w:val="32"/>
          <w:u w:val="single"/>
        </w:rPr>
        <w:t>按《通用条款》执行</w:t>
      </w:r>
      <w:r>
        <w:rPr>
          <w:rFonts w:ascii="宋体" w:hAnsi="宋体"/>
          <w:sz w:val="24"/>
        </w:rPr>
        <w:t xml:space="preserve">。 </w:t>
      </w:r>
    </w:p>
    <w:p>
      <w:pPr>
        <w:snapToGrid w:val="0"/>
        <w:spacing w:line="460" w:lineRule="exact"/>
        <w:ind w:firstLine="480" w:firstLineChars="200"/>
        <w:jc w:val="left"/>
        <w:rPr>
          <w:rFonts w:ascii="宋体" w:hAnsi="宋体"/>
          <w:sz w:val="24"/>
        </w:rPr>
      </w:pPr>
      <w:r>
        <w:rPr>
          <w:rFonts w:ascii="宋体" w:hAnsi="宋体"/>
          <w:sz w:val="24"/>
        </w:rPr>
        <w:t>1</w:t>
      </w:r>
      <w:r>
        <w:rPr>
          <w:rFonts w:hint="eastAsia" w:ascii="宋体" w:hAnsi="宋体"/>
          <w:sz w:val="24"/>
        </w:rPr>
        <w:t>3</w:t>
      </w:r>
      <w:r>
        <w:rPr>
          <w:rFonts w:ascii="宋体" w:hAnsi="宋体"/>
          <w:sz w:val="24"/>
        </w:rPr>
        <w:t>.4.2 最终结清证书和支付</w:t>
      </w:r>
    </w:p>
    <w:p>
      <w:pPr>
        <w:snapToGrid w:val="0"/>
        <w:spacing w:line="460" w:lineRule="exact"/>
        <w:ind w:firstLine="480" w:firstLineChars="200"/>
        <w:jc w:val="left"/>
        <w:rPr>
          <w:rFonts w:ascii="宋体" w:hAnsi="宋体"/>
          <w:sz w:val="24"/>
        </w:rPr>
      </w:pPr>
      <w:r>
        <w:rPr>
          <w:rFonts w:ascii="宋体" w:hAnsi="宋体"/>
          <w:sz w:val="24"/>
        </w:rPr>
        <w:t>（1）发包人完成最终结清申请单的</w:t>
      </w:r>
      <w:r>
        <w:rPr>
          <w:rFonts w:hint="eastAsia" w:ascii="宋体" w:hAnsi="宋体"/>
          <w:sz w:val="24"/>
        </w:rPr>
        <w:t>审批</w:t>
      </w:r>
      <w:r>
        <w:rPr>
          <w:rFonts w:ascii="宋体" w:hAnsi="宋体"/>
          <w:sz w:val="24"/>
        </w:rPr>
        <w:t>并颁发最终结清证书的期限：</w:t>
      </w:r>
      <w:r>
        <w:rPr>
          <w:rFonts w:hint="eastAsia" w:ascii="宋体" w:hAnsi="宋体"/>
          <w:sz w:val="24"/>
          <w:u w:val="single"/>
        </w:rPr>
        <w:t>14天</w:t>
      </w:r>
      <w:r>
        <w:rPr>
          <w:rFonts w:ascii="宋体" w:hAnsi="宋体"/>
          <w:sz w:val="24"/>
        </w:rPr>
        <w:t>。</w:t>
      </w:r>
    </w:p>
    <w:p>
      <w:pPr>
        <w:snapToGrid w:val="0"/>
        <w:spacing w:line="460" w:lineRule="exact"/>
        <w:ind w:firstLine="480" w:firstLineChars="200"/>
        <w:jc w:val="left"/>
        <w:rPr>
          <w:rFonts w:ascii="宋体" w:hAnsi="宋体"/>
          <w:color w:val="000000"/>
          <w:sz w:val="24"/>
        </w:rPr>
      </w:pPr>
      <w:r>
        <w:rPr>
          <w:rFonts w:ascii="宋体" w:hAnsi="宋体"/>
          <w:sz w:val="24"/>
        </w:rPr>
        <w:t>（2）发包人完成支付的期限：</w:t>
      </w:r>
      <w:r>
        <w:rPr>
          <w:rFonts w:hint="eastAsia" w:ascii="宋体" w:hAnsi="宋体"/>
          <w:color w:val="000000"/>
          <w:sz w:val="24"/>
          <w:szCs w:val="32"/>
          <w:u w:val="single"/>
        </w:rPr>
        <w:t>按双方约定</w:t>
      </w:r>
      <w:r>
        <w:rPr>
          <w:rFonts w:ascii="宋体" w:hAnsi="宋体"/>
          <w:sz w:val="24"/>
        </w:rPr>
        <w:t>。</w:t>
      </w:r>
      <w:bookmarkEnd w:id="559"/>
      <w:bookmarkEnd w:id="560"/>
      <w:bookmarkEnd w:id="561"/>
      <w:bookmarkEnd w:id="562"/>
      <w:bookmarkEnd w:id="563"/>
      <w:bookmarkEnd w:id="564"/>
      <w:bookmarkEnd w:id="565"/>
      <w:bookmarkEnd w:id="571"/>
      <w:bookmarkStart w:id="573" w:name="_Toc351203647"/>
      <w:bookmarkStart w:id="574" w:name="_Toc267251483"/>
      <w:bookmarkStart w:id="575" w:name="_Toc267251484"/>
      <w:bookmarkStart w:id="576" w:name="_Toc267251482"/>
      <w:bookmarkStart w:id="577" w:name="_Toc267251485"/>
      <w:bookmarkStart w:id="578" w:name="_Toc267251489"/>
      <w:bookmarkStart w:id="579" w:name="_Toc267251488"/>
      <w:bookmarkStart w:id="580" w:name="_Toc267251490"/>
      <w:bookmarkStart w:id="581" w:name="_Toc267251486"/>
      <w:bookmarkStart w:id="582" w:name="_Toc267251497"/>
      <w:bookmarkStart w:id="583" w:name="_Toc267251493"/>
      <w:bookmarkStart w:id="584" w:name="_Toc267251491"/>
      <w:bookmarkStart w:id="585" w:name="_Toc267251492"/>
      <w:bookmarkStart w:id="586" w:name="_Toc267251495"/>
      <w:bookmarkStart w:id="587" w:name="_Toc267251496"/>
      <w:bookmarkStart w:id="588" w:name="_Toc267251494"/>
      <w:bookmarkStart w:id="589" w:name="_Toc267251498"/>
      <w:bookmarkStart w:id="590" w:name="_Toc267251499"/>
      <w:bookmarkStart w:id="591" w:name="_Toc267251503"/>
      <w:bookmarkStart w:id="592" w:name="_Toc267251502"/>
      <w:bookmarkStart w:id="593" w:name="_Toc267251501"/>
      <w:bookmarkStart w:id="594" w:name="_Toc267251506"/>
      <w:bookmarkStart w:id="595" w:name="_Toc267251504"/>
      <w:bookmarkStart w:id="596" w:name="_Toc267251507"/>
      <w:bookmarkStart w:id="597" w:name="_Toc267251508"/>
      <w:bookmarkStart w:id="598" w:name="_Toc267251515"/>
      <w:bookmarkStart w:id="599" w:name="_Toc267251509"/>
      <w:bookmarkStart w:id="600" w:name="_Toc267251510"/>
      <w:bookmarkStart w:id="601" w:name="_Toc267251511"/>
      <w:bookmarkStart w:id="602" w:name="_Toc267251514"/>
      <w:bookmarkStart w:id="603" w:name="_Toc267251513"/>
    </w:p>
    <w:p>
      <w:pPr>
        <w:pStyle w:val="2"/>
        <w:snapToGrid w:val="0"/>
        <w:spacing w:before="0" w:after="0" w:line="460" w:lineRule="exact"/>
        <w:rPr>
          <w:rFonts w:ascii="宋体" w:hAnsi="宋体"/>
          <w:b w:val="0"/>
          <w:color w:val="000000"/>
          <w:sz w:val="24"/>
          <w:szCs w:val="24"/>
        </w:rPr>
      </w:pPr>
      <w:r>
        <w:rPr>
          <w:rFonts w:ascii="宋体" w:hAnsi="宋体"/>
          <w:b w:val="0"/>
          <w:color w:val="000000"/>
          <w:sz w:val="24"/>
          <w:szCs w:val="24"/>
        </w:rPr>
        <w:t>15. 缺陷责任期与保修</w:t>
      </w:r>
      <w:bookmarkEnd w:id="573"/>
    </w:p>
    <w:p>
      <w:pPr>
        <w:snapToGrid w:val="0"/>
        <w:spacing w:line="460" w:lineRule="exact"/>
        <w:ind w:firstLine="480" w:firstLineChars="200"/>
        <w:rPr>
          <w:rFonts w:ascii="宋体" w:hAnsi="宋体"/>
          <w:color w:val="000000"/>
          <w:sz w:val="24"/>
        </w:rPr>
      </w:pPr>
      <w:r>
        <w:rPr>
          <w:rFonts w:ascii="宋体" w:hAnsi="宋体"/>
          <w:color w:val="000000"/>
          <w:sz w:val="24"/>
        </w:rPr>
        <w:t>15.</w:t>
      </w:r>
      <w:r>
        <w:rPr>
          <w:rFonts w:ascii="宋体" w:hAnsi="宋体"/>
          <w:sz w:val="24"/>
        </w:rPr>
        <w:t>2缺陷责任期</w:t>
      </w:r>
      <w:bookmarkEnd w:id="574"/>
    </w:p>
    <w:p>
      <w:pPr>
        <w:snapToGrid w:val="0"/>
        <w:spacing w:line="460" w:lineRule="exact"/>
        <w:ind w:firstLine="511" w:firstLineChars="213"/>
        <w:jc w:val="left"/>
        <w:rPr>
          <w:rFonts w:ascii="宋体" w:hAnsi="宋体"/>
          <w:sz w:val="24"/>
        </w:rPr>
      </w:pPr>
      <w:r>
        <w:rPr>
          <w:rFonts w:ascii="宋体" w:hAnsi="宋体"/>
          <w:color w:val="000000"/>
          <w:sz w:val="24"/>
        </w:rPr>
        <w:t>缺陷责任期的具体期限：</w:t>
      </w:r>
      <w:r>
        <w:rPr>
          <w:rFonts w:hint="eastAsia" w:ascii="宋体" w:hAnsi="宋体"/>
          <w:color w:val="000000"/>
          <w:sz w:val="24"/>
          <w:szCs w:val="32"/>
          <w:u w:val="single"/>
        </w:rPr>
        <w:t>按《通用条款》执行</w:t>
      </w:r>
      <w:r>
        <w:rPr>
          <w:rFonts w:ascii="宋体" w:hAnsi="宋体"/>
          <w:sz w:val="24"/>
        </w:rPr>
        <w:t>。</w:t>
      </w:r>
    </w:p>
    <w:p>
      <w:pPr>
        <w:snapToGrid w:val="0"/>
        <w:spacing w:line="460" w:lineRule="exact"/>
        <w:ind w:firstLine="480" w:firstLineChars="200"/>
        <w:rPr>
          <w:rFonts w:ascii="宋体" w:hAnsi="宋体"/>
          <w:sz w:val="24"/>
        </w:rPr>
      </w:pPr>
      <w:r>
        <w:rPr>
          <w:rFonts w:ascii="宋体" w:hAnsi="宋体"/>
          <w:sz w:val="24"/>
        </w:rPr>
        <w:t>15.3 质量保证金</w:t>
      </w:r>
    </w:p>
    <w:p>
      <w:pPr>
        <w:snapToGrid w:val="0"/>
        <w:spacing w:line="460" w:lineRule="exact"/>
        <w:ind w:firstLine="480" w:firstLineChars="200"/>
        <w:jc w:val="left"/>
        <w:rPr>
          <w:rFonts w:ascii="宋体" w:hAnsi="宋体"/>
          <w:sz w:val="24"/>
        </w:rPr>
      </w:pPr>
      <w:r>
        <w:rPr>
          <w:rFonts w:hint="eastAsia" w:ascii="宋体" w:hAnsi="宋体"/>
          <w:sz w:val="24"/>
        </w:rPr>
        <w:t>关于是否扣留质量保证金的约定：</w:t>
      </w:r>
      <w:r>
        <w:rPr>
          <w:rFonts w:hint="eastAsia" w:ascii="宋体" w:hAnsi="宋体"/>
          <w:sz w:val="24"/>
          <w:u w:val="single"/>
          <w:lang w:val="en-US" w:eastAsia="zh-CN"/>
        </w:rPr>
        <w:t xml:space="preserve">            /            </w:t>
      </w:r>
      <w:r>
        <w:rPr>
          <w:rFonts w:ascii="宋体" w:hAnsi="宋体"/>
          <w:sz w:val="24"/>
        </w:rPr>
        <w:t>。</w:t>
      </w:r>
    </w:p>
    <w:p>
      <w:pPr>
        <w:snapToGrid w:val="0"/>
        <w:spacing w:line="460" w:lineRule="exact"/>
        <w:ind w:firstLine="480" w:firstLineChars="200"/>
        <w:jc w:val="left"/>
        <w:rPr>
          <w:rFonts w:ascii="宋体" w:hAnsi="宋体"/>
          <w:sz w:val="24"/>
        </w:rPr>
      </w:pPr>
      <w:r>
        <w:rPr>
          <w:rFonts w:ascii="宋体" w:hAnsi="宋体"/>
          <w:sz w:val="24"/>
        </w:rPr>
        <w:t xml:space="preserve">15.3.1 </w:t>
      </w:r>
      <w:r>
        <w:rPr>
          <w:rFonts w:hint="eastAsia" w:ascii="宋体" w:hAnsi="宋体"/>
          <w:sz w:val="24"/>
        </w:rPr>
        <w:t>承包人提供</w:t>
      </w:r>
      <w:r>
        <w:rPr>
          <w:rFonts w:ascii="宋体" w:hAnsi="宋体"/>
          <w:sz w:val="24"/>
        </w:rPr>
        <w:t>质量保证金的</w:t>
      </w:r>
      <w:r>
        <w:rPr>
          <w:rFonts w:hint="eastAsia" w:ascii="宋体" w:hAnsi="宋体"/>
          <w:sz w:val="24"/>
        </w:rPr>
        <w:t>方</w:t>
      </w:r>
      <w:r>
        <w:rPr>
          <w:rFonts w:ascii="宋体" w:hAnsi="宋体"/>
          <w:sz w:val="24"/>
        </w:rPr>
        <w:t>式</w:t>
      </w:r>
    </w:p>
    <w:p>
      <w:pPr>
        <w:snapToGrid w:val="0"/>
        <w:spacing w:line="460" w:lineRule="exact"/>
        <w:ind w:firstLine="480" w:firstLineChars="200"/>
        <w:jc w:val="left"/>
        <w:rPr>
          <w:rFonts w:ascii="宋体" w:hAnsi="宋体"/>
          <w:sz w:val="24"/>
        </w:rPr>
      </w:pPr>
      <w:r>
        <w:rPr>
          <w:rFonts w:ascii="宋体" w:hAnsi="宋体"/>
          <w:sz w:val="24"/>
        </w:rPr>
        <w:t>质量保证金采用以下第</w:t>
      </w:r>
      <w:r>
        <w:rPr>
          <w:rFonts w:hint="eastAsia" w:ascii="宋体" w:hAnsi="宋体"/>
          <w:sz w:val="24"/>
          <w:u w:val="single"/>
          <w:lang w:val="en-US" w:eastAsia="zh-CN"/>
        </w:rPr>
        <w:t xml:space="preserve">     </w:t>
      </w:r>
      <w:r>
        <w:rPr>
          <w:rFonts w:ascii="宋体" w:hAnsi="宋体"/>
          <w:sz w:val="24"/>
        </w:rPr>
        <w:t>种方式：</w:t>
      </w:r>
    </w:p>
    <w:p>
      <w:pPr>
        <w:autoSpaceDE w:val="0"/>
        <w:autoSpaceDN w:val="0"/>
        <w:adjustRightInd w:val="0"/>
        <w:snapToGrid w:val="0"/>
        <w:spacing w:line="460" w:lineRule="exact"/>
        <w:ind w:firstLine="480" w:firstLineChars="200"/>
        <w:jc w:val="left"/>
        <w:rPr>
          <w:rFonts w:ascii="宋体" w:hAnsi="宋体"/>
          <w:kern w:val="0"/>
          <w:sz w:val="24"/>
        </w:rPr>
      </w:pPr>
      <w:r>
        <w:rPr>
          <w:rFonts w:ascii="宋体" w:hAnsi="宋体"/>
          <w:kern w:val="0"/>
          <w:sz w:val="24"/>
        </w:rPr>
        <w:t xml:space="preserve">（1）质量保证金保函，保证金额为：； </w:t>
      </w:r>
    </w:p>
    <w:p>
      <w:pPr>
        <w:autoSpaceDE w:val="0"/>
        <w:autoSpaceDN w:val="0"/>
        <w:adjustRightInd w:val="0"/>
        <w:snapToGrid w:val="0"/>
        <w:spacing w:line="460" w:lineRule="exact"/>
        <w:ind w:firstLine="480" w:firstLineChars="200"/>
        <w:jc w:val="left"/>
        <w:rPr>
          <w:rFonts w:ascii="宋体" w:hAnsi="宋体"/>
          <w:kern w:val="0"/>
          <w:sz w:val="24"/>
        </w:rPr>
      </w:pPr>
      <w:r>
        <w:rPr>
          <w:rFonts w:ascii="宋体" w:hAnsi="宋体"/>
          <w:kern w:val="0"/>
          <w:sz w:val="24"/>
        </w:rPr>
        <w:t>（2）</w:t>
      </w:r>
      <w:r>
        <w:rPr>
          <w:rFonts w:hint="eastAsia" w:ascii="宋体" w:hAnsi="宋体"/>
          <w:kern w:val="0"/>
          <w:sz w:val="24"/>
          <w:u w:val="single"/>
          <w:lang w:val="en-US" w:eastAsia="zh-CN"/>
        </w:rPr>
        <w:t xml:space="preserve">       </w:t>
      </w:r>
      <w:r>
        <w:rPr>
          <w:rFonts w:ascii="宋体" w:hAnsi="宋体"/>
          <w:kern w:val="0"/>
          <w:sz w:val="24"/>
        </w:rPr>
        <w:t>的工程</w:t>
      </w:r>
      <w:r>
        <w:rPr>
          <w:rFonts w:hint="eastAsia" w:ascii="宋体" w:hAnsi="宋体"/>
          <w:sz w:val="24"/>
        </w:rPr>
        <w:t>结算价</w:t>
      </w:r>
      <w:r>
        <w:rPr>
          <w:rFonts w:ascii="宋体" w:hAnsi="宋体"/>
          <w:kern w:val="0"/>
          <w:sz w:val="24"/>
        </w:rPr>
        <w:t>；</w:t>
      </w:r>
    </w:p>
    <w:p>
      <w:pPr>
        <w:autoSpaceDE w:val="0"/>
        <w:autoSpaceDN w:val="0"/>
        <w:adjustRightInd w:val="0"/>
        <w:snapToGrid w:val="0"/>
        <w:spacing w:line="460" w:lineRule="exact"/>
        <w:ind w:firstLine="480" w:firstLineChars="200"/>
        <w:jc w:val="left"/>
        <w:rPr>
          <w:rFonts w:ascii="宋体" w:hAnsi="宋体"/>
          <w:kern w:val="0"/>
          <w:sz w:val="24"/>
        </w:rPr>
      </w:pPr>
      <w:r>
        <w:rPr>
          <w:rFonts w:ascii="宋体" w:hAnsi="宋体"/>
          <w:kern w:val="0"/>
          <w:sz w:val="24"/>
        </w:rPr>
        <w:t>（3）其他</w:t>
      </w:r>
      <w:r>
        <w:rPr>
          <w:rFonts w:hint="eastAsia" w:ascii="宋体" w:hAnsi="宋体"/>
          <w:kern w:val="0"/>
          <w:sz w:val="24"/>
        </w:rPr>
        <w:t>方</w:t>
      </w:r>
      <w:r>
        <w:rPr>
          <w:rFonts w:ascii="宋体" w:hAnsi="宋体"/>
          <w:kern w:val="0"/>
          <w:sz w:val="24"/>
        </w:rPr>
        <w:t>式:</w:t>
      </w:r>
      <w:r>
        <w:rPr>
          <w:rFonts w:hint="eastAsia" w:ascii="宋体" w:hAnsi="宋体"/>
          <w:kern w:val="0"/>
          <w:sz w:val="24"/>
          <w:u w:val="single"/>
          <w:lang w:val="en-US" w:eastAsia="zh-CN"/>
        </w:rPr>
        <w:t xml:space="preserve">                    </w:t>
      </w:r>
      <w:r>
        <w:rPr>
          <w:rFonts w:ascii="宋体" w:hAnsi="宋体"/>
          <w:kern w:val="0"/>
          <w:sz w:val="24"/>
        </w:rPr>
        <w:t>。</w:t>
      </w:r>
    </w:p>
    <w:p>
      <w:pPr>
        <w:snapToGrid w:val="0"/>
        <w:spacing w:line="460" w:lineRule="exact"/>
        <w:ind w:firstLine="480" w:firstLineChars="200"/>
        <w:jc w:val="left"/>
        <w:rPr>
          <w:rFonts w:ascii="宋体" w:hAnsi="宋体"/>
          <w:sz w:val="24"/>
        </w:rPr>
      </w:pPr>
      <w:r>
        <w:rPr>
          <w:rFonts w:ascii="宋体" w:hAnsi="宋体"/>
          <w:sz w:val="24"/>
        </w:rPr>
        <w:t xml:space="preserve">15.3.2 质量保证金的扣留 </w:t>
      </w:r>
    </w:p>
    <w:p>
      <w:pPr>
        <w:snapToGrid w:val="0"/>
        <w:spacing w:line="460" w:lineRule="exact"/>
        <w:ind w:firstLine="480" w:firstLineChars="200"/>
        <w:jc w:val="left"/>
        <w:rPr>
          <w:rFonts w:ascii="宋体" w:hAnsi="宋体"/>
          <w:sz w:val="24"/>
        </w:rPr>
      </w:pPr>
      <w:r>
        <w:rPr>
          <w:rFonts w:ascii="宋体" w:hAnsi="宋体"/>
          <w:sz w:val="24"/>
        </w:rPr>
        <w:t>质量保证金的扣留采取以下第</w:t>
      </w:r>
      <w:r>
        <w:rPr>
          <w:rFonts w:hint="eastAsia" w:ascii="宋体" w:hAnsi="宋体"/>
          <w:sz w:val="24"/>
          <w:u w:val="single"/>
        </w:rPr>
        <w:t>（2）</w:t>
      </w:r>
      <w:r>
        <w:rPr>
          <w:rFonts w:ascii="宋体" w:hAnsi="宋体"/>
          <w:sz w:val="24"/>
        </w:rPr>
        <w:t>种方式：</w:t>
      </w:r>
    </w:p>
    <w:p>
      <w:pPr>
        <w:autoSpaceDE w:val="0"/>
        <w:autoSpaceDN w:val="0"/>
        <w:adjustRightInd w:val="0"/>
        <w:snapToGrid w:val="0"/>
        <w:spacing w:line="460" w:lineRule="exact"/>
        <w:ind w:firstLine="480" w:firstLineChars="200"/>
        <w:jc w:val="left"/>
        <w:rPr>
          <w:rFonts w:ascii="宋体" w:hAnsi="宋体"/>
          <w:kern w:val="0"/>
          <w:sz w:val="24"/>
        </w:rPr>
      </w:pPr>
      <w:r>
        <w:rPr>
          <w:rFonts w:ascii="宋体" w:hAnsi="宋体"/>
          <w:kern w:val="0"/>
          <w:sz w:val="24"/>
        </w:rPr>
        <w:t>（1）在支付工程进度款时逐次扣留，在此情形下，质量保证金的计算基数不包括预付款的支付、扣回以及价格调整的金额；</w:t>
      </w:r>
    </w:p>
    <w:p>
      <w:pPr>
        <w:autoSpaceDE w:val="0"/>
        <w:autoSpaceDN w:val="0"/>
        <w:adjustRightInd w:val="0"/>
        <w:snapToGrid w:val="0"/>
        <w:spacing w:line="460" w:lineRule="exact"/>
        <w:ind w:firstLine="480" w:firstLineChars="200"/>
        <w:jc w:val="left"/>
        <w:rPr>
          <w:rFonts w:ascii="宋体" w:hAnsi="宋体"/>
          <w:kern w:val="0"/>
          <w:sz w:val="24"/>
        </w:rPr>
      </w:pPr>
      <w:r>
        <w:rPr>
          <w:rFonts w:ascii="宋体" w:hAnsi="宋体"/>
          <w:kern w:val="0"/>
          <w:sz w:val="24"/>
        </w:rPr>
        <w:t>（2）工程竣工结算时一次性扣留质量保证金；</w:t>
      </w:r>
    </w:p>
    <w:p>
      <w:pPr>
        <w:autoSpaceDE w:val="0"/>
        <w:autoSpaceDN w:val="0"/>
        <w:adjustRightInd w:val="0"/>
        <w:snapToGrid w:val="0"/>
        <w:spacing w:line="460" w:lineRule="exact"/>
        <w:ind w:firstLine="480" w:firstLineChars="200"/>
        <w:jc w:val="left"/>
        <w:rPr>
          <w:rFonts w:ascii="宋体" w:hAnsi="宋体"/>
          <w:kern w:val="0"/>
          <w:sz w:val="24"/>
        </w:rPr>
      </w:pPr>
      <w:r>
        <w:rPr>
          <w:rFonts w:ascii="宋体" w:hAnsi="宋体"/>
          <w:kern w:val="0"/>
          <w:sz w:val="24"/>
        </w:rPr>
        <w:t>（3）其他扣留方式:。</w:t>
      </w:r>
    </w:p>
    <w:p>
      <w:pPr>
        <w:snapToGrid w:val="0"/>
        <w:spacing w:line="460" w:lineRule="exact"/>
        <w:ind w:firstLine="511" w:firstLineChars="213"/>
        <w:jc w:val="left"/>
        <w:rPr>
          <w:rFonts w:ascii="宋体" w:hAnsi="宋体"/>
          <w:sz w:val="24"/>
        </w:rPr>
      </w:pPr>
      <w:r>
        <w:rPr>
          <w:rFonts w:ascii="宋体" w:hAnsi="宋体"/>
          <w:sz w:val="24"/>
        </w:rPr>
        <w:t>关于质量保证金的补充约定：</w:t>
      </w:r>
      <w:r>
        <w:rPr>
          <w:rFonts w:ascii="宋体" w:hAnsi="宋体"/>
          <w:kern w:val="0"/>
          <w:sz w:val="24"/>
        </w:rPr>
        <w:t>。</w:t>
      </w:r>
    </w:p>
    <w:bookmarkEnd w:id="575"/>
    <w:bookmarkEnd w:id="576"/>
    <w:p>
      <w:pPr>
        <w:snapToGrid w:val="0"/>
        <w:spacing w:line="460" w:lineRule="exact"/>
        <w:ind w:firstLine="480" w:firstLineChars="200"/>
        <w:rPr>
          <w:rFonts w:ascii="宋体" w:hAnsi="宋体"/>
          <w:sz w:val="24"/>
        </w:rPr>
      </w:pPr>
      <w:r>
        <w:rPr>
          <w:rFonts w:ascii="宋体" w:hAnsi="宋体"/>
          <w:sz w:val="24"/>
        </w:rPr>
        <w:t>15.4保修</w:t>
      </w:r>
    </w:p>
    <w:bookmarkEnd w:id="577"/>
    <w:p>
      <w:pPr>
        <w:snapToGrid w:val="0"/>
        <w:spacing w:line="460" w:lineRule="exact"/>
        <w:ind w:firstLine="468" w:firstLineChars="195"/>
        <w:jc w:val="left"/>
        <w:rPr>
          <w:rFonts w:ascii="宋体" w:hAnsi="宋体"/>
          <w:sz w:val="24"/>
        </w:rPr>
      </w:pPr>
      <w:r>
        <w:rPr>
          <w:rFonts w:ascii="宋体" w:hAnsi="宋体"/>
          <w:sz w:val="24"/>
        </w:rPr>
        <w:t>15.4.1 保修责任</w:t>
      </w:r>
    </w:p>
    <w:p>
      <w:pPr>
        <w:snapToGrid w:val="0"/>
        <w:spacing w:line="460" w:lineRule="exact"/>
        <w:ind w:firstLine="511" w:firstLineChars="213"/>
        <w:jc w:val="left"/>
        <w:rPr>
          <w:rFonts w:ascii="宋体" w:hAnsi="宋体"/>
          <w:kern w:val="0"/>
          <w:sz w:val="24"/>
        </w:rPr>
      </w:pPr>
      <w:r>
        <w:rPr>
          <w:rFonts w:ascii="宋体" w:hAnsi="宋体"/>
          <w:sz w:val="24"/>
        </w:rPr>
        <w:t>工程保修期：</w:t>
      </w:r>
      <w:r>
        <w:rPr>
          <w:rFonts w:hint="eastAsia" w:ascii="宋体" w:hAnsi="宋体"/>
          <w:kern w:val="0"/>
          <w:sz w:val="24"/>
          <w:u w:val="single"/>
        </w:rPr>
        <w:t xml:space="preserve">  按《工程质量保修书》（见附件2）执行  </w:t>
      </w:r>
      <w:r>
        <w:rPr>
          <w:rFonts w:ascii="宋体" w:hAnsi="宋体"/>
          <w:kern w:val="0"/>
          <w:sz w:val="24"/>
        </w:rPr>
        <w:t>。</w:t>
      </w:r>
    </w:p>
    <w:p>
      <w:pPr>
        <w:snapToGrid w:val="0"/>
        <w:spacing w:line="460" w:lineRule="exact"/>
        <w:ind w:firstLine="468" w:firstLineChars="195"/>
        <w:jc w:val="left"/>
        <w:rPr>
          <w:rFonts w:ascii="宋体" w:hAnsi="宋体"/>
          <w:sz w:val="24"/>
        </w:rPr>
      </w:pPr>
      <w:r>
        <w:rPr>
          <w:rFonts w:ascii="宋体" w:hAnsi="宋体"/>
          <w:sz w:val="24"/>
        </w:rPr>
        <w:t>15.4.3 修复通知</w:t>
      </w:r>
    </w:p>
    <w:p>
      <w:pPr>
        <w:snapToGrid w:val="0"/>
        <w:spacing w:line="460" w:lineRule="exact"/>
        <w:ind w:firstLine="511" w:firstLineChars="213"/>
        <w:jc w:val="left"/>
        <w:rPr>
          <w:rFonts w:ascii="宋体" w:hAnsi="宋体"/>
          <w:color w:val="000000"/>
          <w:sz w:val="24"/>
        </w:rPr>
      </w:pPr>
      <w:r>
        <w:rPr>
          <w:rFonts w:ascii="宋体" w:hAnsi="宋体"/>
          <w:kern w:val="0"/>
          <w:sz w:val="24"/>
        </w:rPr>
        <w:t>承包人收到</w:t>
      </w:r>
      <w:r>
        <w:rPr>
          <w:rFonts w:ascii="宋体" w:hAnsi="宋体"/>
          <w:sz w:val="24"/>
        </w:rPr>
        <w:t>修复</w:t>
      </w:r>
      <w:r>
        <w:rPr>
          <w:rFonts w:ascii="宋体" w:hAnsi="宋体"/>
          <w:kern w:val="0"/>
          <w:sz w:val="24"/>
        </w:rPr>
        <w:t>通知并到达工程现场的合理时间：</w:t>
      </w:r>
      <w:r>
        <w:rPr>
          <w:rFonts w:hint="eastAsia" w:ascii="宋体" w:hAnsi="宋体"/>
          <w:kern w:val="0"/>
          <w:sz w:val="24"/>
          <w:u w:val="single"/>
        </w:rPr>
        <w:t>收到通知后48小时内到达现场</w:t>
      </w:r>
      <w:r>
        <w:rPr>
          <w:rFonts w:ascii="宋体" w:hAnsi="宋体"/>
          <w:kern w:val="0"/>
          <w:sz w:val="24"/>
        </w:rPr>
        <w:t>。</w:t>
      </w:r>
      <w:bookmarkEnd w:id="578"/>
      <w:bookmarkEnd w:id="579"/>
      <w:bookmarkEnd w:id="580"/>
      <w:bookmarkEnd w:id="581"/>
      <w:bookmarkStart w:id="604" w:name="_Toc351203648"/>
      <w:bookmarkStart w:id="605" w:name="_Toc280868717"/>
      <w:bookmarkStart w:id="606" w:name="_Toc280868718"/>
    </w:p>
    <w:p>
      <w:pPr>
        <w:pStyle w:val="2"/>
        <w:snapToGrid w:val="0"/>
        <w:spacing w:before="0" w:after="0" w:line="460" w:lineRule="exact"/>
        <w:rPr>
          <w:rFonts w:ascii="宋体" w:hAnsi="宋体"/>
          <w:b w:val="0"/>
          <w:color w:val="000000"/>
          <w:sz w:val="24"/>
          <w:szCs w:val="24"/>
        </w:rPr>
      </w:pPr>
      <w:r>
        <w:rPr>
          <w:rFonts w:ascii="宋体" w:hAnsi="宋体"/>
          <w:b w:val="0"/>
          <w:color w:val="000000"/>
          <w:sz w:val="24"/>
          <w:szCs w:val="24"/>
        </w:rPr>
        <w:t>16. 违约</w:t>
      </w:r>
      <w:bookmarkEnd w:id="604"/>
    </w:p>
    <w:p>
      <w:pPr>
        <w:snapToGrid w:val="0"/>
        <w:spacing w:line="460" w:lineRule="exact"/>
        <w:ind w:firstLine="480" w:firstLineChars="200"/>
        <w:rPr>
          <w:rFonts w:ascii="宋体" w:hAnsi="宋体"/>
          <w:sz w:val="24"/>
        </w:rPr>
      </w:pPr>
      <w:r>
        <w:rPr>
          <w:rFonts w:ascii="宋体" w:hAnsi="宋体"/>
          <w:sz w:val="24"/>
        </w:rPr>
        <w:t>16.1 发包人违约</w:t>
      </w:r>
    </w:p>
    <w:p>
      <w:pPr>
        <w:snapToGrid w:val="0"/>
        <w:spacing w:line="460" w:lineRule="exact"/>
        <w:ind w:firstLine="480" w:firstLineChars="200"/>
        <w:jc w:val="left"/>
        <w:rPr>
          <w:rFonts w:ascii="宋体" w:hAnsi="宋体"/>
          <w:sz w:val="24"/>
        </w:rPr>
      </w:pPr>
      <w:r>
        <w:rPr>
          <w:rFonts w:ascii="宋体" w:hAnsi="宋体"/>
          <w:sz w:val="24"/>
        </w:rPr>
        <w:t>16.1.1发包人违约的情形</w:t>
      </w:r>
    </w:p>
    <w:p>
      <w:pPr>
        <w:snapToGrid w:val="0"/>
        <w:spacing w:line="460" w:lineRule="exact"/>
        <w:ind w:left="1324" w:leftChars="304" w:hanging="686" w:hangingChars="286"/>
        <w:jc w:val="left"/>
        <w:rPr>
          <w:rFonts w:ascii="宋体" w:hAnsi="宋体"/>
          <w:kern w:val="0"/>
          <w:sz w:val="24"/>
        </w:rPr>
      </w:pPr>
      <w:r>
        <w:rPr>
          <w:rFonts w:ascii="宋体" w:hAnsi="宋体"/>
          <w:kern w:val="0"/>
          <w:sz w:val="24"/>
        </w:rPr>
        <w:t>发包人违约的其他情形：</w:t>
      </w:r>
      <w:r>
        <w:rPr>
          <w:rFonts w:hint="eastAsia" w:ascii="宋体" w:hAnsi="宋体"/>
          <w:color w:val="000000"/>
          <w:kern w:val="0"/>
          <w:sz w:val="24"/>
          <w:szCs w:val="32"/>
          <w:u w:val="single"/>
        </w:rPr>
        <w:t>按《通用条款》执行</w:t>
      </w:r>
      <w:r>
        <w:rPr>
          <w:rFonts w:ascii="宋体" w:hAnsi="宋体"/>
          <w:kern w:val="0"/>
          <w:sz w:val="24"/>
        </w:rPr>
        <w:t>。</w:t>
      </w:r>
    </w:p>
    <w:p>
      <w:pPr>
        <w:snapToGrid w:val="0"/>
        <w:spacing w:line="460" w:lineRule="exact"/>
        <w:ind w:left="1324" w:leftChars="304" w:hanging="686" w:hangingChars="286"/>
        <w:jc w:val="left"/>
        <w:rPr>
          <w:rFonts w:ascii="宋体" w:hAnsi="宋体"/>
          <w:kern w:val="0"/>
          <w:sz w:val="24"/>
        </w:rPr>
      </w:pPr>
      <w:r>
        <w:rPr>
          <w:rFonts w:ascii="宋体" w:hAnsi="宋体"/>
          <w:kern w:val="0"/>
          <w:sz w:val="24"/>
        </w:rPr>
        <w:t>16.1.2 发包人违约的责任</w:t>
      </w:r>
    </w:p>
    <w:p>
      <w:pPr>
        <w:snapToGrid w:val="0"/>
        <w:spacing w:line="460" w:lineRule="exact"/>
        <w:ind w:firstLine="480" w:firstLineChars="200"/>
        <w:jc w:val="left"/>
        <w:rPr>
          <w:rFonts w:ascii="宋体" w:hAnsi="宋体"/>
          <w:kern w:val="0"/>
          <w:sz w:val="24"/>
        </w:rPr>
      </w:pPr>
      <w:r>
        <w:rPr>
          <w:rFonts w:ascii="宋体" w:hAnsi="宋体"/>
          <w:kern w:val="0"/>
          <w:sz w:val="24"/>
        </w:rPr>
        <w:t>发包人违约责任的承担方式和计算方法：</w:t>
      </w:r>
    </w:p>
    <w:p>
      <w:pPr>
        <w:snapToGrid w:val="0"/>
        <w:spacing w:line="460" w:lineRule="exact"/>
        <w:ind w:firstLine="480" w:firstLineChars="200"/>
        <w:jc w:val="left"/>
        <w:rPr>
          <w:rFonts w:ascii="宋体" w:hAnsi="宋体"/>
          <w:kern w:val="0"/>
          <w:sz w:val="24"/>
          <w:u w:val="single"/>
        </w:rPr>
      </w:pPr>
      <w:r>
        <w:rPr>
          <w:rFonts w:ascii="宋体" w:hAnsi="宋体"/>
          <w:kern w:val="0"/>
          <w:sz w:val="24"/>
        </w:rPr>
        <w:t>（1）因发包人原因未能在计划开工日期前7天内下达开工通知的违约责任：</w:t>
      </w:r>
      <w:r>
        <w:rPr>
          <w:rFonts w:hint="eastAsia" w:ascii="宋体" w:hAnsi="宋体"/>
          <w:color w:val="000000"/>
          <w:kern w:val="0"/>
          <w:sz w:val="24"/>
          <w:szCs w:val="32"/>
          <w:u w:val="single"/>
        </w:rPr>
        <w:t>按《通用条款》执行</w:t>
      </w:r>
      <w:r>
        <w:rPr>
          <w:rFonts w:ascii="宋体" w:hAnsi="宋体"/>
          <w:kern w:val="0"/>
          <w:sz w:val="24"/>
        </w:rPr>
        <w:t>。</w:t>
      </w:r>
    </w:p>
    <w:p>
      <w:pPr>
        <w:snapToGrid w:val="0"/>
        <w:spacing w:line="460" w:lineRule="exact"/>
        <w:ind w:firstLine="480" w:firstLineChars="200"/>
        <w:jc w:val="left"/>
        <w:rPr>
          <w:rFonts w:ascii="宋体" w:hAnsi="宋体"/>
          <w:kern w:val="0"/>
          <w:sz w:val="24"/>
        </w:rPr>
      </w:pPr>
      <w:r>
        <w:rPr>
          <w:rFonts w:ascii="宋体" w:hAnsi="宋体"/>
          <w:kern w:val="0"/>
          <w:sz w:val="24"/>
        </w:rPr>
        <w:t>（2）因发包人原因未能按合同约定支付合同价款的违约责任：</w:t>
      </w:r>
      <w:r>
        <w:rPr>
          <w:rFonts w:hint="eastAsia" w:ascii="宋体" w:hAnsi="宋体"/>
          <w:color w:val="000000"/>
          <w:kern w:val="0"/>
          <w:sz w:val="24"/>
          <w:szCs w:val="32"/>
          <w:u w:val="single"/>
        </w:rPr>
        <w:t>按《通用条款》执行</w:t>
      </w:r>
      <w:r>
        <w:rPr>
          <w:rFonts w:ascii="宋体" w:hAnsi="宋体"/>
          <w:kern w:val="0"/>
          <w:sz w:val="24"/>
        </w:rPr>
        <w:t>。</w:t>
      </w:r>
    </w:p>
    <w:p>
      <w:pPr>
        <w:snapToGrid w:val="0"/>
        <w:spacing w:line="460" w:lineRule="exact"/>
        <w:ind w:firstLine="511" w:firstLineChars="213"/>
        <w:jc w:val="left"/>
        <w:rPr>
          <w:rFonts w:ascii="宋体" w:hAnsi="宋体"/>
          <w:kern w:val="0"/>
          <w:sz w:val="24"/>
        </w:rPr>
      </w:pPr>
      <w:r>
        <w:rPr>
          <w:rFonts w:ascii="宋体" w:hAnsi="宋体"/>
          <w:kern w:val="0"/>
          <w:sz w:val="24"/>
        </w:rPr>
        <w:t>（3）发包人违反第10.1款</w:t>
      </w:r>
      <w:r>
        <w:rPr>
          <w:rFonts w:hint="eastAsia" w:ascii="宋体" w:hAnsi="宋体"/>
          <w:kern w:val="0"/>
          <w:sz w:val="24"/>
        </w:rPr>
        <w:t>〔</w:t>
      </w:r>
      <w:r>
        <w:rPr>
          <w:rFonts w:ascii="宋体" w:hAnsi="宋体"/>
          <w:kern w:val="0"/>
          <w:sz w:val="24"/>
        </w:rPr>
        <w:t>变更的范围</w:t>
      </w:r>
      <w:r>
        <w:rPr>
          <w:rFonts w:hint="eastAsia" w:ascii="宋体" w:hAnsi="宋体"/>
          <w:kern w:val="0"/>
          <w:sz w:val="24"/>
        </w:rPr>
        <w:t>〕</w:t>
      </w:r>
      <w:r>
        <w:rPr>
          <w:rFonts w:ascii="宋体" w:hAnsi="宋体"/>
          <w:kern w:val="0"/>
          <w:sz w:val="24"/>
        </w:rPr>
        <w:t>第（2）项约定，自行实施被取消的工作或转由他人实施的违约责任：</w:t>
      </w:r>
      <w:r>
        <w:rPr>
          <w:rFonts w:hint="eastAsia" w:ascii="宋体" w:hAnsi="宋体"/>
          <w:color w:val="000000"/>
          <w:kern w:val="0"/>
          <w:sz w:val="24"/>
          <w:szCs w:val="32"/>
          <w:u w:val="single"/>
        </w:rPr>
        <w:t>按《通用条款》执行</w:t>
      </w:r>
      <w:r>
        <w:rPr>
          <w:rFonts w:ascii="宋体" w:hAnsi="宋体"/>
          <w:kern w:val="0"/>
          <w:sz w:val="24"/>
        </w:rPr>
        <w:t>。</w:t>
      </w:r>
    </w:p>
    <w:p>
      <w:pPr>
        <w:snapToGrid w:val="0"/>
        <w:spacing w:line="460" w:lineRule="exact"/>
        <w:ind w:firstLine="480" w:firstLineChars="200"/>
        <w:jc w:val="left"/>
        <w:rPr>
          <w:rFonts w:ascii="宋体" w:hAnsi="宋体"/>
          <w:kern w:val="0"/>
          <w:sz w:val="24"/>
        </w:rPr>
      </w:pPr>
      <w:r>
        <w:rPr>
          <w:rFonts w:ascii="宋体" w:hAnsi="宋体"/>
          <w:kern w:val="0"/>
          <w:sz w:val="24"/>
        </w:rPr>
        <w:t>（4）发包人提供的材料、工程设备的规格、数量或质量不符合合同约定，或因发包人原因导致交货日期延误或交货地点变更等情况的违约责任：</w:t>
      </w:r>
      <w:r>
        <w:rPr>
          <w:rFonts w:hint="eastAsia" w:ascii="宋体" w:hAnsi="宋体"/>
          <w:color w:val="000000"/>
          <w:kern w:val="0"/>
          <w:sz w:val="24"/>
          <w:szCs w:val="32"/>
          <w:u w:val="single"/>
        </w:rPr>
        <w:t>按《通用条款》执行</w:t>
      </w:r>
      <w:r>
        <w:rPr>
          <w:rFonts w:ascii="宋体" w:hAnsi="宋体"/>
          <w:kern w:val="0"/>
          <w:sz w:val="24"/>
        </w:rPr>
        <w:t>。</w:t>
      </w:r>
    </w:p>
    <w:p>
      <w:pPr>
        <w:snapToGrid w:val="0"/>
        <w:spacing w:line="460" w:lineRule="exact"/>
        <w:ind w:firstLine="511" w:firstLineChars="213"/>
        <w:jc w:val="left"/>
        <w:rPr>
          <w:rFonts w:ascii="宋体" w:hAnsi="宋体"/>
          <w:kern w:val="0"/>
          <w:sz w:val="24"/>
        </w:rPr>
      </w:pPr>
      <w:r>
        <w:rPr>
          <w:rFonts w:ascii="宋体" w:hAnsi="宋体"/>
          <w:kern w:val="0"/>
          <w:sz w:val="24"/>
        </w:rPr>
        <w:t>（5）因发包人违反合同约定造成暂停施工的违约责任：</w:t>
      </w:r>
      <w:r>
        <w:rPr>
          <w:rFonts w:hint="eastAsia" w:ascii="宋体" w:hAnsi="宋体"/>
          <w:color w:val="000000"/>
          <w:kern w:val="0"/>
          <w:sz w:val="24"/>
          <w:szCs w:val="32"/>
          <w:u w:val="single"/>
        </w:rPr>
        <w:t>按《通用条款》执行</w:t>
      </w:r>
      <w:r>
        <w:rPr>
          <w:rFonts w:ascii="宋体" w:hAnsi="宋体"/>
          <w:kern w:val="0"/>
          <w:sz w:val="24"/>
        </w:rPr>
        <w:t>。</w:t>
      </w:r>
    </w:p>
    <w:p>
      <w:pPr>
        <w:snapToGrid w:val="0"/>
        <w:spacing w:line="460" w:lineRule="exact"/>
        <w:ind w:firstLine="480" w:firstLineChars="200"/>
        <w:jc w:val="left"/>
        <w:rPr>
          <w:rFonts w:ascii="宋体" w:hAnsi="宋体"/>
          <w:kern w:val="0"/>
          <w:sz w:val="24"/>
        </w:rPr>
      </w:pPr>
      <w:r>
        <w:rPr>
          <w:rFonts w:ascii="宋体" w:hAnsi="宋体"/>
          <w:kern w:val="0"/>
          <w:sz w:val="24"/>
        </w:rPr>
        <w:t>（6）发包人无正当理由没有在约定期限内发出复工指示，导致承包人无法复工的违约责任：</w:t>
      </w:r>
      <w:r>
        <w:rPr>
          <w:rFonts w:hint="eastAsia" w:ascii="宋体" w:hAnsi="宋体"/>
          <w:color w:val="000000"/>
          <w:kern w:val="0"/>
          <w:sz w:val="24"/>
          <w:szCs w:val="32"/>
          <w:u w:val="single"/>
        </w:rPr>
        <w:t>按《通用条款》执行</w:t>
      </w:r>
      <w:r>
        <w:rPr>
          <w:rFonts w:ascii="宋体" w:hAnsi="宋体"/>
          <w:kern w:val="0"/>
          <w:sz w:val="24"/>
        </w:rPr>
        <w:t>。</w:t>
      </w:r>
    </w:p>
    <w:p>
      <w:pPr>
        <w:snapToGrid w:val="0"/>
        <w:spacing w:line="460" w:lineRule="exact"/>
        <w:ind w:firstLine="480" w:firstLineChars="200"/>
        <w:jc w:val="left"/>
        <w:rPr>
          <w:rFonts w:ascii="宋体" w:hAnsi="宋体"/>
          <w:kern w:val="0"/>
          <w:sz w:val="24"/>
        </w:rPr>
      </w:pPr>
      <w:r>
        <w:rPr>
          <w:rFonts w:ascii="宋体" w:hAnsi="宋体"/>
          <w:kern w:val="0"/>
          <w:sz w:val="24"/>
        </w:rPr>
        <w:t>（7）</w:t>
      </w:r>
      <w:r>
        <w:rPr>
          <w:rFonts w:hint="eastAsia" w:ascii="宋体" w:hAnsi="宋体"/>
          <w:kern w:val="0"/>
          <w:sz w:val="24"/>
        </w:rPr>
        <w:t>其他：</w:t>
      </w:r>
      <w:r>
        <w:rPr>
          <w:rFonts w:ascii="宋体" w:hAnsi="宋体"/>
          <w:kern w:val="0"/>
          <w:sz w:val="24"/>
        </w:rPr>
        <w:t>。</w:t>
      </w:r>
    </w:p>
    <w:p>
      <w:pPr>
        <w:snapToGrid w:val="0"/>
        <w:spacing w:line="460" w:lineRule="exact"/>
        <w:ind w:firstLine="480" w:firstLineChars="200"/>
        <w:jc w:val="left"/>
        <w:rPr>
          <w:rFonts w:ascii="宋体" w:hAnsi="宋体"/>
          <w:sz w:val="24"/>
        </w:rPr>
      </w:pPr>
      <w:r>
        <w:rPr>
          <w:rFonts w:ascii="宋体" w:hAnsi="宋体"/>
          <w:sz w:val="24"/>
        </w:rPr>
        <w:t>16.1.3 因发包人违约解除合同</w:t>
      </w:r>
    </w:p>
    <w:p>
      <w:pPr>
        <w:autoSpaceDE w:val="0"/>
        <w:autoSpaceDN w:val="0"/>
        <w:adjustRightInd w:val="0"/>
        <w:snapToGrid w:val="0"/>
        <w:spacing w:line="460" w:lineRule="exact"/>
        <w:ind w:firstLine="480" w:firstLineChars="200"/>
        <w:jc w:val="left"/>
        <w:rPr>
          <w:rFonts w:ascii="宋体" w:hAnsi="宋体"/>
          <w:kern w:val="0"/>
          <w:sz w:val="24"/>
        </w:rPr>
      </w:pPr>
      <w:r>
        <w:rPr>
          <w:rFonts w:ascii="宋体" w:hAnsi="宋体"/>
          <w:kern w:val="0"/>
          <w:sz w:val="24"/>
        </w:rPr>
        <w:t>承包人按16.1.1项</w:t>
      </w:r>
      <w:r>
        <w:rPr>
          <w:rFonts w:hint="eastAsia" w:ascii="宋体" w:hAnsi="宋体"/>
          <w:kern w:val="0"/>
          <w:sz w:val="24"/>
        </w:rPr>
        <w:t>〔</w:t>
      </w:r>
      <w:r>
        <w:rPr>
          <w:rFonts w:ascii="宋体" w:hAnsi="宋体"/>
          <w:kern w:val="0"/>
          <w:sz w:val="24"/>
        </w:rPr>
        <w:t>发包人违约的情形</w:t>
      </w:r>
      <w:r>
        <w:rPr>
          <w:rFonts w:hint="eastAsia" w:ascii="宋体" w:hAnsi="宋体"/>
          <w:kern w:val="0"/>
          <w:sz w:val="24"/>
        </w:rPr>
        <w:t>〕</w:t>
      </w:r>
      <w:r>
        <w:rPr>
          <w:rFonts w:ascii="宋体" w:hAnsi="宋体"/>
          <w:kern w:val="0"/>
          <w:sz w:val="24"/>
        </w:rPr>
        <w:t>约定暂停施工满</w:t>
      </w:r>
      <w:r>
        <w:rPr>
          <w:rFonts w:hint="eastAsia" w:ascii="宋体" w:hAnsi="宋体"/>
          <w:kern w:val="0"/>
          <w:sz w:val="24"/>
          <w:u w:val="single"/>
        </w:rPr>
        <w:t>28</w:t>
      </w:r>
      <w:r>
        <w:rPr>
          <w:rFonts w:ascii="宋体" w:hAnsi="宋体"/>
          <w:kern w:val="0"/>
          <w:sz w:val="24"/>
        </w:rPr>
        <w:t>天后发包人仍不纠正其违约行为并致使合同目的不能实现的，承包人有权解除合同。</w:t>
      </w:r>
    </w:p>
    <w:p>
      <w:pPr>
        <w:snapToGrid w:val="0"/>
        <w:spacing w:line="460" w:lineRule="exact"/>
        <w:ind w:firstLine="480" w:firstLineChars="200"/>
        <w:rPr>
          <w:rFonts w:ascii="宋体" w:hAnsi="宋体"/>
          <w:kern w:val="0"/>
          <w:sz w:val="24"/>
        </w:rPr>
      </w:pPr>
      <w:r>
        <w:rPr>
          <w:rFonts w:ascii="宋体" w:hAnsi="宋体"/>
          <w:sz w:val="24"/>
        </w:rPr>
        <w:t>16.</w:t>
      </w:r>
      <w:r>
        <w:rPr>
          <w:rFonts w:ascii="宋体" w:hAnsi="宋体"/>
          <w:kern w:val="0"/>
          <w:sz w:val="24"/>
        </w:rPr>
        <w:t>2 承包人违约</w:t>
      </w:r>
    </w:p>
    <w:p>
      <w:pPr>
        <w:snapToGrid w:val="0"/>
        <w:spacing w:line="460" w:lineRule="exact"/>
        <w:ind w:firstLine="480" w:firstLineChars="200"/>
        <w:jc w:val="left"/>
        <w:rPr>
          <w:rFonts w:ascii="宋体" w:hAnsi="宋体"/>
          <w:kern w:val="0"/>
          <w:sz w:val="24"/>
        </w:rPr>
      </w:pPr>
      <w:r>
        <w:rPr>
          <w:rFonts w:ascii="宋体" w:hAnsi="宋体"/>
          <w:kern w:val="0"/>
          <w:sz w:val="24"/>
        </w:rPr>
        <w:t>16.2.1 承包人违约的情形</w:t>
      </w:r>
    </w:p>
    <w:p>
      <w:pPr>
        <w:snapToGrid w:val="0"/>
        <w:spacing w:line="460" w:lineRule="exact"/>
        <w:ind w:firstLine="511" w:firstLineChars="213"/>
        <w:jc w:val="left"/>
        <w:rPr>
          <w:rFonts w:ascii="宋体" w:hAnsi="宋体"/>
          <w:kern w:val="0"/>
          <w:sz w:val="24"/>
        </w:rPr>
      </w:pPr>
      <w:r>
        <w:rPr>
          <w:rFonts w:ascii="宋体" w:hAnsi="宋体"/>
          <w:kern w:val="0"/>
          <w:sz w:val="24"/>
        </w:rPr>
        <w:t>承包人违约的其他情形：</w:t>
      </w:r>
      <w:r>
        <w:rPr>
          <w:rFonts w:hint="eastAsia" w:ascii="宋体" w:hAnsi="宋体"/>
          <w:kern w:val="0"/>
          <w:sz w:val="24"/>
          <w:u w:val="single"/>
        </w:rPr>
        <w:t>承包人未能按合同约定履行其义务的</w:t>
      </w:r>
      <w:r>
        <w:rPr>
          <w:rFonts w:ascii="宋体" w:hAnsi="宋体"/>
          <w:kern w:val="0"/>
          <w:sz w:val="24"/>
        </w:rPr>
        <w:t>。</w:t>
      </w:r>
    </w:p>
    <w:p>
      <w:pPr>
        <w:snapToGrid w:val="0"/>
        <w:spacing w:line="460" w:lineRule="exact"/>
        <w:ind w:firstLine="480" w:firstLineChars="200"/>
        <w:jc w:val="left"/>
        <w:rPr>
          <w:rFonts w:ascii="宋体" w:hAnsi="宋体"/>
          <w:kern w:val="0"/>
          <w:sz w:val="24"/>
        </w:rPr>
      </w:pPr>
      <w:r>
        <w:rPr>
          <w:rFonts w:ascii="宋体" w:hAnsi="宋体"/>
          <w:kern w:val="0"/>
          <w:sz w:val="24"/>
        </w:rPr>
        <w:t>16.2.2承包人违约的责任</w:t>
      </w:r>
    </w:p>
    <w:p>
      <w:pPr>
        <w:snapToGrid w:val="0"/>
        <w:spacing w:line="460" w:lineRule="exact"/>
        <w:ind w:firstLine="480" w:firstLineChars="200"/>
        <w:jc w:val="left"/>
        <w:rPr>
          <w:rFonts w:ascii="宋体" w:hAnsi="宋体"/>
          <w:kern w:val="0"/>
          <w:sz w:val="24"/>
        </w:rPr>
      </w:pPr>
      <w:r>
        <w:rPr>
          <w:rFonts w:ascii="宋体" w:hAnsi="宋体"/>
          <w:kern w:val="0"/>
          <w:sz w:val="24"/>
        </w:rPr>
        <w:t>承包人违约责任的承担方式和计算方法：</w:t>
      </w:r>
    </w:p>
    <w:p>
      <w:pPr>
        <w:snapToGrid w:val="0"/>
        <w:spacing w:line="460" w:lineRule="exact"/>
        <w:ind w:firstLine="511" w:firstLineChars="213"/>
        <w:jc w:val="left"/>
        <w:rPr>
          <w:rFonts w:ascii="宋体" w:hAnsi="宋体"/>
          <w:kern w:val="0"/>
          <w:sz w:val="24"/>
          <w:u w:val="single"/>
        </w:rPr>
      </w:pPr>
      <w:r>
        <w:rPr>
          <w:rFonts w:hint="eastAsia" w:ascii="宋体" w:hAnsi="宋体"/>
          <w:kern w:val="0"/>
          <w:sz w:val="24"/>
          <w:u w:val="single"/>
        </w:rPr>
        <w:t>1、施工工期：本工程招标施工工期一律采用日历天数。若由于承包人原因而引起延误承诺工期，发包人则按延期一天在工程款中扣罚合同价款的千分之一，延期累积超过15天扣除全部工期履约保证金；扣罚金额累计超出相应工期保证金的，从合同款中扣罚。</w:t>
      </w:r>
    </w:p>
    <w:p>
      <w:pPr>
        <w:snapToGrid w:val="0"/>
        <w:spacing w:line="460" w:lineRule="exact"/>
        <w:ind w:firstLine="511" w:firstLineChars="213"/>
        <w:jc w:val="left"/>
        <w:rPr>
          <w:rFonts w:ascii="宋体" w:hAnsi="宋体"/>
          <w:kern w:val="0"/>
          <w:sz w:val="24"/>
          <w:u w:val="single"/>
        </w:rPr>
      </w:pPr>
      <w:r>
        <w:rPr>
          <w:rFonts w:hint="eastAsia" w:ascii="宋体" w:hAnsi="宋体"/>
          <w:kern w:val="0"/>
          <w:sz w:val="24"/>
          <w:u w:val="single"/>
        </w:rPr>
        <w:t>2、承担本工程施工的项目负责人、项目技术负责人到位率应达到施工总日历天数90%以上，否则视为项目负责人不到位，处1000元/天的违约金并扣罚相应履约保证金；其他项目管理人员到位率应达到施工总日历天数90%以上，否则视为项目管理人员不到位，处500元/天.位的违约金并扣罚相应履约保证金。扣罚金额累计超出相应履约保证金的，从合同款中扣罚。</w:t>
      </w:r>
    </w:p>
    <w:p>
      <w:pPr>
        <w:snapToGrid w:val="0"/>
        <w:spacing w:line="460" w:lineRule="exact"/>
        <w:ind w:firstLine="511" w:firstLineChars="213"/>
        <w:jc w:val="left"/>
        <w:rPr>
          <w:rFonts w:ascii="宋体" w:hAnsi="宋体"/>
          <w:kern w:val="0"/>
          <w:sz w:val="24"/>
          <w:u w:val="single"/>
        </w:rPr>
      </w:pPr>
      <w:r>
        <w:rPr>
          <w:rFonts w:hint="eastAsia" w:ascii="宋体" w:hAnsi="宋体"/>
          <w:kern w:val="0"/>
          <w:sz w:val="24"/>
          <w:u w:val="single"/>
        </w:rPr>
        <w:t>3、项目负责人原则上不可变更，除不可抗力的情况外，必须变更的，须经发包人同意，且更换的项目负责人的资质等级及业绩不能低于原项目负责人的资质及业绩。变更项目负责人，每次从合同总价款中扣罚1万元，其他人员变更每次从总合同款中扣罚5000元。发包人、业主有权要求施工单位撤换工作不负责任、管理不力、贻误工期和造成严重的安全和质量事故、违法乱纪的工程技术管理人员或</w:t>
      </w:r>
      <w:r>
        <w:rPr>
          <w:rFonts w:ascii="宋体" w:hAnsi="宋体"/>
          <w:kern w:val="0"/>
          <w:sz w:val="24"/>
          <w:u w:val="single"/>
        </w:rPr>
        <w:t>项目</w:t>
      </w:r>
      <w:r>
        <w:rPr>
          <w:rFonts w:hint="eastAsia" w:ascii="宋体" w:hAnsi="宋体"/>
          <w:kern w:val="0"/>
          <w:sz w:val="24"/>
          <w:u w:val="single"/>
        </w:rPr>
        <w:t>负责人，直至发包人满意为止。</w:t>
      </w:r>
    </w:p>
    <w:p>
      <w:pPr>
        <w:snapToGrid w:val="0"/>
        <w:spacing w:line="460" w:lineRule="exact"/>
        <w:ind w:firstLine="511" w:firstLineChars="213"/>
        <w:jc w:val="left"/>
        <w:rPr>
          <w:rFonts w:ascii="宋体" w:hAnsi="宋体"/>
          <w:kern w:val="0"/>
          <w:sz w:val="24"/>
          <w:u w:val="single"/>
        </w:rPr>
      </w:pPr>
      <w:r>
        <w:rPr>
          <w:rFonts w:hint="eastAsia" w:ascii="宋体" w:hAnsi="宋体"/>
          <w:kern w:val="0"/>
          <w:sz w:val="24"/>
          <w:u w:val="single"/>
        </w:rPr>
        <w:t>4、安全施工：合同期内（竣工验收并移交发包人前）发生人员伤亡事故，受到建设行政主管部门书面下达通报批评及以上处罚或停工整改通知，视承包人在安全生产方面违约，扣罚全部安全履约保证金，并由此产生发包方的损失由投标人承担；</w:t>
      </w:r>
    </w:p>
    <w:p>
      <w:pPr>
        <w:snapToGrid w:val="0"/>
        <w:spacing w:line="460" w:lineRule="exact"/>
        <w:ind w:firstLine="511" w:firstLineChars="213"/>
        <w:jc w:val="left"/>
        <w:rPr>
          <w:rFonts w:ascii="宋体" w:hAnsi="宋体"/>
          <w:kern w:val="0"/>
          <w:sz w:val="24"/>
          <w:u w:val="single"/>
        </w:rPr>
      </w:pPr>
      <w:r>
        <w:rPr>
          <w:rFonts w:hint="eastAsia" w:ascii="宋体" w:hAnsi="宋体"/>
          <w:kern w:val="0"/>
          <w:sz w:val="24"/>
          <w:u w:val="single"/>
        </w:rPr>
        <w:t>5、承包人应加强施工过程中的现场管理，若因为现场管理问题，发包人或监理工程师发出书面整改通知书，每发一次扣罚3000元；建设行政主管部门发出书面整改通知书，每发一次扣罚6000元；受到建设行政主管部门书面下达通报批评及以上处罚或停工整改通知，扣罚相应的履约保证金。</w:t>
      </w:r>
    </w:p>
    <w:p>
      <w:pPr>
        <w:snapToGrid w:val="0"/>
        <w:spacing w:line="460" w:lineRule="exact"/>
        <w:ind w:firstLine="511" w:firstLineChars="213"/>
        <w:jc w:val="left"/>
        <w:rPr>
          <w:rFonts w:ascii="宋体" w:hAnsi="宋体"/>
          <w:kern w:val="0"/>
          <w:sz w:val="24"/>
          <w:u w:val="single"/>
        </w:rPr>
      </w:pPr>
      <w:r>
        <w:rPr>
          <w:rFonts w:hint="eastAsia" w:ascii="宋体" w:hAnsi="宋体"/>
          <w:kern w:val="0"/>
          <w:sz w:val="24"/>
          <w:u w:val="single"/>
        </w:rPr>
        <w:t>6、在合同实施中，如承包人的施工队伍素质、力量、机械配备等不符合招标文件、投标书的要约、承诺，造成现场管理混乱，工程质量和进度达不到要求时，发包人即有权要求其调整充实力量，加强管理，或划出工程量由其他企业承包，所发生的费用由承包人承担，在工程款中直接扣除，承包人必须接受，否则作违约处理，直至终止合同。</w:t>
      </w:r>
    </w:p>
    <w:p>
      <w:pPr>
        <w:snapToGrid w:val="0"/>
        <w:spacing w:line="460" w:lineRule="exact"/>
        <w:ind w:firstLine="511" w:firstLineChars="213"/>
        <w:jc w:val="left"/>
        <w:rPr>
          <w:rFonts w:ascii="宋体" w:hAnsi="宋体"/>
          <w:kern w:val="0"/>
          <w:sz w:val="24"/>
          <w:u w:val="single"/>
        </w:rPr>
      </w:pPr>
      <w:r>
        <w:rPr>
          <w:rFonts w:hint="eastAsia" w:ascii="宋体" w:hAnsi="宋体"/>
          <w:kern w:val="0"/>
          <w:sz w:val="24"/>
          <w:u w:val="single"/>
        </w:rPr>
        <w:t>7、因承包人原因造成周边设施损坏的，承包人必须在发包人规定的期限内修复，超出规定时间未修复的，发包人有权委托第三方对损坏设施进行修复，发生的费用直接在工程款中扣除，承包人必须无条件接受。</w:t>
      </w:r>
    </w:p>
    <w:p>
      <w:pPr>
        <w:snapToGrid w:val="0"/>
        <w:spacing w:line="460" w:lineRule="exact"/>
        <w:ind w:firstLine="511" w:firstLineChars="213"/>
        <w:jc w:val="left"/>
        <w:rPr>
          <w:rFonts w:ascii="宋体" w:hAnsi="宋体"/>
          <w:kern w:val="0"/>
          <w:sz w:val="24"/>
          <w:u w:val="single"/>
        </w:rPr>
      </w:pPr>
      <w:r>
        <w:rPr>
          <w:rFonts w:hint="eastAsia" w:ascii="宋体" w:hAnsi="宋体"/>
          <w:kern w:val="0"/>
          <w:sz w:val="24"/>
          <w:u w:val="single"/>
        </w:rPr>
        <w:t>8、发包人有权增加或减少工程量，承包人不得以任何理由拒绝；无论工程量的增减，本工程施工措施费不予调整。</w:t>
      </w:r>
    </w:p>
    <w:p>
      <w:pPr>
        <w:snapToGrid w:val="0"/>
        <w:spacing w:line="460" w:lineRule="exact"/>
        <w:ind w:firstLine="511" w:firstLineChars="213"/>
        <w:jc w:val="left"/>
        <w:rPr>
          <w:rFonts w:ascii="宋体" w:hAnsi="宋体"/>
          <w:kern w:val="0"/>
          <w:sz w:val="24"/>
          <w:u w:val="single"/>
        </w:rPr>
      </w:pPr>
      <w:r>
        <w:rPr>
          <w:rFonts w:hint="eastAsia" w:ascii="宋体" w:hAnsi="宋体"/>
          <w:kern w:val="0"/>
          <w:sz w:val="24"/>
          <w:u w:val="single"/>
        </w:rPr>
        <w:t>9、在保修责任期内，由于承包人的质量缺陷原因产生对其他部门的设备、设施的损坏，由承包人进行维修、更换。</w:t>
      </w:r>
    </w:p>
    <w:p>
      <w:pPr>
        <w:snapToGrid w:val="0"/>
        <w:spacing w:line="460" w:lineRule="exact"/>
        <w:ind w:firstLine="480" w:firstLineChars="200"/>
        <w:jc w:val="left"/>
        <w:rPr>
          <w:rFonts w:ascii="宋体" w:hAnsi="宋体"/>
          <w:sz w:val="24"/>
        </w:rPr>
      </w:pPr>
      <w:r>
        <w:rPr>
          <w:rFonts w:ascii="宋体" w:hAnsi="宋体"/>
          <w:sz w:val="24"/>
        </w:rPr>
        <w:t>16.2.3 因承包人违约解除合同</w:t>
      </w:r>
    </w:p>
    <w:p>
      <w:pPr>
        <w:snapToGrid w:val="0"/>
        <w:spacing w:line="460" w:lineRule="exact"/>
        <w:ind w:firstLine="511" w:firstLineChars="213"/>
        <w:rPr>
          <w:rFonts w:ascii="宋体" w:hAnsi="宋体"/>
          <w:kern w:val="0"/>
          <w:sz w:val="24"/>
        </w:rPr>
      </w:pPr>
      <w:r>
        <w:rPr>
          <w:rFonts w:ascii="宋体" w:hAnsi="宋体"/>
          <w:kern w:val="0"/>
          <w:sz w:val="24"/>
        </w:rPr>
        <w:t>关于承包人违约解除合同的特别约定：</w:t>
      </w:r>
      <w:r>
        <w:rPr>
          <w:rFonts w:hint="eastAsia" w:ascii="宋体" w:hAnsi="宋体"/>
          <w:color w:val="000000"/>
          <w:kern w:val="0"/>
          <w:sz w:val="24"/>
          <w:szCs w:val="32"/>
          <w:u w:val="single"/>
        </w:rPr>
        <w:t>按《通用条款》执行</w:t>
      </w:r>
      <w:r>
        <w:rPr>
          <w:rFonts w:ascii="宋体" w:hAnsi="宋体"/>
          <w:kern w:val="0"/>
          <w:sz w:val="24"/>
        </w:rPr>
        <w:t>。</w:t>
      </w:r>
    </w:p>
    <w:p>
      <w:pPr>
        <w:snapToGrid w:val="0"/>
        <w:spacing w:line="460" w:lineRule="exact"/>
        <w:ind w:firstLine="480" w:firstLineChars="200"/>
        <w:rPr>
          <w:rFonts w:ascii="宋体" w:hAnsi="宋体"/>
          <w:color w:val="000000"/>
          <w:sz w:val="24"/>
        </w:rPr>
      </w:pPr>
      <w:r>
        <w:rPr>
          <w:rFonts w:ascii="宋体" w:hAnsi="宋体"/>
          <w:kern w:val="0"/>
          <w:sz w:val="24"/>
        </w:rPr>
        <w:t>发包人</w:t>
      </w:r>
      <w:r>
        <w:rPr>
          <w:rFonts w:hint="eastAsia" w:ascii="宋体" w:hAnsi="宋体"/>
          <w:kern w:val="0"/>
          <w:sz w:val="24"/>
        </w:rPr>
        <w:t>继续</w:t>
      </w:r>
      <w:r>
        <w:rPr>
          <w:rFonts w:ascii="宋体" w:hAnsi="宋体"/>
          <w:kern w:val="0"/>
          <w:sz w:val="24"/>
        </w:rPr>
        <w:t>使用承包人在施工现场的材料、设备、临时工程、承包人文件和由承包人或以其名义编制的其他文件</w:t>
      </w:r>
      <w:r>
        <w:rPr>
          <w:rFonts w:hint="eastAsia" w:ascii="宋体" w:hAnsi="宋体"/>
          <w:kern w:val="0"/>
          <w:sz w:val="24"/>
        </w:rPr>
        <w:t>的费用承担方式</w:t>
      </w:r>
      <w:r>
        <w:rPr>
          <w:rFonts w:ascii="宋体" w:hAnsi="宋体"/>
          <w:kern w:val="0"/>
          <w:sz w:val="24"/>
        </w:rPr>
        <w:t>：</w:t>
      </w:r>
      <w:r>
        <w:rPr>
          <w:rFonts w:hint="eastAsia" w:ascii="宋体" w:hAnsi="宋体"/>
          <w:kern w:val="0"/>
          <w:sz w:val="24"/>
          <w:u w:val="single"/>
        </w:rPr>
        <w:t>权益转让给发包人</w:t>
      </w:r>
      <w:r>
        <w:rPr>
          <w:rFonts w:hint="eastAsia" w:ascii="宋体" w:hAnsi="宋体"/>
          <w:kern w:val="0"/>
          <w:sz w:val="24"/>
        </w:rPr>
        <w:t>。</w:t>
      </w:r>
      <w:bookmarkStart w:id="607" w:name="_Toc351203649"/>
    </w:p>
    <w:p>
      <w:pPr>
        <w:pStyle w:val="2"/>
        <w:snapToGrid w:val="0"/>
        <w:spacing w:before="0" w:after="0" w:line="460" w:lineRule="exact"/>
        <w:rPr>
          <w:rFonts w:ascii="宋体" w:hAnsi="宋体"/>
          <w:b w:val="0"/>
          <w:color w:val="000000"/>
          <w:sz w:val="24"/>
          <w:szCs w:val="24"/>
        </w:rPr>
      </w:pPr>
      <w:r>
        <w:rPr>
          <w:rFonts w:ascii="宋体" w:hAnsi="宋体"/>
          <w:b w:val="0"/>
          <w:color w:val="000000"/>
          <w:sz w:val="24"/>
          <w:szCs w:val="24"/>
        </w:rPr>
        <w:t>17. 不可抗力</w:t>
      </w:r>
      <w:bookmarkEnd w:id="605"/>
      <w:bookmarkEnd w:id="607"/>
    </w:p>
    <w:p>
      <w:pPr>
        <w:snapToGrid w:val="0"/>
        <w:spacing w:line="460" w:lineRule="exact"/>
        <w:ind w:firstLine="480" w:firstLineChars="200"/>
        <w:jc w:val="left"/>
        <w:rPr>
          <w:rFonts w:ascii="宋体" w:hAnsi="宋体"/>
          <w:color w:val="000000"/>
          <w:sz w:val="24"/>
        </w:rPr>
      </w:pPr>
      <w:r>
        <w:rPr>
          <w:rFonts w:ascii="宋体" w:hAnsi="宋体"/>
          <w:color w:val="000000"/>
          <w:sz w:val="24"/>
        </w:rPr>
        <w:t>17.1 不可抗力的确认</w:t>
      </w:r>
    </w:p>
    <w:p>
      <w:pPr>
        <w:snapToGrid w:val="0"/>
        <w:spacing w:line="460" w:lineRule="exact"/>
        <w:ind w:firstLine="480" w:firstLineChars="200"/>
        <w:jc w:val="left"/>
        <w:rPr>
          <w:rFonts w:ascii="宋体" w:hAnsi="宋体"/>
          <w:color w:val="000000"/>
          <w:sz w:val="24"/>
        </w:rPr>
      </w:pPr>
      <w:r>
        <w:rPr>
          <w:rFonts w:ascii="宋体" w:hAnsi="宋体"/>
          <w:color w:val="000000"/>
          <w:sz w:val="24"/>
        </w:rPr>
        <w:t>除通用合同条款约定的不可抗力事件之外，视为不可抗力的其他情形：</w:t>
      </w:r>
      <w:r>
        <w:rPr>
          <w:rFonts w:hint="eastAsia" w:ascii="宋体" w:hAnsi="宋体"/>
          <w:kern w:val="0"/>
          <w:sz w:val="24"/>
          <w:u w:val="single"/>
        </w:rPr>
        <w:t xml:space="preserve">无 </w:t>
      </w:r>
      <w:r>
        <w:rPr>
          <w:rFonts w:hint="eastAsia" w:ascii="宋体" w:hAnsi="宋体"/>
          <w:color w:val="000000"/>
          <w:sz w:val="24"/>
        </w:rPr>
        <w:t>。</w:t>
      </w:r>
    </w:p>
    <w:p>
      <w:pPr>
        <w:snapToGrid w:val="0"/>
        <w:spacing w:line="460" w:lineRule="exact"/>
        <w:ind w:firstLine="480" w:firstLineChars="200"/>
        <w:jc w:val="left"/>
        <w:rPr>
          <w:rFonts w:ascii="宋体" w:hAnsi="宋体"/>
          <w:color w:val="000000"/>
          <w:sz w:val="24"/>
        </w:rPr>
      </w:pPr>
      <w:r>
        <w:rPr>
          <w:rFonts w:ascii="宋体" w:hAnsi="宋体"/>
          <w:color w:val="000000"/>
          <w:sz w:val="24"/>
        </w:rPr>
        <w:t>17.4 因不可抗力解除合同</w:t>
      </w:r>
    </w:p>
    <w:p>
      <w:pPr>
        <w:snapToGrid w:val="0"/>
        <w:spacing w:line="460" w:lineRule="exact"/>
        <w:ind w:firstLine="480" w:firstLineChars="200"/>
        <w:jc w:val="left"/>
        <w:rPr>
          <w:rFonts w:ascii="宋体" w:hAnsi="宋体"/>
          <w:color w:val="000000"/>
          <w:sz w:val="24"/>
        </w:rPr>
      </w:pPr>
      <w:r>
        <w:rPr>
          <w:rFonts w:ascii="宋体" w:hAnsi="宋体"/>
          <w:color w:val="000000"/>
          <w:sz w:val="24"/>
        </w:rPr>
        <w:t>合同解除后，发包人应在商定或确定发包人应支付款项后</w:t>
      </w:r>
      <w:r>
        <w:rPr>
          <w:rFonts w:hint="eastAsia" w:ascii="宋体" w:hAnsi="宋体"/>
          <w:color w:val="000000"/>
          <w:sz w:val="24"/>
          <w:u w:val="single"/>
        </w:rPr>
        <w:t>28</w:t>
      </w:r>
      <w:r>
        <w:rPr>
          <w:rFonts w:ascii="宋体" w:hAnsi="宋体"/>
          <w:color w:val="000000"/>
          <w:sz w:val="24"/>
        </w:rPr>
        <w:t>天内完成款项的支付。</w:t>
      </w:r>
    </w:p>
    <w:p>
      <w:pPr>
        <w:pStyle w:val="2"/>
        <w:snapToGrid w:val="0"/>
        <w:spacing w:before="0" w:after="0" w:line="460" w:lineRule="exact"/>
        <w:rPr>
          <w:rFonts w:ascii="宋体" w:hAnsi="宋体"/>
          <w:b w:val="0"/>
          <w:color w:val="000000"/>
          <w:sz w:val="24"/>
          <w:szCs w:val="24"/>
        </w:rPr>
      </w:pPr>
      <w:bookmarkStart w:id="608" w:name="_Toc351203650"/>
      <w:r>
        <w:rPr>
          <w:rFonts w:ascii="宋体" w:hAnsi="宋体"/>
          <w:b w:val="0"/>
          <w:color w:val="000000"/>
          <w:sz w:val="24"/>
          <w:szCs w:val="24"/>
        </w:rPr>
        <w:t>18. 保险</w:t>
      </w:r>
      <w:bookmarkEnd w:id="608"/>
    </w:p>
    <w:bookmarkEnd w:id="606"/>
    <w:p>
      <w:pPr>
        <w:snapToGrid w:val="0"/>
        <w:spacing w:line="460" w:lineRule="exact"/>
        <w:ind w:firstLine="480" w:firstLineChars="200"/>
        <w:jc w:val="left"/>
        <w:rPr>
          <w:rFonts w:ascii="宋体" w:hAnsi="宋体"/>
          <w:color w:val="000000"/>
          <w:sz w:val="24"/>
        </w:rPr>
      </w:pPr>
      <w:r>
        <w:rPr>
          <w:rFonts w:ascii="宋体" w:hAnsi="宋体"/>
          <w:color w:val="000000"/>
          <w:sz w:val="24"/>
        </w:rPr>
        <w:t>18.1 工程保险</w:t>
      </w:r>
    </w:p>
    <w:p>
      <w:pPr>
        <w:snapToGrid w:val="0"/>
        <w:spacing w:line="460" w:lineRule="exact"/>
        <w:ind w:firstLine="480" w:firstLineChars="200"/>
        <w:jc w:val="left"/>
        <w:rPr>
          <w:rFonts w:ascii="宋体" w:hAnsi="宋体"/>
          <w:color w:val="000000"/>
          <w:sz w:val="24"/>
        </w:rPr>
      </w:pPr>
      <w:r>
        <w:rPr>
          <w:rFonts w:ascii="宋体" w:hAnsi="宋体"/>
          <w:color w:val="000000"/>
          <w:sz w:val="24"/>
        </w:rPr>
        <w:t xml:space="preserve">关于工程保险的特别约定： </w:t>
      </w:r>
      <w:r>
        <w:rPr>
          <w:rFonts w:hint="eastAsia" w:ascii="宋体" w:hAnsi="宋体"/>
          <w:color w:val="000000"/>
          <w:sz w:val="24"/>
          <w:u w:val="single"/>
        </w:rPr>
        <w:t>由承包人负责办理，费用由承包人承担</w:t>
      </w:r>
      <w:r>
        <w:rPr>
          <w:rFonts w:ascii="宋体" w:hAnsi="宋体"/>
          <w:color w:val="000000"/>
          <w:sz w:val="24"/>
        </w:rPr>
        <w:t>。</w:t>
      </w:r>
    </w:p>
    <w:p>
      <w:pPr>
        <w:snapToGrid w:val="0"/>
        <w:spacing w:line="460" w:lineRule="exact"/>
        <w:ind w:firstLine="480" w:firstLineChars="200"/>
        <w:jc w:val="left"/>
        <w:rPr>
          <w:rFonts w:ascii="宋体" w:hAnsi="宋体"/>
          <w:color w:val="000000"/>
          <w:sz w:val="24"/>
        </w:rPr>
      </w:pPr>
      <w:r>
        <w:rPr>
          <w:rFonts w:ascii="宋体" w:hAnsi="宋体"/>
          <w:color w:val="000000"/>
          <w:sz w:val="24"/>
        </w:rPr>
        <w:t>18.3 其他保险</w:t>
      </w:r>
    </w:p>
    <w:p>
      <w:pPr>
        <w:snapToGrid w:val="0"/>
        <w:spacing w:line="460" w:lineRule="exact"/>
        <w:ind w:firstLine="480" w:firstLineChars="200"/>
        <w:jc w:val="left"/>
        <w:rPr>
          <w:rFonts w:ascii="宋体" w:hAnsi="宋体"/>
          <w:color w:val="000000"/>
          <w:sz w:val="24"/>
        </w:rPr>
      </w:pPr>
      <w:r>
        <w:rPr>
          <w:rFonts w:ascii="宋体" w:hAnsi="宋体"/>
          <w:color w:val="000000"/>
          <w:sz w:val="24"/>
        </w:rPr>
        <w:t>关于其他保险的约定：</w:t>
      </w:r>
      <w:r>
        <w:rPr>
          <w:rFonts w:hint="eastAsia" w:ascii="宋体" w:hAnsi="宋体"/>
          <w:color w:val="000000"/>
          <w:kern w:val="0"/>
          <w:sz w:val="24"/>
          <w:szCs w:val="32"/>
          <w:u w:val="single"/>
        </w:rPr>
        <w:t>按《通用条款》执行</w:t>
      </w:r>
      <w:r>
        <w:rPr>
          <w:rFonts w:ascii="宋体" w:hAnsi="宋体"/>
          <w:color w:val="000000"/>
          <w:sz w:val="24"/>
        </w:rPr>
        <w:t>。</w:t>
      </w:r>
    </w:p>
    <w:p>
      <w:pPr>
        <w:snapToGrid w:val="0"/>
        <w:spacing w:line="460" w:lineRule="exact"/>
        <w:ind w:firstLine="480" w:firstLineChars="200"/>
        <w:jc w:val="left"/>
        <w:rPr>
          <w:rFonts w:ascii="宋体" w:hAnsi="宋体"/>
          <w:color w:val="000000"/>
          <w:sz w:val="24"/>
        </w:rPr>
      </w:pPr>
      <w:r>
        <w:rPr>
          <w:rFonts w:ascii="宋体" w:hAnsi="宋体"/>
          <w:color w:val="000000"/>
          <w:sz w:val="24"/>
        </w:rPr>
        <w:t>承包人是否应为其施工设备等办理财产保险</w:t>
      </w:r>
      <w:r>
        <w:rPr>
          <w:rFonts w:hint="eastAsia" w:ascii="宋体" w:hAnsi="宋体"/>
          <w:color w:val="000000"/>
          <w:sz w:val="24"/>
        </w:rPr>
        <w:t>：</w:t>
      </w:r>
      <w:r>
        <w:rPr>
          <w:rFonts w:hint="eastAsia" w:ascii="宋体" w:hAnsi="宋体"/>
          <w:color w:val="000000"/>
          <w:sz w:val="24"/>
          <w:u w:val="single"/>
        </w:rPr>
        <w:t>是</w:t>
      </w:r>
      <w:r>
        <w:rPr>
          <w:rFonts w:ascii="宋体" w:hAnsi="宋体"/>
          <w:color w:val="000000"/>
          <w:sz w:val="24"/>
        </w:rPr>
        <w:t>。</w:t>
      </w:r>
    </w:p>
    <w:p>
      <w:pPr>
        <w:snapToGrid w:val="0"/>
        <w:spacing w:line="460" w:lineRule="exact"/>
        <w:ind w:firstLine="480" w:firstLineChars="200"/>
        <w:jc w:val="left"/>
        <w:rPr>
          <w:rFonts w:ascii="宋体" w:hAnsi="宋体"/>
          <w:color w:val="000000"/>
          <w:sz w:val="24"/>
        </w:rPr>
      </w:pPr>
      <w:r>
        <w:rPr>
          <w:rFonts w:ascii="宋体" w:hAnsi="宋体"/>
          <w:color w:val="000000"/>
          <w:sz w:val="24"/>
        </w:rPr>
        <w:t>18.7 通知义务</w:t>
      </w:r>
    </w:p>
    <w:p>
      <w:pPr>
        <w:snapToGrid w:val="0"/>
        <w:spacing w:line="460" w:lineRule="exact"/>
        <w:ind w:firstLine="511" w:firstLineChars="213"/>
        <w:jc w:val="left"/>
        <w:rPr>
          <w:rFonts w:ascii="宋体" w:hAnsi="宋体"/>
          <w:color w:val="000000"/>
          <w:sz w:val="24"/>
        </w:rPr>
      </w:pPr>
      <w:r>
        <w:rPr>
          <w:rFonts w:ascii="宋体" w:hAnsi="宋体"/>
          <w:kern w:val="0"/>
          <w:sz w:val="24"/>
        </w:rPr>
        <w:t>关于变更保险合同时的通知义务的约定：</w:t>
      </w:r>
      <w:r>
        <w:rPr>
          <w:rFonts w:hint="eastAsia" w:ascii="宋体" w:hAnsi="宋体"/>
          <w:color w:val="000000"/>
          <w:kern w:val="0"/>
          <w:sz w:val="24"/>
          <w:szCs w:val="32"/>
          <w:u w:val="single"/>
        </w:rPr>
        <w:t>按《通用条款》执行</w:t>
      </w:r>
      <w:r>
        <w:rPr>
          <w:rFonts w:ascii="宋体" w:hAnsi="宋体"/>
          <w:sz w:val="24"/>
        </w:rPr>
        <w:t>。</w:t>
      </w:r>
      <w:bookmarkEnd w:id="582"/>
      <w:bookmarkEnd w:id="583"/>
      <w:bookmarkEnd w:id="584"/>
      <w:bookmarkEnd w:id="585"/>
      <w:bookmarkEnd w:id="586"/>
      <w:bookmarkEnd w:id="587"/>
      <w:bookmarkEnd w:id="588"/>
      <w:bookmarkEnd w:id="589"/>
      <w:bookmarkEnd w:id="590"/>
      <w:bookmarkEnd w:id="591"/>
      <w:bookmarkEnd w:id="592"/>
      <w:bookmarkEnd w:id="593"/>
      <w:bookmarkStart w:id="609" w:name="_Toc351203651"/>
    </w:p>
    <w:p>
      <w:pPr>
        <w:pStyle w:val="2"/>
        <w:snapToGrid w:val="0"/>
        <w:spacing w:before="0" w:after="0" w:line="460" w:lineRule="exact"/>
        <w:rPr>
          <w:rFonts w:ascii="宋体" w:hAnsi="宋体"/>
          <w:b w:val="0"/>
          <w:color w:val="000000"/>
          <w:sz w:val="24"/>
          <w:szCs w:val="24"/>
        </w:rPr>
      </w:pPr>
      <w:r>
        <w:rPr>
          <w:rFonts w:hint="eastAsia" w:ascii="宋体" w:hAnsi="宋体"/>
          <w:b w:val="0"/>
          <w:color w:val="000000"/>
          <w:sz w:val="24"/>
          <w:szCs w:val="24"/>
        </w:rPr>
        <w:t>19</w:t>
      </w:r>
      <w:r>
        <w:rPr>
          <w:rFonts w:ascii="宋体" w:hAnsi="宋体"/>
          <w:b w:val="0"/>
          <w:color w:val="000000"/>
          <w:sz w:val="24"/>
          <w:szCs w:val="24"/>
        </w:rPr>
        <w:t>. 争议解决</w:t>
      </w:r>
      <w:bookmarkEnd w:id="609"/>
    </w:p>
    <w:bookmarkEnd w:id="594"/>
    <w:bookmarkEnd w:id="595"/>
    <w:p>
      <w:pPr>
        <w:snapToGrid w:val="0"/>
        <w:spacing w:line="460" w:lineRule="exact"/>
        <w:ind w:firstLine="480" w:firstLineChars="200"/>
        <w:rPr>
          <w:rFonts w:ascii="宋体" w:hAnsi="宋体"/>
          <w:sz w:val="24"/>
        </w:rPr>
      </w:pPr>
      <w:r>
        <w:rPr>
          <w:rFonts w:hint="eastAsia" w:ascii="宋体" w:hAnsi="宋体"/>
          <w:sz w:val="24"/>
        </w:rPr>
        <w:t>19.1</w:t>
      </w:r>
      <w:bookmarkEnd w:id="596"/>
      <w:r>
        <w:rPr>
          <w:rFonts w:hint="eastAsia" w:ascii="宋体" w:hAnsi="宋体"/>
          <w:color w:val="000000"/>
          <w:sz w:val="24"/>
        </w:rPr>
        <w:t>双方在执行合同中若发生争议，应通过协商解决。如协商不成，</w:t>
      </w:r>
      <w:bookmarkEnd w:id="597"/>
      <w:r>
        <w:rPr>
          <w:rFonts w:ascii="宋体" w:hAnsi="宋体"/>
          <w:sz w:val="24"/>
        </w:rPr>
        <w:t>按下列第</w:t>
      </w:r>
      <w:r>
        <w:rPr>
          <w:rFonts w:hint="eastAsia" w:ascii="宋体" w:hAnsi="宋体"/>
          <w:sz w:val="24"/>
          <w:u w:val="single"/>
        </w:rPr>
        <w:t xml:space="preserve">  （2） </w:t>
      </w:r>
      <w:r>
        <w:rPr>
          <w:rFonts w:ascii="宋体" w:hAnsi="宋体"/>
          <w:sz w:val="24"/>
        </w:rPr>
        <w:t>种方式</w:t>
      </w:r>
      <w:r>
        <w:rPr>
          <w:rFonts w:hint="eastAsia" w:ascii="宋体" w:hAnsi="宋体"/>
          <w:sz w:val="24"/>
        </w:rPr>
        <w:t>解</w:t>
      </w:r>
      <w:r>
        <w:rPr>
          <w:rFonts w:ascii="宋体" w:hAnsi="宋体"/>
          <w:sz w:val="24"/>
        </w:rPr>
        <w:t>决：</w:t>
      </w:r>
    </w:p>
    <w:p>
      <w:pPr>
        <w:snapToGrid w:val="0"/>
        <w:spacing w:line="460" w:lineRule="exact"/>
        <w:ind w:firstLine="480" w:firstLineChars="200"/>
        <w:jc w:val="left"/>
        <w:rPr>
          <w:rFonts w:ascii="宋体" w:hAnsi="宋体"/>
          <w:sz w:val="24"/>
        </w:rPr>
      </w:pPr>
      <w:r>
        <w:rPr>
          <w:rFonts w:ascii="宋体" w:hAnsi="宋体"/>
          <w:sz w:val="24"/>
        </w:rPr>
        <w:t>（1）向仲裁委员会申请仲裁；</w:t>
      </w:r>
    </w:p>
    <w:p>
      <w:pPr>
        <w:snapToGrid w:val="0"/>
        <w:spacing w:line="460" w:lineRule="exact"/>
        <w:ind w:firstLine="480" w:firstLineChars="200"/>
        <w:jc w:val="left"/>
        <w:rPr>
          <w:rFonts w:ascii="宋体" w:hAnsi="宋体"/>
          <w:sz w:val="24"/>
          <w:highlight w:val="cyan"/>
        </w:rPr>
      </w:pPr>
      <w:r>
        <w:rPr>
          <w:rFonts w:ascii="宋体" w:hAnsi="宋体"/>
          <w:sz w:val="24"/>
        </w:rPr>
        <w:t>（2）向</w:t>
      </w:r>
      <w:r>
        <w:rPr>
          <w:rFonts w:hint="eastAsia" w:ascii="宋体" w:hAnsi="宋体"/>
          <w:sz w:val="24"/>
          <w:u w:val="single"/>
        </w:rPr>
        <w:t xml:space="preserve">   当地</w:t>
      </w:r>
      <w:r>
        <w:rPr>
          <w:rFonts w:ascii="宋体" w:hAnsi="宋体"/>
          <w:sz w:val="24"/>
        </w:rPr>
        <w:t>人民法院起诉。</w:t>
      </w:r>
      <w:bookmarkEnd w:id="598"/>
      <w:bookmarkEnd w:id="599"/>
      <w:bookmarkEnd w:id="600"/>
      <w:bookmarkEnd w:id="601"/>
      <w:bookmarkEnd w:id="602"/>
      <w:bookmarkEnd w:id="603"/>
    </w:p>
    <w:p>
      <w:pPr>
        <w:pStyle w:val="2"/>
        <w:snapToGrid w:val="0"/>
        <w:spacing w:before="0" w:after="0" w:line="460" w:lineRule="exact"/>
        <w:rPr>
          <w:rFonts w:ascii="宋体" w:hAnsi="宋体"/>
          <w:b w:val="0"/>
          <w:color w:val="000000"/>
          <w:sz w:val="24"/>
          <w:szCs w:val="24"/>
        </w:rPr>
      </w:pPr>
      <w:r>
        <w:rPr>
          <w:rFonts w:hint="eastAsia" w:ascii="宋体" w:hAnsi="宋体"/>
          <w:b w:val="0"/>
          <w:color w:val="000000"/>
          <w:sz w:val="24"/>
          <w:szCs w:val="24"/>
        </w:rPr>
        <w:t>20、补充条款：</w:t>
      </w:r>
    </w:p>
    <w:p>
      <w:pPr>
        <w:spacing w:line="460" w:lineRule="exact"/>
        <w:ind w:firstLine="480" w:firstLineChars="200"/>
        <w:rPr>
          <w:rFonts w:ascii="宋体" w:hAnsi="宋体"/>
          <w:color w:val="000000"/>
          <w:sz w:val="24"/>
        </w:rPr>
      </w:pPr>
      <w:r>
        <w:rPr>
          <w:rFonts w:hint="eastAsia" w:ascii="宋体" w:hAnsi="宋体"/>
          <w:color w:val="000000"/>
          <w:sz w:val="24"/>
        </w:rPr>
        <w:t>20.1施工所需用水、用电由</w:t>
      </w:r>
      <w:r>
        <w:rPr>
          <w:rFonts w:ascii="宋体" w:hAnsi="宋体"/>
          <w:color w:val="000000"/>
          <w:sz w:val="24"/>
        </w:rPr>
        <w:t>承包人</w:t>
      </w:r>
      <w:r>
        <w:rPr>
          <w:rFonts w:hint="eastAsia" w:ascii="宋体" w:hAnsi="宋体"/>
          <w:color w:val="000000"/>
          <w:sz w:val="24"/>
        </w:rPr>
        <w:t>负责接入，费用已包含在</w:t>
      </w:r>
      <w:r>
        <w:rPr>
          <w:rFonts w:ascii="宋体" w:hAnsi="宋体"/>
          <w:color w:val="000000"/>
          <w:sz w:val="24"/>
        </w:rPr>
        <w:t>承包人</w:t>
      </w:r>
      <w:r>
        <w:rPr>
          <w:rFonts w:hint="eastAsia" w:ascii="宋体" w:hAnsi="宋体"/>
          <w:color w:val="000000"/>
          <w:sz w:val="24"/>
        </w:rPr>
        <w:t>投标报价中。</w:t>
      </w:r>
    </w:p>
    <w:p>
      <w:pPr>
        <w:spacing w:line="460" w:lineRule="exact"/>
        <w:ind w:firstLine="480" w:firstLineChars="200"/>
        <w:rPr>
          <w:rFonts w:ascii="宋体" w:hAnsi="宋体"/>
          <w:color w:val="auto"/>
          <w:sz w:val="24"/>
        </w:rPr>
      </w:pPr>
      <w:r>
        <w:rPr>
          <w:rFonts w:hint="eastAsia" w:ascii="宋体" w:hAnsi="宋体"/>
          <w:color w:val="000000"/>
          <w:sz w:val="24"/>
        </w:rPr>
        <w:t>20.2</w:t>
      </w:r>
      <w:r>
        <w:rPr>
          <w:rFonts w:ascii="宋体" w:hAnsi="宋体"/>
          <w:color w:val="000000"/>
          <w:sz w:val="24"/>
        </w:rPr>
        <w:t>承包人</w:t>
      </w:r>
      <w:r>
        <w:rPr>
          <w:rFonts w:hint="eastAsia" w:ascii="宋体" w:hAnsi="宋体"/>
          <w:color w:val="000000"/>
          <w:sz w:val="24"/>
        </w:rPr>
        <w:t>应负责处理施工中可能发生的一切安全、卫生、环保、纠纷等情况，并承担</w:t>
      </w:r>
      <w:r>
        <w:rPr>
          <w:rFonts w:hint="eastAsia" w:ascii="宋体" w:hAnsi="宋体"/>
          <w:color w:val="auto"/>
          <w:sz w:val="24"/>
        </w:rPr>
        <w:t>由此产生的经济责任和法律责任，与发包人无关。</w:t>
      </w:r>
    </w:p>
    <w:p>
      <w:pPr>
        <w:snapToGrid w:val="0"/>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20.3</w:t>
      </w:r>
      <w:r>
        <w:rPr>
          <w:rFonts w:hint="eastAsia" w:ascii="宋体" w:hAnsi="宋体" w:cs="宋体"/>
          <w:color w:val="auto"/>
          <w:sz w:val="24"/>
          <w:lang w:eastAsia="zh-CN"/>
        </w:rPr>
        <w:t>履约保证金：</w:t>
      </w:r>
      <w:r>
        <w:rPr>
          <w:rFonts w:hint="eastAsia" w:ascii="宋体" w:hAnsi="宋体" w:cs="宋体"/>
          <w:color w:val="auto"/>
          <w:sz w:val="24"/>
          <w:lang w:val="en-US" w:eastAsia="zh-CN"/>
        </w:rPr>
        <w:t>壹佰</w:t>
      </w:r>
      <w:r>
        <w:rPr>
          <w:rFonts w:hint="eastAsia" w:ascii="宋体" w:hAnsi="宋体" w:eastAsia="宋体" w:cs="宋体"/>
          <w:color w:val="auto"/>
          <w:sz w:val="24"/>
        </w:rPr>
        <w:t>万元，</w:t>
      </w:r>
      <w:r>
        <w:rPr>
          <w:rFonts w:hint="eastAsia" w:ascii="宋体" w:hAnsi="宋体" w:cs="宋体"/>
          <w:color w:val="auto"/>
          <w:sz w:val="24"/>
          <w:lang w:eastAsia="zh-CN"/>
        </w:rPr>
        <w:t>合同签订前由承包人支付给招标人，</w:t>
      </w:r>
      <w:r>
        <w:rPr>
          <w:rFonts w:hint="eastAsia" w:ascii="宋体" w:hAnsi="宋体" w:eastAsia="宋体" w:cs="宋体"/>
          <w:color w:val="auto"/>
          <w:sz w:val="24"/>
        </w:rPr>
        <w:t>合同履行完毕后30日内无息退还。</w:t>
      </w:r>
    </w:p>
    <w:p>
      <w:pPr>
        <w:snapToGrid w:val="0"/>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20.4本工程审计相关费用按《浙价服〔2009〕84号》文件规定执行，承包人应承担审计追加费。</w:t>
      </w:r>
    </w:p>
    <w:p>
      <w:pPr>
        <w:snapToGrid w:val="0"/>
        <w:spacing w:line="4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20.5为确保本工程施工安全，明确发包人与承包人的职责，发包人与承包人应在本合同签订时同时签订《安全生产合同》（见附件3）。</w:t>
      </w:r>
    </w:p>
    <w:p>
      <w:pPr>
        <w:pStyle w:val="2"/>
        <w:rPr>
          <w:rFonts w:hint="default" w:eastAsia="宋体"/>
          <w:color w:val="auto"/>
          <w:lang w:val="en-US" w:eastAsia="zh-CN"/>
        </w:rPr>
      </w:pPr>
      <w:r>
        <w:rPr>
          <w:rFonts w:hint="eastAsia" w:ascii="宋体" w:hAnsi="宋体" w:eastAsia="宋体" w:cs="宋体"/>
          <w:color w:val="auto"/>
          <w:sz w:val="24"/>
          <w:lang w:val="en-US" w:eastAsia="zh-CN"/>
        </w:rPr>
        <w:t>20.6工程量以招标人分派任务经监理审核，最终以审计为准。工程量不一定接近预算金额，风险由承包人承担。</w:t>
      </w:r>
    </w:p>
    <w:p>
      <w:pPr>
        <w:snapToGrid w:val="0"/>
        <w:spacing w:line="460" w:lineRule="exact"/>
        <w:ind w:firstLine="480" w:firstLineChars="200"/>
        <w:rPr>
          <w:rFonts w:hint="eastAsia" w:ascii="宋体" w:hAnsi="宋体" w:eastAsia="宋体" w:cs="宋体"/>
          <w:color w:val="000000"/>
          <w:sz w:val="24"/>
        </w:rPr>
      </w:pPr>
      <w:r>
        <w:rPr>
          <w:rFonts w:hint="eastAsia" w:ascii="宋体" w:hAnsi="宋体" w:eastAsia="宋体" w:cs="宋体"/>
          <w:sz w:val="24"/>
        </w:rPr>
        <w:t>20.</w:t>
      </w:r>
      <w:r>
        <w:rPr>
          <w:rFonts w:hint="eastAsia" w:ascii="宋体" w:hAnsi="宋体" w:cs="宋体"/>
          <w:sz w:val="24"/>
          <w:lang w:val="en-US" w:eastAsia="zh-CN"/>
        </w:rPr>
        <w:t>7</w:t>
      </w:r>
      <w:r>
        <w:rPr>
          <w:rFonts w:hint="eastAsia" w:ascii="宋体" w:hAnsi="宋体" w:eastAsia="宋体" w:cs="宋体"/>
          <w:color w:val="000000"/>
          <w:sz w:val="24"/>
        </w:rPr>
        <w:t>本合同未尽事宜按国家有关法律法规、招标文件的有关规定和承包人投标文件的有关承诺执行。</w:t>
      </w:r>
    </w:p>
    <w:p>
      <w:pPr>
        <w:spacing w:line="500" w:lineRule="exact"/>
        <w:rPr>
          <w:rFonts w:hint="eastAsia" w:ascii="宋体" w:hAnsi="宋体" w:eastAsia="宋体" w:cs="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pStyle w:val="2"/>
        <w:rPr>
          <w:rFonts w:ascii="宋体" w:hAnsi="宋体"/>
          <w:sz w:val="24"/>
        </w:rPr>
      </w:pPr>
    </w:p>
    <w:p>
      <w:pPr>
        <w:pStyle w:val="2"/>
      </w:pPr>
    </w:p>
    <w:p/>
    <w:p>
      <w:pPr>
        <w:pStyle w:val="2"/>
      </w:pPr>
    </w:p>
    <w:p/>
    <w:p>
      <w:pPr>
        <w:spacing w:line="500" w:lineRule="exact"/>
        <w:rPr>
          <w:rFonts w:hint="eastAsia" w:ascii="宋体" w:hAnsi="宋体"/>
          <w:sz w:val="24"/>
        </w:rPr>
      </w:pPr>
    </w:p>
    <w:p>
      <w:pPr>
        <w:spacing w:line="500" w:lineRule="exact"/>
        <w:rPr>
          <w:rFonts w:ascii="宋体" w:hAnsi="宋体"/>
          <w:sz w:val="24"/>
        </w:rPr>
      </w:pPr>
      <w:r>
        <w:rPr>
          <w:rFonts w:hint="eastAsia" w:ascii="宋体" w:hAnsi="宋体"/>
          <w:sz w:val="24"/>
        </w:rPr>
        <w:t>附件1：</w:t>
      </w:r>
    </w:p>
    <w:p>
      <w:pPr>
        <w:jc w:val="center"/>
        <w:rPr>
          <w:rFonts w:ascii="宋体" w:hAnsi="宋体"/>
          <w:b/>
          <w:sz w:val="44"/>
          <w:szCs w:val="44"/>
        </w:rPr>
      </w:pPr>
      <w:r>
        <w:rPr>
          <w:rFonts w:hint="eastAsia" w:ascii="宋体" w:hAnsi="宋体"/>
          <w:b/>
          <w:sz w:val="44"/>
          <w:szCs w:val="44"/>
        </w:rPr>
        <w:t>工程运输车辆安全文明管理补充协议</w:t>
      </w:r>
    </w:p>
    <w:p>
      <w:pPr>
        <w:spacing w:line="360" w:lineRule="exact"/>
        <w:rPr>
          <w:rFonts w:ascii="宋体" w:hAnsi="宋体"/>
          <w:sz w:val="24"/>
        </w:rPr>
      </w:pPr>
    </w:p>
    <w:p>
      <w:pPr>
        <w:snapToGrid w:val="0"/>
        <w:spacing w:line="360" w:lineRule="exact"/>
        <w:ind w:firstLine="480" w:firstLineChars="200"/>
        <w:rPr>
          <w:rFonts w:ascii="宋体" w:hAnsi="宋体"/>
          <w:sz w:val="24"/>
        </w:rPr>
      </w:pPr>
      <w:r>
        <w:rPr>
          <w:rFonts w:hint="eastAsia" w:ascii="宋体" w:hAnsi="宋体"/>
          <w:sz w:val="24"/>
        </w:rPr>
        <w:t>发包人（全称）：</w:t>
      </w:r>
    </w:p>
    <w:p>
      <w:pPr>
        <w:snapToGrid w:val="0"/>
        <w:spacing w:line="360" w:lineRule="exact"/>
        <w:ind w:firstLine="480" w:firstLineChars="200"/>
        <w:rPr>
          <w:rFonts w:ascii="宋体" w:hAnsi="宋体"/>
          <w:sz w:val="24"/>
        </w:rPr>
      </w:pPr>
      <w:r>
        <w:rPr>
          <w:rFonts w:hint="eastAsia" w:ascii="宋体" w:hAnsi="宋体"/>
          <w:sz w:val="24"/>
        </w:rPr>
        <w:t>承包人（全称）：</w:t>
      </w:r>
    </w:p>
    <w:p>
      <w:pPr>
        <w:snapToGrid w:val="0"/>
        <w:spacing w:line="360" w:lineRule="exact"/>
        <w:ind w:firstLine="480" w:firstLineChars="200"/>
        <w:rPr>
          <w:rFonts w:ascii="宋体" w:hAnsi="宋体"/>
          <w:sz w:val="24"/>
        </w:rPr>
      </w:pPr>
      <w:r>
        <w:rPr>
          <w:rFonts w:hint="eastAsia" w:ascii="宋体" w:hAnsi="宋体"/>
          <w:sz w:val="24"/>
        </w:rPr>
        <w:t>为进一步加强工程运输管理，落实工程运输车辆安全文明出行，确保人民群众生命财产安全，保障工程建设顺利进行，特签订该协议，具体内容如下：</w:t>
      </w:r>
    </w:p>
    <w:p>
      <w:pPr>
        <w:snapToGrid w:val="0"/>
        <w:spacing w:line="360" w:lineRule="exact"/>
        <w:ind w:firstLine="480" w:firstLineChars="200"/>
        <w:rPr>
          <w:rFonts w:ascii="宋体" w:hAnsi="宋体"/>
          <w:sz w:val="24"/>
        </w:rPr>
      </w:pPr>
      <w:r>
        <w:rPr>
          <w:rFonts w:hint="eastAsia" w:ascii="宋体" w:hAnsi="宋体"/>
          <w:sz w:val="24"/>
        </w:rPr>
        <w:t xml:space="preserve">一、工程名称：                                         </w:t>
      </w:r>
    </w:p>
    <w:p>
      <w:pPr>
        <w:snapToGrid w:val="0"/>
        <w:spacing w:line="360" w:lineRule="exact"/>
        <w:ind w:firstLine="480" w:firstLineChars="200"/>
        <w:rPr>
          <w:rFonts w:ascii="宋体" w:hAnsi="宋体"/>
          <w:sz w:val="24"/>
        </w:rPr>
      </w:pPr>
      <w:r>
        <w:rPr>
          <w:rFonts w:hint="eastAsia" w:ascii="宋体" w:hAnsi="宋体"/>
          <w:sz w:val="24"/>
        </w:rPr>
        <w:t>二、管理内容：</w:t>
      </w:r>
    </w:p>
    <w:p>
      <w:pPr>
        <w:snapToGrid w:val="0"/>
        <w:spacing w:line="360" w:lineRule="exact"/>
        <w:ind w:firstLine="480" w:firstLineChars="200"/>
        <w:rPr>
          <w:rFonts w:ascii="宋体" w:hAnsi="宋体"/>
          <w:sz w:val="24"/>
        </w:rPr>
      </w:pPr>
      <w:r>
        <w:rPr>
          <w:rFonts w:hint="eastAsia" w:ascii="宋体" w:hAnsi="宋体"/>
          <w:sz w:val="24"/>
        </w:rPr>
        <w:t>1、建设施工项目的工程运输，必须使用经行政执法部门审批的专业运输企业的车辆，严禁将工程运输业务发包给没有资质或证照不齐全的工程运输或个人；</w:t>
      </w:r>
    </w:p>
    <w:p>
      <w:pPr>
        <w:snapToGrid w:val="0"/>
        <w:spacing w:line="360" w:lineRule="exact"/>
        <w:ind w:firstLine="480" w:firstLineChars="200"/>
        <w:rPr>
          <w:rFonts w:ascii="宋体" w:hAnsi="宋体"/>
          <w:sz w:val="24"/>
        </w:rPr>
      </w:pPr>
      <w:r>
        <w:rPr>
          <w:rFonts w:hint="eastAsia" w:ascii="宋体" w:hAnsi="宋体"/>
          <w:sz w:val="24"/>
        </w:rPr>
        <w:t>2、加强道路运输车辆安全行驶教育，工程施工范围内所有工程运输车辆最高时速不得超过30公里/小时，严禁闯红灯、逆行、违法调头、闯禁区等交通违法行为；</w:t>
      </w:r>
    </w:p>
    <w:p>
      <w:pPr>
        <w:snapToGrid w:val="0"/>
        <w:spacing w:line="360" w:lineRule="exact"/>
        <w:ind w:firstLine="480" w:firstLineChars="200"/>
        <w:rPr>
          <w:rFonts w:ascii="宋体" w:hAnsi="宋体"/>
          <w:sz w:val="24"/>
        </w:rPr>
      </w:pPr>
      <w:r>
        <w:rPr>
          <w:rFonts w:hint="eastAsia" w:ascii="宋体" w:hAnsi="宋体"/>
          <w:sz w:val="24"/>
        </w:rPr>
        <w:t>3、工程运输车辆应保持日常整洁，并采取有效措施防止建筑材料、垃圾和渣土飞扬、洒落或者流溢，保证行驶途中不污染道路和环境。</w:t>
      </w:r>
    </w:p>
    <w:p>
      <w:pPr>
        <w:snapToGrid w:val="0"/>
        <w:spacing w:line="360" w:lineRule="exact"/>
        <w:ind w:firstLine="480" w:firstLineChars="200"/>
        <w:rPr>
          <w:rFonts w:ascii="宋体" w:hAnsi="宋体"/>
          <w:sz w:val="24"/>
        </w:rPr>
      </w:pPr>
      <w:r>
        <w:rPr>
          <w:rFonts w:hint="eastAsia" w:ascii="宋体" w:hAnsi="宋体"/>
          <w:sz w:val="24"/>
        </w:rPr>
        <w:t>三、处罚办法：</w:t>
      </w:r>
    </w:p>
    <w:p>
      <w:pPr>
        <w:snapToGrid w:val="0"/>
        <w:spacing w:line="360" w:lineRule="exact"/>
        <w:ind w:firstLine="480" w:firstLineChars="200"/>
        <w:rPr>
          <w:rFonts w:ascii="宋体" w:hAnsi="宋体"/>
          <w:sz w:val="24"/>
        </w:rPr>
      </w:pPr>
      <w:r>
        <w:rPr>
          <w:rFonts w:hint="eastAsia" w:ascii="宋体" w:hAnsi="宋体"/>
          <w:sz w:val="24"/>
        </w:rPr>
        <w:t>1、设立工程运输安全文明专项保证金。</w:t>
      </w:r>
    </w:p>
    <w:p>
      <w:pPr>
        <w:snapToGrid w:val="0"/>
        <w:spacing w:line="360" w:lineRule="exact"/>
        <w:ind w:firstLine="480" w:firstLineChars="200"/>
        <w:rPr>
          <w:rFonts w:ascii="宋体" w:hAnsi="宋体"/>
          <w:sz w:val="24"/>
        </w:rPr>
      </w:pPr>
      <w:r>
        <w:rPr>
          <w:rFonts w:hint="eastAsia" w:ascii="宋体" w:hAnsi="宋体"/>
          <w:sz w:val="24"/>
        </w:rPr>
        <w:t>2、处罚措施：</w:t>
      </w:r>
    </w:p>
    <w:p>
      <w:pPr>
        <w:snapToGrid w:val="0"/>
        <w:spacing w:line="360" w:lineRule="exact"/>
        <w:ind w:firstLine="480" w:firstLineChars="200"/>
        <w:rPr>
          <w:rFonts w:ascii="宋体" w:hAnsi="宋体"/>
          <w:sz w:val="24"/>
        </w:rPr>
      </w:pPr>
      <w:r>
        <w:rPr>
          <w:rFonts w:hint="eastAsia" w:ascii="宋体" w:hAnsi="宋体"/>
          <w:sz w:val="24"/>
        </w:rPr>
        <w:t>承包人应加强工程运输管理，做好自查自纠工作，若违反上述管理内容的，一经发现或被执法部门查处的，须进行处罚。第一次违反，谈话警告；连续二次的，扣罚保证金的50%；连续三次的，扣罚全部保证金。处罚金额于结算工程款中直接扣除。</w:t>
      </w:r>
    </w:p>
    <w:p>
      <w:pPr>
        <w:snapToGrid w:val="0"/>
        <w:spacing w:line="360" w:lineRule="exact"/>
        <w:ind w:firstLine="480" w:firstLineChars="200"/>
        <w:rPr>
          <w:rFonts w:ascii="宋体" w:hAnsi="宋体"/>
          <w:sz w:val="24"/>
        </w:rPr>
      </w:pPr>
      <w:r>
        <w:rPr>
          <w:rFonts w:hint="eastAsia" w:ascii="宋体" w:hAnsi="宋体"/>
          <w:sz w:val="24"/>
        </w:rPr>
        <w:t>四、其他</w:t>
      </w:r>
    </w:p>
    <w:p>
      <w:pPr>
        <w:snapToGrid w:val="0"/>
        <w:spacing w:line="360" w:lineRule="exact"/>
        <w:ind w:firstLine="480" w:firstLineChars="200"/>
        <w:rPr>
          <w:rFonts w:ascii="宋体" w:hAnsi="宋体"/>
          <w:sz w:val="24"/>
        </w:rPr>
      </w:pPr>
      <w:r>
        <w:rPr>
          <w:rFonts w:hint="eastAsia" w:ascii="宋体" w:hAnsi="宋体"/>
          <w:sz w:val="24"/>
        </w:rPr>
        <w:t>1、本协议是该工程施工合同的补充，其他内容按主合同执行；</w:t>
      </w:r>
    </w:p>
    <w:p>
      <w:pPr>
        <w:snapToGrid w:val="0"/>
        <w:spacing w:line="360" w:lineRule="exact"/>
        <w:ind w:firstLine="480" w:firstLineChars="200"/>
        <w:rPr>
          <w:rFonts w:ascii="宋体" w:hAnsi="宋体"/>
          <w:sz w:val="24"/>
        </w:rPr>
      </w:pPr>
      <w:r>
        <w:rPr>
          <w:rFonts w:hint="eastAsia" w:ascii="宋体" w:hAnsi="宋体"/>
          <w:sz w:val="24"/>
        </w:rPr>
        <w:t>2、本协议一式四份，双方各执二份；</w:t>
      </w:r>
    </w:p>
    <w:p>
      <w:pPr>
        <w:snapToGrid w:val="0"/>
        <w:spacing w:line="360" w:lineRule="exact"/>
        <w:ind w:firstLine="480" w:firstLineChars="200"/>
        <w:rPr>
          <w:rFonts w:ascii="宋体" w:hAnsi="宋体"/>
          <w:sz w:val="24"/>
        </w:rPr>
      </w:pPr>
      <w:r>
        <w:rPr>
          <w:rFonts w:hint="eastAsia" w:ascii="宋体" w:hAnsi="宋体"/>
          <w:sz w:val="24"/>
        </w:rPr>
        <w:t>3、本协议经双方签字盖章后生效。</w:t>
      </w:r>
    </w:p>
    <w:p>
      <w:pPr>
        <w:snapToGrid w:val="0"/>
        <w:spacing w:line="360" w:lineRule="exact"/>
        <w:ind w:firstLine="480" w:firstLineChars="200"/>
        <w:rPr>
          <w:rFonts w:ascii="宋体" w:hAnsi="宋体"/>
          <w:sz w:val="24"/>
        </w:rPr>
      </w:pPr>
      <w:r>
        <w:rPr>
          <w:rFonts w:hint="eastAsia" w:ascii="宋体" w:hAnsi="宋体"/>
          <w:sz w:val="24"/>
        </w:rPr>
        <w:t>发包人：（盖章）　　　　　　　 　 　    承包人：（盖章）</w:t>
      </w:r>
    </w:p>
    <w:p>
      <w:pPr>
        <w:snapToGrid w:val="0"/>
        <w:spacing w:line="360" w:lineRule="exact"/>
        <w:ind w:firstLine="480" w:firstLineChars="200"/>
        <w:rPr>
          <w:rFonts w:ascii="宋体" w:hAnsi="宋体"/>
          <w:sz w:val="24"/>
        </w:rPr>
      </w:pPr>
      <w:r>
        <w:rPr>
          <w:rFonts w:hint="eastAsia" w:ascii="宋体" w:hAnsi="宋体"/>
          <w:sz w:val="24"/>
        </w:rPr>
        <w:t>法人代表或                             法人代表或</w:t>
      </w:r>
    </w:p>
    <w:p>
      <w:pPr>
        <w:snapToGrid w:val="0"/>
        <w:spacing w:line="360" w:lineRule="exact"/>
        <w:ind w:firstLine="480" w:firstLineChars="200"/>
        <w:rPr>
          <w:rFonts w:ascii="宋体" w:hAnsi="宋体"/>
          <w:sz w:val="24"/>
        </w:rPr>
      </w:pPr>
      <w:r>
        <w:rPr>
          <w:rFonts w:hint="eastAsia" w:ascii="宋体" w:hAnsi="宋体"/>
          <w:sz w:val="24"/>
        </w:rPr>
        <w:t>委托人签字：　　　　　　　　　　 　　  委托人签字：</w:t>
      </w:r>
    </w:p>
    <w:p>
      <w:pPr>
        <w:snapToGrid w:val="0"/>
        <w:spacing w:line="360" w:lineRule="exact"/>
        <w:ind w:firstLine="2160" w:firstLineChars="900"/>
        <w:rPr>
          <w:rFonts w:ascii="宋体" w:hAnsi="宋体"/>
          <w:sz w:val="24"/>
        </w:rPr>
      </w:pPr>
      <w:r>
        <w:rPr>
          <w:rFonts w:hint="eastAsia" w:ascii="宋体" w:hAnsi="宋体"/>
          <w:sz w:val="24"/>
        </w:rPr>
        <w:t>签订日期：     年   月   日</w:t>
      </w:r>
    </w:p>
    <w:p>
      <w:pPr>
        <w:spacing w:line="360" w:lineRule="exact"/>
        <w:jc w:val="center"/>
        <w:rPr>
          <w:rFonts w:ascii="宋体" w:hAnsi="宋体"/>
          <w:bCs/>
          <w:spacing w:val="24"/>
          <w:sz w:val="44"/>
          <w:szCs w:val="44"/>
        </w:rPr>
      </w:pPr>
    </w:p>
    <w:p>
      <w:pPr>
        <w:spacing w:line="500" w:lineRule="exact"/>
        <w:rPr>
          <w:rFonts w:ascii="宋体" w:hAnsi="宋体"/>
          <w:sz w:val="24"/>
        </w:rPr>
      </w:pPr>
    </w:p>
    <w:p>
      <w:pPr>
        <w:pStyle w:val="2"/>
      </w:pPr>
    </w:p>
    <w:p>
      <w:pPr>
        <w:spacing w:line="500" w:lineRule="exact"/>
        <w:rPr>
          <w:rFonts w:ascii="宋体" w:hAnsi="宋体"/>
          <w:sz w:val="24"/>
        </w:rPr>
      </w:pPr>
    </w:p>
    <w:p>
      <w:pPr>
        <w:spacing w:line="500" w:lineRule="exact"/>
        <w:rPr>
          <w:rFonts w:ascii="宋体" w:hAnsi="宋体"/>
          <w:sz w:val="24"/>
        </w:rPr>
      </w:pPr>
      <w:r>
        <w:rPr>
          <w:rFonts w:hint="eastAsia" w:ascii="宋体" w:hAnsi="宋体"/>
          <w:sz w:val="24"/>
        </w:rPr>
        <w:t>附件2：</w:t>
      </w:r>
    </w:p>
    <w:p>
      <w:pPr>
        <w:jc w:val="center"/>
        <w:rPr>
          <w:rFonts w:ascii="宋体" w:hAnsi="宋体"/>
          <w:b/>
          <w:sz w:val="44"/>
          <w:szCs w:val="44"/>
        </w:rPr>
      </w:pPr>
      <w:r>
        <w:rPr>
          <w:rFonts w:hint="eastAsia" w:ascii="宋体" w:hAnsi="宋体"/>
          <w:b/>
          <w:sz w:val="44"/>
          <w:szCs w:val="44"/>
        </w:rPr>
        <w:t>工程质量保修书</w:t>
      </w:r>
    </w:p>
    <w:p>
      <w:pPr>
        <w:snapToGrid w:val="0"/>
        <w:spacing w:line="440" w:lineRule="exact"/>
        <w:ind w:firstLine="480" w:firstLineChars="200"/>
        <w:rPr>
          <w:rFonts w:ascii="宋体" w:hAnsi="宋体"/>
          <w:sz w:val="24"/>
        </w:rPr>
      </w:pPr>
      <w:r>
        <w:rPr>
          <w:rFonts w:hint="eastAsia" w:ascii="宋体" w:hAnsi="宋体"/>
          <w:sz w:val="24"/>
        </w:rPr>
        <w:t>发包人（全称）：</w:t>
      </w:r>
    </w:p>
    <w:p>
      <w:pPr>
        <w:snapToGrid w:val="0"/>
        <w:spacing w:line="440" w:lineRule="exact"/>
        <w:ind w:firstLine="480" w:firstLineChars="200"/>
        <w:rPr>
          <w:rFonts w:ascii="宋体" w:hAnsi="宋体"/>
          <w:sz w:val="24"/>
        </w:rPr>
      </w:pPr>
      <w:r>
        <w:rPr>
          <w:rFonts w:hint="eastAsia" w:ascii="宋体" w:hAnsi="宋体"/>
          <w:sz w:val="24"/>
        </w:rPr>
        <w:t>承包人（全称）：</w:t>
      </w:r>
    </w:p>
    <w:p>
      <w:pPr>
        <w:snapToGrid w:val="0"/>
        <w:spacing w:line="440" w:lineRule="exact"/>
        <w:ind w:firstLine="480" w:firstLineChars="200"/>
        <w:rPr>
          <w:rFonts w:ascii="宋体" w:hAnsi="宋体"/>
          <w:sz w:val="24"/>
        </w:rPr>
      </w:pPr>
      <w:r>
        <w:rPr>
          <w:rFonts w:hint="eastAsia" w:ascii="宋体" w:hAnsi="宋体"/>
          <w:sz w:val="24"/>
        </w:rPr>
        <w:t>发包人和承包人根据《中华人民共和国建筑法》和《建设工程质量管理条例》，经协商一致就</w:t>
      </w:r>
      <w:r>
        <w:rPr>
          <w:rFonts w:hint="eastAsia" w:ascii="宋体" w:hAnsi="宋体"/>
          <w:sz w:val="24"/>
          <w:lang w:eastAsia="zh-CN"/>
        </w:rPr>
        <w:t>湖东街道零星维修项目</w:t>
      </w:r>
      <w:r>
        <w:rPr>
          <w:rFonts w:hint="eastAsia" w:ascii="宋体" w:hAnsi="宋体"/>
          <w:sz w:val="24"/>
        </w:rPr>
        <w:t>（工程全称）签订工程质量保修书。</w:t>
      </w:r>
    </w:p>
    <w:p>
      <w:pPr>
        <w:snapToGrid w:val="0"/>
        <w:spacing w:line="440" w:lineRule="exact"/>
        <w:ind w:firstLine="480"/>
        <w:rPr>
          <w:rFonts w:ascii="宋体" w:hAnsi="宋体"/>
          <w:sz w:val="24"/>
        </w:rPr>
      </w:pPr>
      <w:r>
        <w:rPr>
          <w:rFonts w:hint="eastAsia" w:ascii="宋体" w:hAnsi="宋体"/>
          <w:sz w:val="24"/>
        </w:rPr>
        <w:t>一、工程质量保修范围和内容</w:t>
      </w:r>
    </w:p>
    <w:p>
      <w:pPr>
        <w:snapToGrid w:val="0"/>
        <w:spacing w:line="440" w:lineRule="exact"/>
        <w:ind w:firstLine="480"/>
        <w:rPr>
          <w:rFonts w:ascii="宋体" w:hAnsi="宋体"/>
          <w:sz w:val="24"/>
        </w:rPr>
      </w:pPr>
      <w:r>
        <w:rPr>
          <w:rFonts w:hint="eastAsia" w:ascii="宋体" w:hAnsi="宋体"/>
          <w:sz w:val="24"/>
        </w:rPr>
        <w:t>承包人在质量保修期内，按照有关法律规定和合同约定，承担工程质量保修责任。</w:t>
      </w:r>
    </w:p>
    <w:p>
      <w:pPr>
        <w:snapToGrid w:val="0"/>
        <w:spacing w:line="440" w:lineRule="exact"/>
        <w:ind w:firstLine="480" w:firstLineChars="200"/>
        <w:rPr>
          <w:rFonts w:ascii="宋体" w:hAnsi="宋体"/>
          <w:sz w:val="24"/>
        </w:rPr>
      </w:pPr>
      <w:r>
        <w:rPr>
          <w:rFonts w:hint="eastAsia" w:ascii="宋体" w:hAnsi="宋体"/>
          <w:sz w:val="24"/>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napToGrid w:val="0"/>
        <w:spacing w:line="440" w:lineRule="exact"/>
        <w:ind w:firstLine="480" w:firstLineChars="200"/>
        <w:rPr>
          <w:rFonts w:ascii="宋体" w:hAnsi="宋体"/>
          <w:sz w:val="24"/>
        </w:rPr>
      </w:pPr>
      <w:r>
        <w:rPr>
          <w:rFonts w:hint="eastAsia" w:ascii="宋体" w:hAnsi="宋体"/>
          <w:sz w:val="24"/>
        </w:rPr>
        <w:t>承包人负责施工的所有工程项目，如出现施工质量缺陷或施工质量隐患，承包人必须履行保修义务，特别是出现以下情形(不在承包人承包范围的项目除外)时：</w:t>
      </w:r>
    </w:p>
    <w:p>
      <w:pPr>
        <w:snapToGrid w:val="0"/>
        <w:spacing w:line="440" w:lineRule="exact"/>
        <w:ind w:firstLine="480" w:firstLineChars="200"/>
        <w:rPr>
          <w:rFonts w:ascii="宋体" w:hAnsi="宋体"/>
          <w:sz w:val="24"/>
        </w:rPr>
      </w:pPr>
      <w:r>
        <w:rPr>
          <w:rFonts w:hint="eastAsia" w:ascii="宋体" w:hAnsi="宋体"/>
          <w:sz w:val="24"/>
        </w:rPr>
        <w:t>1、楼地面、墙面渗漏水；</w:t>
      </w:r>
    </w:p>
    <w:p>
      <w:pPr>
        <w:snapToGrid w:val="0"/>
        <w:spacing w:line="440" w:lineRule="exact"/>
        <w:ind w:firstLine="480" w:firstLineChars="200"/>
        <w:rPr>
          <w:rFonts w:ascii="宋体" w:hAnsi="宋体"/>
          <w:sz w:val="24"/>
        </w:rPr>
      </w:pPr>
      <w:r>
        <w:rPr>
          <w:rFonts w:hint="eastAsia" w:ascii="宋体" w:hAnsi="宋体"/>
          <w:sz w:val="24"/>
        </w:rPr>
        <w:t>2、排气孔道、风道和设备管道等管道不通或泄露；</w:t>
      </w:r>
    </w:p>
    <w:p>
      <w:pPr>
        <w:snapToGrid w:val="0"/>
        <w:spacing w:line="440" w:lineRule="exact"/>
        <w:ind w:firstLine="480" w:firstLineChars="200"/>
        <w:rPr>
          <w:rFonts w:ascii="宋体" w:hAnsi="宋体"/>
          <w:sz w:val="24"/>
        </w:rPr>
      </w:pPr>
      <w:r>
        <w:rPr>
          <w:rFonts w:hint="eastAsia" w:ascii="宋体" w:hAnsi="宋体"/>
          <w:sz w:val="24"/>
        </w:rPr>
        <w:t>3、楼地面沉陷、空鼓、开裂、起沙；</w:t>
      </w:r>
    </w:p>
    <w:p>
      <w:pPr>
        <w:snapToGrid w:val="0"/>
        <w:spacing w:line="440" w:lineRule="exact"/>
        <w:ind w:firstLine="480" w:firstLineChars="200"/>
        <w:rPr>
          <w:rFonts w:ascii="宋体" w:hAnsi="宋体"/>
          <w:sz w:val="24"/>
        </w:rPr>
      </w:pPr>
      <w:r>
        <w:rPr>
          <w:rFonts w:hint="eastAsia" w:ascii="宋体" w:hAnsi="宋体"/>
          <w:sz w:val="24"/>
        </w:rPr>
        <w:t>4、内外墙及顶棚抹灰、油漆等装饰面及结合层开裂、脱落，或墙面起碱脱皮；</w:t>
      </w:r>
    </w:p>
    <w:p>
      <w:pPr>
        <w:snapToGrid w:val="0"/>
        <w:spacing w:line="440" w:lineRule="exact"/>
        <w:ind w:firstLine="480" w:firstLineChars="200"/>
        <w:rPr>
          <w:rFonts w:ascii="宋体" w:hAnsi="宋体"/>
          <w:sz w:val="24"/>
        </w:rPr>
      </w:pPr>
      <w:r>
        <w:rPr>
          <w:rFonts w:hint="eastAsia" w:ascii="宋体" w:hAnsi="宋体"/>
          <w:sz w:val="24"/>
        </w:rPr>
        <w:t>5、门窗变形、门窗五金配件及门锁损坏、开启关闭不灵或缝隙超过规范规定及渗漏水等；</w:t>
      </w:r>
    </w:p>
    <w:p>
      <w:pPr>
        <w:snapToGrid w:val="0"/>
        <w:spacing w:line="440" w:lineRule="exact"/>
        <w:ind w:firstLine="480" w:firstLineChars="200"/>
        <w:rPr>
          <w:rFonts w:ascii="宋体" w:hAnsi="宋体"/>
          <w:sz w:val="24"/>
        </w:rPr>
      </w:pPr>
      <w:r>
        <w:rPr>
          <w:rFonts w:ascii="宋体" w:hAnsi="宋体"/>
          <w:sz w:val="24"/>
        </w:rPr>
        <w:t>6、卫生间地面泛水倒坡积水</w:t>
      </w:r>
      <w:r>
        <w:rPr>
          <w:rFonts w:hint="eastAsia" w:ascii="宋体" w:hAnsi="宋体"/>
          <w:sz w:val="24"/>
        </w:rPr>
        <w:t>，</w:t>
      </w:r>
      <w:r>
        <w:rPr>
          <w:rFonts w:ascii="宋体" w:hAnsi="宋体"/>
          <w:sz w:val="24"/>
        </w:rPr>
        <w:t>阳台、露台、走廊、屋面倒坡积水</w:t>
      </w:r>
      <w:r>
        <w:rPr>
          <w:rFonts w:hint="eastAsia" w:ascii="宋体" w:hAnsi="宋体"/>
          <w:sz w:val="24"/>
        </w:rPr>
        <w:t>；</w:t>
      </w:r>
    </w:p>
    <w:p>
      <w:pPr>
        <w:snapToGrid w:val="0"/>
        <w:spacing w:line="440" w:lineRule="exact"/>
        <w:ind w:firstLine="480" w:firstLineChars="200"/>
        <w:rPr>
          <w:rFonts w:ascii="宋体" w:hAnsi="宋体"/>
          <w:sz w:val="24"/>
        </w:rPr>
      </w:pPr>
      <w:r>
        <w:rPr>
          <w:rFonts w:hint="eastAsia" w:ascii="宋体" w:hAnsi="宋体"/>
          <w:sz w:val="24"/>
        </w:rPr>
        <w:t>7、卫生间等有防水要求的部位渗漏水；</w:t>
      </w:r>
    </w:p>
    <w:p>
      <w:pPr>
        <w:snapToGrid w:val="0"/>
        <w:spacing w:line="440" w:lineRule="exact"/>
        <w:ind w:firstLine="480" w:firstLineChars="200"/>
        <w:rPr>
          <w:rFonts w:ascii="宋体" w:hAnsi="宋体"/>
          <w:sz w:val="24"/>
        </w:rPr>
      </w:pPr>
      <w:r>
        <w:rPr>
          <w:rFonts w:hint="eastAsia" w:ascii="宋体" w:hAnsi="宋体"/>
          <w:sz w:val="24"/>
        </w:rPr>
        <w:t>8、室内上下水管道及其他管道渗漏水、堵塞；</w:t>
      </w:r>
    </w:p>
    <w:p>
      <w:pPr>
        <w:snapToGrid w:val="0"/>
        <w:spacing w:line="440" w:lineRule="exact"/>
        <w:ind w:firstLine="480" w:firstLineChars="200"/>
        <w:rPr>
          <w:rFonts w:ascii="宋体" w:hAnsi="宋体"/>
          <w:sz w:val="24"/>
        </w:rPr>
      </w:pPr>
      <w:r>
        <w:rPr>
          <w:rFonts w:hint="eastAsia" w:ascii="宋体" w:hAnsi="宋体"/>
          <w:sz w:val="24"/>
        </w:rPr>
        <w:t>9、强弱电系统不能正常使用，电气设备及开关、插座故障，线路漏电、短路；</w:t>
      </w:r>
    </w:p>
    <w:p>
      <w:pPr>
        <w:snapToGrid w:val="0"/>
        <w:spacing w:line="440" w:lineRule="exact"/>
        <w:ind w:firstLine="480" w:firstLineChars="200"/>
        <w:rPr>
          <w:rFonts w:ascii="宋体" w:hAnsi="宋体"/>
          <w:sz w:val="24"/>
        </w:rPr>
      </w:pPr>
      <w:r>
        <w:rPr>
          <w:rFonts w:hint="eastAsia" w:ascii="宋体" w:hAnsi="宋体"/>
          <w:sz w:val="24"/>
        </w:rPr>
        <w:t>10、钢筋砼、砖石砌体结构及其他承重结构出现变形裂缝；</w:t>
      </w:r>
    </w:p>
    <w:p>
      <w:pPr>
        <w:snapToGrid w:val="0"/>
        <w:spacing w:line="440" w:lineRule="exact"/>
        <w:ind w:firstLine="480" w:firstLineChars="200"/>
        <w:rPr>
          <w:rFonts w:ascii="宋体" w:hAnsi="宋体"/>
          <w:sz w:val="24"/>
        </w:rPr>
      </w:pPr>
      <w:r>
        <w:rPr>
          <w:rFonts w:hint="eastAsia" w:ascii="宋体" w:hAnsi="宋体"/>
          <w:sz w:val="24"/>
        </w:rPr>
        <w:t>11、施工产生的其他质量缺陷。</w:t>
      </w:r>
    </w:p>
    <w:p>
      <w:pPr>
        <w:snapToGrid w:val="0"/>
        <w:spacing w:line="440" w:lineRule="exact"/>
        <w:ind w:firstLine="480" w:firstLineChars="200"/>
        <w:rPr>
          <w:rFonts w:ascii="宋体" w:hAnsi="宋体"/>
          <w:sz w:val="24"/>
        </w:rPr>
      </w:pPr>
      <w:r>
        <w:rPr>
          <w:rFonts w:hint="eastAsia" w:ascii="宋体" w:hAnsi="宋体"/>
          <w:sz w:val="24"/>
        </w:rPr>
        <w:t>二、质量保修期</w:t>
      </w:r>
    </w:p>
    <w:p>
      <w:pPr>
        <w:snapToGrid w:val="0"/>
        <w:spacing w:line="440" w:lineRule="exact"/>
        <w:ind w:firstLine="480" w:firstLineChars="200"/>
        <w:rPr>
          <w:rFonts w:ascii="宋体" w:hAnsi="宋体"/>
          <w:sz w:val="24"/>
        </w:rPr>
      </w:pPr>
      <w:r>
        <w:rPr>
          <w:rFonts w:hint="eastAsia" w:ascii="宋体" w:hAnsi="宋体"/>
          <w:sz w:val="24"/>
        </w:rPr>
        <w:t>根据《建设工程质量管理条例》及有关规定，工程的质量保修期如下：</w:t>
      </w:r>
    </w:p>
    <w:p>
      <w:pPr>
        <w:snapToGrid w:val="0"/>
        <w:spacing w:line="440" w:lineRule="exact"/>
        <w:ind w:firstLine="480" w:firstLineChars="200"/>
        <w:rPr>
          <w:rFonts w:ascii="宋体" w:hAnsi="宋体"/>
          <w:sz w:val="24"/>
        </w:rPr>
      </w:pPr>
      <w:r>
        <w:rPr>
          <w:rFonts w:ascii="宋体" w:hAnsi="宋体"/>
          <w:sz w:val="24"/>
        </w:rPr>
        <w:t>1．地基基础工程和主体结构工程为设计文件规定的工程合理使用年限；</w:t>
      </w:r>
    </w:p>
    <w:p>
      <w:pPr>
        <w:snapToGrid w:val="0"/>
        <w:spacing w:line="440" w:lineRule="exact"/>
        <w:ind w:firstLine="480" w:firstLineChars="200"/>
        <w:rPr>
          <w:rFonts w:ascii="宋体" w:hAnsi="宋体"/>
          <w:sz w:val="24"/>
        </w:rPr>
      </w:pPr>
      <w:r>
        <w:rPr>
          <w:rFonts w:ascii="宋体" w:hAnsi="宋体"/>
          <w:sz w:val="24"/>
        </w:rPr>
        <w:t>2．屋面防水工程、有防水要求的卫生间、房间和外墙面的防渗为 5 </w:t>
      </w:r>
      <w:r>
        <w:rPr>
          <w:rFonts w:hint="eastAsia" w:ascii="宋体" w:hAnsi="宋体"/>
          <w:sz w:val="24"/>
        </w:rPr>
        <w:t>年；</w:t>
      </w:r>
    </w:p>
    <w:p>
      <w:pPr>
        <w:snapToGrid w:val="0"/>
        <w:spacing w:line="440" w:lineRule="exact"/>
        <w:ind w:firstLine="480" w:firstLineChars="200"/>
        <w:rPr>
          <w:rFonts w:ascii="宋体" w:hAnsi="宋体"/>
          <w:sz w:val="24"/>
        </w:rPr>
      </w:pPr>
      <w:r>
        <w:rPr>
          <w:rFonts w:ascii="宋体" w:hAnsi="宋体"/>
          <w:sz w:val="24"/>
        </w:rPr>
        <w:t>3．装修工程为2</w:t>
      </w:r>
      <w:r>
        <w:rPr>
          <w:rFonts w:hint="eastAsia" w:ascii="宋体" w:hAnsi="宋体"/>
          <w:sz w:val="24"/>
        </w:rPr>
        <w:t>年；</w:t>
      </w:r>
    </w:p>
    <w:p>
      <w:pPr>
        <w:snapToGrid w:val="0"/>
        <w:spacing w:line="440" w:lineRule="exact"/>
        <w:ind w:firstLine="480" w:firstLineChars="200"/>
        <w:rPr>
          <w:rFonts w:ascii="宋体" w:hAnsi="宋体"/>
          <w:sz w:val="24"/>
        </w:rPr>
      </w:pPr>
      <w:r>
        <w:rPr>
          <w:rFonts w:ascii="宋体" w:hAnsi="宋体"/>
          <w:sz w:val="24"/>
        </w:rPr>
        <w:t>4．电气管线、给排水管道、设备安装工程为2</w:t>
      </w:r>
      <w:r>
        <w:rPr>
          <w:rFonts w:hint="eastAsia" w:ascii="宋体" w:hAnsi="宋体"/>
          <w:sz w:val="24"/>
        </w:rPr>
        <w:t>年；</w:t>
      </w:r>
    </w:p>
    <w:p>
      <w:pPr>
        <w:snapToGrid w:val="0"/>
        <w:spacing w:line="440" w:lineRule="exact"/>
        <w:ind w:firstLine="480" w:firstLineChars="200"/>
        <w:rPr>
          <w:rFonts w:ascii="宋体" w:hAnsi="宋体"/>
          <w:sz w:val="24"/>
        </w:rPr>
      </w:pPr>
      <w:r>
        <w:rPr>
          <w:rFonts w:ascii="宋体" w:hAnsi="宋体"/>
          <w:sz w:val="24"/>
        </w:rPr>
        <w:t>5．其他项目保修期限约定如下：</w:t>
      </w:r>
    </w:p>
    <w:p>
      <w:pPr>
        <w:snapToGrid w:val="0"/>
        <w:spacing w:line="440" w:lineRule="exact"/>
        <w:ind w:firstLine="480" w:firstLineChars="200"/>
        <w:rPr>
          <w:rFonts w:ascii="宋体" w:hAnsi="宋体"/>
          <w:sz w:val="24"/>
        </w:rPr>
      </w:pPr>
      <w:r>
        <w:rPr>
          <w:rFonts w:ascii="宋体" w:hAnsi="宋体"/>
          <w:sz w:val="24"/>
        </w:rPr>
        <w:t>项目保修期限为2年。</w:t>
      </w:r>
    </w:p>
    <w:p>
      <w:pPr>
        <w:snapToGrid w:val="0"/>
        <w:spacing w:line="440" w:lineRule="exact"/>
        <w:ind w:firstLine="480" w:firstLineChars="200"/>
        <w:rPr>
          <w:rFonts w:ascii="宋体" w:hAnsi="宋体"/>
          <w:sz w:val="24"/>
        </w:rPr>
      </w:pPr>
      <w:r>
        <w:rPr>
          <w:rFonts w:hint="eastAsia" w:ascii="宋体" w:hAnsi="宋体"/>
          <w:sz w:val="24"/>
        </w:rPr>
        <w:t>质量保修期自工程竣工验收合格之日起计算。</w:t>
      </w:r>
    </w:p>
    <w:p>
      <w:pPr>
        <w:snapToGrid w:val="0"/>
        <w:spacing w:line="440" w:lineRule="exact"/>
        <w:ind w:firstLine="480" w:firstLineChars="200"/>
        <w:rPr>
          <w:rFonts w:ascii="宋体" w:hAnsi="宋体"/>
          <w:sz w:val="24"/>
        </w:rPr>
      </w:pPr>
      <w:r>
        <w:rPr>
          <w:rFonts w:hint="eastAsia" w:ascii="宋体" w:hAnsi="宋体"/>
          <w:sz w:val="24"/>
        </w:rPr>
        <w:t>三、缺陷责任期</w:t>
      </w:r>
    </w:p>
    <w:p>
      <w:pPr>
        <w:snapToGrid w:val="0"/>
        <w:spacing w:line="440" w:lineRule="exact"/>
        <w:ind w:firstLine="480" w:firstLineChars="200"/>
        <w:rPr>
          <w:rFonts w:ascii="宋体" w:hAnsi="宋体"/>
          <w:sz w:val="24"/>
        </w:rPr>
      </w:pPr>
      <w:r>
        <w:rPr>
          <w:rFonts w:hint="eastAsia" w:ascii="宋体" w:hAnsi="宋体"/>
          <w:sz w:val="24"/>
        </w:rPr>
        <w:t>工程缺陷责任期为</w:t>
      </w:r>
      <w:r>
        <w:rPr>
          <w:rFonts w:ascii="宋体" w:hAnsi="宋体"/>
          <w:sz w:val="24"/>
        </w:rPr>
        <w:t>24</w:t>
      </w:r>
      <w:r>
        <w:rPr>
          <w:rFonts w:hint="eastAsia" w:ascii="宋体" w:hAnsi="宋体"/>
          <w:sz w:val="24"/>
        </w:rPr>
        <w:t>个月，缺陷责任期自工程竣工验收合格之日起计算。单位工程先于全部工程进行验收，单位工程缺陷责任期自单位工程验收合格之日起算。</w:t>
      </w:r>
    </w:p>
    <w:p>
      <w:pPr>
        <w:snapToGrid w:val="0"/>
        <w:spacing w:line="440" w:lineRule="exact"/>
        <w:ind w:firstLine="480" w:firstLineChars="200"/>
        <w:rPr>
          <w:rFonts w:ascii="宋体" w:hAnsi="宋体"/>
          <w:sz w:val="24"/>
        </w:rPr>
      </w:pPr>
      <w:r>
        <w:rPr>
          <w:rFonts w:hint="eastAsia" w:ascii="宋体" w:hAnsi="宋体"/>
          <w:sz w:val="24"/>
        </w:rPr>
        <w:t>缺陷责任期终止后，发包人应退还剩余的质量保证金。</w:t>
      </w:r>
    </w:p>
    <w:p>
      <w:pPr>
        <w:snapToGrid w:val="0"/>
        <w:spacing w:line="440" w:lineRule="exact"/>
        <w:ind w:firstLine="480" w:firstLineChars="200"/>
        <w:rPr>
          <w:rFonts w:ascii="宋体" w:hAnsi="宋体"/>
          <w:sz w:val="24"/>
        </w:rPr>
      </w:pPr>
      <w:r>
        <w:rPr>
          <w:rFonts w:ascii="宋体" w:hAnsi="宋体"/>
          <w:sz w:val="24"/>
        </w:rPr>
        <w:t>四、质量保修责任</w:t>
      </w:r>
    </w:p>
    <w:p>
      <w:pPr>
        <w:snapToGrid w:val="0"/>
        <w:spacing w:line="440" w:lineRule="exact"/>
        <w:ind w:firstLine="480" w:firstLineChars="200"/>
        <w:rPr>
          <w:rFonts w:ascii="宋体" w:hAnsi="宋体"/>
          <w:sz w:val="24"/>
        </w:rPr>
      </w:pPr>
      <w:r>
        <w:rPr>
          <w:rFonts w:ascii="宋体" w:hAnsi="宋体"/>
          <w:sz w:val="24"/>
        </w:rPr>
        <w:t>1</w:t>
      </w:r>
      <w:r>
        <w:rPr>
          <w:rFonts w:hint="eastAsia" w:ascii="宋体" w:hAnsi="宋体"/>
          <w:sz w:val="24"/>
        </w:rPr>
        <w:t>．属于保修范围、内容的项目，承包人应当在接到保修通知之日起7天内派人保修。承包人不在约定期限内派人保修的，发包人可以委托他人修理。</w:t>
      </w:r>
    </w:p>
    <w:p>
      <w:pPr>
        <w:snapToGrid w:val="0"/>
        <w:spacing w:line="440" w:lineRule="exact"/>
        <w:ind w:firstLine="480" w:firstLineChars="200"/>
        <w:rPr>
          <w:rFonts w:ascii="宋体" w:hAnsi="宋体"/>
          <w:sz w:val="24"/>
        </w:rPr>
      </w:pPr>
      <w:r>
        <w:rPr>
          <w:rFonts w:ascii="宋体" w:hAnsi="宋体"/>
          <w:sz w:val="24"/>
        </w:rPr>
        <w:t>2</w:t>
      </w:r>
      <w:r>
        <w:rPr>
          <w:rFonts w:hint="eastAsia" w:ascii="宋体" w:hAnsi="宋体"/>
          <w:sz w:val="24"/>
        </w:rPr>
        <w:t>．发生紧急事故需抢修的，承包人在接到事故通知后，应当立即到达事故现场抢修。</w:t>
      </w:r>
    </w:p>
    <w:p>
      <w:pPr>
        <w:snapToGrid w:val="0"/>
        <w:spacing w:line="440" w:lineRule="exact"/>
        <w:ind w:firstLine="480" w:firstLineChars="200"/>
        <w:rPr>
          <w:rFonts w:ascii="宋体" w:hAnsi="宋体"/>
          <w:sz w:val="24"/>
        </w:rPr>
      </w:pPr>
      <w:r>
        <w:rPr>
          <w:rFonts w:ascii="宋体" w:hAnsi="宋体"/>
          <w:sz w:val="24"/>
        </w:rPr>
        <w:t>3</w:t>
      </w:r>
      <w:r>
        <w:rPr>
          <w:rFonts w:hint="eastAsia" w:ascii="宋体" w:hAnsi="宋体"/>
          <w:sz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napToGrid w:val="0"/>
        <w:spacing w:line="440" w:lineRule="exact"/>
        <w:ind w:firstLine="480" w:firstLineChars="200"/>
        <w:rPr>
          <w:rFonts w:ascii="宋体" w:hAnsi="宋体"/>
          <w:sz w:val="24"/>
        </w:rPr>
      </w:pPr>
      <w:r>
        <w:rPr>
          <w:rFonts w:ascii="宋体" w:hAnsi="宋体"/>
          <w:sz w:val="24"/>
        </w:rPr>
        <w:t>4</w:t>
      </w:r>
      <w:r>
        <w:rPr>
          <w:rFonts w:hint="eastAsia" w:ascii="宋体" w:hAnsi="宋体"/>
          <w:sz w:val="24"/>
        </w:rPr>
        <w:t>．质量保修完成后，由发包人组织验收。</w:t>
      </w:r>
    </w:p>
    <w:p>
      <w:pPr>
        <w:snapToGrid w:val="0"/>
        <w:spacing w:line="440" w:lineRule="exact"/>
        <w:ind w:firstLine="480" w:firstLineChars="200"/>
        <w:rPr>
          <w:rFonts w:ascii="宋体" w:hAnsi="宋体"/>
          <w:sz w:val="24"/>
        </w:rPr>
      </w:pPr>
      <w:r>
        <w:rPr>
          <w:rFonts w:hint="eastAsia" w:ascii="宋体" w:hAnsi="宋体"/>
          <w:sz w:val="24"/>
        </w:rPr>
        <w:t>五、保修费用</w:t>
      </w:r>
    </w:p>
    <w:p>
      <w:pPr>
        <w:snapToGrid w:val="0"/>
        <w:spacing w:line="440" w:lineRule="exact"/>
        <w:ind w:firstLine="480" w:firstLineChars="200"/>
        <w:rPr>
          <w:rFonts w:ascii="宋体" w:hAnsi="宋体"/>
          <w:sz w:val="24"/>
        </w:rPr>
      </w:pPr>
      <w:r>
        <w:rPr>
          <w:rFonts w:hint="eastAsia" w:ascii="宋体" w:hAnsi="宋体"/>
          <w:sz w:val="24"/>
        </w:rPr>
        <w:t>保修费用由造成质量缺陷的责任方承担。</w:t>
      </w:r>
    </w:p>
    <w:p>
      <w:pPr>
        <w:snapToGrid w:val="0"/>
        <w:spacing w:line="440" w:lineRule="exact"/>
        <w:ind w:firstLine="480" w:firstLineChars="200"/>
        <w:rPr>
          <w:rFonts w:ascii="宋体" w:hAnsi="宋体"/>
          <w:sz w:val="24"/>
        </w:rPr>
      </w:pPr>
      <w:r>
        <w:rPr>
          <w:rFonts w:hint="eastAsia" w:ascii="宋体" w:hAnsi="宋体"/>
          <w:sz w:val="24"/>
        </w:rPr>
        <w:t>六、双方约定的其他工程质量保修事项：</w:t>
      </w:r>
      <w:r>
        <w:rPr>
          <w:rFonts w:ascii="宋体" w:hAnsi="宋体"/>
          <w:sz w:val="24"/>
          <w:u w:val="single"/>
        </w:rPr>
        <w:t>/ </w:t>
      </w:r>
      <w:r>
        <w:rPr>
          <w:rFonts w:hint="eastAsia" w:ascii="宋体" w:hAnsi="宋体"/>
          <w:sz w:val="24"/>
        </w:rPr>
        <w:t>。</w:t>
      </w:r>
    </w:p>
    <w:p>
      <w:pPr>
        <w:snapToGrid w:val="0"/>
        <w:spacing w:line="440" w:lineRule="exact"/>
        <w:ind w:firstLine="480" w:firstLineChars="200"/>
        <w:rPr>
          <w:rFonts w:ascii="宋体" w:hAnsi="宋体"/>
          <w:sz w:val="24"/>
        </w:rPr>
      </w:pPr>
      <w:r>
        <w:rPr>
          <w:rFonts w:hint="eastAsia" w:ascii="宋体" w:hAnsi="宋体"/>
          <w:sz w:val="24"/>
        </w:rPr>
        <w:t>工程质量保修书由发包人、承包人在工程竣工验收前共同签署，作为施工合同附件，其有效期限至保修期满。</w:t>
      </w:r>
    </w:p>
    <w:p>
      <w:pPr>
        <w:snapToGrid w:val="0"/>
        <w:spacing w:line="440" w:lineRule="exact"/>
        <w:ind w:firstLine="480" w:firstLineChars="200"/>
        <w:rPr>
          <w:rFonts w:ascii="宋体" w:hAnsi="宋体"/>
          <w:sz w:val="24"/>
        </w:rPr>
      </w:pPr>
      <w:r>
        <w:rPr>
          <w:rFonts w:ascii="宋体" w:hAnsi="宋体"/>
          <w:sz w:val="24"/>
        </w:rPr>
        <w:t> </w:t>
      </w:r>
    </w:p>
    <w:p>
      <w:pPr>
        <w:snapToGrid w:val="0"/>
        <w:spacing w:line="440" w:lineRule="exact"/>
        <w:ind w:firstLine="480" w:firstLineChars="200"/>
        <w:rPr>
          <w:rFonts w:ascii="宋体" w:hAnsi="宋体"/>
          <w:sz w:val="24"/>
        </w:rPr>
      </w:pPr>
      <w:r>
        <w:rPr>
          <w:rFonts w:hint="eastAsia" w:ascii="宋体" w:hAnsi="宋体"/>
          <w:sz w:val="24"/>
        </w:rPr>
        <w:t>发包人(公章)：</w:t>
      </w:r>
      <w:r>
        <w:rPr>
          <w:rFonts w:ascii="宋体" w:hAnsi="宋体"/>
          <w:sz w:val="24"/>
        </w:rPr>
        <w:t> </w:t>
      </w:r>
      <w:r>
        <w:rPr>
          <w:rFonts w:hint="eastAsia" w:ascii="宋体" w:hAnsi="宋体" w:cs="宋体"/>
          <w:sz w:val="24"/>
        </w:rPr>
        <w:t xml:space="preserve">             </w:t>
      </w:r>
      <w:r>
        <w:rPr>
          <w:rFonts w:ascii="宋体" w:hAnsi="宋体"/>
          <w:sz w:val="24"/>
        </w:rPr>
        <w:t>承包人(公章)：</w:t>
      </w:r>
      <w:r>
        <w:rPr>
          <w:rFonts w:hint="eastAsia" w:ascii="宋体" w:hAnsi="宋体"/>
          <w:sz w:val="24"/>
        </w:rPr>
        <w:t>           </w:t>
      </w:r>
    </w:p>
    <w:p>
      <w:pPr>
        <w:snapToGrid w:val="0"/>
        <w:spacing w:line="440" w:lineRule="exact"/>
        <w:ind w:firstLine="480" w:firstLineChars="200"/>
        <w:rPr>
          <w:rFonts w:ascii="宋体" w:hAnsi="宋体"/>
          <w:sz w:val="24"/>
        </w:rPr>
      </w:pPr>
      <w:r>
        <w:rPr>
          <w:rFonts w:hint="eastAsia" w:ascii="宋体" w:hAnsi="宋体"/>
          <w:sz w:val="24"/>
        </w:rPr>
        <w:t>地  址：           地  址：  </w:t>
      </w:r>
    </w:p>
    <w:p>
      <w:pPr>
        <w:snapToGrid w:val="0"/>
        <w:spacing w:line="440" w:lineRule="exact"/>
        <w:ind w:firstLine="480" w:firstLineChars="200"/>
        <w:rPr>
          <w:rFonts w:ascii="宋体" w:hAnsi="宋体"/>
          <w:sz w:val="24"/>
        </w:rPr>
      </w:pPr>
      <w:r>
        <w:rPr>
          <w:rFonts w:hint="eastAsia" w:ascii="宋体" w:hAnsi="宋体"/>
          <w:sz w:val="24"/>
        </w:rPr>
        <w:t>法定代表人(签字)：</w:t>
      </w:r>
      <w:r>
        <w:rPr>
          <w:rFonts w:hint="eastAsia" w:ascii="宋体" w:hAnsi="宋体" w:cs="宋体"/>
          <w:sz w:val="24"/>
        </w:rPr>
        <w:t>      </w:t>
      </w:r>
      <w:r>
        <w:rPr>
          <w:rFonts w:ascii="宋体" w:hAnsi="宋体"/>
          <w:sz w:val="24"/>
        </w:rPr>
        <w:t>法定代表人(签字)：</w:t>
      </w:r>
      <w:r>
        <w:rPr>
          <w:rFonts w:hint="eastAsia" w:ascii="宋体" w:hAnsi="宋体" w:cs="宋体"/>
          <w:sz w:val="24"/>
        </w:rPr>
        <w:t>        </w:t>
      </w:r>
    </w:p>
    <w:p>
      <w:pPr>
        <w:snapToGrid w:val="0"/>
        <w:spacing w:line="440" w:lineRule="exact"/>
        <w:ind w:firstLine="480" w:firstLineChars="200"/>
        <w:rPr>
          <w:rFonts w:ascii="宋体" w:hAnsi="宋体"/>
          <w:sz w:val="24"/>
        </w:rPr>
      </w:pPr>
      <w:r>
        <w:rPr>
          <w:rFonts w:hint="eastAsia" w:ascii="宋体" w:hAnsi="宋体"/>
          <w:sz w:val="24"/>
        </w:rPr>
        <w:t>委托代理人(签字)：</w:t>
      </w:r>
      <w:r>
        <w:rPr>
          <w:rFonts w:hint="eastAsia" w:ascii="宋体" w:hAnsi="宋体" w:cs="宋体"/>
          <w:sz w:val="24"/>
        </w:rPr>
        <w:t>      </w:t>
      </w:r>
      <w:r>
        <w:rPr>
          <w:rFonts w:ascii="宋体" w:hAnsi="宋体"/>
          <w:sz w:val="24"/>
        </w:rPr>
        <w:t>委托代理人(签字)：</w:t>
      </w:r>
      <w:r>
        <w:rPr>
          <w:rFonts w:hint="eastAsia" w:ascii="宋体" w:hAnsi="宋体" w:cs="宋体"/>
          <w:sz w:val="24"/>
        </w:rPr>
        <w:t>         </w:t>
      </w:r>
    </w:p>
    <w:p>
      <w:pPr>
        <w:snapToGrid w:val="0"/>
        <w:spacing w:line="440" w:lineRule="exact"/>
        <w:ind w:firstLine="480" w:firstLineChars="200"/>
        <w:rPr>
          <w:rFonts w:ascii="宋体" w:hAnsi="宋体"/>
          <w:sz w:val="24"/>
        </w:rPr>
      </w:pPr>
      <w:r>
        <w:rPr>
          <w:rFonts w:hint="eastAsia" w:ascii="宋体" w:hAnsi="宋体"/>
          <w:sz w:val="24"/>
        </w:rPr>
        <w:t>电  话：</w:t>
      </w:r>
      <w:r>
        <w:rPr>
          <w:rFonts w:hint="eastAsia" w:ascii="宋体" w:hAnsi="宋体" w:cs="宋体"/>
          <w:sz w:val="24"/>
        </w:rPr>
        <w:t>   </w:t>
      </w:r>
      <w:r>
        <w:rPr>
          <w:rFonts w:ascii="宋体" w:hAnsi="宋体"/>
          <w:sz w:val="24"/>
        </w:rPr>
        <w:t>电  话：</w:t>
      </w:r>
      <w:r>
        <w:rPr>
          <w:rFonts w:hint="eastAsia" w:ascii="宋体" w:hAnsi="宋体" w:cs="宋体"/>
          <w:sz w:val="24"/>
        </w:rPr>
        <w:t>     </w:t>
      </w:r>
      <w:r>
        <w:rPr>
          <w:rFonts w:hint="eastAsia" w:ascii="宋体" w:hAnsi="宋体"/>
          <w:sz w:val="24"/>
        </w:rPr>
        <w:t>    </w:t>
      </w:r>
      <w:r>
        <w:rPr>
          <w:rFonts w:ascii="宋体" w:hAnsi="宋体"/>
          <w:sz w:val="24"/>
        </w:rPr>
        <w:t> </w:t>
      </w:r>
    </w:p>
    <w:p>
      <w:pPr>
        <w:snapToGrid w:val="0"/>
        <w:spacing w:line="440" w:lineRule="exact"/>
        <w:ind w:firstLine="480" w:firstLineChars="200"/>
        <w:rPr>
          <w:rFonts w:ascii="宋体" w:hAnsi="宋体"/>
          <w:sz w:val="24"/>
        </w:rPr>
      </w:pPr>
      <w:r>
        <w:rPr>
          <w:rFonts w:hint="eastAsia" w:ascii="宋体" w:hAnsi="宋体"/>
          <w:sz w:val="24"/>
        </w:rPr>
        <w:t>传  真：</w:t>
      </w:r>
      <w:r>
        <w:rPr>
          <w:rFonts w:hint="eastAsia" w:ascii="宋体" w:hAnsi="宋体" w:cs="宋体"/>
          <w:sz w:val="24"/>
        </w:rPr>
        <w:t>   </w:t>
      </w:r>
      <w:r>
        <w:rPr>
          <w:rFonts w:ascii="宋体" w:hAnsi="宋体"/>
          <w:sz w:val="24"/>
        </w:rPr>
        <w:t>传  真：</w:t>
      </w:r>
      <w:r>
        <w:rPr>
          <w:rFonts w:hint="eastAsia" w:ascii="宋体" w:hAnsi="宋体" w:cs="宋体"/>
          <w:sz w:val="24"/>
        </w:rPr>
        <w:t>        </w:t>
      </w:r>
      <w:r>
        <w:rPr>
          <w:rFonts w:hint="eastAsia" w:ascii="宋体" w:hAnsi="宋体"/>
          <w:sz w:val="24"/>
        </w:rPr>
        <w:t>    </w:t>
      </w:r>
      <w:r>
        <w:rPr>
          <w:rFonts w:ascii="宋体" w:hAnsi="宋体"/>
          <w:sz w:val="24"/>
        </w:rPr>
        <w:t> </w:t>
      </w:r>
    </w:p>
    <w:p>
      <w:pPr>
        <w:snapToGrid w:val="0"/>
        <w:spacing w:line="440" w:lineRule="exact"/>
        <w:ind w:firstLine="480" w:firstLineChars="200"/>
        <w:rPr>
          <w:rFonts w:ascii="宋体" w:hAnsi="宋体"/>
          <w:sz w:val="24"/>
        </w:rPr>
      </w:pPr>
      <w:r>
        <w:rPr>
          <w:rFonts w:hint="eastAsia" w:ascii="宋体" w:hAnsi="宋体"/>
          <w:sz w:val="24"/>
        </w:rPr>
        <w:t>开户银行：</w:t>
      </w:r>
      <w:r>
        <w:rPr>
          <w:rFonts w:hint="eastAsia" w:ascii="宋体" w:hAnsi="宋体" w:cs="宋体"/>
          <w:sz w:val="24"/>
        </w:rPr>
        <w:t>   </w:t>
      </w:r>
      <w:r>
        <w:rPr>
          <w:rFonts w:ascii="宋体" w:hAnsi="宋体"/>
          <w:sz w:val="24"/>
        </w:rPr>
        <w:t>开户银行：    </w:t>
      </w:r>
    </w:p>
    <w:p>
      <w:pPr>
        <w:snapToGrid w:val="0"/>
        <w:spacing w:line="440" w:lineRule="exact"/>
        <w:ind w:firstLine="480" w:firstLineChars="200"/>
        <w:rPr>
          <w:rFonts w:ascii="宋体" w:hAnsi="宋体"/>
          <w:sz w:val="24"/>
        </w:rPr>
      </w:pPr>
      <w:r>
        <w:rPr>
          <w:rFonts w:hint="eastAsia" w:ascii="宋体" w:hAnsi="宋体"/>
          <w:sz w:val="24"/>
        </w:rPr>
        <w:t>账  号：</w:t>
      </w:r>
      <w:r>
        <w:rPr>
          <w:rFonts w:hint="eastAsia" w:ascii="宋体" w:hAnsi="宋体" w:cs="宋体"/>
          <w:sz w:val="24"/>
        </w:rPr>
        <w:t xml:space="preserve">     </w:t>
      </w:r>
      <w:r>
        <w:rPr>
          <w:rFonts w:ascii="宋体" w:hAnsi="宋体"/>
          <w:sz w:val="24"/>
        </w:rPr>
        <w:t> </w:t>
      </w:r>
      <w:r>
        <w:rPr>
          <w:rFonts w:hint="eastAsia" w:ascii="宋体" w:hAnsi="宋体"/>
          <w:sz w:val="24"/>
        </w:rPr>
        <w:t>账</w:t>
      </w:r>
      <w:r>
        <w:rPr>
          <w:rFonts w:ascii="宋体" w:hAnsi="宋体"/>
          <w:sz w:val="24"/>
        </w:rPr>
        <w:t> 号：</w:t>
      </w:r>
      <w:r>
        <w:rPr>
          <w:rFonts w:hint="eastAsia" w:ascii="宋体" w:hAnsi="宋体" w:cs="宋体"/>
          <w:sz w:val="24"/>
        </w:rPr>
        <w:t>                </w:t>
      </w:r>
    </w:p>
    <w:p>
      <w:pPr>
        <w:snapToGrid w:val="0"/>
        <w:spacing w:line="440" w:lineRule="exact"/>
        <w:ind w:firstLine="480" w:firstLineChars="200"/>
        <w:rPr>
          <w:rFonts w:ascii="宋体" w:hAnsi="宋体"/>
          <w:sz w:val="24"/>
        </w:rPr>
      </w:pPr>
      <w:r>
        <w:rPr>
          <w:rFonts w:hint="eastAsia" w:ascii="宋体" w:hAnsi="宋体"/>
          <w:sz w:val="24"/>
        </w:rPr>
        <w:t>邮政编码：</w:t>
      </w:r>
      <w:r>
        <w:rPr>
          <w:rFonts w:ascii="宋体" w:hAnsi="宋体"/>
          <w:sz w:val="24"/>
        </w:rPr>
        <w:t> </w:t>
      </w:r>
      <w:r>
        <w:rPr>
          <w:rFonts w:hint="eastAsia" w:ascii="宋体" w:hAnsi="宋体" w:cs="宋体"/>
          <w:sz w:val="24"/>
        </w:rPr>
        <w:t>    </w:t>
      </w:r>
      <w:r>
        <w:rPr>
          <w:rFonts w:ascii="宋体" w:hAnsi="宋体"/>
          <w:sz w:val="24"/>
        </w:rPr>
        <w:t>邮政编码：</w:t>
      </w:r>
      <w:r>
        <w:rPr>
          <w:rFonts w:hint="eastAsia" w:ascii="宋体" w:hAnsi="宋体" w:cs="宋体"/>
          <w:sz w:val="24"/>
        </w:rPr>
        <w:t>               </w:t>
      </w:r>
    </w:p>
    <w:p>
      <w:pPr>
        <w:spacing w:line="500" w:lineRule="exact"/>
        <w:rPr>
          <w:rFonts w:hint="eastAsia" w:ascii="宋体" w:hAnsi="宋体"/>
          <w:sz w:val="24"/>
        </w:rPr>
      </w:pPr>
    </w:p>
    <w:p>
      <w:pPr>
        <w:spacing w:line="500" w:lineRule="exact"/>
        <w:rPr>
          <w:rFonts w:ascii="宋体" w:hAnsi="宋体"/>
          <w:sz w:val="24"/>
        </w:rPr>
      </w:pPr>
      <w:r>
        <w:rPr>
          <w:rFonts w:hint="eastAsia" w:ascii="宋体" w:hAnsi="宋体"/>
          <w:sz w:val="24"/>
        </w:rPr>
        <w:t>附件3：</w:t>
      </w:r>
    </w:p>
    <w:p>
      <w:pPr>
        <w:jc w:val="center"/>
        <w:rPr>
          <w:rFonts w:ascii="宋体" w:hAnsi="宋体"/>
          <w:b/>
          <w:sz w:val="44"/>
          <w:szCs w:val="44"/>
        </w:rPr>
      </w:pPr>
      <w:r>
        <w:rPr>
          <w:rFonts w:hint="eastAsia" w:ascii="宋体" w:hAnsi="宋体"/>
          <w:b/>
          <w:sz w:val="44"/>
          <w:szCs w:val="44"/>
        </w:rPr>
        <w:t>安全生产合同</w:t>
      </w:r>
    </w:p>
    <w:p>
      <w:pPr>
        <w:snapToGrid w:val="0"/>
        <w:spacing w:line="460" w:lineRule="exact"/>
        <w:ind w:firstLine="480" w:firstLineChars="200"/>
        <w:rPr>
          <w:rFonts w:ascii="宋体" w:hAnsi="宋体"/>
          <w:sz w:val="24"/>
        </w:rPr>
      </w:pPr>
      <w:r>
        <w:rPr>
          <w:rFonts w:hint="eastAsia" w:ascii="宋体" w:hAnsi="宋体"/>
          <w:sz w:val="24"/>
        </w:rPr>
        <w:t>发包人（全称）：</w:t>
      </w:r>
    </w:p>
    <w:p>
      <w:pPr>
        <w:snapToGrid w:val="0"/>
        <w:spacing w:line="460" w:lineRule="exact"/>
        <w:ind w:firstLine="480" w:firstLineChars="200"/>
        <w:rPr>
          <w:rFonts w:ascii="宋体" w:hAnsi="宋体"/>
          <w:sz w:val="24"/>
        </w:rPr>
      </w:pPr>
      <w:r>
        <w:rPr>
          <w:rFonts w:hint="eastAsia" w:ascii="宋体" w:hAnsi="宋体"/>
          <w:sz w:val="24"/>
        </w:rPr>
        <w:t>承包人（全称）：</w:t>
      </w:r>
    </w:p>
    <w:p>
      <w:pPr>
        <w:snapToGrid w:val="0"/>
        <w:spacing w:line="460" w:lineRule="exact"/>
        <w:ind w:firstLine="480" w:firstLineChars="200"/>
        <w:rPr>
          <w:rFonts w:ascii="宋体" w:hAnsi="宋体"/>
          <w:sz w:val="24"/>
        </w:rPr>
      </w:pPr>
      <w:r>
        <w:rPr>
          <w:rFonts w:hint="eastAsia" w:ascii="宋体" w:hAnsi="宋体"/>
          <w:sz w:val="24"/>
        </w:rPr>
        <w:t>为在</w:t>
      </w:r>
      <w:r>
        <w:rPr>
          <w:rFonts w:hint="eastAsia" w:ascii="宋体" w:hAnsi="宋体"/>
          <w:sz w:val="24"/>
          <w:lang w:eastAsia="zh-CN"/>
        </w:rPr>
        <w:t>湖东街道零星维修项目</w:t>
      </w:r>
      <w:r>
        <w:rPr>
          <w:rFonts w:hint="eastAsia" w:ascii="宋体" w:hAnsi="宋体"/>
          <w:sz w:val="24"/>
        </w:rPr>
        <w:t>合同的实施过程中创造安全、高效的施工环境，实搞好本项目的安全管理工作，本项目发包人与承包人特签订本安全生产合同：</w:t>
      </w:r>
    </w:p>
    <w:p>
      <w:pPr>
        <w:snapToGrid w:val="0"/>
        <w:spacing w:line="460" w:lineRule="exact"/>
        <w:ind w:firstLine="480" w:firstLineChars="200"/>
        <w:rPr>
          <w:rFonts w:ascii="宋体" w:hAnsi="宋体"/>
          <w:sz w:val="24"/>
        </w:rPr>
      </w:pPr>
      <w:r>
        <w:rPr>
          <w:rFonts w:hint="eastAsia" w:ascii="宋体" w:hAnsi="宋体"/>
          <w:sz w:val="24"/>
        </w:rPr>
        <w:t>一、发包人职责</w:t>
      </w:r>
    </w:p>
    <w:p>
      <w:pPr>
        <w:snapToGrid w:val="0"/>
        <w:spacing w:line="460" w:lineRule="exact"/>
        <w:ind w:firstLine="480" w:firstLineChars="200"/>
        <w:rPr>
          <w:rFonts w:ascii="宋体" w:hAnsi="宋体"/>
          <w:sz w:val="24"/>
        </w:rPr>
      </w:pPr>
      <w:r>
        <w:rPr>
          <w:rFonts w:hint="eastAsia" w:ascii="宋体" w:hAnsi="宋体"/>
          <w:sz w:val="24"/>
        </w:rPr>
        <w:t>1、严格遵守国家有关安全生产的法律法规，认真执行工程承包合同中的有关安全要求。</w:t>
      </w:r>
    </w:p>
    <w:p>
      <w:pPr>
        <w:snapToGrid w:val="0"/>
        <w:spacing w:line="460" w:lineRule="exact"/>
        <w:ind w:firstLine="480" w:firstLineChars="200"/>
        <w:rPr>
          <w:rFonts w:ascii="宋体" w:hAnsi="宋体"/>
          <w:sz w:val="24"/>
        </w:rPr>
      </w:pPr>
      <w:r>
        <w:rPr>
          <w:rFonts w:hint="eastAsia" w:ascii="宋体" w:hAnsi="宋体"/>
          <w:sz w:val="24"/>
        </w:rPr>
        <w:t>2、按照“安全第一、预防为主”和坚持“管生产必须管安全”的原则进行安全生产管理。</w:t>
      </w:r>
    </w:p>
    <w:p>
      <w:pPr>
        <w:snapToGrid w:val="0"/>
        <w:spacing w:line="460" w:lineRule="exact"/>
        <w:ind w:firstLine="480" w:firstLineChars="200"/>
        <w:rPr>
          <w:rFonts w:ascii="宋体" w:hAnsi="宋体"/>
          <w:sz w:val="24"/>
        </w:rPr>
      </w:pPr>
      <w:r>
        <w:rPr>
          <w:rFonts w:hint="eastAsia" w:ascii="宋体" w:hAnsi="宋体"/>
          <w:sz w:val="24"/>
        </w:rPr>
        <w:t>3、组织对承包人施工现场安全生产检查，监督承包人及时处理发现的各种安全隐患。</w:t>
      </w:r>
    </w:p>
    <w:p>
      <w:pPr>
        <w:snapToGrid w:val="0"/>
        <w:spacing w:line="460" w:lineRule="exact"/>
        <w:ind w:firstLine="480" w:firstLineChars="200"/>
        <w:rPr>
          <w:rFonts w:ascii="宋体" w:hAnsi="宋体"/>
          <w:sz w:val="24"/>
        </w:rPr>
      </w:pPr>
      <w:r>
        <w:rPr>
          <w:rFonts w:hint="eastAsia" w:ascii="宋体" w:hAnsi="宋体"/>
          <w:sz w:val="24"/>
        </w:rPr>
        <w:t>二、承包人职责</w:t>
      </w:r>
    </w:p>
    <w:p>
      <w:pPr>
        <w:snapToGrid w:val="0"/>
        <w:spacing w:line="460" w:lineRule="exact"/>
        <w:ind w:firstLine="480" w:firstLineChars="200"/>
        <w:rPr>
          <w:rFonts w:ascii="宋体" w:hAnsi="宋体"/>
          <w:sz w:val="24"/>
        </w:rPr>
      </w:pPr>
      <w:r>
        <w:rPr>
          <w:rFonts w:hint="eastAsia" w:ascii="宋体" w:hAnsi="宋体"/>
          <w:sz w:val="24"/>
        </w:rPr>
        <w:t>1、严格遵守国家有关安全生产的法律法规和有关安全生产的规定，认真执行工程承包合同中的有关安全要求。</w:t>
      </w:r>
    </w:p>
    <w:p>
      <w:pPr>
        <w:snapToGrid w:val="0"/>
        <w:spacing w:line="460" w:lineRule="exact"/>
        <w:ind w:firstLine="480" w:firstLineChars="200"/>
        <w:rPr>
          <w:rFonts w:ascii="宋体" w:hAnsi="宋体"/>
          <w:sz w:val="24"/>
        </w:rPr>
      </w:pPr>
      <w:r>
        <w:rPr>
          <w:rFonts w:hint="eastAsia" w:ascii="宋体" w:hAnsi="宋体"/>
          <w:sz w:val="24"/>
        </w:rPr>
        <w:t>2、坚持 “安全第一、预防为主”和坚持“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snapToGrid w:val="0"/>
        <w:spacing w:line="460" w:lineRule="exact"/>
        <w:ind w:firstLine="480" w:firstLineChars="200"/>
        <w:rPr>
          <w:rFonts w:ascii="宋体" w:hAnsi="宋体"/>
          <w:sz w:val="24"/>
        </w:rPr>
      </w:pPr>
      <w:r>
        <w:rPr>
          <w:rFonts w:hint="eastAsia" w:ascii="宋体" w:hAnsi="宋体"/>
          <w:sz w:val="24"/>
        </w:rPr>
        <w:t>3、建立健全安全生产责任制。从派往项目实施的项目负责人到生产工人（包括临时雇请的民工）的安全生产管理系统必须做到纵向到底，一环不漏；各职能部门、人员的安全生产责任制做到横向到边，人人有责。项目负责人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pPr>
        <w:snapToGrid w:val="0"/>
        <w:spacing w:line="460" w:lineRule="exact"/>
        <w:ind w:firstLine="480" w:firstLineChars="200"/>
        <w:rPr>
          <w:rFonts w:ascii="宋体" w:hAnsi="宋体"/>
          <w:sz w:val="24"/>
        </w:rPr>
      </w:pPr>
      <w:r>
        <w:rPr>
          <w:rFonts w:hint="eastAsia" w:ascii="宋体" w:hAnsi="宋体"/>
          <w:sz w:val="24"/>
        </w:rPr>
        <w:t>4、承包人在任何时候都应采取各各合理的预防措施，防止其员工发生任何违法、违禁、暴力或妨碍治安的行为。</w:t>
      </w:r>
    </w:p>
    <w:p>
      <w:pPr>
        <w:snapToGrid w:val="0"/>
        <w:spacing w:line="460" w:lineRule="exact"/>
        <w:ind w:firstLine="480" w:firstLineChars="200"/>
        <w:rPr>
          <w:rFonts w:ascii="宋体" w:hAnsi="宋体"/>
          <w:sz w:val="24"/>
        </w:rPr>
      </w:pPr>
      <w:r>
        <w:rPr>
          <w:rFonts w:hint="eastAsia" w:ascii="宋体" w:hAnsi="宋体"/>
          <w:sz w:val="24"/>
        </w:rPr>
        <w:t>5、承包人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负责人必须承担管理责任。</w:t>
      </w:r>
    </w:p>
    <w:p>
      <w:pPr>
        <w:snapToGrid w:val="0"/>
        <w:spacing w:line="460" w:lineRule="exact"/>
        <w:ind w:firstLine="480" w:firstLineChars="200"/>
        <w:rPr>
          <w:rFonts w:ascii="宋体" w:hAnsi="宋体"/>
          <w:sz w:val="24"/>
        </w:rPr>
      </w:pPr>
      <w:r>
        <w:rPr>
          <w:rFonts w:hint="eastAsia" w:ascii="宋体" w:hAnsi="宋体"/>
          <w:sz w:val="24"/>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snapToGrid w:val="0"/>
        <w:spacing w:line="460" w:lineRule="exact"/>
        <w:ind w:firstLine="480" w:firstLineChars="200"/>
        <w:rPr>
          <w:rFonts w:ascii="宋体" w:hAnsi="宋体"/>
          <w:sz w:val="24"/>
        </w:rPr>
      </w:pPr>
      <w:r>
        <w:rPr>
          <w:rFonts w:hint="eastAsia" w:ascii="宋体" w:hAnsi="宋体"/>
          <w:sz w:val="24"/>
        </w:rPr>
        <w:t>7、操作人员上岗，必须按规定穿戴防护用品。施工负责人和安全检查员应随时检查劳动防护用品的穿戴情况，不按规定穿戴防护用品的人员不得上岗。</w:t>
      </w:r>
    </w:p>
    <w:p>
      <w:pPr>
        <w:snapToGrid w:val="0"/>
        <w:spacing w:line="460" w:lineRule="exact"/>
        <w:ind w:firstLine="480" w:firstLineChars="200"/>
        <w:rPr>
          <w:rFonts w:ascii="宋体" w:hAnsi="宋体"/>
          <w:sz w:val="24"/>
        </w:rPr>
      </w:pPr>
      <w:r>
        <w:rPr>
          <w:rFonts w:hint="eastAsia" w:ascii="宋体" w:hAnsi="宋体"/>
          <w:sz w:val="24"/>
        </w:rPr>
        <w:t>8、所有施工机具设备和高空作业的设备均应定期检查，并有安全员的签字记录，保证其经常处于完发状态；不合格的机具、设备和劳动保护用品严禁使用。</w:t>
      </w:r>
    </w:p>
    <w:p>
      <w:pPr>
        <w:snapToGrid w:val="0"/>
        <w:spacing w:line="460" w:lineRule="exact"/>
        <w:ind w:firstLine="480" w:firstLineChars="200"/>
        <w:rPr>
          <w:rFonts w:ascii="宋体" w:hAnsi="宋体"/>
          <w:sz w:val="24"/>
        </w:rPr>
      </w:pPr>
      <w:r>
        <w:rPr>
          <w:rFonts w:hint="eastAsia" w:ascii="宋体" w:hAnsi="宋体"/>
          <w:sz w:val="24"/>
        </w:rPr>
        <w:t>9、施工中采用新技术、新工艺、新设备、新材料时，必须制定相应的安全技术措施，施工现场必须具有相关的安全标志牌。</w:t>
      </w:r>
    </w:p>
    <w:p>
      <w:pPr>
        <w:snapToGrid w:val="0"/>
        <w:spacing w:line="460" w:lineRule="exact"/>
        <w:ind w:firstLine="480" w:firstLineChars="200"/>
        <w:rPr>
          <w:rFonts w:ascii="宋体" w:hAnsi="宋体"/>
          <w:sz w:val="24"/>
        </w:rPr>
      </w:pPr>
      <w:r>
        <w:rPr>
          <w:rFonts w:hint="eastAsia" w:ascii="宋体" w:hAnsi="宋体"/>
          <w:sz w:val="24"/>
        </w:rPr>
        <w:t>10、承包人必须按照本工程项目特点，组织制定本工程实施中的生产安全事故应急救援预案；如果发生安全事故，应按照《国务院关于特大安全事故行政责任追究的规定》以及其它有关规定，及时上报有关部门，并坚持“四不放过“的原则，严肃处理相关责任人。</w:t>
      </w:r>
    </w:p>
    <w:p>
      <w:pPr>
        <w:snapToGrid w:val="0"/>
        <w:spacing w:line="460" w:lineRule="exact"/>
        <w:ind w:firstLine="480" w:firstLineChars="200"/>
        <w:rPr>
          <w:rFonts w:ascii="宋体" w:hAnsi="宋体"/>
          <w:sz w:val="24"/>
        </w:rPr>
      </w:pPr>
      <w:r>
        <w:rPr>
          <w:rFonts w:hint="eastAsia" w:ascii="宋体" w:hAnsi="宋体"/>
          <w:sz w:val="24"/>
        </w:rPr>
        <w:t>三、违约责任</w:t>
      </w:r>
    </w:p>
    <w:p>
      <w:pPr>
        <w:snapToGrid w:val="0"/>
        <w:spacing w:line="460" w:lineRule="exact"/>
        <w:ind w:firstLine="480" w:firstLineChars="200"/>
        <w:rPr>
          <w:rFonts w:ascii="宋体" w:hAnsi="宋体"/>
          <w:sz w:val="24"/>
        </w:rPr>
      </w:pPr>
      <w:r>
        <w:rPr>
          <w:rFonts w:hint="eastAsia" w:ascii="宋体" w:hAnsi="宋体"/>
          <w:sz w:val="24"/>
        </w:rPr>
        <w:t>如因发包人或承包人违约造成安全事故，将依法追究责任。</w:t>
      </w:r>
    </w:p>
    <w:p>
      <w:pPr>
        <w:snapToGrid w:val="0"/>
        <w:spacing w:line="460" w:lineRule="exact"/>
        <w:ind w:firstLine="480" w:firstLineChars="200"/>
        <w:rPr>
          <w:rFonts w:ascii="宋体" w:hAnsi="宋体"/>
          <w:sz w:val="24"/>
        </w:rPr>
      </w:pPr>
      <w:r>
        <w:rPr>
          <w:rFonts w:hint="eastAsia" w:ascii="宋体" w:hAnsi="宋体"/>
          <w:sz w:val="24"/>
        </w:rPr>
        <w:t>本合同一式十三份，由合同双方各执六份。公证处一份。由合同双方法定代表人或授权代理人签署与加盖公章后生效，全部工程竣工验收合格后失效。</w:t>
      </w:r>
    </w:p>
    <w:p>
      <w:pPr>
        <w:snapToGrid w:val="0"/>
        <w:spacing w:line="400" w:lineRule="exact"/>
        <w:ind w:firstLine="480" w:firstLineChars="200"/>
        <w:rPr>
          <w:rFonts w:ascii="宋体" w:hAnsi="宋体"/>
          <w:sz w:val="24"/>
        </w:rPr>
      </w:pPr>
      <w:r>
        <w:rPr>
          <w:rFonts w:hint="eastAsia" w:ascii="宋体" w:hAnsi="宋体"/>
          <w:sz w:val="24"/>
        </w:rPr>
        <w:t>发包人：（盖章）          承包人：（盖章） </w:t>
      </w:r>
    </w:p>
    <w:p>
      <w:pPr>
        <w:snapToGrid w:val="0"/>
        <w:spacing w:line="400" w:lineRule="exact"/>
        <w:ind w:firstLine="480" w:firstLineChars="200"/>
        <w:rPr>
          <w:rFonts w:ascii="宋体" w:hAnsi="宋体"/>
          <w:sz w:val="24"/>
        </w:rPr>
      </w:pPr>
      <w:r>
        <w:rPr>
          <w:rFonts w:hint="eastAsia" w:ascii="宋体" w:hAnsi="宋体"/>
          <w:sz w:val="24"/>
        </w:rPr>
        <w:t>法定代表人：             法定代表人：</w:t>
      </w:r>
    </w:p>
    <w:p>
      <w:pPr>
        <w:snapToGrid w:val="0"/>
        <w:spacing w:line="400" w:lineRule="exact"/>
        <w:ind w:firstLine="480" w:firstLineChars="200"/>
        <w:rPr>
          <w:rFonts w:ascii="宋体" w:hAnsi="宋体"/>
          <w:sz w:val="24"/>
        </w:rPr>
      </w:pPr>
      <w:r>
        <w:rPr>
          <w:rFonts w:hint="eastAsia" w:ascii="宋体" w:hAnsi="宋体"/>
          <w:sz w:val="24"/>
        </w:rPr>
        <w:t>地址：                     地址：</w:t>
      </w:r>
    </w:p>
    <w:p>
      <w:pPr>
        <w:snapToGrid w:val="0"/>
        <w:spacing w:line="400" w:lineRule="exact"/>
        <w:ind w:firstLine="480" w:firstLineChars="200"/>
        <w:rPr>
          <w:rFonts w:ascii="宋体" w:hAnsi="宋体"/>
          <w:sz w:val="24"/>
        </w:rPr>
      </w:pPr>
      <w:r>
        <w:rPr>
          <w:rFonts w:hint="eastAsia" w:ascii="宋体" w:hAnsi="宋体"/>
          <w:sz w:val="24"/>
        </w:rPr>
        <w:t>电话：                电话：</w:t>
      </w:r>
    </w:p>
    <w:p>
      <w:pPr>
        <w:snapToGrid w:val="0"/>
        <w:spacing w:line="400" w:lineRule="exact"/>
        <w:ind w:firstLine="480" w:firstLineChars="200"/>
        <w:rPr>
          <w:rFonts w:ascii="宋体" w:hAnsi="宋体"/>
          <w:sz w:val="24"/>
        </w:rPr>
      </w:pPr>
      <w:r>
        <w:rPr>
          <w:rFonts w:hint="eastAsia" w:ascii="宋体" w:hAnsi="宋体"/>
          <w:sz w:val="24"/>
        </w:rPr>
        <w:t>  年    月    日       年    月    日</w:t>
      </w:r>
    </w:p>
    <w:p>
      <w:pPr>
        <w:spacing w:beforeLines="30" w:afterLines="30"/>
        <w:jc w:val="center"/>
        <w:rPr>
          <w:b/>
          <w:sz w:val="44"/>
          <w:szCs w:val="44"/>
        </w:rPr>
      </w:pPr>
    </w:p>
    <w:p>
      <w:pPr>
        <w:spacing w:beforeLines="30" w:afterLines="30"/>
        <w:jc w:val="center"/>
        <w:rPr>
          <w:b/>
          <w:sz w:val="44"/>
          <w:szCs w:val="44"/>
        </w:rPr>
      </w:pPr>
    </w:p>
    <w:p>
      <w:pPr>
        <w:spacing w:beforeLines="30" w:afterLines="30"/>
        <w:jc w:val="center"/>
        <w:rPr>
          <w:b/>
          <w:sz w:val="44"/>
          <w:szCs w:val="44"/>
        </w:rPr>
      </w:pPr>
    </w:p>
    <w:p>
      <w:pPr>
        <w:pStyle w:val="2"/>
      </w:pPr>
    </w:p>
    <w:p>
      <w:pPr>
        <w:spacing w:beforeLines="30" w:afterLines="30"/>
        <w:rPr>
          <w:b/>
          <w:sz w:val="44"/>
          <w:szCs w:val="44"/>
        </w:rPr>
      </w:pPr>
    </w:p>
    <w:p>
      <w:pPr>
        <w:spacing w:beforeLines="30" w:afterLines="30"/>
        <w:jc w:val="center"/>
        <w:rPr>
          <w:b/>
          <w:sz w:val="44"/>
          <w:szCs w:val="44"/>
        </w:rPr>
      </w:pPr>
      <w:r>
        <w:rPr>
          <w:rFonts w:hint="eastAsia"/>
          <w:b/>
          <w:sz w:val="44"/>
          <w:szCs w:val="44"/>
        </w:rPr>
        <w:t>工程建设项目廉政合同</w:t>
      </w:r>
    </w:p>
    <w:p>
      <w:pPr>
        <w:snapToGrid w:val="0"/>
        <w:spacing w:line="460" w:lineRule="exact"/>
        <w:ind w:firstLine="480" w:firstLineChars="200"/>
        <w:rPr>
          <w:rFonts w:ascii="宋体" w:hAnsi="宋体"/>
          <w:sz w:val="24"/>
        </w:rPr>
      </w:pPr>
      <w:r>
        <w:rPr>
          <w:rFonts w:hint="eastAsia" w:ascii="宋体" w:hAnsi="宋体"/>
          <w:sz w:val="24"/>
        </w:rPr>
        <w:t>工程项目名称：</w:t>
      </w:r>
    </w:p>
    <w:p>
      <w:pPr>
        <w:snapToGrid w:val="0"/>
        <w:spacing w:line="460" w:lineRule="exact"/>
        <w:ind w:firstLine="480" w:firstLineChars="200"/>
        <w:rPr>
          <w:rFonts w:ascii="宋体" w:hAnsi="宋体"/>
          <w:sz w:val="24"/>
        </w:rPr>
      </w:pPr>
      <w:r>
        <w:rPr>
          <w:rFonts w:hint="eastAsia" w:ascii="宋体" w:hAnsi="宋体"/>
          <w:sz w:val="24"/>
        </w:rPr>
        <w:t>工程建设地址：</w:t>
      </w:r>
    </w:p>
    <w:p>
      <w:pPr>
        <w:snapToGrid w:val="0"/>
        <w:spacing w:line="460" w:lineRule="exact"/>
        <w:ind w:firstLine="480" w:firstLineChars="200"/>
        <w:rPr>
          <w:rFonts w:ascii="宋体" w:hAnsi="宋体"/>
          <w:sz w:val="24"/>
        </w:rPr>
      </w:pPr>
      <w:r>
        <w:rPr>
          <w:rFonts w:hint="eastAsia" w:ascii="宋体" w:hAnsi="宋体"/>
          <w:sz w:val="24"/>
        </w:rPr>
        <w:t>建设单位：</w:t>
      </w:r>
    </w:p>
    <w:p>
      <w:pPr>
        <w:snapToGrid w:val="0"/>
        <w:spacing w:line="460" w:lineRule="exact"/>
        <w:ind w:firstLine="480" w:firstLineChars="200"/>
        <w:rPr>
          <w:rFonts w:ascii="宋体" w:hAnsi="宋体"/>
          <w:sz w:val="24"/>
        </w:rPr>
      </w:pPr>
      <w:r>
        <w:rPr>
          <w:rFonts w:hint="eastAsia" w:ascii="宋体" w:hAnsi="宋体"/>
          <w:sz w:val="24"/>
        </w:rPr>
        <w:t>施工单位：</w:t>
      </w:r>
    </w:p>
    <w:p>
      <w:pPr>
        <w:snapToGrid w:val="0"/>
        <w:spacing w:line="520" w:lineRule="exact"/>
        <w:ind w:firstLine="480" w:firstLineChars="200"/>
        <w:rPr>
          <w:rFonts w:ascii="宋体" w:hAnsi="宋体"/>
          <w:sz w:val="24"/>
        </w:rPr>
      </w:pPr>
      <w:r>
        <w:rPr>
          <w:rFonts w:hint="eastAsia" w:ascii="宋体" w:hAnsi="宋体"/>
          <w:sz w:val="24"/>
        </w:rPr>
        <w:t>为加强工程建设中的廉政建设，规范工程建设项目发包双方的各项活动，防止发生各种谋取不正当利益的违法违纪行为，保护国家、集体和当事人的合法权益，根据国家有关工程建设的法律法规和廉政建设责任制规定，特订立本廉政合同。</w:t>
      </w:r>
    </w:p>
    <w:p>
      <w:pPr>
        <w:snapToGrid w:val="0"/>
        <w:spacing w:line="520" w:lineRule="exact"/>
        <w:ind w:firstLine="480" w:firstLineChars="200"/>
        <w:rPr>
          <w:rFonts w:ascii="宋体" w:hAnsi="宋体"/>
          <w:sz w:val="24"/>
        </w:rPr>
      </w:pPr>
      <w:r>
        <w:rPr>
          <w:rFonts w:hint="eastAsia" w:ascii="宋体" w:hAnsi="宋体"/>
          <w:sz w:val="24"/>
        </w:rPr>
        <w:t>第一条   甲乙双方的责任</w:t>
      </w:r>
    </w:p>
    <w:p>
      <w:pPr>
        <w:snapToGrid w:val="0"/>
        <w:spacing w:line="520" w:lineRule="exact"/>
        <w:ind w:firstLine="480" w:firstLineChars="200"/>
        <w:rPr>
          <w:rFonts w:ascii="宋体" w:hAnsi="宋体"/>
          <w:sz w:val="24"/>
        </w:rPr>
      </w:pPr>
      <w:r>
        <w:rPr>
          <w:rFonts w:hint="eastAsia" w:ascii="宋体" w:hAnsi="宋体"/>
          <w:sz w:val="24"/>
        </w:rPr>
        <w:t>（一）应严格遵守国家关于市场准入、项目招标投标、工程建设、施工安装和市场活动等有关法律、法规、政策，以及廉政建设的各项规定。</w:t>
      </w:r>
    </w:p>
    <w:p>
      <w:pPr>
        <w:snapToGrid w:val="0"/>
        <w:spacing w:line="520" w:lineRule="exact"/>
        <w:ind w:firstLine="480" w:firstLineChars="200"/>
        <w:rPr>
          <w:rFonts w:ascii="宋体" w:hAnsi="宋体"/>
          <w:sz w:val="24"/>
        </w:rPr>
      </w:pPr>
      <w:r>
        <w:rPr>
          <w:rFonts w:hint="eastAsia" w:ascii="宋体" w:hAnsi="宋体"/>
          <w:sz w:val="24"/>
        </w:rPr>
        <w:t>（二）严格执行建设工程项目承发包合同文件，自觉按合同办事。</w:t>
      </w:r>
    </w:p>
    <w:p>
      <w:pPr>
        <w:snapToGrid w:val="0"/>
        <w:spacing w:line="520" w:lineRule="exact"/>
        <w:ind w:firstLine="480" w:firstLineChars="200"/>
        <w:rPr>
          <w:rFonts w:ascii="宋体" w:hAnsi="宋体"/>
          <w:sz w:val="24"/>
        </w:rPr>
      </w:pPr>
      <w:r>
        <w:rPr>
          <w:rFonts w:hint="eastAsia" w:ascii="宋体" w:hAnsi="宋体"/>
          <w:sz w:val="24"/>
        </w:rPr>
        <w:t>（三）业务活动必须坚持公开、公平、公正、诚信、透明的原则（除法律法规另有规定者外），不得为获取不正当的利益，损害国家、集体和对方利益，不得违反工程建设管理、施工安装等方面的规章制度。</w:t>
      </w:r>
    </w:p>
    <w:p>
      <w:pPr>
        <w:snapToGrid w:val="0"/>
        <w:spacing w:line="520" w:lineRule="exact"/>
        <w:ind w:firstLine="480" w:firstLineChars="200"/>
        <w:rPr>
          <w:rFonts w:ascii="宋体" w:hAnsi="宋体"/>
          <w:sz w:val="24"/>
        </w:rPr>
      </w:pPr>
      <w:r>
        <w:rPr>
          <w:rFonts w:hint="eastAsia" w:ascii="宋体" w:hAnsi="宋体"/>
          <w:sz w:val="24"/>
        </w:rPr>
        <w:t>（四）发现对方在业务活动中有违规、违纪、违法行为的，应及时提醒对方，情节严重的，应向其上级主管部门或纪检监察、司法等有关机关举报。</w:t>
      </w:r>
    </w:p>
    <w:p>
      <w:pPr>
        <w:snapToGrid w:val="0"/>
        <w:spacing w:line="520" w:lineRule="exact"/>
        <w:ind w:firstLine="480" w:firstLineChars="200"/>
        <w:rPr>
          <w:rFonts w:ascii="宋体" w:hAnsi="宋体"/>
          <w:sz w:val="24"/>
        </w:rPr>
      </w:pPr>
      <w:r>
        <w:rPr>
          <w:rFonts w:hint="eastAsia" w:ascii="宋体" w:hAnsi="宋体"/>
          <w:sz w:val="24"/>
        </w:rPr>
        <w:t>第二条   甲方的责任</w:t>
      </w:r>
    </w:p>
    <w:p>
      <w:pPr>
        <w:snapToGrid w:val="0"/>
        <w:spacing w:line="520" w:lineRule="exact"/>
        <w:ind w:firstLine="480" w:firstLineChars="200"/>
        <w:rPr>
          <w:rFonts w:ascii="宋体" w:hAnsi="宋体"/>
          <w:sz w:val="24"/>
        </w:rPr>
      </w:pPr>
      <w:r>
        <w:rPr>
          <w:rFonts w:hint="eastAsia" w:ascii="宋体" w:hAnsi="宋体"/>
          <w:sz w:val="24"/>
        </w:rPr>
        <w:t>甲方负责人为该项目党风廉政建设第一责任人，对该项目工程质量和廉政建设负总责。甲方的领导和从事该建设工程项目的工作人员，在工程建设的事前、事中、事后应遵守以下规定：</w:t>
      </w:r>
    </w:p>
    <w:p>
      <w:pPr>
        <w:snapToGrid w:val="0"/>
        <w:spacing w:line="520" w:lineRule="exact"/>
        <w:ind w:firstLine="480" w:firstLineChars="200"/>
        <w:rPr>
          <w:rFonts w:ascii="宋体" w:hAnsi="宋体"/>
          <w:sz w:val="24"/>
        </w:rPr>
      </w:pPr>
      <w:r>
        <w:rPr>
          <w:rFonts w:hint="eastAsia" w:ascii="宋体" w:hAnsi="宋体"/>
          <w:sz w:val="24"/>
        </w:rPr>
        <w:t>（一）不准向乙方和相关单位索要或接受回扣、礼金、有价证券、贵重物品和好处费、感谢费。</w:t>
      </w:r>
    </w:p>
    <w:p>
      <w:pPr>
        <w:snapToGrid w:val="0"/>
        <w:spacing w:line="520" w:lineRule="exact"/>
        <w:ind w:firstLine="480" w:firstLineChars="200"/>
        <w:rPr>
          <w:rFonts w:ascii="宋体" w:hAnsi="宋体"/>
          <w:sz w:val="24"/>
        </w:rPr>
      </w:pPr>
      <w:r>
        <w:rPr>
          <w:rFonts w:hint="eastAsia" w:ascii="宋体" w:hAnsi="宋体"/>
          <w:sz w:val="24"/>
        </w:rPr>
        <w:t>（二）不准在乙方和相关单位报销任何应由甲方或个人支付的费用。</w:t>
      </w:r>
    </w:p>
    <w:p>
      <w:pPr>
        <w:snapToGrid w:val="0"/>
        <w:spacing w:line="520" w:lineRule="exact"/>
        <w:ind w:firstLine="480" w:firstLineChars="200"/>
        <w:rPr>
          <w:rFonts w:ascii="宋体" w:hAnsi="宋体"/>
          <w:sz w:val="24"/>
        </w:rPr>
      </w:pPr>
      <w:r>
        <w:rPr>
          <w:rFonts w:hint="eastAsia" w:ascii="宋体" w:hAnsi="宋体"/>
          <w:sz w:val="24"/>
        </w:rPr>
        <w:t>（三）不准要求、暗示和接受乙方和相关单位为个人装修住房、婚丧嫁娶、配偶子女的工作安排以及出国（境）、旅游等提供方便。</w:t>
      </w:r>
    </w:p>
    <w:p>
      <w:pPr>
        <w:snapToGrid w:val="0"/>
        <w:spacing w:line="520" w:lineRule="exact"/>
        <w:ind w:firstLine="480" w:firstLineChars="200"/>
        <w:rPr>
          <w:rFonts w:ascii="宋体" w:hAnsi="宋体"/>
          <w:sz w:val="24"/>
        </w:rPr>
      </w:pPr>
      <w:r>
        <w:rPr>
          <w:rFonts w:hint="eastAsia" w:ascii="宋体" w:hAnsi="宋体"/>
          <w:sz w:val="24"/>
        </w:rPr>
        <w:t>（四）不准参加有可能影响公正执行公务的乙方和相关单位的宴请和健身、娱乐等活动。</w:t>
      </w:r>
    </w:p>
    <w:p>
      <w:pPr>
        <w:snapToGrid w:val="0"/>
        <w:spacing w:line="520" w:lineRule="exact"/>
        <w:ind w:firstLine="480" w:firstLineChars="200"/>
        <w:rPr>
          <w:rFonts w:ascii="宋体" w:hAnsi="宋体"/>
          <w:sz w:val="24"/>
        </w:rPr>
      </w:pPr>
      <w:r>
        <w:rPr>
          <w:rFonts w:hint="eastAsia" w:ascii="宋体" w:hAnsi="宋体"/>
          <w:sz w:val="24"/>
        </w:rPr>
        <w:t>（五）不准向乙方介绍或为配偶、子女、亲属参与同甲方项目工程施工合同有关的设备、材料、工程分包、劳务等经济活动。不得以任何理由向乙方和相关单位推荐分包单位和要求乙方购买项目工程施工合同规定外的材料、设备等。</w:t>
      </w:r>
    </w:p>
    <w:p>
      <w:pPr>
        <w:snapToGrid w:val="0"/>
        <w:spacing w:line="520" w:lineRule="exact"/>
        <w:ind w:firstLine="480" w:firstLineChars="200"/>
        <w:rPr>
          <w:rFonts w:ascii="宋体" w:hAnsi="宋体"/>
          <w:sz w:val="24"/>
        </w:rPr>
      </w:pPr>
      <w:r>
        <w:rPr>
          <w:rFonts w:hint="eastAsia" w:ascii="宋体" w:hAnsi="宋体"/>
          <w:sz w:val="24"/>
        </w:rPr>
        <w:t>乙方的责任</w:t>
      </w:r>
    </w:p>
    <w:p>
      <w:pPr>
        <w:snapToGrid w:val="0"/>
        <w:spacing w:line="520" w:lineRule="exact"/>
        <w:ind w:firstLine="480" w:firstLineChars="200"/>
        <w:rPr>
          <w:rFonts w:ascii="宋体" w:hAnsi="宋体"/>
          <w:sz w:val="24"/>
        </w:rPr>
      </w:pPr>
      <w:r>
        <w:rPr>
          <w:rFonts w:hint="eastAsia" w:ascii="宋体" w:hAnsi="宋体"/>
          <w:sz w:val="24"/>
        </w:rPr>
        <w:t>乙方负责人在职责范围内对该项目工程质量和廉政建设负责。乙方应与甲方保持正常的业务交往，按照有关法律法规和程序开展业务工作，严格执行工程建设的有关方针、政策和规定，尤其是有关建筑施工安装的强制性标准和规范，并遵守以下规定：</w:t>
      </w:r>
    </w:p>
    <w:p>
      <w:pPr>
        <w:snapToGrid w:val="0"/>
        <w:spacing w:line="520" w:lineRule="exact"/>
        <w:ind w:firstLine="480" w:firstLineChars="200"/>
        <w:rPr>
          <w:rFonts w:ascii="宋体" w:hAnsi="宋体"/>
          <w:sz w:val="24"/>
        </w:rPr>
      </w:pPr>
      <w:r>
        <w:rPr>
          <w:rFonts w:hint="eastAsia" w:ascii="宋体" w:hAnsi="宋体"/>
          <w:sz w:val="24"/>
        </w:rPr>
        <w:t>（一）不准以任何理由向甲方、相关单位及其工作人员索要、接受或赠送礼金、有价证券、贵重物品和回扣、好处费、感谢费。</w:t>
      </w:r>
    </w:p>
    <w:p>
      <w:pPr>
        <w:snapToGrid w:val="0"/>
        <w:spacing w:line="520" w:lineRule="exact"/>
        <w:ind w:firstLine="480" w:firstLineChars="200"/>
        <w:rPr>
          <w:rFonts w:ascii="宋体" w:hAnsi="宋体"/>
          <w:sz w:val="24"/>
        </w:rPr>
      </w:pPr>
      <w:r>
        <w:rPr>
          <w:rFonts w:hint="eastAsia" w:ascii="宋体" w:hAnsi="宋体"/>
          <w:sz w:val="24"/>
        </w:rPr>
        <w:t>（二）不准以任何理由为甲方和相关单位报销应由对方或个人支付的费用。</w:t>
      </w:r>
    </w:p>
    <w:p>
      <w:pPr>
        <w:snapToGrid w:val="0"/>
        <w:spacing w:line="520" w:lineRule="exact"/>
        <w:ind w:firstLine="480" w:firstLineChars="200"/>
        <w:rPr>
          <w:rFonts w:ascii="宋体" w:hAnsi="宋体"/>
          <w:sz w:val="24"/>
        </w:rPr>
      </w:pPr>
      <w:r>
        <w:rPr>
          <w:rFonts w:hint="eastAsia" w:ascii="宋体" w:hAnsi="宋体"/>
          <w:sz w:val="24"/>
        </w:rPr>
        <w:t>（三）不准接受或暗示为甲方、相关单位或个人装修住房、婚丧嫁娶、配偶子女的工作安排以及出国（境）、旅游等提供方便。</w:t>
      </w:r>
    </w:p>
    <w:p>
      <w:pPr>
        <w:snapToGrid w:val="0"/>
        <w:spacing w:line="520" w:lineRule="exact"/>
        <w:ind w:firstLine="480" w:firstLineChars="200"/>
        <w:rPr>
          <w:rFonts w:ascii="宋体" w:hAnsi="宋体"/>
          <w:sz w:val="24"/>
        </w:rPr>
      </w:pPr>
      <w:r>
        <w:rPr>
          <w:rFonts w:hint="eastAsia" w:ascii="宋体" w:hAnsi="宋体"/>
          <w:sz w:val="24"/>
        </w:rPr>
        <w:t xml:space="preserve">（四）不准以任何理由为甲方、相关单位或个人组织有可能影响公正执行的宴请、健身、娱乐等活动。 </w:t>
      </w:r>
    </w:p>
    <w:p>
      <w:pPr>
        <w:snapToGrid w:val="0"/>
        <w:spacing w:line="520" w:lineRule="exact"/>
        <w:ind w:firstLine="480" w:firstLineChars="200"/>
        <w:rPr>
          <w:rFonts w:ascii="宋体" w:hAnsi="宋体"/>
          <w:sz w:val="24"/>
        </w:rPr>
      </w:pPr>
      <w:r>
        <w:rPr>
          <w:rFonts w:hint="eastAsia" w:ascii="宋体" w:hAnsi="宋体"/>
          <w:sz w:val="24"/>
        </w:rPr>
        <w:t>违约责任</w:t>
      </w:r>
    </w:p>
    <w:p>
      <w:pPr>
        <w:snapToGrid w:val="0"/>
        <w:spacing w:line="520" w:lineRule="exact"/>
        <w:ind w:firstLine="480" w:firstLineChars="200"/>
        <w:rPr>
          <w:rFonts w:ascii="宋体" w:hAnsi="宋体"/>
          <w:sz w:val="24"/>
        </w:rPr>
      </w:pPr>
      <w:r>
        <w:rPr>
          <w:rFonts w:hint="eastAsia" w:ascii="宋体" w:hAnsi="宋体"/>
          <w:sz w:val="24"/>
        </w:rPr>
        <w:t>（一）甲方工作人员有违反本廉政合同第一、二条责任行为的，按照管理权限，依据有关法律法规和规定给予党纪、政纪处分或组织处理；涉嫌犯罪的，移交司法机关追究刑事责任；给乙方单位造成经济损失的，应予以赔偿。</w:t>
      </w:r>
    </w:p>
    <w:p>
      <w:pPr>
        <w:snapToGrid w:val="0"/>
        <w:spacing w:line="520" w:lineRule="exact"/>
        <w:ind w:firstLine="480" w:firstLineChars="200"/>
        <w:rPr>
          <w:rFonts w:ascii="宋体" w:hAnsi="宋体"/>
          <w:sz w:val="24"/>
        </w:rPr>
      </w:pPr>
      <w:r>
        <w:rPr>
          <w:rFonts w:hint="eastAsia" w:ascii="宋体" w:hAnsi="宋体"/>
          <w:sz w:val="24"/>
        </w:rPr>
        <w:t>（二）乙方工作人员有违反本廉政合同第一、三条责任行为的，按照管理权限，依据有关法律法规和规定给予党纪、政纪处分或组织处理；涉嫌犯罪的，移交司法机关追究刑事责任；给甲方单位造成经济损失的，应予以赔偿。</w:t>
      </w:r>
    </w:p>
    <w:p>
      <w:pPr>
        <w:snapToGrid w:val="0"/>
        <w:spacing w:line="520" w:lineRule="exact"/>
        <w:ind w:firstLine="480" w:firstLineChars="200"/>
        <w:rPr>
          <w:rFonts w:ascii="宋体" w:hAnsi="宋体"/>
          <w:sz w:val="24"/>
        </w:rPr>
      </w:pPr>
      <w:r>
        <w:rPr>
          <w:rFonts w:hint="eastAsia" w:ascii="宋体" w:hAnsi="宋体"/>
          <w:sz w:val="24"/>
        </w:rPr>
        <w:t>乙方工作人员有违反本廉政合同上述有关条款行为和其他有关法规的，作为其不良记录载入有关数据库，形成相关信用档案，在一定范围内予以公布，并成为其能否准入建设市场的基本依据。</w:t>
      </w:r>
    </w:p>
    <w:p>
      <w:pPr>
        <w:snapToGrid w:val="0"/>
        <w:spacing w:line="520" w:lineRule="exact"/>
        <w:ind w:firstLine="480" w:firstLineChars="200"/>
        <w:rPr>
          <w:rFonts w:ascii="宋体" w:hAnsi="宋体"/>
          <w:sz w:val="24"/>
        </w:rPr>
      </w:pPr>
      <w:r>
        <w:rPr>
          <w:rFonts w:hint="eastAsia" w:ascii="宋体" w:hAnsi="宋体"/>
          <w:sz w:val="24"/>
        </w:rPr>
        <w:t>第五条   本廉政合同作为工程施工合同的附件，与工程施工合同具有同等法律效力。经双方签署后立即生效。</w:t>
      </w:r>
    </w:p>
    <w:p>
      <w:pPr>
        <w:snapToGrid w:val="0"/>
        <w:spacing w:line="520" w:lineRule="exact"/>
        <w:ind w:firstLine="480" w:firstLineChars="200"/>
        <w:rPr>
          <w:rFonts w:ascii="宋体" w:hAnsi="宋体"/>
          <w:sz w:val="24"/>
        </w:rPr>
      </w:pPr>
      <w:r>
        <w:rPr>
          <w:rFonts w:hint="eastAsia" w:ascii="宋体" w:hAnsi="宋体"/>
          <w:sz w:val="24"/>
        </w:rPr>
        <w:t>第六条   本廉政合同的有效期为双方签署之日起至该工程项目竣工验收合格时止。</w:t>
      </w:r>
    </w:p>
    <w:p>
      <w:pPr>
        <w:snapToGrid w:val="0"/>
        <w:spacing w:line="520" w:lineRule="exact"/>
        <w:ind w:firstLine="480" w:firstLineChars="200"/>
        <w:rPr>
          <w:rFonts w:ascii="宋体" w:hAnsi="宋体"/>
          <w:sz w:val="24"/>
        </w:rPr>
      </w:pPr>
      <w:r>
        <w:rPr>
          <w:rFonts w:hint="eastAsia" w:ascii="宋体" w:hAnsi="宋体"/>
          <w:sz w:val="24"/>
        </w:rPr>
        <w:t>第七条   本廉政合同一式四份，由甲乙双方各执一份，送交监督单位一份，并送区建设工程项目廉政保障工作联席会议备案一份。</w:t>
      </w:r>
    </w:p>
    <w:p>
      <w:pPr>
        <w:snapToGrid w:val="0"/>
        <w:spacing w:line="520" w:lineRule="exact"/>
        <w:ind w:firstLine="480" w:firstLineChars="200"/>
        <w:rPr>
          <w:rFonts w:ascii="宋体" w:hAnsi="宋体"/>
          <w:sz w:val="24"/>
        </w:rPr>
      </w:pPr>
    </w:p>
    <w:p>
      <w:pPr>
        <w:snapToGrid w:val="0"/>
        <w:spacing w:line="520" w:lineRule="exact"/>
        <w:ind w:firstLine="480" w:firstLineChars="200"/>
        <w:rPr>
          <w:rFonts w:ascii="宋体" w:hAnsi="宋体"/>
          <w:sz w:val="24"/>
        </w:rPr>
      </w:pPr>
    </w:p>
    <w:p>
      <w:pPr>
        <w:snapToGrid w:val="0"/>
        <w:spacing w:line="520" w:lineRule="exact"/>
        <w:ind w:firstLine="480" w:firstLineChars="200"/>
        <w:rPr>
          <w:rFonts w:ascii="宋体" w:hAnsi="宋体"/>
          <w:sz w:val="24"/>
        </w:rPr>
      </w:pPr>
    </w:p>
    <w:p>
      <w:pPr>
        <w:snapToGrid w:val="0"/>
        <w:spacing w:line="520" w:lineRule="exact"/>
        <w:ind w:firstLine="480" w:firstLineChars="200"/>
        <w:rPr>
          <w:rFonts w:ascii="宋体" w:hAnsi="宋体"/>
          <w:sz w:val="24"/>
        </w:rPr>
      </w:pPr>
    </w:p>
    <w:p>
      <w:pPr>
        <w:snapToGrid w:val="0"/>
        <w:spacing w:line="520" w:lineRule="exact"/>
        <w:ind w:firstLine="480" w:firstLineChars="200"/>
        <w:rPr>
          <w:rFonts w:ascii="宋体" w:hAnsi="宋体"/>
          <w:sz w:val="24"/>
        </w:rPr>
      </w:pPr>
      <w:r>
        <w:rPr>
          <w:rFonts w:hint="eastAsia" w:ascii="宋体" w:hAnsi="宋体"/>
          <w:sz w:val="24"/>
        </w:rPr>
        <w:t>甲方单位： （盖章）           乙方单位： （盖章）</w:t>
      </w:r>
    </w:p>
    <w:p>
      <w:pPr>
        <w:snapToGrid w:val="0"/>
        <w:spacing w:line="520" w:lineRule="exact"/>
        <w:ind w:firstLine="480" w:firstLineChars="200"/>
        <w:rPr>
          <w:rFonts w:ascii="宋体" w:hAnsi="宋体"/>
          <w:sz w:val="24"/>
        </w:rPr>
      </w:pPr>
    </w:p>
    <w:p>
      <w:pPr>
        <w:snapToGrid w:val="0"/>
        <w:spacing w:line="520" w:lineRule="exact"/>
        <w:ind w:firstLine="480" w:firstLineChars="200"/>
        <w:rPr>
          <w:rFonts w:ascii="宋体" w:hAnsi="宋体"/>
          <w:sz w:val="24"/>
        </w:rPr>
      </w:pPr>
      <w:r>
        <w:rPr>
          <w:rFonts w:hint="eastAsia" w:ascii="宋体" w:hAnsi="宋体"/>
          <w:sz w:val="24"/>
        </w:rPr>
        <w:t>法人代表人：                  法人代表人</w:t>
      </w:r>
    </w:p>
    <w:p>
      <w:pPr>
        <w:snapToGrid w:val="0"/>
        <w:spacing w:line="520" w:lineRule="exact"/>
        <w:ind w:firstLine="480" w:firstLineChars="200"/>
        <w:rPr>
          <w:rFonts w:ascii="宋体" w:hAnsi="宋体"/>
          <w:sz w:val="24"/>
        </w:rPr>
      </w:pPr>
    </w:p>
    <w:p>
      <w:pPr>
        <w:snapToGrid w:val="0"/>
        <w:spacing w:line="520" w:lineRule="exact"/>
        <w:ind w:firstLine="480" w:firstLineChars="200"/>
        <w:rPr>
          <w:rFonts w:ascii="宋体" w:hAnsi="宋体"/>
          <w:sz w:val="24"/>
        </w:rPr>
      </w:pPr>
      <w:r>
        <w:rPr>
          <w:rFonts w:hint="eastAsia" w:ascii="宋体" w:hAnsi="宋体"/>
          <w:sz w:val="24"/>
        </w:rPr>
        <w:t>地址：                        地址：</w:t>
      </w:r>
    </w:p>
    <w:p>
      <w:pPr>
        <w:snapToGrid w:val="0"/>
        <w:spacing w:line="520" w:lineRule="exact"/>
        <w:ind w:firstLine="480" w:firstLineChars="200"/>
        <w:rPr>
          <w:rFonts w:ascii="宋体" w:hAnsi="宋体"/>
          <w:sz w:val="24"/>
        </w:rPr>
      </w:pPr>
    </w:p>
    <w:p>
      <w:pPr>
        <w:snapToGrid w:val="0"/>
        <w:spacing w:line="520" w:lineRule="exact"/>
        <w:ind w:firstLine="480" w:firstLineChars="200"/>
        <w:rPr>
          <w:rFonts w:ascii="宋体" w:hAnsi="宋体"/>
          <w:sz w:val="24"/>
        </w:rPr>
      </w:pPr>
      <w:r>
        <w:rPr>
          <w:rFonts w:hint="eastAsia" w:ascii="宋体" w:hAnsi="宋体"/>
          <w:sz w:val="24"/>
        </w:rPr>
        <w:t>电话：                        电话：</w:t>
      </w:r>
    </w:p>
    <w:p>
      <w:pPr>
        <w:snapToGrid w:val="0"/>
        <w:spacing w:line="520" w:lineRule="exact"/>
        <w:ind w:firstLine="480" w:firstLineChars="200"/>
        <w:rPr>
          <w:rFonts w:ascii="宋体" w:hAnsi="宋体"/>
          <w:sz w:val="24"/>
        </w:rPr>
      </w:pPr>
    </w:p>
    <w:p>
      <w:pPr>
        <w:snapToGrid w:val="0"/>
        <w:spacing w:line="520" w:lineRule="exact"/>
        <w:ind w:firstLine="1440" w:firstLineChars="600"/>
        <w:rPr>
          <w:rFonts w:ascii="宋体" w:hAnsi="宋体"/>
          <w:sz w:val="24"/>
        </w:rPr>
      </w:pPr>
      <w:r>
        <w:rPr>
          <w:rFonts w:hint="eastAsia" w:ascii="宋体" w:hAnsi="宋体"/>
          <w:sz w:val="24"/>
        </w:rPr>
        <w:t>年   月   日                  年   月   日</w:t>
      </w:r>
    </w:p>
    <w:p>
      <w:pPr>
        <w:spacing w:beforeLines="30" w:afterLines="30" w:line="360" w:lineRule="auto"/>
        <w:rPr>
          <w:sz w:val="24"/>
        </w:rPr>
      </w:pPr>
    </w:p>
    <w:p>
      <w:pPr>
        <w:spacing w:beforeLines="30" w:afterLines="30" w:line="360" w:lineRule="auto"/>
        <w:ind w:firstLine="480" w:firstLineChars="200"/>
        <w:rPr>
          <w:sz w:val="24"/>
        </w:rPr>
      </w:pPr>
    </w:p>
    <w:p>
      <w:pPr>
        <w:spacing w:beforeLines="30" w:afterLines="30" w:line="360" w:lineRule="auto"/>
        <w:ind w:firstLine="480" w:firstLineChars="200"/>
        <w:rPr>
          <w:sz w:val="24"/>
        </w:rPr>
      </w:pPr>
      <w:r>
        <w:rPr>
          <w:rFonts w:hint="eastAsia"/>
          <w:sz w:val="24"/>
        </w:rPr>
        <w:t>监督单位（盖章）</w:t>
      </w:r>
    </w:p>
    <w:p>
      <w:pPr>
        <w:spacing w:beforeLines="30" w:afterLines="30" w:line="360" w:lineRule="auto"/>
        <w:ind w:firstLine="480" w:firstLineChars="200"/>
        <w:rPr>
          <w:sz w:val="24"/>
        </w:rPr>
      </w:pPr>
      <w:r>
        <w:rPr>
          <w:rFonts w:hint="eastAsia"/>
          <w:sz w:val="24"/>
        </w:rPr>
        <w:t xml:space="preserve">        年   月   日</w:t>
      </w:r>
    </w:p>
    <w:p>
      <w:pPr>
        <w:pStyle w:val="2"/>
        <w:rPr>
          <w:sz w:val="24"/>
        </w:rPr>
      </w:pPr>
    </w:p>
    <w:p>
      <w:pPr>
        <w:rPr>
          <w:sz w:val="24"/>
        </w:rPr>
      </w:pPr>
    </w:p>
    <w:p>
      <w:pPr>
        <w:pStyle w:val="2"/>
      </w:pPr>
    </w:p>
    <w:p>
      <w:pPr>
        <w:pStyle w:val="7"/>
        <w:spacing w:line="500" w:lineRule="exact"/>
        <w:ind w:firstLine="0"/>
        <w:rPr>
          <w:b/>
          <w:bCs/>
          <w:spacing w:val="24"/>
          <w:sz w:val="36"/>
          <w:szCs w:val="36"/>
        </w:rPr>
      </w:pPr>
    </w:p>
    <w:p>
      <w:pPr>
        <w:spacing w:beforeLines="50" w:afterLines="50"/>
        <w:jc w:val="center"/>
        <w:outlineLvl w:val="0"/>
        <w:rPr>
          <w:rFonts w:ascii="仿宋" w:hAnsi="仿宋" w:eastAsia="仿宋" w:cs="仿宋"/>
          <w:sz w:val="24"/>
        </w:rPr>
      </w:pPr>
      <w:bookmarkStart w:id="610" w:name="_Toc12858"/>
      <w:r>
        <w:rPr>
          <w:rFonts w:hint="eastAsia" w:ascii="仿宋" w:hAnsi="仿宋" w:eastAsia="仿宋" w:cs="仿宋"/>
          <w:b/>
          <w:bCs/>
          <w:sz w:val="24"/>
        </w:rPr>
        <w:t>第六章、投标文件格式</w:t>
      </w:r>
      <w:bookmarkEnd w:id="215"/>
      <w:bookmarkEnd w:id="216"/>
      <w:bookmarkEnd w:id="217"/>
      <w:bookmarkEnd w:id="218"/>
      <w:bookmarkEnd w:id="219"/>
      <w:bookmarkEnd w:id="220"/>
      <w:bookmarkEnd w:id="610"/>
    </w:p>
    <w:p>
      <w:pPr>
        <w:jc w:val="center"/>
        <w:rPr>
          <w:rFonts w:ascii="仿宋" w:hAnsi="仿宋" w:eastAsia="仿宋" w:cs="仿宋"/>
          <w:sz w:val="24"/>
        </w:rPr>
      </w:pPr>
      <w:bookmarkStart w:id="611" w:name="_Toc293916030"/>
      <w:bookmarkStart w:id="612" w:name="_Toc293916381"/>
    </w:p>
    <w:p>
      <w:pPr>
        <w:jc w:val="center"/>
        <w:rPr>
          <w:rFonts w:ascii="仿宋" w:hAnsi="仿宋" w:eastAsia="仿宋" w:cs="仿宋"/>
          <w:sz w:val="24"/>
        </w:rPr>
      </w:pPr>
      <w:r>
        <w:rPr>
          <w:rFonts w:hint="eastAsia" w:ascii="仿宋" w:hAnsi="仿宋" w:eastAsia="仿宋" w:cs="仿宋"/>
          <w:sz w:val="24"/>
        </w:rPr>
        <w:t>投标方提交投标文件须知</w:t>
      </w:r>
    </w:p>
    <w:p>
      <w:pPr>
        <w:spacing w:line="520" w:lineRule="exact"/>
        <w:ind w:firstLine="480" w:firstLineChars="200"/>
        <w:rPr>
          <w:rFonts w:ascii="仿宋" w:hAnsi="仿宋" w:eastAsia="仿宋" w:cs="仿宋"/>
          <w:sz w:val="24"/>
        </w:rPr>
      </w:pPr>
    </w:p>
    <w:p>
      <w:pPr>
        <w:spacing w:line="520" w:lineRule="exact"/>
        <w:ind w:firstLine="480" w:firstLineChars="200"/>
        <w:rPr>
          <w:rFonts w:ascii="仿宋" w:hAnsi="仿宋" w:eastAsia="仿宋" w:cs="仿宋"/>
          <w:sz w:val="24"/>
        </w:rPr>
      </w:pPr>
      <w:r>
        <w:rPr>
          <w:rFonts w:hint="eastAsia" w:ascii="仿宋" w:hAnsi="仿宋" w:eastAsia="仿宋" w:cs="仿宋"/>
          <w:sz w:val="24"/>
        </w:rPr>
        <w:t>1、投标方应严格按照以下顺序填写和提交下述规定的全部格式文件以及其他有关资料，混乱的编排导致投标文件被误读或招标方查找不到有效文件是投标方的风险。</w:t>
      </w:r>
    </w:p>
    <w:p>
      <w:pPr>
        <w:spacing w:line="520" w:lineRule="exact"/>
        <w:ind w:firstLine="480" w:firstLineChars="200"/>
        <w:rPr>
          <w:rFonts w:ascii="仿宋" w:hAnsi="仿宋" w:eastAsia="仿宋" w:cs="仿宋"/>
          <w:sz w:val="24"/>
        </w:rPr>
      </w:pPr>
      <w:r>
        <w:rPr>
          <w:rFonts w:hint="eastAsia" w:ascii="仿宋" w:hAnsi="仿宋" w:eastAsia="仿宋" w:cs="仿宋"/>
          <w:sz w:val="24"/>
        </w:rPr>
        <w:t>2、所附表格中要求回答的全部问题、信息都必须正面回答。</w:t>
      </w:r>
    </w:p>
    <w:p>
      <w:pPr>
        <w:spacing w:line="520" w:lineRule="exact"/>
        <w:ind w:firstLine="480" w:firstLineChars="200"/>
        <w:rPr>
          <w:rFonts w:ascii="仿宋" w:hAnsi="仿宋" w:eastAsia="仿宋" w:cs="仿宋"/>
          <w:sz w:val="24"/>
        </w:rPr>
      </w:pPr>
      <w:r>
        <w:rPr>
          <w:rFonts w:hint="eastAsia" w:ascii="仿宋" w:hAnsi="仿宋" w:eastAsia="仿宋" w:cs="仿宋"/>
          <w:sz w:val="24"/>
        </w:rPr>
        <w:t>3、本资格声明的签字人应保证全部声明和问题的回答是真实的和正确的。</w:t>
      </w:r>
    </w:p>
    <w:p>
      <w:pPr>
        <w:spacing w:line="520" w:lineRule="exact"/>
        <w:ind w:firstLine="480" w:firstLineChars="200"/>
        <w:rPr>
          <w:rFonts w:ascii="仿宋" w:hAnsi="仿宋" w:eastAsia="仿宋" w:cs="仿宋"/>
          <w:sz w:val="24"/>
        </w:rPr>
      </w:pPr>
      <w:r>
        <w:rPr>
          <w:rFonts w:hint="eastAsia" w:ascii="仿宋" w:hAnsi="仿宋" w:eastAsia="仿宋" w:cs="仿宋"/>
          <w:sz w:val="24"/>
        </w:rPr>
        <w:t>4、招标方将应用投标方提交的资料判断和考虑决定投标方履行合同的合格性及能力。</w:t>
      </w:r>
    </w:p>
    <w:p>
      <w:pPr>
        <w:spacing w:line="520" w:lineRule="exact"/>
        <w:ind w:firstLine="480" w:firstLineChars="200"/>
        <w:rPr>
          <w:rFonts w:ascii="仿宋" w:hAnsi="仿宋" w:eastAsia="仿宋" w:cs="仿宋"/>
          <w:sz w:val="24"/>
        </w:rPr>
      </w:pPr>
      <w:r>
        <w:rPr>
          <w:rFonts w:hint="eastAsia" w:ascii="仿宋" w:hAnsi="仿宋" w:eastAsia="仿宋" w:cs="仿宋"/>
          <w:sz w:val="24"/>
        </w:rPr>
        <w:t>5、投标方提交的材料将被保密保存，但不退还。</w:t>
      </w:r>
    </w:p>
    <w:p>
      <w:pPr>
        <w:spacing w:line="520" w:lineRule="exact"/>
        <w:ind w:firstLine="480" w:firstLineChars="200"/>
        <w:rPr>
          <w:rFonts w:ascii="仿宋" w:hAnsi="仿宋" w:eastAsia="仿宋" w:cs="仿宋"/>
          <w:sz w:val="24"/>
        </w:rPr>
      </w:pPr>
      <w:r>
        <w:rPr>
          <w:rFonts w:hint="eastAsia" w:ascii="仿宋" w:hAnsi="仿宋" w:eastAsia="仿宋" w:cs="仿宋"/>
          <w:sz w:val="24"/>
        </w:rPr>
        <w:t>6、全部文件应按投标方须知中规定的语言和份数提交。</w:t>
      </w:r>
    </w:p>
    <w:bookmarkEnd w:id="611"/>
    <w:bookmarkEnd w:id="612"/>
    <w:p>
      <w:pPr>
        <w:adjustRightInd w:val="0"/>
        <w:snapToGrid w:val="0"/>
        <w:spacing w:beforeLines="50" w:afterLines="50" w:line="500" w:lineRule="exact"/>
        <w:rPr>
          <w:rFonts w:ascii="仿宋" w:hAnsi="仿宋" w:eastAsia="仿宋" w:cs="仿宋"/>
          <w:b/>
          <w:sz w:val="24"/>
        </w:rPr>
      </w:pPr>
      <w:r>
        <w:rPr>
          <w:rFonts w:hint="eastAsia" w:ascii="仿宋" w:hAnsi="仿宋" w:eastAsia="仿宋" w:cs="仿宋"/>
          <w:sz w:val="24"/>
        </w:rPr>
        <w:br w:type="page"/>
      </w:r>
      <w:r>
        <w:rPr>
          <w:rFonts w:hint="eastAsia" w:ascii="仿宋" w:hAnsi="仿宋" w:eastAsia="仿宋" w:cs="仿宋"/>
          <w:b/>
          <w:sz w:val="24"/>
        </w:rPr>
        <w:t>一、资格证明文件、商务/技术文件的外包装封面格式：（不可缺）</w:t>
      </w:r>
    </w:p>
    <w:p>
      <w:pPr>
        <w:adjustRightInd w:val="0"/>
        <w:snapToGrid w:val="0"/>
        <w:spacing w:line="500" w:lineRule="exact"/>
        <w:jc w:val="center"/>
        <w:rPr>
          <w:rFonts w:ascii="仿宋" w:hAnsi="仿宋" w:eastAsia="仿宋" w:cs="仿宋"/>
          <w:bCs/>
          <w:sz w:val="24"/>
        </w:rPr>
      </w:pPr>
    </w:p>
    <w:p>
      <w:pPr>
        <w:adjustRightInd w:val="0"/>
        <w:snapToGrid w:val="0"/>
        <w:jc w:val="center"/>
        <w:rPr>
          <w:rStyle w:val="27"/>
          <w:rFonts w:ascii="仿宋" w:hAnsi="仿宋" w:eastAsia="仿宋" w:cs="仿宋"/>
          <w:sz w:val="24"/>
        </w:rPr>
      </w:pPr>
    </w:p>
    <w:p>
      <w:pPr>
        <w:adjustRightInd w:val="0"/>
        <w:snapToGrid w:val="0"/>
        <w:spacing w:line="600" w:lineRule="exact"/>
        <w:jc w:val="center"/>
        <w:rPr>
          <w:rFonts w:hint="eastAsia" w:ascii="仿宋" w:hAnsi="仿宋" w:eastAsia="仿宋" w:cs="仿宋"/>
          <w:bCs/>
          <w:sz w:val="24"/>
          <w:lang w:eastAsia="zh-CN"/>
        </w:rPr>
      </w:pPr>
      <w:r>
        <w:rPr>
          <w:rFonts w:hint="eastAsia" w:ascii="仿宋" w:hAnsi="仿宋" w:eastAsia="仿宋" w:cs="仿宋"/>
          <w:b/>
          <w:sz w:val="42"/>
          <w:szCs w:val="42"/>
          <w:lang w:eastAsia="zh-CN"/>
        </w:rPr>
        <w:t>湖东街道零星维修项目</w:t>
      </w:r>
    </w:p>
    <w:p>
      <w:pPr>
        <w:adjustRightInd w:val="0"/>
        <w:snapToGrid w:val="0"/>
        <w:jc w:val="center"/>
        <w:rPr>
          <w:rFonts w:ascii="仿宋" w:hAnsi="仿宋" w:eastAsia="仿宋" w:cs="仿宋"/>
          <w:bCs/>
          <w:sz w:val="24"/>
        </w:rPr>
      </w:pPr>
    </w:p>
    <w:p>
      <w:pPr>
        <w:adjustRightInd w:val="0"/>
        <w:snapToGrid w:val="0"/>
        <w:spacing w:afterLines="50"/>
        <w:jc w:val="center"/>
        <w:rPr>
          <w:rFonts w:ascii="仿宋" w:hAnsi="仿宋" w:eastAsia="仿宋" w:cs="仿宋"/>
          <w:sz w:val="24"/>
        </w:rPr>
      </w:pPr>
    </w:p>
    <w:p>
      <w:pPr>
        <w:adjustRightInd w:val="0"/>
        <w:snapToGrid w:val="0"/>
        <w:spacing w:afterLines="50"/>
        <w:jc w:val="center"/>
        <w:rPr>
          <w:rFonts w:ascii="仿宋" w:hAnsi="仿宋" w:eastAsia="仿宋" w:cs="仿宋"/>
          <w:sz w:val="24"/>
        </w:rPr>
      </w:pPr>
    </w:p>
    <w:p>
      <w:pPr>
        <w:adjustRightInd w:val="0"/>
        <w:snapToGrid w:val="0"/>
        <w:spacing w:afterLines="50"/>
        <w:jc w:val="center"/>
        <w:rPr>
          <w:rFonts w:ascii="仿宋" w:hAnsi="仿宋" w:eastAsia="仿宋" w:cs="仿宋"/>
          <w:sz w:val="52"/>
          <w:szCs w:val="52"/>
        </w:rPr>
      </w:pPr>
      <w:r>
        <w:rPr>
          <w:rFonts w:hint="eastAsia" w:ascii="仿宋" w:hAnsi="仿宋" w:eastAsia="仿宋" w:cs="仿宋"/>
          <w:sz w:val="52"/>
          <w:szCs w:val="52"/>
        </w:rPr>
        <w:t>资格证明文件/商务、技术文件、资信及其他</w:t>
      </w:r>
    </w:p>
    <w:p>
      <w:pPr>
        <w:adjustRightInd w:val="0"/>
        <w:snapToGrid w:val="0"/>
        <w:spacing w:line="500" w:lineRule="exact"/>
        <w:ind w:firstLine="1092" w:firstLineChars="455"/>
        <w:rPr>
          <w:rFonts w:ascii="仿宋" w:hAnsi="仿宋" w:eastAsia="仿宋" w:cs="仿宋"/>
          <w:bCs/>
          <w:sz w:val="24"/>
        </w:rPr>
      </w:pPr>
    </w:p>
    <w:p>
      <w:pPr>
        <w:adjustRightInd w:val="0"/>
        <w:snapToGrid w:val="0"/>
        <w:spacing w:line="500" w:lineRule="exact"/>
        <w:ind w:firstLine="1092" w:firstLineChars="455"/>
        <w:rPr>
          <w:rFonts w:ascii="仿宋" w:hAnsi="仿宋" w:eastAsia="仿宋" w:cs="仿宋"/>
          <w:bCs/>
          <w:sz w:val="24"/>
        </w:rPr>
      </w:pPr>
    </w:p>
    <w:p>
      <w:pPr>
        <w:adjustRightInd w:val="0"/>
        <w:snapToGrid w:val="0"/>
        <w:spacing w:line="500" w:lineRule="exact"/>
        <w:ind w:firstLine="1092" w:firstLineChars="455"/>
        <w:rPr>
          <w:rFonts w:ascii="仿宋" w:hAnsi="仿宋" w:eastAsia="仿宋" w:cs="仿宋"/>
          <w:bCs/>
          <w:sz w:val="24"/>
        </w:rPr>
      </w:pPr>
    </w:p>
    <w:p>
      <w:pPr>
        <w:adjustRightInd w:val="0"/>
        <w:snapToGrid w:val="0"/>
        <w:spacing w:line="500" w:lineRule="exact"/>
        <w:jc w:val="center"/>
        <w:rPr>
          <w:rFonts w:ascii="仿宋" w:hAnsi="仿宋" w:eastAsia="仿宋" w:cs="仿宋"/>
          <w:bCs/>
          <w:sz w:val="24"/>
        </w:rPr>
      </w:pPr>
      <w:r>
        <w:rPr>
          <w:rFonts w:hint="eastAsia" w:ascii="仿宋" w:hAnsi="仿宋" w:eastAsia="仿宋" w:cs="仿宋"/>
          <w:sz w:val="24"/>
        </w:rPr>
        <w:t>在年月日时分（开标时间）之前不得启封</w:t>
      </w:r>
    </w:p>
    <w:p>
      <w:pPr>
        <w:adjustRightInd w:val="0"/>
        <w:snapToGrid w:val="0"/>
        <w:spacing w:line="500" w:lineRule="exact"/>
        <w:ind w:firstLine="1092" w:firstLineChars="455"/>
        <w:rPr>
          <w:rFonts w:ascii="仿宋" w:hAnsi="仿宋" w:eastAsia="仿宋" w:cs="仿宋"/>
          <w:bCs/>
          <w:sz w:val="24"/>
        </w:rPr>
      </w:pPr>
    </w:p>
    <w:p>
      <w:pPr>
        <w:adjustRightInd w:val="0"/>
        <w:snapToGrid w:val="0"/>
        <w:spacing w:line="500" w:lineRule="exact"/>
        <w:ind w:firstLine="1092" w:firstLineChars="455"/>
        <w:rPr>
          <w:rFonts w:ascii="仿宋" w:hAnsi="仿宋" w:eastAsia="仿宋" w:cs="仿宋"/>
          <w:bCs/>
          <w:sz w:val="24"/>
        </w:rPr>
      </w:pPr>
    </w:p>
    <w:p>
      <w:pPr>
        <w:adjustRightInd w:val="0"/>
        <w:snapToGrid w:val="0"/>
        <w:spacing w:line="500" w:lineRule="exact"/>
        <w:rPr>
          <w:rFonts w:ascii="仿宋" w:hAnsi="仿宋" w:eastAsia="仿宋" w:cs="仿宋"/>
          <w:bCs/>
          <w:sz w:val="24"/>
        </w:rPr>
      </w:pPr>
    </w:p>
    <w:p>
      <w:pPr>
        <w:adjustRightInd w:val="0"/>
        <w:snapToGrid w:val="0"/>
        <w:spacing w:beforeLines="50" w:afterLines="50" w:line="500" w:lineRule="exact"/>
        <w:ind w:firstLine="960" w:firstLineChars="400"/>
        <w:rPr>
          <w:rFonts w:ascii="仿宋" w:hAnsi="仿宋" w:eastAsia="仿宋" w:cs="仿宋"/>
          <w:bCs/>
          <w:sz w:val="24"/>
          <w:u w:val="single"/>
        </w:rPr>
      </w:pPr>
      <w:r>
        <w:rPr>
          <w:rFonts w:hint="eastAsia" w:ascii="仿宋" w:hAnsi="仿宋" w:eastAsia="仿宋" w:cs="仿宋"/>
          <w:bCs/>
          <w:sz w:val="24"/>
        </w:rPr>
        <w:t>项目名称：</w:t>
      </w:r>
    </w:p>
    <w:p>
      <w:pPr>
        <w:adjustRightInd w:val="0"/>
        <w:snapToGrid w:val="0"/>
        <w:spacing w:beforeLines="50" w:afterLines="50" w:line="500" w:lineRule="exact"/>
        <w:ind w:firstLine="960" w:firstLineChars="400"/>
        <w:rPr>
          <w:rFonts w:ascii="仿宋" w:hAnsi="仿宋" w:eastAsia="仿宋" w:cs="仿宋"/>
          <w:bCs/>
          <w:sz w:val="24"/>
          <w:u w:val="single"/>
        </w:rPr>
      </w:pPr>
      <w:r>
        <w:rPr>
          <w:rFonts w:hint="eastAsia" w:ascii="仿宋" w:hAnsi="仿宋" w:eastAsia="仿宋" w:cs="仿宋"/>
          <w:bCs/>
          <w:sz w:val="24"/>
        </w:rPr>
        <w:t>项目编号：</w:t>
      </w:r>
    </w:p>
    <w:p>
      <w:pPr>
        <w:adjustRightInd w:val="0"/>
        <w:snapToGrid w:val="0"/>
        <w:spacing w:beforeLines="50" w:afterLines="50" w:line="500" w:lineRule="exact"/>
        <w:ind w:firstLine="960" w:firstLineChars="400"/>
        <w:rPr>
          <w:rFonts w:ascii="仿宋" w:hAnsi="仿宋" w:eastAsia="仿宋" w:cs="仿宋"/>
          <w:sz w:val="24"/>
        </w:rPr>
      </w:pPr>
      <w:r>
        <w:rPr>
          <w:rFonts w:hint="eastAsia" w:ascii="仿宋" w:hAnsi="仿宋" w:eastAsia="仿宋" w:cs="仿宋"/>
          <w:sz w:val="24"/>
        </w:rPr>
        <w:t>投标人名称（盖章）：</w:t>
      </w:r>
    </w:p>
    <w:p>
      <w:pPr>
        <w:adjustRightInd w:val="0"/>
        <w:snapToGrid w:val="0"/>
        <w:spacing w:beforeLines="50" w:afterLines="50" w:line="500" w:lineRule="exact"/>
        <w:ind w:firstLine="960" w:firstLineChars="400"/>
        <w:rPr>
          <w:rFonts w:ascii="仿宋" w:hAnsi="仿宋" w:eastAsia="仿宋" w:cs="仿宋"/>
          <w:sz w:val="24"/>
        </w:rPr>
      </w:pPr>
      <w:r>
        <w:rPr>
          <w:rFonts w:hint="eastAsia" w:ascii="仿宋" w:hAnsi="仿宋" w:eastAsia="仿宋" w:cs="仿宋"/>
          <w:sz w:val="24"/>
        </w:rPr>
        <w:t>投标人地址：</w:t>
      </w:r>
    </w:p>
    <w:p>
      <w:pPr>
        <w:adjustRightInd w:val="0"/>
        <w:snapToGrid w:val="0"/>
        <w:spacing w:beforeLines="50" w:afterLines="50" w:line="500" w:lineRule="exact"/>
        <w:ind w:firstLine="960" w:firstLineChars="400"/>
        <w:rPr>
          <w:rFonts w:ascii="仿宋" w:hAnsi="仿宋" w:eastAsia="仿宋" w:cs="仿宋"/>
          <w:bCs/>
          <w:sz w:val="24"/>
        </w:rPr>
      </w:pPr>
      <w:r>
        <w:rPr>
          <w:rFonts w:hint="eastAsia" w:ascii="仿宋" w:hAnsi="仿宋" w:eastAsia="仿宋" w:cs="仿宋"/>
          <w:bCs/>
          <w:sz w:val="24"/>
        </w:rPr>
        <w:t>授权代表签章：</w:t>
      </w:r>
    </w:p>
    <w:p>
      <w:pPr>
        <w:adjustRightInd w:val="0"/>
        <w:snapToGrid w:val="0"/>
        <w:spacing w:beforeLines="50" w:afterLines="50" w:line="500" w:lineRule="exact"/>
        <w:ind w:firstLine="960" w:firstLineChars="400"/>
        <w:rPr>
          <w:rFonts w:ascii="仿宋" w:hAnsi="仿宋" w:eastAsia="仿宋" w:cs="仿宋"/>
          <w:bCs/>
          <w:sz w:val="24"/>
        </w:rPr>
      </w:pPr>
      <w:r>
        <w:rPr>
          <w:rFonts w:hint="eastAsia" w:ascii="仿宋" w:hAnsi="仿宋" w:eastAsia="仿宋" w:cs="仿宋"/>
          <w:bCs/>
          <w:sz w:val="24"/>
        </w:rPr>
        <w:t>年月日</w:t>
      </w:r>
    </w:p>
    <w:p>
      <w:pPr>
        <w:adjustRightInd w:val="0"/>
        <w:snapToGrid w:val="0"/>
        <w:spacing w:beforeLines="50" w:afterLines="50" w:line="500" w:lineRule="exact"/>
        <w:rPr>
          <w:rFonts w:ascii="仿宋" w:hAnsi="仿宋" w:eastAsia="仿宋" w:cs="仿宋"/>
          <w:b/>
          <w:sz w:val="24"/>
        </w:rPr>
      </w:pPr>
    </w:p>
    <w:p>
      <w:pPr>
        <w:adjustRightInd w:val="0"/>
        <w:snapToGrid w:val="0"/>
        <w:spacing w:beforeLines="50" w:afterLines="50" w:line="500" w:lineRule="exact"/>
        <w:rPr>
          <w:rFonts w:ascii="仿宋" w:hAnsi="仿宋" w:eastAsia="仿宋" w:cs="仿宋"/>
          <w:b/>
          <w:sz w:val="24"/>
        </w:rPr>
      </w:pPr>
    </w:p>
    <w:p>
      <w:pPr>
        <w:adjustRightInd w:val="0"/>
        <w:snapToGrid w:val="0"/>
        <w:spacing w:beforeLines="50" w:afterLines="50" w:line="500" w:lineRule="exact"/>
        <w:rPr>
          <w:rFonts w:ascii="仿宋" w:hAnsi="仿宋" w:eastAsia="仿宋" w:cs="仿宋"/>
          <w:b/>
          <w:sz w:val="24"/>
        </w:rPr>
      </w:pPr>
      <w:r>
        <w:rPr>
          <w:rFonts w:hint="eastAsia" w:ascii="仿宋" w:hAnsi="仿宋" w:eastAsia="仿宋" w:cs="仿宋"/>
          <w:b/>
          <w:sz w:val="24"/>
        </w:rPr>
        <w:t xml:space="preserve">二、资格证明文件/商务/技术文件封面格式： </w:t>
      </w:r>
    </w:p>
    <w:p>
      <w:pPr>
        <w:adjustRightInd w:val="0"/>
        <w:snapToGrid w:val="0"/>
        <w:spacing w:line="500" w:lineRule="exact"/>
        <w:jc w:val="right"/>
        <w:rPr>
          <w:rFonts w:ascii="仿宋" w:hAnsi="仿宋" w:eastAsia="仿宋" w:cs="仿宋"/>
          <w:b/>
          <w:bCs/>
          <w:sz w:val="24"/>
        </w:rPr>
      </w:pPr>
    </w:p>
    <w:p>
      <w:pPr>
        <w:adjustRightInd w:val="0"/>
        <w:snapToGrid w:val="0"/>
        <w:jc w:val="center"/>
        <w:rPr>
          <w:rStyle w:val="27"/>
          <w:rFonts w:ascii="仿宋" w:hAnsi="仿宋" w:eastAsia="仿宋" w:cs="仿宋"/>
          <w:b/>
          <w:sz w:val="24"/>
        </w:rPr>
      </w:pPr>
    </w:p>
    <w:p>
      <w:pPr>
        <w:adjustRightInd w:val="0"/>
        <w:snapToGrid w:val="0"/>
        <w:jc w:val="center"/>
        <w:rPr>
          <w:rStyle w:val="27"/>
          <w:rFonts w:ascii="仿宋" w:hAnsi="仿宋" w:eastAsia="仿宋" w:cs="仿宋"/>
          <w:sz w:val="24"/>
        </w:rPr>
      </w:pPr>
    </w:p>
    <w:p>
      <w:pPr>
        <w:adjustRightInd w:val="0"/>
        <w:snapToGrid w:val="0"/>
        <w:jc w:val="center"/>
        <w:rPr>
          <w:rFonts w:hint="eastAsia" w:ascii="仿宋" w:hAnsi="仿宋" w:eastAsia="仿宋" w:cs="仿宋"/>
          <w:b/>
          <w:sz w:val="24"/>
          <w:lang w:eastAsia="zh-CN"/>
        </w:rPr>
      </w:pPr>
      <w:r>
        <w:rPr>
          <w:rFonts w:hint="eastAsia" w:ascii="仿宋" w:hAnsi="仿宋" w:eastAsia="仿宋" w:cs="仿宋"/>
          <w:b/>
          <w:sz w:val="42"/>
          <w:szCs w:val="42"/>
          <w:lang w:eastAsia="zh-CN"/>
        </w:rPr>
        <w:t>湖东街道零星维修项目</w:t>
      </w:r>
    </w:p>
    <w:p>
      <w:pPr>
        <w:adjustRightInd w:val="0"/>
        <w:snapToGrid w:val="0"/>
        <w:spacing w:line="360" w:lineRule="auto"/>
        <w:jc w:val="center"/>
        <w:rPr>
          <w:rFonts w:ascii="仿宋" w:hAnsi="仿宋" w:eastAsia="仿宋" w:cs="仿宋"/>
          <w:sz w:val="24"/>
        </w:rPr>
      </w:pPr>
    </w:p>
    <w:p>
      <w:pPr>
        <w:adjustRightInd w:val="0"/>
        <w:snapToGrid w:val="0"/>
        <w:spacing w:line="360" w:lineRule="auto"/>
        <w:jc w:val="center"/>
        <w:rPr>
          <w:rFonts w:ascii="仿宋" w:hAnsi="仿宋" w:eastAsia="仿宋" w:cs="仿宋"/>
          <w:sz w:val="24"/>
        </w:rPr>
      </w:pPr>
    </w:p>
    <w:p>
      <w:pPr>
        <w:adjustRightInd w:val="0"/>
        <w:snapToGrid w:val="0"/>
        <w:spacing w:line="360" w:lineRule="auto"/>
        <w:jc w:val="center"/>
        <w:rPr>
          <w:rFonts w:ascii="仿宋" w:hAnsi="仿宋" w:eastAsia="仿宋" w:cs="仿宋"/>
          <w:sz w:val="52"/>
          <w:szCs w:val="52"/>
        </w:rPr>
      </w:pPr>
      <w:r>
        <w:rPr>
          <w:rFonts w:hint="eastAsia" w:ascii="仿宋" w:hAnsi="仿宋" w:eastAsia="仿宋" w:cs="仿宋"/>
          <w:sz w:val="52"/>
          <w:szCs w:val="52"/>
        </w:rPr>
        <w:t>资格证明文件/商务、技术文件、资信及其他</w:t>
      </w:r>
    </w:p>
    <w:p>
      <w:pPr>
        <w:adjustRightInd w:val="0"/>
        <w:snapToGrid w:val="0"/>
        <w:spacing w:line="500" w:lineRule="exact"/>
        <w:ind w:firstLine="1092" w:firstLineChars="455"/>
        <w:rPr>
          <w:rFonts w:ascii="仿宋" w:hAnsi="仿宋" w:eastAsia="仿宋" w:cs="仿宋"/>
          <w:bCs/>
          <w:sz w:val="24"/>
        </w:rPr>
      </w:pPr>
    </w:p>
    <w:p>
      <w:pPr>
        <w:adjustRightInd w:val="0"/>
        <w:snapToGrid w:val="0"/>
        <w:spacing w:line="500" w:lineRule="exact"/>
        <w:ind w:firstLine="1092" w:firstLineChars="455"/>
        <w:rPr>
          <w:rFonts w:ascii="仿宋" w:hAnsi="仿宋" w:eastAsia="仿宋" w:cs="仿宋"/>
          <w:bCs/>
          <w:sz w:val="24"/>
        </w:rPr>
      </w:pPr>
    </w:p>
    <w:p>
      <w:pPr>
        <w:adjustRightInd w:val="0"/>
        <w:snapToGrid w:val="0"/>
        <w:spacing w:line="500" w:lineRule="exact"/>
        <w:ind w:firstLine="1092" w:firstLineChars="455"/>
        <w:rPr>
          <w:rFonts w:ascii="仿宋" w:hAnsi="仿宋" w:eastAsia="仿宋" w:cs="仿宋"/>
          <w:bCs/>
          <w:sz w:val="24"/>
        </w:rPr>
      </w:pPr>
    </w:p>
    <w:p>
      <w:pPr>
        <w:adjustRightInd w:val="0"/>
        <w:snapToGrid w:val="0"/>
        <w:spacing w:beforeLines="50" w:afterLines="50" w:line="500" w:lineRule="exact"/>
        <w:ind w:firstLine="960" w:firstLineChars="400"/>
        <w:rPr>
          <w:rFonts w:ascii="仿宋" w:hAnsi="仿宋" w:eastAsia="仿宋" w:cs="仿宋"/>
          <w:bCs/>
          <w:sz w:val="24"/>
          <w:u w:val="single"/>
        </w:rPr>
      </w:pPr>
      <w:r>
        <w:rPr>
          <w:rFonts w:hint="eastAsia" w:ascii="仿宋" w:hAnsi="仿宋" w:eastAsia="仿宋" w:cs="仿宋"/>
          <w:bCs/>
          <w:sz w:val="24"/>
        </w:rPr>
        <w:t>项目名称：</w:t>
      </w:r>
    </w:p>
    <w:p>
      <w:pPr>
        <w:adjustRightInd w:val="0"/>
        <w:snapToGrid w:val="0"/>
        <w:spacing w:beforeLines="50" w:afterLines="50" w:line="500" w:lineRule="exact"/>
        <w:ind w:firstLine="960" w:firstLineChars="400"/>
        <w:rPr>
          <w:rFonts w:ascii="仿宋" w:hAnsi="仿宋" w:eastAsia="仿宋" w:cs="仿宋"/>
          <w:bCs/>
          <w:sz w:val="24"/>
          <w:u w:val="single"/>
        </w:rPr>
      </w:pPr>
      <w:r>
        <w:rPr>
          <w:rFonts w:hint="eastAsia" w:ascii="仿宋" w:hAnsi="仿宋" w:eastAsia="仿宋" w:cs="仿宋"/>
          <w:bCs/>
          <w:sz w:val="24"/>
        </w:rPr>
        <w:t>项目编号：</w:t>
      </w:r>
    </w:p>
    <w:p>
      <w:pPr>
        <w:adjustRightInd w:val="0"/>
        <w:snapToGrid w:val="0"/>
        <w:spacing w:beforeLines="50" w:afterLines="50" w:line="500" w:lineRule="exact"/>
        <w:ind w:firstLine="960" w:firstLineChars="400"/>
        <w:rPr>
          <w:rFonts w:ascii="仿宋" w:hAnsi="仿宋" w:eastAsia="仿宋" w:cs="仿宋"/>
          <w:sz w:val="24"/>
        </w:rPr>
      </w:pPr>
      <w:r>
        <w:rPr>
          <w:rFonts w:hint="eastAsia" w:ascii="仿宋" w:hAnsi="仿宋" w:eastAsia="仿宋" w:cs="仿宋"/>
          <w:sz w:val="24"/>
        </w:rPr>
        <w:t>投标人名称（盖章）：</w:t>
      </w:r>
    </w:p>
    <w:p>
      <w:pPr>
        <w:adjustRightInd w:val="0"/>
        <w:snapToGrid w:val="0"/>
        <w:spacing w:beforeLines="50" w:afterLines="50" w:line="500" w:lineRule="exact"/>
        <w:ind w:firstLine="960" w:firstLineChars="400"/>
        <w:rPr>
          <w:rFonts w:ascii="仿宋" w:hAnsi="仿宋" w:eastAsia="仿宋" w:cs="仿宋"/>
          <w:sz w:val="24"/>
        </w:rPr>
      </w:pPr>
      <w:r>
        <w:rPr>
          <w:rFonts w:hint="eastAsia" w:ascii="仿宋" w:hAnsi="仿宋" w:eastAsia="仿宋" w:cs="仿宋"/>
          <w:sz w:val="24"/>
        </w:rPr>
        <w:t>投标人地址：</w:t>
      </w:r>
    </w:p>
    <w:p>
      <w:pPr>
        <w:adjustRightInd w:val="0"/>
        <w:snapToGrid w:val="0"/>
        <w:spacing w:beforeLines="50" w:afterLines="50" w:line="500" w:lineRule="exact"/>
        <w:ind w:firstLine="960" w:firstLineChars="400"/>
        <w:rPr>
          <w:rFonts w:ascii="仿宋" w:hAnsi="仿宋" w:eastAsia="仿宋" w:cs="仿宋"/>
          <w:bCs/>
          <w:sz w:val="24"/>
        </w:rPr>
      </w:pPr>
      <w:r>
        <w:rPr>
          <w:rFonts w:hint="eastAsia" w:ascii="仿宋" w:hAnsi="仿宋" w:eastAsia="仿宋" w:cs="仿宋"/>
          <w:bCs/>
          <w:sz w:val="24"/>
        </w:rPr>
        <w:t>授权代表签章：</w:t>
      </w:r>
    </w:p>
    <w:p>
      <w:pPr>
        <w:adjustRightInd w:val="0"/>
        <w:snapToGrid w:val="0"/>
        <w:spacing w:beforeLines="50" w:afterLines="50" w:line="500" w:lineRule="exact"/>
        <w:ind w:firstLine="960" w:firstLineChars="400"/>
        <w:rPr>
          <w:rFonts w:ascii="仿宋" w:hAnsi="仿宋" w:eastAsia="仿宋" w:cs="仿宋"/>
          <w:bCs/>
          <w:sz w:val="24"/>
        </w:rPr>
      </w:pPr>
      <w:r>
        <w:rPr>
          <w:rFonts w:hint="eastAsia" w:ascii="仿宋" w:hAnsi="仿宋" w:eastAsia="仿宋" w:cs="仿宋"/>
          <w:bCs/>
          <w:sz w:val="24"/>
        </w:rPr>
        <w:t>年月日</w:t>
      </w:r>
    </w:p>
    <w:p>
      <w:pPr>
        <w:adjustRightInd w:val="0"/>
        <w:snapToGrid w:val="0"/>
        <w:spacing w:line="360" w:lineRule="exact"/>
        <w:rPr>
          <w:rFonts w:ascii="仿宋" w:hAnsi="仿宋" w:eastAsia="仿宋" w:cs="仿宋"/>
          <w:b/>
          <w:sz w:val="24"/>
        </w:rPr>
      </w:pPr>
    </w:p>
    <w:p>
      <w:pPr>
        <w:adjustRightInd w:val="0"/>
        <w:snapToGrid w:val="0"/>
        <w:spacing w:line="360" w:lineRule="exact"/>
        <w:rPr>
          <w:rFonts w:ascii="仿宋" w:hAnsi="仿宋" w:eastAsia="仿宋" w:cs="仿宋"/>
          <w:b/>
          <w:sz w:val="24"/>
        </w:rPr>
      </w:pPr>
    </w:p>
    <w:p>
      <w:pPr>
        <w:pStyle w:val="2"/>
      </w:pPr>
    </w:p>
    <w:p>
      <w:pPr>
        <w:adjustRightInd w:val="0"/>
        <w:snapToGrid w:val="0"/>
        <w:spacing w:line="360" w:lineRule="exact"/>
        <w:rPr>
          <w:rFonts w:ascii="仿宋" w:hAnsi="仿宋" w:eastAsia="仿宋" w:cs="仿宋"/>
          <w:b/>
          <w:sz w:val="24"/>
        </w:rPr>
      </w:pPr>
    </w:p>
    <w:p>
      <w:pPr>
        <w:adjustRightInd w:val="0"/>
        <w:snapToGrid w:val="0"/>
        <w:spacing w:line="360" w:lineRule="exact"/>
        <w:rPr>
          <w:rFonts w:ascii="仿宋" w:hAnsi="仿宋" w:eastAsia="仿宋" w:cs="仿宋"/>
          <w:b/>
          <w:sz w:val="24"/>
        </w:rPr>
      </w:pPr>
    </w:p>
    <w:p>
      <w:pPr>
        <w:adjustRightInd w:val="0"/>
        <w:snapToGrid w:val="0"/>
        <w:spacing w:line="360" w:lineRule="exact"/>
        <w:rPr>
          <w:rFonts w:ascii="仿宋" w:hAnsi="仿宋" w:eastAsia="仿宋" w:cs="仿宋"/>
          <w:b/>
          <w:sz w:val="24"/>
        </w:rPr>
      </w:pPr>
      <w:r>
        <w:rPr>
          <w:rFonts w:hint="eastAsia" w:ascii="仿宋" w:hAnsi="仿宋" w:eastAsia="仿宋" w:cs="仿宋"/>
          <w:b/>
          <w:sz w:val="24"/>
        </w:rPr>
        <w:t>三、资格证明文件目录</w:t>
      </w:r>
    </w:p>
    <w:p>
      <w:pPr>
        <w:adjustRightInd w:val="0"/>
        <w:snapToGrid w:val="0"/>
        <w:spacing w:line="400" w:lineRule="exact"/>
        <w:ind w:left="420"/>
        <w:jc w:val="left"/>
        <w:rPr>
          <w:rFonts w:ascii="仿宋" w:hAnsi="仿宋" w:eastAsia="仿宋" w:cs="仿宋"/>
          <w:bCs/>
          <w:sz w:val="24"/>
        </w:rPr>
      </w:pPr>
      <w:r>
        <w:rPr>
          <w:rFonts w:hint="eastAsia" w:ascii="仿宋" w:hAnsi="仿宋" w:eastAsia="仿宋" w:cs="仿宋"/>
          <w:bCs/>
          <w:sz w:val="24"/>
        </w:rPr>
        <w:t>（1）投标声明书；</w:t>
      </w:r>
    </w:p>
    <w:p>
      <w:pPr>
        <w:adjustRightInd w:val="0"/>
        <w:snapToGrid w:val="0"/>
        <w:spacing w:line="400" w:lineRule="exact"/>
        <w:ind w:left="420"/>
        <w:jc w:val="left"/>
        <w:rPr>
          <w:rFonts w:ascii="仿宋" w:hAnsi="仿宋" w:eastAsia="仿宋" w:cs="仿宋"/>
          <w:bCs/>
          <w:sz w:val="24"/>
        </w:rPr>
      </w:pPr>
      <w:r>
        <w:rPr>
          <w:rFonts w:hint="eastAsia" w:ascii="仿宋" w:hAnsi="仿宋" w:eastAsia="仿宋" w:cs="仿宋"/>
          <w:bCs/>
          <w:sz w:val="24"/>
        </w:rPr>
        <w:t>（2）投标人基本情况介绍；</w:t>
      </w:r>
    </w:p>
    <w:p>
      <w:pPr>
        <w:adjustRightInd w:val="0"/>
        <w:snapToGrid w:val="0"/>
        <w:spacing w:line="400" w:lineRule="exact"/>
        <w:ind w:left="420"/>
        <w:jc w:val="left"/>
        <w:rPr>
          <w:rFonts w:ascii="仿宋" w:hAnsi="仿宋" w:eastAsia="仿宋" w:cs="仿宋"/>
          <w:bCs/>
          <w:sz w:val="24"/>
        </w:rPr>
      </w:pPr>
      <w:r>
        <w:rPr>
          <w:rFonts w:hint="eastAsia" w:ascii="仿宋" w:hAnsi="仿宋" w:eastAsia="仿宋" w:cs="仿宋"/>
          <w:bCs/>
          <w:sz w:val="24"/>
        </w:rPr>
        <w:t>（3）法定代表人授权委托书及授权代理人有效身份证明</w:t>
      </w:r>
      <w:r>
        <w:rPr>
          <w:rFonts w:hint="eastAsia" w:ascii="仿宋" w:hAnsi="仿宋" w:eastAsia="仿宋" w:cs="仿宋"/>
          <w:sz w:val="24"/>
        </w:rPr>
        <w:t>（附授权代理人近三个月社保中任一一个月社保证明）</w:t>
      </w:r>
    </w:p>
    <w:p>
      <w:pPr>
        <w:adjustRightInd w:val="0"/>
        <w:snapToGrid w:val="0"/>
        <w:spacing w:line="400" w:lineRule="exact"/>
        <w:ind w:left="420"/>
        <w:jc w:val="left"/>
        <w:rPr>
          <w:rFonts w:ascii="仿宋" w:hAnsi="仿宋" w:eastAsia="仿宋" w:cs="仿宋"/>
          <w:bCs/>
          <w:sz w:val="24"/>
        </w:rPr>
      </w:pPr>
      <w:r>
        <w:rPr>
          <w:rFonts w:hint="eastAsia" w:ascii="仿宋" w:hAnsi="仿宋" w:eastAsia="仿宋" w:cs="仿宋"/>
          <w:bCs/>
          <w:sz w:val="24"/>
        </w:rPr>
        <w:t>（4）企业营业执照副本</w:t>
      </w:r>
    </w:p>
    <w:p>
      <w:pPr>
        <w:adjustRightInd w:val="0"/>
        <w:snapToGrid w:val="0"/>
        <w:spacing w:line="400" w:lineRule="exact"/>
        <w:ind w:left="420"/>
        <w:jc w:val="left"/>
        <w:rPr>
          <w:rFonts w:ascii="仿宋" w:hAnsi="仿宋" w:eastAsia="仿宋" w:cs="仿宋"/>
          <w:bCs/>
          <w:sz w:val="24"/>
        </w:rPr>
      </w:pPr>
      <w:r>
        <w:rPr>
          <w:rFonts w:hint="eastAsia" w:ascii="仿宋" w:hAnsi="仿宋" w:eastAsia="仿宋" w:cs="仿宋"/>
          <w:bCs/>
          <w:sz w:val="24"/>
        </w:rPr>
        <w:t>（5）企业资质证书、安全生产许可证、湖州市劳动工资支付应急保障金储存证明（浙江省外企业参加投标须进浙备案）</w:t>
      </w:r>
    </w:p>
    <w:p>
      <w:pPr>
        <w:adjustRightInd w:val="0"/>
        <w:snapToGrid w:val="0"/>
        <w:spacing w:line="400" w:lineRule="exact"/>
        <w:ind w:left="420"/>
        <w:jc w:val="left"/>
        <w:rPr>
          <w:rFonts w:ascii="仿宋" w:hAnsi="仿宋" w:eastAsia="仿宋" w:cs="仿宋"/>
          <w:bCs/>
          <w:sz w:val="24"/>
        </w:rPr>
      </w:pPr>
      <w:r>
        <w:rPr>
          <w:rFonts w:hint="eastAsia" w:ascii="仿宋" w:hAnsi="仿宋" w:eastAsia="仿宋" w:cs="仿宋"/>
          <w:bCs/>
          <w:sz w:val="24"/>
        </w:rPr>
        <w:t>（6）项目负责人注册证书及B证（浙江省外企业拟投标项目负责人须进浙备案）；</w:t>
      </w:r>
    </w:p>
    <w:p>
      <w:pPr>
        <w:adjustRightInd w:val="0"/>
        <w:snapToGrid w:val="0"/>
        <w:spacing w:line="400" w:lineRule="exact"/>
        <w:ind w:left="420"/>
        <w:jc w:val="left"/>
        <w:rPr>
          <w:rFonts w:ascii="仿宋" w:hAnsi="仿宋" w:eastAsia="仿宋" w:cs="仿宋"/>
          <w:bCs/>
          <w:sz w:val="24"/>
        </w:rPr>
      </w:pPr>
      <w:r>
        <w:rPr>
          <w:rFonts w:hint="eastAsia" w:ascii="仿宋" w:hAnsi="仿宋" w:eastAsia="仿宋" w:cs="仿宋"/>
          <w:bCs/>
          <w:sz w:val="24"/>
        </w:rPr>
        <w:t>（7）投标申请企业拟选派注册建造师无在建工程证明；</w:t>
      </w:r>
    </w:p>
    <w:p>
      <w:pPr>
        <w:adjustRightInd w:val="0"/>
        <w:snapToGrid w:val="0"/>
        <w:spacing w:line="400" w:lineRule="exact"/>
        <w:ind w:left="420"/>
        <w:jc w:val="left"/>
        <w:rPr>
          <w:rFonts w:ascii="仿宋" w:hAnsi="仿宋" w:eastAsia="仿宋" w:cs="仿宋"/>
          <w:bCs/>
          <w:sz w:val="24"/>
        </w:rPr>
      </w:pPr>
      <w:r>
        <w:rPr>
          <w:rFonts w:hint="eastAsia" w:ascii="仿宋" w:hAnsi="仿宋" w:eastAsia="仿宋" w:cs="仿宋"/>
          <w:bCs/>
          <w:sz w:val="24"/>
        </w:rPr>
        <w:t>（8）自招标公告发布之后任意时间的“信用中国”（www.creditchina.gov.cn）、中国政府采购（www.ccgp.gov.cn）投标人信用查询网页截图；</w:t>
      </w:r>
    </w:p>
    <w:p>
      <w:pPr>
        <w:adjustRightInd w:val="0"/>
        <w:snapToGrid w:val="0"/>
        <w:spacing w:line="400" w:lineRule="exact"/>
        <w:ind w:left="420"/>
        <w:jc w:val="left"/>
        <w:rPr>
          <w:rFonts w:ascii="仿宋" w:hAnsi="仿宋" w:eastAsia="仿宋" w:cs="仿宋"/>
          <w:b/>
          <w:sz w:val="24"/>
        </w:rPr>
      </w:pPr>
      <w:r>
        <w:rPr>
          <w:rFonts w:hint="eastAsia" w:ascii="仿宋" w:hAnsi="仿宋" w:eastAsia="仿宋" w:cs="仿宋"/>
          <w:bCs/>
          <w:sz w:val="24"/>
        </w:rPr>
        <w:t>（9）投标人认为需要提供的其他技术资料。</w:t>
      </w:r>
    </w:p>
    <w:p>
      <w:pPr>
        <w:adjustRightInd w:val="0"/>
        <w:snapToGrid w:val="0"/>
        <w:spacing w:line="360" w:lineRule="exact"/>
        <w:rPr>
          <w:rFonts w:ascii="仿宋" w:hAnsi="仿宋" w:eastAsia="仿宋" w:cs="仿宋"/>
          <w:b/>
          <w:sz w:val="24"/>
        </w:rPr>
      </w:pPr>
    </w:p>
    <w:p>
      <w:pPr>
        <w:adjustRightInd w:val="0"/>
        <w:snapToGrid w:val="0"/>
        <w:spacing w:line="360" w:lineRule="exact"/>
        <w:rPr>
          <w:rFonts w:ascii="仿宋" w:hAnsi="仿宋" w:eastAsia="仿宋" w:cs="仿宋"/>
          <w:b/>
          <w:sz w:val="24"/>
        </w:rPr>
      </w:pPr>
    </w:p>
    <w:p>
      <w:pPr>
        <w:adjustRightInd w:val="0"/>
        <w:snapToGrid w:val="0"/>
        <w:spacing w:line="360" w:lineRule="exact"/>
        <w:rPr>
          <w:rFonts w:ascii="仿宋" w:hAnsi="仿宋" w:eastAsia="仿宋" w:cs="仿宋"/>
          <w:b/>
          <w:sz w:val="24"/>
        </w:rPr>
      </w:pPr>
    </w:p>
    <w:p>
      <w:pPr>
        <w:adjustRightInd w:val="0"/>
        <w:snapToGrid w:val="0"/>
        <w:spacing w:line="360" w:lineRule="exact"/>
        <w:rPr>
          <w:rFonts w:ascii="仿宋" w:hAnsi="仿宋" w:eastAsia="仿宋" w:cs="仿宋"/>
          <w:b/>
          <w:sz w:val="24"/>
        </w:rPr>
      </w:pPr>
    </w:p>
    <w:p>
      <w:pPr>
        <w:adjustRightInd w:val="0"/>
        <w:snapToGrid w:val="0"/>
        <w:spacing w:line="360" w:lineRule="exact"/>
        <w:rPr>
          <w:rFonts w:ascii="仿宋" w:hAnsi="仿宋" w:eastAsia="仿宋" w:cs="仿宋"/>
          <w:b/>
          <w:sz w:val="24"/>
        </w:rPr>
      </w:pPr>
    </w:p>
    <w:p>
      <w:pPr>
        <w:adjustRightInd w:val="0"/>
        <w:snapToGrid w:val="0"/>
        <w:spacing w:line="360" w:lineRule="exact"/>
        <w:rPr>
          <w:rFonts w:ascii="仿宋" w:hAnsi="仿宋" w:eastAsia="仿宋" w:cs="仿宋"/>
          <w:b/>
          <w:sz w:val="24"/>
        </w:rPr>
      </w:pPr>
    </w:p>
    <w:p>
      <w:pPr>
        <w:adjustRightInd w:val="0"/>
        <w:snapToGrid w:val="0"/>
        <w:spacing w:line="360" w:lineRule="exact"/>
        <w:rPr>
          <w:rFonts w:ascii="仿宋" w:hAnsi="仿宋" w:eastAsia="仿宋" w:cs="仿宋"/>
          <w:b/>
          <w:sz w:val="24"/>
        </w:rPr>
      </w:pPr>
    </w:p>
    <w:p>
      <w:pPr>
        <w:adjustRightInd w:val="0"/>
        <w:snapToGrid w:val="0"/>
        <w:spacing w:line="360" w:lineRule="exact"/>
        <w:rPr>
          <w:rFonts w:ascii="仿宋" w:hAnsi="仿宋" w:eastAsia="仿宋" w:cs="仿宋"/>
          <w:b/>
          <w:sz w:val="24"/>
        </w:rPr>
      </w:pPr>
    </w:p>
    <w:p>
      <w:pPr>
        <w:adjustRightInd w:val="0"/>
        <w:snapToGrid w:val="0"/>
        <w:spacing w:line="360" w:lineRule="exact"/>
        <w:rPr>
          <w:rFonts w:ascii="仿宋" w:hAnsi="仿宋" w:eastAsia="仿宋" w:cs="仿宋"/>
          <w:b/>
          <w:sz w:val="24"/>
        </w:rPr>
      </w:pPr>
    </w:p>
    <w:p>
      <w:pPr>
        <w:adjustRightInd w:val="0"/>
        <w:snapToGrid w:val="0"/>
        <w:spacing w:line="360" w:lineRule="exact"/>
        <w:rPr>
          <w:rFonts w:ascii="仿宋" w:hAnsi="仿宋" w:eastAsia="仿宋" w:cs="仿宋"/>
          <w:b/>
          <w:sz w:val="24"/>
        </w:rPr>
      </w:pPr>
    </w:p>
    <w:p>
      <w:pPr>
        <w:adjustRightInd w:val="0"/>
        <w:snapToGrid w:val="0"/>
        <w:spacing w:line="360" w:lineRule="exact"/>
        <w:rPr>
          <w:rFonts w:ascii="仿宋" w:hAnsi="仿宋" w:eastAsia="仿宋" w:cs="仿宋"/>
          <w:b/>
          <w:sz w:val="24"/>
        </w:rPr>
      </w:pPr>
    </w:p>
    <w:p>
      <w:pPr>
        <w:adjustRightInd w:val="0"/>
        <w:snapToGrid w:val="0"/>
        <w:spacing w:line="360" w:lineRule="exact"/>
        <w:rPr>
          <w:rFonts w:ascii="仿宋" w:hAnsi="仿宋" w:eastAsia="仿宋" w:cs="仿宋"/>
          <w:b/>
          <w:sz w:val="24"/>
        </w:rPr>
      </w:pPr>
    </w:p>
    <w:p>
      <w:pPr>
        <w:adjustRightInd w:val="0"/>
        <w:snapToGrid w:val="0"/>
        <w:spacing w:line="360" w:lineRule="exact"/>
        <w:rPr>
          <w:rFonts w:ascii="仿宋" w:hAnsi="仿宋" w:eastAsia="仿宋" w:cs="仿宋"/>
          <w:b/>
          <w:sz w:val="24"/>
        </w:rPr>
      </w:pPr>
    </w:p>
    <w:p>
      <w:pPr>
        <w:adjustRightInd w:val="0"/>
        <w:snapToGrid w:val="0"/>
        <w:spacing w:line="360" w:lineRule="exact"/>
        <w:rPr>
          <w:rFonts w:ascii="仿宋" w:hAnsi="仿宋" w:eastAsia="仿宋" w:cs="仿宋"/>
          <w:b/>
          <w:sz w:val="24"/>
        </w:rPr>
      </w:pPr>
    </w:p>
    <w:p>
      <w:pPr>
        <w:adjustRightInd w:val="0"/>
        <w:snapToGrid w:val="0"/>
        <w:spacing w:line="360" w:lineRule="exact"/>
        <w:rPr>
          <w:rFonts w:ascii="仿宋" w:hAnsi="仿宋" w:eastAsia="仿宋" w:cs="仿宋"/>
          <w:b/>
          <w:sz w:val="24"/>
        </w:rPr>
      </w:pPr>
    </w:p>
    <w:p>
      <w:pPr>
        <w:adjustRightInd w:val="0"/>
        <w:snapToGrid w:val="0"/>
        <w:spacing w:line="360" w:lineRule="exact"/>
        <w:rPr>
          <w:rFonts w:ascii="仿宋" w:hAnsi="仿宋" w:eastAsia="仿宋" w:cs="仿宋"/>
          <w:b/>
          <w:sz w:val="24"/>
        </w:rPr>
      </w:pPr>
    </w:p>
    <w:p>
      <w:pPr>
        <w:adjustRightInd w:val="0"/>
        <w:snapToGrid w:val="0"/>
        <w:spacing w:line="360" w:lineRule="exact"/>
        <w:rPr>
          <w:rFonts w:ascii="仿宋" w:hAnsi="仿宋" w:eastAsia="仿宋" w:cs="仿宋"/>
          <w:b/>
          <w:sz w:val="24"/>
        </w:rPr>
      </w:pPr>
    </w:p>
    <w:p>
      <w:pPr>
        <w:adjustRightInd w:val="0"/>
        <w:snapToGrid w:val="0"/>
        <w:spacing w:line="360" w:lineRule="exact"/>
        <w:rPr>
          <w:rFonts w:ascii="仿宋" w:hAnsi="仿宋" w:eastAsia="仿宋" w:cs="仿宋"/>
          <w:b/>
          <w:sz w:val="24"/>
        </w:rPr>
      </w:pPr>
    </w:p>
    <w:p>
      <w:pPr>
        <w:adjustRightInd w:val="0"/>
        <w:snapToGrid w:val="0"/>
        <w:spacing w:line="360" w:lineRule="exact"/>
        <w:rPr>
          <w:rFonts w:ascii="仿宋" w:hAnsi="仿宋" w:eastAsia="仿宋" w:cs="仿宋"/>
          <w:b/>
          <w:sz w:val="24"/>
        </w:rPr>
      </w:pPr>
    </w:p>
    <w:p>
      <w:pPr>
        <w:adjustRightInd w:val="0"/>
        <w:snapToGrid w:val="0"/>
        <w:spacing w:line="360" w:lineRule="exact"/>
        <w:rPr>
          <w:rFonts w:ascii="仿宋" w:hAnsi="仿宋" w:eastAsia="仿宋" w:cs="仿宋"/>
          <w:b/>
          <w:sz w:val="24"/>
        </w:rPr>
      </w:pPr>
    </w:p>
    <w:p>
      <w:pPr>
        <w:adjustRightInd w:val="0"/>
        <w:snapToGrid w:val="0"/>
        <w:spacing w:beforeLines="50" w:afterLines="50" w:line="500" w:lineRule="exact"/>
        <w:rPr>
          <w:rFonts w:ascii="仿宋" w:hAnsi="仿宋" w:eastAsia="仿宋" w:cs="仿宋"/>
          <w:b/>
          <w:sz w:val="24"/>
        </w:rPr>
      </w:pPr>
    </w:p>
    <w:p>
      <w:pPr>
        <w:adjustRightInd w:val="0"/>
        <w:snapToGrid w:val="0"/>
        <w:spacing w:beforeLines="50" w:afterLines="50" w:line="500" w:lineRule="exact"/>
        <w:rPr>
          <w:rFonts w:ascii="仿宋" w:hAnsi="仿宋" w:eastAsia="仿宋" w:cs="仿宋"/>
          <w:b/>
          <w:sz w:val="24"/>
        </w:rPr>
      </w:pPr>
    </w:p>
    <w:p>
      <w:pPr>
        <w:adjustRightInd w:val="0"/>
        <w:snapToGrid w:val="0"/>
        <w:spacing w:beforeLines="50" w:afterLines="50" w:line="500" w:lineRule="exact"/>
        <w:rPr>
          <w:rFonts w:ascii="仿宋" w:hAnsi="仿宋" w:eastAsia="仿宋" w:cs="仿宋"/>
          <w:b/>
          <w:sz w:val="24"/>
        </w:rPr>
      </w:pPr>
      <w:r>
        <w:rPr>
          <w:rFonts w:hint="eastAsia" w:ascii="仿宋" w:hAnsi="仿宋" w:eastAsia="仿宋" w:cs="仿宋"/>
          <w:b/>
          <w:sz w:val="24"/>
        </w:rPr>
        <w:t>四、投标声明书格式：</w:t>
      </w:r>
    </w:p>
    <w:p>
      <w:pPr>
        <w:adjustRightInd w:val="0"/>
        <w:snapToGrid w:val="0"/>
        <w:spacing w:line="440" w:lineRule="exact"/>
        <w:jc w:val="center"/>
        <w:rPr>
          <w:rFonts w:ascii="仿宋" w:hAnsi="仿宋" w:eastAsia="仿宋" w:cs="仿宋"/>
          <w:b/>
          <w:sz w:val="24"/>
        </w:rPr>
      </w:pPr>
      <w:r>
        <w:rPr>
          <w:rFonts w:hint="eastAsia" w:ascii="仿宋" w:hAnsi="仿宋" w:eastAsia="仿宋" w:cs="仿宋"/>
          <w:b/>
          <w:sz w:val="24"/>
        </w:rPr>
        <w:t>投标声明书</w:t>
      </w:r>
    </w:p>
    <w:p>
      <w:pPr>
        <w:adjustRightInd w:val="0"/>
        <w:snapToGrid w:val="0"/>
        <w:spacing w:line="440" w:lineRule="exact"/>
        <w:rPr>
          <w:rFonts w:ascii="仿宋" w:hAnsi="仿宋" w:eastAsia="仿宋" w:cs="仿宋"/>
          <w:sz w:val="24"/>
        </w:rPr>
      </w:pPr>
    </w:p>
    <w:p>
      <w:pPr>
        <w:spacing w:line="440" w:lineRule="exact"/>
        <w:rPr>
          <w:rFonts w:ascii="仿宋" w:hAnsi="仿宋" w:eastAsia="仿宋" w:cs="仿宋"/>
          <w:sz w:val="24"/>
        </w:rPr>
      </w:pPr>
      <w:r>
        <w:rPr>
          <w:rFonts w:hint="eastAsia" w:ascii="仿宋" w:hAnsi="仿宋" w:eastAsia="仿宋" w:cs="仿宋"/>
          <w:sz w:val="24"/>
        </w:rPr>
        <w:t>致：（招标采购单位名称）：</w:t>
      </w:r>
    </w:p>
    <w:p>
      <w:pPr>
        <w:spacing w:line="440" w:lineRule="exact"/>
        <w:ind w:firstLine="480" w:firstLineChars="200"/>
        <w:rPr>
          <w:rFonts w:ascii="仿宋" w:hAnsi="仿宋" w:eastAsia="仿宋" w:cs="仿宋"/>
          <w:sz w:val="24"/>
        </w:rPr>
      </w:pPr>
      <w:r>
        <w:rPr>
          <w:rFonts w:hint="eastAsia" w:ascii="仿宋" w:hAnsi="仿宋" w:eastAsia="仿宋" w:cs="仿宋"/>
          <w:sz w:val="24"/>
          <w:u w:val="single"/>
          <w:lang w:val="en-US" w:eastAsia="zh-CN"/>
        </w:rPr>
        <w:t xml:space="preserve">                   </w:t>
      </w:r>
      <w:r>
        <w:rPr>
          <w:rFonts w:hint="eastAsia" w:ascii="仿宋" w:hAnsi="仿宋" w:eastAsia="仿宋" w:cs="仿宋"/>
          <w:sz w:val="24"/>
        </w:rPr>
        <w:t>（投标人名称）系中华人民共和国合法企业，经营地址</w:t>
      </w:r>
      <w:r>
        <w:rPr>
          <w:rFonts w:hint="eastAsia" w:ascii="仿宋" w:hAnsi="仿宋" w:eastAsia="仿宋" w:cs="仿宋"/>
          <w:sz w:val="24"/>
          <w:lang w:eastAsia="zh-CN"/>
        </w:rPr>
        <w:t>：</w:t>
      </w:r>
      <w:r>
        <w:rPr>
          <w:rFonts w:hint="eastAsia" w:ascii="仿宋" w:hAnsi="仿宋" w:eastAsia="仿宋" w:cs="仿宋"/>
          <w:sz w:val="24"/>
          <w:u w:val="single"/>
          <w:lang w:val="en-US" w:eastAsia="zh-CN"/>
        </w:rPr>
        <w:t xml:space="preserve">                    </w:t>
      </w:r>
      <w:r>
        <w:rPr>
          <w:rFonts w:hint="eastAsia" w:ascii="仿宋" w:hAnsi="仿宋" w:eastAsia="仿宋" w:cs="仿宋"/>
          <w:sz w:val="24"/>
        </w:rPr>
        <w:t>。</w:t>
      </w:r>
    </w:p>
    <w:p>
      <w:pPr>
        <w:spacing w:line="440" w:lineRule="exact"/>
        <w:ind w:firstLine="480" w:firstLineChars="200"/>
        <w:rPr>
          <w:rFonts w:ascii="仿宋" w:hAnsi="仿宋" w:eastAsia="仿宋" w:cs="仿宋"/>
          <w:sz w:val="24"/>
        </w:rPr>
      </w:pPr>
      <w:r>
        <w:rPr>
          <w:rFonts w:hint="eastAsia" w:ascii="仿宋" w:hAnsi="仿宋" w:eastAsia="仿宋" w:cs="仿宋"/>
          <w:sz w:val="24"/>
        </w:rPr>
        <w:t>我</w:t>
      </w:r>
      <w:r>
        <w:rPr>
          <w:rFonts w:hint="eastAsia" w:ascii="仿宋" w:hAnsi="仿宋" w:eastAsia="仿宋" w:cs="仿宋"/>
          <w:sz w:val="24"/>
          <w:u w:val="single"/>
          <w:lang w:val="en-US" w:eastAsia="zh-CN"/>
        </w:rPr>
        <w:t xml:space="preserve">                   </w:t>
      </w:r>
      <w:r>
        <w:rPr>
          <w:rFonts w:hint="eastAsia" w:ascii="仿宋" w:hAnsi="仿宋" w:eastAsia="仿宋" w:cs="仿宋"/>
          <w:sz w:val="24"/>
        </w:rPr>
        <w:t>（姓名）系</w:t>
      </w:r>
      <w:r>
        <w:rPr>
          <w:rFonts w:hint="eastAsia" w:ascii="仿宋" w:hAnsi="仿宋" w:eastAsia="仿宋" w:cs="仿宋"/>
          <w:sz w:val="24"/>
          <w:u w:val="single"/>
          <w:lang w:val="en-US" w:eastAsia="zh-CN"/>
        </w:rPr>
        <w:t xml:space="preserve">                   </w:t>
      </w:r>
      <w:r>
        <w:rPr>
          <w:rFonts w:hint="eastAsia" w:ascii="仿宋" w:hAnsi="仿宋" w:eastAsia="仿宋" w:cs="仿宋"/>
          <w:sz w:val="24"/>
        </w:rPr>
        <w:t>（投标人名称）的法定代表人，我方愿意参加贵方组织的</w:t>
      </w:r>
      <w:r>
        <w:rPr>
          <w:rFonts w:hint="eastAsia" w:ascii="仿宋" w:hAnsi="仿宋" w:eastAsia="仿宋" w:cs="仿宋"/>
          <w:sz w:val="24"/>
          <w:u w:val="single"/>
          <w:lang w:val="en-US" w:eastAsia="zh-CN"/>
        </w:rPr>
        <w:t xml:space="preserve">                   （标项：   ）</w:t>
      </w:r>
      <w:r>
        <w:rPr>
          <w:rFonts w:hint="eastAsia" w:ascii="仿宋" w:hAnsi="仿宋" w:eastAsia="仿宋" w:cs="仿宋"/>
          <w:sz w:val="24"/>
        </w:rPr>
        <w:t>项目的投标，为便于贵方公正、择优地确定中标人及其投标产品和服务，我方就本次投标有关事项郑重声明如下：</w:t>
      </w:r>
    </w:p>
    <w:p>
      <w:pPr>
        <w:spacing w:line="440" w:lineRule="exact"/>
        <w:ind w:firstLine="480" w:firstLineChars="200"/>
        <w:rPr>
          <w:rFonts w:ascii="仿宋" w:hAnsi="仿宋" w:eastAsia="仿宋" w:cs="仿宋"/>
          <w:sz w:val="24"/>
        </w:rPr>
      </w:pPr>
      <w:r>
        <w:rPr>
          <w:rFonts w:hint="eastAsia" w:ascii="仿宋" w:hAnsi="仿宋" w:eastAsia="仿宋" w:cs="仿宋"/>
          <w:sz w:val="24"/>
        </w:rPr>
        <w:t>1.我方向贵方提交的所有投标文件、资料都是准确的和真实的。</w:t>
      </w:r>
    </w:p>
    <w:p>
      <w:pPr>
        <w:spacing w:line="440" w:lineRule="exact"/>
        <w:ind w:firstLine="480" w:firstLineChars="200"/>
        <w:rPr>
          <w:rFonts w:ascii="仿宋" w:hAnsi="仿宋" w:eastAsia="仿宋" w:cs="仿宋"/>
          <w:sz w:val="24"/>
        </w:rPr>
      </w:pPr>
      <w:r>
        <w:rPr>
          <w:rFonts w:hint="eastAsia" w:ascii="仿宋" w:hAnsi="仿宋" w:eastAsia="仿宋" w:cs="仿宋"/>
          <w:sz w:val="24"/>
        </w:rPr>
        <w:t>2.我方不是采购人的附属机构；在获知本项目采购信息后，与采购人聘请的为此项目提供咨询服务的公司及其附属机构没有任何联系。　　　　　　　　　　　　　　　　　　　　　　　　　</w:t>
      </w:r>
    </w:p>
    <w:p>
      <w:pPr>
        <w:spacing w:line="440" w:lineRule="exact"/>
        <w:ind w:firstLine="480" w:firstLineChars="200"/>
        <w:rPr>
          <w:rFonts w:ascii="仿宋" w:hAnsi="仿宋" w:eastAsia="仿宋" w:cs="仿宋"/>
          <w:sz w:val="24"/>
        </w:rPr>
      </w:pPr>
      <w:r>
        <w:rPr>
          <w:rFonts w:hint="eastAsia" w:ascii="仿宋" w:hAnsi="仿宋" w:eastAsia="仿宋" w:cs="仿宋"/>
          <w:sz w:val="24"/>
        </w:rPr>
        <w:t>3.我方及由本人担任法定代表人的其他机构最近三年内被通报或者被处罚的违法行为有：　　　　　　　　　　　　　　　　　　　　　　　　　　</w:t>
      </w:r>
    </w:p>
    <w:p>
      <w:pPr>
        <w:spacing w:line="440" w:lineRule="exact"/>
        <w:ind w:firstLine="480" w:firstLineChars="200"/>
        <w:rPr>
          <w:rFonts w:ascii="仿宋" w:hAnsi="仿宋" w:eastAsia="仿宋" w:cs="仿宋"/>
          <w:sz w:val="24"/>
        </w:rPr>
      </w:pPr>
      <w:r>
        <w:rPr>
          <w:rFonts w:hint="eastAsia" w:ascii="仿宋" w:hAnsi="仿宋" w:eastAsia="仿宋" w:cs="仿宋"/>
          <w:sz w:val="24"/>
        </w:rPr>
        <w:t>4.以上事项如有虚假或隐瞒，我方愿意承担一切后果，并不再寻求任何旨在减轻或免除法律责任的辩解。</w:t>
      </w:r>
    </w:p>
    <w:p>
      <w:pPr>
        <w:adjustRightInd w:val="0"/>
        <w:snapToGrid w:val="0"/>
        <w:spacing w:line="440" w:lineRule="exact"/>
        <w:ind w:firstLine="480" w:firstLineChars="200"/>
        <w:rPr>
          <w:rFonts w:ascii="仿宋" w:hAnsi="仿宋" w:eastAsia="仿宋" w:cs="仿宋"/>
          <w:sz w:val="24"/>
        </w:rPr>
      </w:pPr>
    </w:p>
    <w:p>
      <w:pPr>
        <w:adjustRightInd w:val="0"/>
        <w:snapToGrid w:val="0"/>
        <w:spacing w:line="440" w:lineRule="exact"/>
        <w:ind w:firstLine="480" w:firstLineChars="200"/>
        <w:rPr>
          <w:rFonts w:ascii="仿宋" w:hAnsi="仿宋" w:eastAsia="仿宋" w:cs="仿宋"/>
          <w:sz w:val="24"/>
        </w:rPr>
      </w:pPr>
    </w:p>
    <w:p>
      <w:pPr>
        <w:adjustRightInd w:val="0"/>
        <w:snapToGrid w:val="0"/>
        <w:spacing w:line="440" w:lineRule="exact"/>
        <w:ind w:firstLine="480" w:firstLineChars="200"/>
        <w:rPr>
          <w:rFonts w:ascii="仿宋" w:hAnsi="仿宋" w:eastAsia="仿宋" w:cs="仿宋"/>
          <w:sz w:val="24"/>
        </w:rPr>
      </w:pPr>
    </w:p>
    <w:p>
      <w:pPr>
        <w:adjustRightInd w:val="0"/>
        <w:snapToGrid w:val="0"/>
        <w:spacing w:line="440" w:lineRule="exact"/>
        <w:ind w:firstLine="480" w:firstLineChars="200"/>
        <w:rPr>
          <w:rFonts w:ascii="仿宋" w:hAnsi="仿宋" w:eastAsia="仿宋" w:cs="仿宋"/>
          <w:sz w:val="24"/>
          <w:u w:val="single"/>
        </w:rPr>
      </w:pPr>
      <w:r>
        <w:rPr>
          <w:rFonts w:hint="eastAsia" w:ascii="仿宋" w:hAnsi="仿宋" w:eastAsia="仿宋" w:cs="仿宋"/>
          <w:sz w:val="24"/>
        </w:rPr>
        <w:t>法定代表人签字：</w:t>
      </w:r>
    </w:p>
    <w:p>
      <w:pPr>
        <w:adjustRightInd w:val="0"/>
        <w:snapToGrid w:val="0"/>
        <w:spacing w:line="440" w:lineRule="exact"/>
        <w:ind w:firstLine="480" w:firstLineChars="200"/>
        <w:rPr>
          <w:rFonts w:ascii="仿宋" w:hAnsi="仿宋" w:eastAsia="仿宋" w:cs="仿宋"/>
          <w:sz w:val="24"/>
          <w:u w:val="single"/>
        </w:rPr>
      </w:pPr>
      <w:r>
        <w:rPr>
          <w:rFonts w:hint="eastAsia" w:ascii="仿宋" w:hAnsi="仿宋" w:eastAsia="仿宋" w:cs="仿宋"/>
          <w:sz w:val="24"/>
        </w:rPr>
        <w:t>投标人盖章：</w:t>
      </w:r>
    </w:p>
    <w:p>
      <w:pPr>
        <w:adjustRightInd w:val="0"/>
        <w:snapToGrid w:val="0"/>
        <w:spacing w:line="360" w:lineRule="exact"/>
        <w:ind w:firstLine="480" w:firstLineChars="200"/>
        <w:rPr>
          <w:rFonts w:ascii="仿宋" w:hAnsi="仿宋" w:eastAsia="仿宋" w:cs="仿宋"/>
          <w:b/>
          <w:sz w:val="24"/>
        </w:rPr>
      </w:pPr>
      <w:r>
        <w:rPr>
          <w:rFonts w:hint="eastAsia" w:ascii="仿宋" w:hAnsi="仿宋" w:eastAsia="仿宋" w:cs="仿宋"/>
          <w:bCs/>
          <w:sz w:val="24"/>
        </w:rPr>
        <w:t>年月日</w:t>
      </w:r>
    </w:p>
    <w:p>
      <w:pPr>
        <w:adjustRightInd w:val="0"/>
        <w:snapToGrid w:val="0"/>
        <w:spacing w:line="360" w:lineRule="exact"/>
        <w:rPr>
          <w:rFonts w:ascii="仿宋" w:hAnsi="仿宋" w:eastAsia="仿宋" w:cs="仿宋"/>
          <w:b/>
          <w:sz w:val="24"/>
        </w:rPr>
      </w:pPr>
    </w:p>
    <w:p>
      <w:pPr>
        <w:adjustRightInd w:val="0"/>
        <w:snapToGrid w:val="0"/>
        <w:spacing w:line="360" w:lineRule="exact"/>
        <w:rPr>
          <w:rFonts w:ascii="仿宋" w:hAnsi="仿宋" w:eastAsia="仿宋" w:cs="仿宋"/>
          <w:b/>
          <w:sz w:val="24"/>
        </w:rPr>
      </w:pPr>
    </w:p>
    <w:p>
      <w:pPr>
        <w:adjustRightInd w:val="0"/>
        <w:snapToGrid w:val="0"/>
        <w:spacing w:line="360" w:lineRule="exact"/>
        <w:rPr>
          <w:rFonts w:ascii="仿宋" w:hAnsi="仿宋" w:eastAsia="仿宋" w:cs="仿宋"/>
          <w:b/>
          <w:sz w:val="24"/>
        </w:rPr>
      </w:pPr>
    </w:p>
    <w:p>
      <w:pPr>
        <w:adjustRightInd w:val="0"/>
        <w:snapToGrid w:val="0"/>
        <w:spacing w:line="360" w:lineRule="exact"/>
        <w:rPr>
          <w:rFonts w:ascii="仿宋" w:hAnsi="仿宋" w:eastAsia="仿宋" w:cs="仿宋"/>
          <w:b/>
          <w:sz w:val="24"/>
        </w:rPr>
      </w:pPr>
    </w:p>
    <w:p>
      <w:pPr>
        <w:adjustRightInd w:val="0"/>
        <w:snapToGrid w:val="0"/>
        <w:spacing w:line="360" w:lineRule="exact"/>
        <w:rPr>
          <w:rFonts w:ascii="仿宋" w:hAnsi="仿宋" w:eastAsia="仿宋" w:cs="仿宋"/>
          <w:b/>
          <w:sz w:val="24"/>
        </w:rPr>
      </w:pPr>
    </w:p>
    <w:p>
      <w:pPr>
        <w:adjustRightInd w:val="0"/>
        <w:snapToGrid w:val="0"/>
        <w:spacing w:line="360" w:lineRule="exact"/>
        <w:rPr>
          <w:rFonts w:ascii="仿宋" w:hAnsi="仿宋" w:eastAsia="仿宋" w:cs="仿宋"/>
          <w:b/>
          <w:sz w:val="24"/>
        </w:rPr>
      </w:pPr>
    </w:p>
    <w:p>
      <w:pPr>
        <w:adjustRightInd w:val="0"/>
        <w:snapToGrid w:val="0"/>
        <w:spacing w:line="360" w:lineRule="exact"/>
        <w:rPr>
          <w:rFonts w:ascii="仿宋" w:hAnsi="仿宋" w:eastAsia="仿宋" w:cs="仿宋"/>
          <w:b/>
          <w:sz w:val="24"/>
        </w:rPr>
      </w:pPr>
    </w:p>
    <w:p>
      <w:pPr>
        <w:adjustRightInd w:val="0"/>
        <w:snapToGrid w:val="0"/>
        <w:spacing w:line="360" w:lineRule="exact"/>
        <w:rPr>
          <w:rFonts w:ascii="仿宋" w:hAnsi="仿宋" w:eastAsia="仿宋" w:cs="仿宋"/>
          <w:b/>
          <w:sz w:val="24"/>
        </w:rPr>
      </w:pPr>
    </w:p>
    <w:p>
      <w:pPr>
        <w:adjustRightInd w:val="0"/>
        <w:snapToGrid w:val="0"/>
        <w:spacing w:line="360" w:lineRule="exact"/>
        <w:rPr>
          <w:rFonts w:ascii="仿宋" w:hAnsi="仿宋" w:eastAsia="仿宋" w:cs="仿宋"/>
          <w:b/>
          <w:sz w:val="24"/>
        </w:rPr>
      </w:pPr>
    </w:p>
    <w:p>
      <w:pPr>
        <w:adjustRightInd w:val="0"/>
        <w:snapToGrid w:val="0"/>
        <w:spacing w:beforeLines="50" w:afterLines="50" w:line="500" w:lineRule="exact"/>
        <w:rPr>
          <w:rFonts w:ascii="仿宋" w:hAnsi="仿宋" w:eastAsia="仿宋" w:cs="仿宋"/>
          <w:b/>
          <w:sz w:val="24"/>
        </w:rPr>
      </w:pPr>
    </w:p>
    <w:p>
      <w:pPr>
        <w:adjustRightInd w:val="0"/>
        <w:snapToGrid w:val="0"/>
        <w:spacing w:beforeLines="50" w:afterLines="50" w:line="500" w:lineRule="exact"/>
        <w:rPr>
          <w:rFonts w:ascii="仿宋" w:hAnsi="仿宋" w:eastAsia="仿宋" w:cs="仿宋"/>
          <w:b/>
          <w:sz w:val="24"/>
        </w:rPr>
      </w:pPr>
      <w:r>
        <w:rPr>
          <w:rFonts w:hint="eastAsia" w:ascii="仿宋" w:hAnsi="仿宋" w:eastAsia="仿宋" w:cs="仿宋"/>
          <w:b/>
          <w:sz w:val="24"/>
        </w:rPr>
        <w:t>五、法人代表身份证明书格式：</w:t>
      </w:r>
    </w:p>
    <w:p>
      <w:pPr>
        <w:jc w:val="center"/>
        <w:rPr>
          <w:rFonts w:ascii="仿宋" w:hAnsi="仿宋" w:eastAsia="仿宋" w:cs="仿宋"/>
          <w:b/>
          <w:sz w:val="24"/>
        </w:rPr>
      </w:pPr>
    </w:p>
    <w:p>
      <w:pPr>
        <w:adjustRightInd w:val="0"/>
        <w:snapToGrid w:val="0"/>
        <w:spacing w:line="440" w:lineRule="exact"/>
        <w:jc w:val="center"/>
        <w:rPr>
          <w:rFonts w:ascii="仿宋" w:hAnsi="仿宋" w:eastAsia="仿宋" w:cs="仿宋"/>
          <w:b/>
          <w:sz w:val="24"/>
        </w:rPr>
      </w:pPr>
      <w:r>
        <w:rPr>
          <w:rFonts w:hint="eastAsia" w:ascii="仿宋" w:hAnsi="仿宋" w:eastAsia="仿宋" w:cs="仿宋"/>
          <w:b/>
          <w:sz w:val="24"/>
        </w:rPr>
        <w:t>法定代表人身份证明书</w:t>
      </w:r>
    </w:p>
    <w:p>
      <w:pPr>
        <w:jc w:val="center"/>
        <w:rPr>
          <w:rFonts w:ascii="仿宋" w:hAnsi="仿宋" w:eastAsia="仿宋" w:cs="仿宋"/>
          <w:b/>
          <w:sz w:val="24"/>
        </w:rPr>
      </w:pPr>
    </w:p>
    <w:p>
      <w:pPr>
        <w:spacing w:line="480" w:lineRule="exact"/>
        <w:ind w:firstLine="480" w:firstLineChars="200"/>
        <w:rPr>
          <w:rFonts w:ascii="仿宋" w:hAnsi="仿宋" w:eastAsia="仿宋" w:cs="仿宋"/>
          <w:sz w:val="24"/>
          <w:u w:val="single"/>
        </w:rPr>
      </w:pPr>
      <w:r>
        <w:rPr>
          <w:rFonts w:hint="eastAsia" w:ascii="仿宋" w:hAnsi="仿宋" w:eastAsia="仿宋" w:cs="仿宋"/>
          <w:sz w:val="24"/>
        </w:rPr>
        <w:t>（姓名）是（单位名称）的法定代表人，身份证号码为，性别，职务，联系电话，传真，联系地址：，邮编</w:t>
      </w:r>
    </w:p>
    <w:p>
      <w:pPr>
        <w:spacing w:line="480" w:lineRule="exact"/>
        <w:ind w:firstLine="480" w:firstLineChars="200"/>
        <w:rPr>
          <w:rFonts w:ascii="仿宋" w:hAnsi="仿宋" w:eastAsia="仿宋" w:cs="仿宋"/>
          <w:sz w:val="24"/>
        </w:rPr>
      </w:pPr>
    </w:p>
    <w:p>
      <w:pPr>
        <w:spacing w:line="480" w:lineRule="exact"/>
        <w:ind w:firstLine="720" w:firstLineChars="300"/>
        <w:rPr>
          <w:rFonts w:ascii="仿宋" w:hAnsi="仿宋" w:eastAsia="仿宋" w:cs="仿宋"/>
          <w:sz w:val="24"/>
        </w:rPr>
      </w:pPr>
      <w:r>
        <w:rPr>
          <w:rFonts w:hint="eastAsia" w:ascii="仿宋" w:hAnsi="仿宋" w:eastAsia="仿宋" w:cs="仿宋"/>
          <w:sz w:val="24"/>
        </w:rPr>
        <w:t xml:space="preserve">特此证明。 </w:t>
      </w:r>
    </w:p>
    <w:p>
      <w:pPr>
        <w:spacing w:line="480" w:lineRule="exact"/>
        <w:ind w:firstLine="357" w:firstLineChars="149"/>
        <w:rPr>
          <w:rFonts w:ascii="仿宋" w:hAnsi="仿宋" w:eastAsia="仿宋" w:cs="仿宋"/>
          <w:sz w:val="24"/>
        </w:rPr>
      </w:pPr>
    </w:p>
    <w:p>
      <w:pPr>
        <w:spacing w:line="480" w:lineRule="exact"/>
        <w:ind w:firstLine="2232" w:firstLineChars="930"/>
        <w:jc w:val="right"/>
        <w:rPr>
          <w:rFonts w:ascii="仿宋" w:hAnsi="仿宋" w:eastAsia="仿宋" w:cs="仿宋"/>
          <w:sz w:val="24"/>
          <w:u w:val="single"/>
        </w:rPr>
      </w:pPr>
      <w:r>
        <w:rPr>
          <w:rFonts w:hint="eastAsia" w:ascii="仿宋" w:hAnsi="仿宋" w:eastAsia="仿宋" w:cs="仿宋"/>
          <w:sz w:val="24"/>
        </w:rPr>
        <w:t>投标人：</w:t>
      </w:r>
      <w:r>
        <w:rPr>
          <w:rFonts w:hint="eastAsia" w:ascii="仿宋" w:hAnsi="仿宋" w:eastAsia="仿宋" w:cs="仿宋"/>
          <w:sz w:val="24"/>
          <w:u w:val="single"/>
        </w:rPr>
        <w:t xml:space="preserve">                           （盖章）</w:t>
      </w:r>
    </w:p>
    <w:p>
      <w:pPr>
        <w:spacing w:line="480" w:lineRule="exact"/>
        <w:ind w:firstLine="2232" w:firstLineChars="930"/>
        <w:jc w:val="right"/>
        <w:rPr>
          <w:rFonts w:ascii="仿宋" w:hAnsi="仿宋" w:eastAsia="仿宋" w:cs="仿宋"/>
          <w:sz w:val="24"/>
        </w:rPr>
      </w:pPr>
      <w:r>
        <w:rPr>
          <w:rFonts w:hint="eastAsia" w:ascii="仿宋" w:hAnsi="仿宋" w:eastAsia="仿宋" w:cs="仿宋"/>
          <w:sz w:val="24"/>
        </w:rPr>
        <w:t>法定代表人：</w:t>
      </w:r>
      <w:r>
        <w:rPr>
          <w:rFonts w:hint="eastAsia" w:ascii="仿宋" w:hAnsi="仿宋" w:eastAsia="仿宋" w:cs="仿宋"/>
          <w:sz w:val="24"/>
          <w:u w:val="single"/>
        </w:rPr>
        <w:t xml:space="preserve">                 （签名</w:t>
      </w:r>
      <w:r>
        <w:rPr>
          <w:rFonts w:hint="eastAsia" w:ascii="仿宋" w:hAnsi="仿宋" w:eastAsia="仿宋" w:cs="仿宋"/>
          <w:sz w:val="24"/>
          <w:u w:val="single"/>
          <w:lang w:val="en-US" w:eastAsia="zh-CN"/>
        </w:rPr>
        <w:t>或</w:t>
      </w:r>
      <w:r>
        <w:rPr>
          <w:rFonts w:hint="eastAsia" w:ascii="仿宋" w:hAnsi="仿宋" w:eastAsia="仿宋" w:cs="仿宋"/>
          <w:sz w:val="24"/>
          <w:u w:val="single"/>
        </w:rPr>
        <w:t>盖章）</w:t>
      </w:r>
    </w:p>
    <w:p>
      <w:pPr>
        <w:spacing w:line="480" w:lineRule="exact"/>
        <w:ind w:firstLine="357" w:firstLineChars="149"/>
        <w:jc w:val="right"/>
        <w:rPr>
          <w:rFonts w:ascii="仿宋" w:hAnsi="仿宋" w:eastAsia="仿宋" w:cs="仿宋"/>
          <w:sz w:val="24"/>
        </w:rPr>
      </w:pPr>
      <w:r>
        <w:rPr>
          <w:rFonts w:hint="eastAsia" w:ascii="仿宋" w:hAnsi="仿宋" w:eastAsia="仿宋" w:cs="仿宋"/>
          <w:sz w:val="24"/>
        </w:rPr>
        <w:t xml:space="preserve">                  日期：        年     月     日</w:t>
      </w:r>
    </w:p>
    <w:p>
      <w:pPr>
        <w:adjustRightInd w:val="0"/>
        <w:snapToGrid w:val="0"/>
        <w:spacing w:line="440" w:lineRule="exact"/>
        <w:jc w:val="left"/>
        <w:rPr>
          <w:rFonts w:ascii="仿宋" w:hAnsi="仿宋" w:eastAsia="仿宋" w:cs="仿宋"/>
          <w:b/>
          <w:sz w:val="24"/>
        </w:rPr>
      </w:pPr>
    </w:p>
    <w:p>
      <w:pPr>
        <w:adjustRightInd w:val="0"/>
        <w:snapToGrid w:val="0"/>
        <w:spacing w:line="440" w:lineRule="exact"/>
        <w:jc w:val="left"/>
        <w:rPr>
          <w:rFonts w:ascii="仿宋" w:hAnsi="仿宋" w:eastAsia="仿宋" w:cs="仿宋"/>
          <w:b/>
          <w:sz w:val="24"/>
        </w:rPr>
      </w:pPr>
    </w:p>
    <w:p>
      <w:pPr>
        <w:pStyle w:val="7"/>
        <w:spacing w:line="440" w:lineRule="exact"/>
        <w:ind w:firstLine="0"/>
        <w:jc w:val="center"/>
        <w:rPr>
          <w:rFonts w:ascii="仿宋" w:hAnsi="仿宋" w:eastAsia="仿宋" w:cs="仿宋"/>
          <w:sz w:val="24"/>
          <w:szCs w:val="24"/>
        </w:rPr>
      </w:pPr>
      <w:r>
        <w:rPr>
          <w:rFonts w:hint="eastAsia" w:ascii="仿宋" w:hAnsi="仿宋" w:eastAsia="仿宋" w:cs="仿宋"/>
          <w:sz w:val="24"/>
          <w:szCs w:val="24"/>
        </w:rPr>
        <w:t>--------------------------------------------------------------------------------</w:t>
      </w:r>
    </w:p>
    <w:p>
      <w:pPr>
        <w:pStyle w:val="7"/>
        <w:spacing w:line="440" w:lineRule="exact"/>
        <w:ind w:firstLine="0"/>
        <w:jc w:val="center"/>
        <w:rPr>
          <w:rFonts w:ascii="仿宋" w:hAnsi="仿宋" w:eastAsia="仿宋" w:cs="仿宋"/>
          <w:sz w:val="24"/>
          <w:szCs w:val="24"/>
        </w:rPr>
      </w:pPr>
    </w:p>
    <w:p>
      <w:pPr>
        <w:pStyle w:val="7"/>
        <w:spacing w:line="440" w:lineRule="exact"/>
        <w:ind w:firstLine="480" w:firstLineChars="200"/>
        <w:rPr>
          <w:rFonts w:ascii="仿宋" w:hAnsi="仿宋" w:eastAsia="仿宋" w:cs="仿宋"/>
          <w:sz w:val="24"/>
          <w:szCs w:val="24"/>
        </w:rPr>
      </w:pPr>
    </w:p>
    <w:p>
      <w:pPr>
        <w:pStyle w:val="7"/>
        <w:spacing w:line="440" w:lineRule="exact"/>
        <w:ind w:firstLine="480" w:firstLineChars="200"/>
        <w:jc w:val="center"/>
        <w:rPr>
          <w:rFonts w:ascii="仿宋" w:hAnsi="仿宋" w:eastAsia="仿宋" w:cs="仿宋"/>
          <w:sz w:val="24"/>
          <w:szCs w:val="24"/>
        </w:rPr>
      </w:pPr>
    </w:p>
    <w:p>
      <w:pPr>
        <w:pStyle w:val="7"/>
        <w:spacing w:line="440" w:lineRule="exact"/>
        <w:ind w:firstLine="480" w:firstLineChars="200"/>
        <w:jc w:val="center"/>
        <w:rPr>
          <w:rFonts w:ascii="仿宋" w:hAnsi="仿宋" w:eastAsia="仿宋" w:cs="仿宋"/>
          <w:sz w:val="24"/>
          <w:szCs w:val="24"/>
        </w:rPr>
      </w:pPr>
    </w:p>
    <w:p>
      <w:pPr>
        <w:pStyle w:val="7"/>
        <w:spacing w:line="44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有效身份证明复印件粘贴处</w:t>
      </w:r>
    </w:p>
    <w:p>
      <w:pPr>
        <w:adjustRightInd w:val="0"/>
        <w:snapToGrid w:val="0"/>
        <w:spacing w:beforeLines="50" w:afterLines="50" w:line="500" w:lineRule="exact"/>
        <w:rPr>
          <w:rFonts w:ascii="仿宋" w:hAnsi="仿宋" w:eastAsia="仿宋" w:cs="仿宋"/>
          <w:b/>
          <w:sz w:val="24"/>
        </w:rPr>
      </w:pPr>
      <w:r>
        <w:rPr>
          <w:rFonts w:hint="eastAsia" w:ascii="仿宋" w:hAnsi="仿宋" w:eastAsia="仿宋" w:cs="仿宋"/>
          <w:sz w:val="24"/>
        </w:rPr>
        <w:br w:type="page"/>
      </w:r>
      <w:r>
        <w:rPr>
          <w:rFonts w:hint="eastAsia" w:ascii="仿宋" w:hAnsi="仿宋" w:eastAsia="仿宋" w:cs="仿宋"/>
          <w:b/>
          <w:sz w:val="24"/>
        </w:rPr>
        <w:t>六、法定代表人授权委托书格式：</w:t>
      </w:r>
    </w:p>
    <w:p>
      <w:pPr>
        <w:adjustRightInd w:val="0"/>
        <w:snapToGrid w:val="0"/>
        <w:spacing w:line="440" w:lineRule="exact"/>
        <w:jc w:val="center"/>
        <w:rPr>
          <w:rFonts w:ascii="仿宋" w:hAnsi="仿宋" w:eastAsia="仿宋" w:cs="仿宋"/>
          <w:b/>
          <w:sz w:val="24"/>
        </w:rPr>
      </w:pPr>
    </w:p>
    <w:p>
      <w:pPr>
        <w:adjustRightInd w:val="0"/>
        <w:snapToGrid w:val="0"/>
        <w:spacing w:line="440" w:lineRule="exact"/>
        <w:jc w:val="center"/>
        <w:rPr>
          <w:rFonts w:ascii="仿宋" w:hAnsi="仿宋" w:eastAsia="仿宋" w:cs="仿宋"/>
          <w:b/>
          <w:sz w:val="24"/>
        </w:rPr>
      </w:pPr>
      <w:r>
        <w:rPr>
          <w:rFonts w:hint="eastAsia" w:ascii="仿宋" w:hAnsi="仿宋" w:eastAsia="仿宋" w:cs="仿宋"/>
          <w:b/>
          <w:sz w:val="24"/>
        </w:rPr>
        <w:t>法定代表人授权委托书</w:t>
      </w:r>
    </w:p>
    <w:p>
      <w:pPr>
        <w:adjustRightInd w:val="0"/>
        <w:snapToGrid w:val="0"/>
        <w:spacing w:line="440" w:lineRule="exact"/>
        <w:rPr>
          <w:rFonts w:ascii="仿宋" w:hAnsi="仿宋" w:eastAsia="仿宋" w:cs="仿宋"/>
          <w:bCs/>
          <w:sz w:val="24"/>
        </w:rPr>
      </w:pPr>
    </w:p>
    <w:p>
      <w:pPr>
        <w:adjustRightInd w:val="0"/>
        <w:snapToGrid w:val="0"/>
        <w:spacing w:line="440" w:lineRule="exact"/>
        <w:rPr>
          <w:rFonts w:ascii="仿宋" w:hAnsi="仿宋" w:eastAsia="仿宋" w:cs="仿宋"/>
          <w:b/>
          <w:bCs/>
          <w:sz w:val="24"/>
        </w:rPr>
      </w:pPr>
      <w:r>
        <w:rPr>
          <w:rFonts w:hint="eastAsia" w:ascii="仿宋" w:hAnsi="仿宋" w:eastAsia="仿宋" w:cs="仿宋"/>
          <w:bCs/>
          <w:sz w:val="24"/>
        </w:rPr>
        <w:t>致：</w:t>
      </w:r>
      <w:r>
        <w:rPr>
          <w:rFonts w:hint="eastAsia" w:ascii="仿宋" w:hAnsi="仿宋" w:eastAsia="仿宋" w:cs="仿宋"/>
          <w:sz w:val="24"/>
        </w:rPr>
        <w:t>：</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本授权委托书声明，我（姓名）系（投标人名称）的法定代表人，现授权委托本单位在职职工 （姓名）以我方的名义参加项目的投标活动，并代表我方全权办理针对上述项目的投标、开标、评标、签约等具体事务和签署相关文件。</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我方对被授权人的签名负全部责任。</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在撤销授权的书面通知以前，本授权书一直有效。被授权人在授权书有效期内签署的所有文件不因授权的撤销而失效。</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被授权人无转委托权，特此委托。</w:t>
      </w:r>
    </w:p>
    <w:p>
      <w:pPr>
        <w:adjustRightInd w:val="0"/>
        <w:snapToGrid w:val="0"/>
        <w:spacing w:line="440" w:lineRule="exact"/>
        <w:ind w:firstLine="480" w:firstLineChars="200"/>
        <w:rPr>
          <w:rFonts w:ascii="仿宋" w:hAnsi="仿宋" w:eastAsia="仿宋" w:cs="仿宋"/>
          <w:sz w:val="24"/>
        </w:rPr>
      </w:pPr>
    </w:p>
    <w:p>
      <w:pPr>
        <w:adjustRightInd w:val="0"/>
        <w:snapToGrid w:val="0"/>
        <w:spacing w:line="440" w:lineRule="exact"/>
        <w:ind w:firstLine="480" w:firstLineChars="200"/>
        <w:rPr>
          <w:rFonts w:ascii="仿宋" w:hAnsi="仿宋" w:eastAsia="仿宋" w:cs="仿宋"/>
          <w:sz w:val="24"/>
          <w:u w:val="single"/>
        </w:rPr>
      </w:pPr>
      <w:r>
        <w:rPr>
          <w:rFonts w:hint="eastAsia" w:ascii="仿宋" w:hAnsi="仿宋" w:eastAsia="仿宋" w:cs="仿宋"/>
          <w:sz w:val="24"/>
        </w:rPr>
        <w:t>被授权人签名：                 法定代表人签名：</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被授权人身份证号码：</w:t>
      </w:r>
    </w:p>
    <w:p>
      <w:pPr>
        <w:adjustRightInd w:val="0"/>
        <w:snapToGrid w:val="0"/>
        <w:spacing w:line="440" w:lineRule="exact"/>
        <w:ind w:firstLine="480" w:firstLineChars="200"/>
        <w:rPr>
          <w:rFonts w:ascii="仿宋" w:hAnsi="仿宋" w:eastAsia="仿宋" w:cs="仿宋"/>
          <w:sz w:val="24"/>
        </w:rPr>
      </w:pP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投标人盖章：</w:t>
      </w:r>
    </w:p>
    <w:p>
      <w:pPr>
        <w:adjustRightInd w:val="0"/>
        <w:snapToGrid w:val="0"/>
        <w:spacing w:line="440" w:lineRule="exact"/>
        <w:ind w:firstLine="480" w:firstLineChars="200"/>
        <w:rPr>
          <w:rFonts w:ascii="仿宋" w:hAnsi="仿宋" w:eastAsia="仿宋" w:cs="仿宋"/>
          <w:bCs/>
          <w:sz w:val="24"/>
        </w:rPr>
      </w:pPr>
      <w:r>
        <w:rPr>
          <w:rFonts w:hint="eastAsia" w:ascii="仿宋" w:hAnsi="仿宋" w:eastAsia="仿宋" w:cs="仿宋"/>
          <w:bCs/>
          <w:sz w:val="24"/>
        </w:rPr>
        <w:t>年月日</w:t>
      </w:r>
    </w:p>
    <w:p>
      <w:pPr>
        <w:pStyle w:val="7"/>
        <w:spacing w:line="440" w:lineRule="exact"/>
        <w:ind w:firstLine="480" w:firstLineChars="200"/>
        <w:rPr>
          <w:rFonts w:ascii="仿宋" w:hAnsi="仿宋" w:eastAsia="仿宋" w:cs="仿宋"/>
          <w:sz w:val="24"/>
          <w:szCs w:val="24"/>
        </w:rPr>
      </w:pPr>
    </w:p>
    <w:p>
      <w:pPr>
        <w:pStyle w:val="7"/>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w:t>
      </w:r>
    </w:p>
    <w:p>
      <w:pPr>
        <w:pStyle w:val="7"/>
        <w:spacing w:line="440" w:lineRule="exact"/>
        <w:ind w:firstLine="480" w:firstLineChars="200"/>
        <w:rPr>
          <w:rFonts w:ascii="仿宋" w:hAnsi="仿宋" w:eastAsia="仿宋" w:cs="仿宋"/>
          <w:sz w:val="24"/>
          <w:szCs w:val="24"/>
        </w:rPr>
      </w:pPr>
    </w:p>
    <w:p>
      <w:pPr>
        <w:pStyle w:val="7"/>
        <w:spacing w:line="440" w:lineRule="exact"/>
        <w:ind w:firstLine="480" w:firstLineChars="200"/>
        <w:jc w:val="center"/>
        <w:rPr>
          <w:rFonts w:ascii="仿宋" w:hAnsi="仿宋" w:eastAsia="仿宋" w:cs="仿宋"/>
          <w:sz w:val="24"/>
          <w:szCs w:val="24"/>
        </w:rPr>
      </w:pPr>
    </w:p>
    <w:p>
      <w:pPr>
        <w:pStyle w:val="7"/>
        <w:spacing w:line="440" w:lineRule="exact"/>
        <w:ind w:firstLine="480" w:firstLineChars="200"/>
        <w:jc w:val="center"/>
        <w:rPr>
          <w:rFonts w:ascii="仿宋" w:hAnsi="仿宋" w:eastAsia="仿宋" w:cs="仿宋"/>
          <w:sz w:val="24"/>
          <w:szCs w:val="24"/>
        </w:rPr>
      </w:pPr>
    </w:p>
    <w:p>
      <w:pPr>
        <w:pStyle w:val="7"/>
        <w:spacing w:line="44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授权代理人有效身份证明复印件粘贴处</w:t>
      </w:r>
    </w:p>
    <w:p>
      <w:pPr>
        <w:adjustRightInd w:val="0"/>
        <w:snapToGrid w:val="0"/>
        <w:spacing w:line="440" w:lineRule="exact"/>
        <w:rPr>
          <w:rFonts w:ascii="仿宋" w:hAnsi="仿宋" w:eastAsia="仿宋" w:cs="仿宋"/>
          <w:sz w:val="24"/>
        </w:rPr>
      </w:pPr>
    </w:p>
    <w:p>
      <w:pPr>
        <w:adjustRightInd w:val="0"/>
        <w:snapToGrid w:val="0"/>
        <w:jc w:val="left"/>
        <w:rPr>
          <w:rFonts w:ascii="仿宋" w:hAnsi="仿宋" w:eastAsia="仿宋" w:cs="仿宋"/>
          <w:sz w:val="24"/>
        </w:rPr>
      </w:pPr>
    </w:p>
    <w:p>
      <w:pPr>
        <w:adjustRightInd w:val="0"/>
        <w:snapToGrid w:val="0"/>
        <w:jc w:val="left"/>
        <w:rPr>
          <w:rFonts w:ascii="仿宋" w:hAnsi="仿宋" w:eastAsia="仿宋" w:cs="仿宋"/>
          <w:sz w:val="24"/>
        </w:rPr>
      </w:pPr>
    </w:p>
    <w:p>
      <w:pPr>
        <w:adjustRightInd w:val="0"/>
        <w:snapToGrid w:val="0"/>
        <w:jc w:val="left"/>
        <w:rPr>
          <w:rFonts w:ascii="仿宋" w:hAnsi="仿宋" w:eastAsia="仿宋" w:cs="仿宋"/>
          <w:sz w:val="24"/>
        </w:rPr>
      </w:pPr>
    </w:p>
    <w:p>
      <w:pPr>
        <w:adjustRightInd w:val="0"/>
        <w:snapToGrid w:val="0"/>
        <w:jc w:val="left"/>
        <w:rPr>
          <w:rFonts w:ascii="仿宋" w:hAnsi="仿宋" w:eastAsia="仿宋" w:cs="仿宋"/>
          <w:sz w:val="24"/>
        </w:rPr>
      </w:pPr>
    </w:p>
    <w:p>
      <w:pPr>
        <w:adjustRightInd w:val="0"/>
        <w:snapToGrid w:val="0"/>
        <w:jc w:val="left"/>
        <w:rPr>
          <w:rFonts w:ascii="仿宋" w:hAnsi="仿宋" w:eastAsia="仿宋" w:cs="仿宋"/>
          <w:sz w:val="24"/>
        </w:rPr>
      </w:pPr>
      <w:r>
        <w:rPr>
          <w:rFonts w:hint="eastAsia" w:ascii="仿宋" w:hAnsi="仿宋" w:eastAsia="仿宋" w:cs="仿宋"/>
          <w:sz w:val="24"/>
        </w:rPr>
        <w:t>附：授权代理人社保缴费证明（加盖社保机构章）</w:t>
      </w:r>
    </w:p>
    <w:p>
      <w:pPr>
        <w:adjustRightInd w:val="0"/>
        <w:snapToGrid w:val="0"/>
        <w:spacing w:line="320" w:lineRule="exact"/>
        <w:rPr>
          <w:rFonts w:ascii="仿宋" w:hAnsi="仿宋" w:eastAsia="仿宋" w:cs="仿宋"/>
          <w:b/>
          <w:sz w:val="24"/>
        </w:rPr>
      </w:pPr>
    </w:p>
    <w:p>
      <w:pPr>
        <w:adjustRightInd w:val="0"/>
        <w:snapToGrid w:val="0"/>
        <w:spacing w:line="320" w:lineRule="exact"/>
        <w:rPr>
          <w:rFonts w:ascii="仿宋" w:hAnsi="仿宋" w:eastAsia="仿宋" w:cs="仿宋"/>
          <w:b/>
          <w:sz w:val="24"/>
        </w:rPr>
      </w:pPr>
    </w:p>
    <w:p>
      <w:pPr>
        <w:tabs>
          <w:tab w:val="left" w:pos="1650"/>
        </w:tabs>
        <w:spacing w:line="560" w:lineRule="exact"/>
        <w:jc w:val="left"/>
        <w:rPr>
          <w:rFonts w:ascii="仿宋" w:hAnsi="仿宋" w:eastAsia="仿宋" w:cs="仿宋"/>
          <w:b/>
          <w:bCs/>
          <w:sz w:val="24"/>
        </w:rPr>
      </w:pPr>
      <w:r>
        <w:rPr>
          <w:rFonts w:hint="eastAsia" w:ascii="仿宋" w:hAnsi="仿宋" w:eastAsia="仿宋" w:cs="仿宋"/>
          <w:b/>
          <w:sz w:val="24"/>
        </w:rPr>
        <w:t>七、信用承诺书</w:t>
      </w:r>
    </w:p>
    <w:p>
      <w:pPr>
        <w:tabs>
          <w:tab w:val="left" w:pos="1650"/>
        </w:tabs>
        <w:spacing w:line="560" w:lineRule="exact"/>
        <w:jc w:val="center"/>
        <w:rPr>
          <w:rFonts w:ascii="仿宋" w:hAnsi="仿宋" w:eastAsia="仿宋" w:cs="仿宋"/>
          <w:b/>
          <w:bCs/>
          <w:sz w:val="24"/>
        </w:rPr>
      </w:pPr>
      <w:r>
        <w:rPr>
          <w:rFonts w:hint="eastAsia" w:ascii="仿宋" w:hAnsi="仿宋" w:eastAsia="仿宋" w:cs="仿宋"/>
          <w:b/>
          <w:bCs/>
          <w:sz w:val="24"/>
        </w:rPr>
        <w:t>信用承诺书</w:t>
      </w:r>
    </w:p>
    <w:p>
      <w:pPr>
        <w:tabs>
          <w:tab w:val="left" w:pos="1650"/>
        </w:tabs>
        <w:spacing w:line="560" w:lineRule="exact"/>
        <w:rPr>
          <w:rFonts w:ascii="仿宋" w:hAnsi="仿宋" w:eastAsia="仿宋" w:cs="仿宋"/>
          <w:sz w:val="24"/>
        </w:rPr>
      </w:pPr>
    </w:p>
    <w:p>
      <w:pPr>
        <w:tabs>
          <w:tab w:val="left" w:pos="1650"/>
        </w:tabs>
        <w:jc w:val="left"/>
        <w:rPr>
          <w:rFonts w:ascii="仿宋" w:hAnsi="仿宋" w:eastAsia="仿宋" w:cs="仿宋"/>
          <w:sz w:val="24"/>
        </w:rPr>
      </w:pPr>
      <w:r>
        <w:rPr>
          <w:rFonts w:hint="eastAsia" w:ascii="仿宋" w:hAnsi="仿宋" w:eastAsia="仿宋" w:cs="仿宋"/>
          <w:sz w:val="24"/>
        </w:rPr>
        <w:t>（投标单位）现参加（采购项目）政府采购活动，郑重承诺如下：</w:t>
      </w:r>
    </w:p>
    <w:p>
      <w:pPr>
        <w:tabs>
          <w:tab w:val="left" w:pos="1650"/>
        </w:tabs>
        <w:spacing w:line="560" w:lineRule="exact"/>
        <w:ind w:firstLine="630"/>
        <w:rPr>
          <w:rFonts w:ascii="仿宋" w:hAnsi="仿宋" w:eastAsia="仿宋" w:cs="仿宋"/>
          <w:sz w:val="24"/>
        </w:rPr>
      </w:pPr>
      <w:r>
        <w:rPr>
          <w:rFonts w:hint="eastAsia" w:ascii="仿宋" w:hAnsi="仿宋" w:eastAsia="仿宋" w:cs="仿宋"/>
          <w:sz w:val="24"/>
        </w:rPr>
        <w:t>对所提供的资料合法性、真实性、准确性和有效性负责；</w:t>
      </w:r>
    </w:p>
    <w:p>
      <w:pPr>
        <w:tabs>
          <w:tab w:val="left" w:pos="1650"/>
        </w:tabs>
        <w:spacing w:line="560" w:lineRule="exact"/>
        <w:ind w:firstLine="630"/>
        <w:rPr>
          <w:rFonts w:ascii="仿宋" w:hAnsi="仿宋" w:eastAsia="仿宋" w:cs="仿宋"/>
          <w:sz w:val="24"/>
        </w:rPr>
      </w:pPr>
      <w:r>
        <w:rPr>
          <w:rFonts w:hint="eastAsia" w:ascii="仿宋" w:hAnsi="仿宋" w:eastAsia="仿宋" w:cs="仿宋"/>
          <w:sz w:val="24"/>
        </w:rPr>
        <w:t>严格按照国家法律、法规和规章，依法开展相关经济活动，全面履行应尽的责任和义务；</w:t>
      </w:r>
    </w:p>
    <w:p>
      <w:pPr>
        <w:tabs>
          <w:tab w:val="left" w:pos="1650"/>
        </w:tabs>
        <w:spacing w:line="560" w:lineRule="exact"/>
        <w:ind w:firstLine="630"/>
        <w:rPr>
          <w:rFonts w:ascii="仿宋" w:hAnsi="仿宋" w:eastAsia="仿宋" w:cs="仿宋"/>
          <w:sz w:val="24"/>
        </w:rPr>
      </w:pPr>
      <w:r>
        <w:rPr>
          <w:rFonts w:hint="eastAsia" w:ascii="仿宋" w:hAnsi="仿宋" w:eastAsia="仿宋" w:cs="仿宋"/>
          <w:sz w:val="24"/>
        </w:rPr>
        <w:t>加强自我约束、自我规范、自我管理，不制假售假、不虚假宣传、不违约毁约、不恶意逃债、不偷税漏税，诚信依法经营；</w:t>
      </w:r>
    </w:p>
    <w:p>
      <w:pPr>
        <w:tabs>
          <w:tab w:val="left" w:pos="1650"/>
        </w:tabs>
        <w:spacing w:line="560" w:lineRule="exact"/>
        <w:ind w:firstLine="630"/>
        <w:rPr>
          <w:rFonts w:ascii="仿宋" w:hAnsi="仿宋" w:eastAsia="仿宋" w:cs="仿宋"/>
          <w:sz w:val="24"/>
        </w:rPr>
      </w:pPr>
      <w:r>
        <w:rPr>
          <w:rFonts w:hint="eastAsia" w:ascii="仿宋" w:hAnsi="仿宋" w:eastAsia="仿宋" w:cs="仿宋"/>
          <w:sz w:val="24"/>
        </w:rPr>
        <w:t>自愿接受行政主管部门的依法检查、违背承诺约定将自愿承担违约责任，并接受法律法规和相关部门规章制度的惩戒和约束；</w:t>
      </w:r>
    </w:p>
    <w:p>
      <w:pPr>
        <w:tabs>
          <w:tab w:val="left" w:pos="1650"/>
        </w:tabs>
        <w:spacing w:line="560" w:lineRule="exact"/>
        <w:ind w:firstLine="630"/>
        <w:rPr>
          <w:rFonts w:ascii="仿宋" w:hAnsi="仿宋" w:eastAsia="仿宋" w:cs="仿宋"/>
          <w:sz w:val="24"/>
        </w:rPr>
      </w:pPr>
      <w:r>
        <w:rPr>
          <w:rFonts w:hint="eastAsia" w:ascii="仿宋" w:hAnsi="仿宋" w:eastAsia="仿宋" w:cs="仿宋"/>
          <w:color w:val="333333"/>
          <w:kern w:val="0"/>
          <w:sz w:val="24"/>
        </w:rPr>
        <w:t>按照信用信息管理有关要求，本单位（个人）同意将以上承诺在信用湖州网站公示，若违背以上承诺，依据相关规定记入企业（个人）信用</w:t>
      </w:r>
      <w:r>
        <w:rPr>
          <w:rFonts w:hint="eastAsia" w:ascii="仿宋" w:hAnsi="仿宋" w:eastAsia="仿宋" w:cs="仿宋"/>
          <w:color w:val="000000"/>
          <w:kern w:val="0"/>
          <w:sz w:val="24"/>
        </w:rPr>
        <w:t>档案；性质严重的，承担相应法律后果和责任，并依法依规列入严重失信名单。</w:t>
      </w:r>
    </w:p>
    <w:p>
      <w:pPr>
        <w:tabs>
          <w:tab w:val="left" w:pos="1650"/>
        </w:tabs>
        <w:spacing w:line="560" w:lineRule="exact"/>
        <w:rPr>
          <w:rFonts w:ascii="仿宋" w:hAnsi="仿宋" w:eastAsia="仿宋" w:cs="仿宋"/>
          <w:sz w:val="24"/>
          <w:u w:val="single"/>
        </w:rPr>
      </w:pPr>
    </w:p>
    <w:p>
      <w:pPr>
        <w:tabs>
          <w:tab w:val="left" w:pos="1650"/>
        </w:tabs>
        <w:spacing w:line="560" w:lineRule="exact"/>
        <w:rPr>
          <w:rFonts w:ascii="仿宋" w:hAnsi="仿宋" w:eastAsia="仿宋" w:cs="仿宋"/>
          <w:sz w:val="24"/>
          <w:u w:val="single"/>
        </w:rPr>
      </w:pPr>
    </w:p>
    <w:p>
      <w:pPr>
        <w:widowControl/>
        <w:spacing w:line="560" w:lineRule="exact"/>
        <w:ind w:firstLine="600" w:firstLineChars="250"/>
        <w:jc w:val="left"/>
        <w:rPr>
          <w:rFonts w:ascii="仿宋" w:hAnsi="仿宋" w:eastAsia="仿宋" w:cs="仿宋"/>
          <w:color w:val="000000"/>
          <w:spacing w:val="-7"/>
          <w:kern w:val="0"/>
          <w:sz w:val="24"/>
        </w:rPr>
      </w:pPr>
      <w:r>
        <w:rPr>
          <w:rFonts w:hint="eastAsia" w:ascii="仿宋" w:hAnsi="仿宋" w:eastAsia="仿宋" w:cs="仿宋"/>
          <w:sz w:val="24"/>
        </w:rPr>
        <w:t>统一社会信用代码：</w:t>
      </w:r>
    </w:p>
    <w:p>
      <w:pPr>
        <w:widowControl/>
        <w:spacing w:line="560" w:lineRule="exact"/>
        <w:jc w:val="left"/>
        <w:rPr>
          <w:rFonts w:ascii="仿宋" w:hAnsi="仿宋" w:eastAsia="仿宋" w:cs="仿宋"/>
          <w:color w:val="000000"/>
          <w:kern w:val="0"/>
          <w:sz w:val="24"/>
        </w:rPr>
      </w:pPr>
    </w:p>
    <w:p>
      <w:pPr>
        <w:widowControl/>
        <w:spacing w:line="560" w:lineRule="exact"/>
        <w:ind w:firstLine="6360" w:firstLineChars="2650"/>
        <w:jc w:val="left"/>
        <w:rPr>
          <w:rFonts w:ascii="仿宋" w:hAnsi="仿宋" w:eastAsia="仿宋" w:cs="仿宋"/>
          <w:sz w:val="24"/>
        </w:rPr>
      </w:pPr>
      <w:r>
        <w:rPr>
          <w:rFonts w:hint="eastAsia" w:ascii="仿宋" w:hAnsi="仿宋" w:eastAsia="仿宋" w:cs="仿宋"/>
          <w:sz w:val="24"/>
        </w:rPr>
        <w:t>承诺单位/个人（盖章/签名）</w:t>
      </w:r>
    </w:p>
    <w:p>
      <w:pPr>
        <w:adjustRightInd w:val="0"/>
        <w:snapToGrid w:val="0"/>
        <w:spacing w:line="320" w:lineRule="exact"/>
        <w:rPr>
          <w:rFonts w:ascii="仿宋" w:hAnsi="仿宋" w:eastAsia="仿宋" w:cs="仿宋"/>
          <w:sz w:val="24"/>
        </w:rPr>
      </w:pPr>
      <w:r>
        <w:rPr>
          <w:rFonts w:hint="eastAsia" w:ascii="仿宋" w:hAnsi="仿宋" w:eastAsia="仿宋" w:cs="仿宋"/>
          <w:sz w:val="24"/>
        </w:rPr>
        <w:t xml:space="preserve">                                                       时间：20  年  月  日</w:t>
      </w:r>
    </w:p>
    <w:p>
      <w:pPr>
        <w:adjustRightInd w:val="0"/>
        <w:snapToGrid w:val="0"/>
        <w:spacing w:line="320" w:lineRule="exact"/>
        <w:rPr>
          <w:rFonts w:ascii="仿宋" w:hAnsi="仿宋" w:eastAsia="仿宋" w:cs="仿宋"/>
          <w:sz w:val="24"/>
        </w:rPr>
      </w:pPr>
    </w:p>
    <w:p>
      <w:pPr>
        <w:adjustRightInd w:val="0"/>
        <w:snapToGrid w:val="0"/>
        <w:spacing w:line="320" w:lineRule="exact"/>
        <w:rPr>
          <w:rFonts w:ascii="仿宋" w:hAnsi="仿宋" w:eastAsia="仿宋" w:cs="仿宋"/>
          <w:sz w:val="24"/>
        </w:rPr>
      </w:pPr>
    </w:p>
    <w:p>
      <w:pPr>
        <w:pStyle w:val="2"/>
      </w:pPr>
    </w:p>
    <w:p>
      <w:pPr>
        <w:adjustRightInd w:val="0"/>
        <w:snapToGrid w:val="0"/>
        <w:spacing w:line="320" w:lineRule="exact"/>
        <w:rPr>
          <w:rFonts w:ascii="仿宋" w:hAnsi="仿宋" w:eastAsia="仿宋" w:cs="仿宋"/>
          <w:sz w:val="24"/>
        </w:rPr>
      </w:pPr>
    </w:p>
    <w:p>
      <w:pPr>
        <w:adjustRightInd w:val="0"/>
        <w:snapToGrid w:val="0"/>
        <w:spacing w:line="320" w:lineRule="exact"/>
        <w:rPr>
          <w:rFonts w:ascii="仿宋" w:hAnsi="仿宋" w:eastAsia="仿宋" w:cs="仿宋"/>
          <w:sz w:val="24"/>
        </w:rPr>
      </w:pPr>
    </w:p>
    <w:p>
      <w:pPr>
        <w:adjustRightInd w:val="0"/>
        <w:snapToGrid w:val="0"/>
        <w:spacing w:line="320" w:lineRule="exact"/>
        <w:rPr>
          <w:rFonts w:ascii="仿宋" w:hAnsi="仿宋" w:eastAsia="仿宋" w:cs="仿宋"/>
          <w:sz w:val="24"/>
        </w:rPr>
      </w:pPr>
    </w:p>
    <w:p>
      <w:pPr>
        <w:adjustRightInd w:val="0"/>
        <w:snapToGrid w:val="0"/>
        <w:spacing w:line="320" w:lineRule="exact"/>
        <w:rPr>
          <w:rFonts w:ascii="仿宋" w:hAnsi="仿宋" w:eastAsia="仿宋" w:cs="仿宋"/>
          <w:sz w:val="24"/>
        </w:rPr>
      </w:pPr>
    </w:p>
    <w:p>
      <w:pPr>
        <w:pStyle w:val="7"/>
        <w:ind w:firstLine="0"/>
        <w:jc w:val="center"/>
        <w:rPr>
          <w:b/>
          <w:bCs/>
          <w:sz w:val="44"/>
          <w:szCs w:val="44"/>
        </w:rPr>
      </w:pPr>
      <w:r>
        <w:rPr>
          <w:rFonts w:hint="eastAsia"/>
          <w:b/>
          <w:bCs/>
          <w:sz w:val="44"/>
          <w:szCs w:val="44"/>
        </w:rPr>
        <w:t>文明施工保证书</w:t>
      </w:r>
    </w:p>
    <w:p>
      <w:pPr>
        <w:pStyle w:val="7"/>
        <w:spacing w:line="500" w:lineRule="exact"/>
        <w:ind w:firstLine="0"/>
        <w:jc w:val="center"/>
        <w:rPr>
          <w:b/>
          <w:bCs/>
          <w:color w:val="FF0000"/>
          <w:spacing w:val="24"/>
          <w:sz w:val="31"/>
          <w:szCs w:val="31"/>
        </w:rPr>
      </w:pPr>
    </w:p>
    <w:p>
      <w:pPr>
        <w:pStyle w:val="7"/>
        <w:spacing w:line="360" w:lineRule="auto"/>
        <w:ind w:firstLine="0"/>
        <w:rPr>
          <w:rFonts w:ascii="宋体" w:hAnsi="宋体"/>
          <w:b/>
          <w:color w:val="FF0000"/>
          <w:sz w:val="24"/>
        </w:rPr>
      </w:pPr>
      <w:r>
        <w:rPr>
          <w:rFonts w:hint="eastAsia" w:ascii="宋体" w:hAnsi="宋体"/>
          <w:b/>
          <w:color w:val="FF0000"/>
          <w:sz w:val="24"/>
        </w:rPr>
        <w:t>湖州市吴兴区人民政府湖东街道办事处：</w:t>
      </w:r>
    </w:p>
    <w:p>
      <w:pPr>
        <w:pStyle w:val="7"/>
        <w:spacing w:line="360" w:lineRule="auto"/>
        <w:ind w:firstLine="480" w:firstLineChars="200"/>
        <w:rPr>
          <w:rFonts w:ascii="宋体" w:hAnsi="宋体"/>
          <w:sz w:val="24"/>
        </w:rPr>
      </w:pPr>
      <w:r>
        <w:rPr>
          <w:rFonts w:hint="eastAsia" w:ascii="宋体" w:hAnsi="宋体"/>
          <w:sz w:val="24"/>
        </w:rPr>
        <w:t>作为投标人，我保证：一旦我方中标，在工程最终验收移交前的整个施工期间，我方将制订并实施一切必要的措施，保证工程现场文明施工、工完场清，做好工程现场的卫生保洁工作，并且随时服从你方安排的突击任务，达到令你方满意的程度，我方并不因此而要求你方增加支付费用。</w:t>
      </w:r>
    </w:p>
    <w:p>
      <w:pPr>
        <w:pStyle w:val="7"/>
        <w:spacing w:line="360" w:lineRule="auto"/>
        <w:ind w:firstLine="0"/>
        <w:rPr>
          <w:rFonts w:ascii="宋体" w:hAnsi="宋体"/>
          <w:sz w:val="24"/>
        </w:rPr>
      </w:pPr>
    </w:p>
    <w:p>
      <w:pPr>
        <w:pStyle w:val="7"/>
        <w:spacing w:line="360" w:lineRule="auto"/>
        <w:ind w:firstLine="0"/>
        <w:rPr>
          <w:rFonts w:ascii="宋体" w:hAnsi="宋体"/>
          <w:spacing w:val="24"/>
          <w:sz w:val="24"/>
        </w:rPr>
      </w:pPr>
    </w:p>
    <w:p>
      <w:pPr>
        <w:pStyle w:val="7"/>
        <w:spacing w:line="360" w:lineRule="auto"/>
        <w:ind w:firstLine="0"/>
        <w:rPr>
          <w:rFonts w:ascii="宋体" w:hAnsi="宋体"/>
          <w:spacing w:val="24"/>
          <w:sz w:val="24"/>
        </w:rPr>
      </w:pPr>
      <w:r>
        <w:rPr>
          <w:rFonts w:hint="eastAsia" w:ascii="宋体" w:hAnsi="宋体"/>
          <w:spacing w:val="24"/>
          <w:sz w:val="24"/>
        </w:rPr>
        <w:t>投标单位（盖章）：</w:t>
      </w:r>
    </w:p>
    <w:p>
      <w:pPr>
        <w:pStyle w:val="7"/>
        <w:spacing w:line="360" w:lineRule="auto"/>
        <w:ind w:firstLine="0"/>
        <w:rPr>
          <w:rFonts w:ascii="宋体" w:hAnsi="宋体"/>
          <w:spacing w:val="24"/>
          <w:sz w:val="24"/>
        </w:rPr>
      </w:pPr>
      <w:r>
        <w:rPr>
          <w:rFonts w:hint="eastAsia" w:ascii="宋体" w:hAnsi="宋体"/>
          <w:spacing w:val="24"/>
          <w:sz w:val="24"/>
        </w:rPr>
        <w:t>单位地址：</w:t>
      </w:r>
    </w:p>
    <w:p>
      <w:pPr>
        <w:pStyle w:val="7"/>
        <w:spacing w:line="360" w:lineRule="auto"/>
        <w:ind w:firstLine="0"/>
        <w:rPr>
          <w:rFonts w:ascii="宋体" w:hAnsi="宋体"/>
          <w:spacing w:val="24"/>
          <w:sz w:val="24"/>
        </w:rPr>
      </w:pPr>
      <w:r>
        <w:rPr>
          <w:rFonts w:hint="eastAsia" w:ascii="宋体" w:hAnsi="宋体"/>
          <w:spacing w:val="24"/>
          <w:sz w:val="24"/>
        </w:rPr>
        <w:t>法定代表人（签字、盖章）：</w:t>
      </w:r>
    </w:p>
    <w:p>
      <w:pPr>
        <w:pStyle w:val="7"/>
        <w:spacing w:line="360" w:lineRule="auto"/>
        <w:ind w:firstLine="0"/>
        <w:rPr>
          <w:rFonts w:ascii="宋体" w:hAnsi="宋体"/>
          <w:spacing w:val="24"/>
          <w:sz w:val="24"/>
        </w:rPr>
      </w:pPr>
      <w:r>
        <w:rPr>
          <w:rFonts w:hint="eastAsia" w:ascii="宋体" w:hAnsi="宋体"/>
          <w:spacing w:val="24"/>
          <w:sz w:val="24"/>
        </w:rPr>
        <w:t>电话：</w:t>
      </w:r>
    </w:p>
    <w:p>
      <w:pPr>
        <w:pStyle w:val="7"/>
        <w:spacing w:line="360" w:lineRule="auto"/>
        <w:ind w:firstLine="0"/>
        <w:rPr>
          <w:rFonts w:ascii="宋体" w:hAnsi="宋体"/>
          <w:spacing w:val="24"/>
          <w:sz w:val="24"/>
        </w:rPr>
      </w:pPr>
      <w:r>
        <w:rPr>
          <w:rFonts w:hint="eastAsia" w:ascii="宋体" w:hAnsi="宋体"/>
          <w:spacing w:val="24"/>
          <w:sz w:val="24"/>
        </w:rPr>
        <w:t>邮编：</w:t>
      </w:r>
    </w:p>
    <w:p>
      <w:pPr>
        <w:pStyle w:val="7"/>
        <w:spacing w:line="360" w:lineRule="auto"/>
        <w:ind w:firstLine="0"/>
        <w:rPr>
          <w:rFonts w:ascii="宋体" w:hAnsi="宋体"/>
          <w:spacing w:val="24"/>
          <w:sz w:val="24"/>
        </w:rPr>
      </w:pPr>
      <w:r>
        <w:rPr>
          <w:rFonts w:hint="eastAsia" w:ascii="宋体" w:hAnsi="宋体"/>
          <w:spacing w:val="24"/>
          <w:sz w:val="24"/>
        </w:rPr>
        <w:t>传真：</w:t>
      </w:r>
    </w:p>
    <w:p>
      <w:pPr>
        <w:pStyle w:val="7"/>
        <w:spacing w:line="360" w:lineRule="auto"/>
        <w:ind w:firstLine="0"/>
        <w:rPr>
          <w:spacing w:val="24"/>
          <w:sz w:val="24"/>
        </w:rPr>
      </w:pPr>
    </w:p>
    <w:p>
      <w:pPr>
        <w:pStyle w:val="7"/>
        <w:spacing w:line="360" w:lineRule="auto"/>
        <w:ind w:firstLine="0"/>
        <w:rPr>
          <w:spacing w:val="24"/>
          <w:sz w:val="24"/>
        </w:rPr>
      </w:pPr>
    </w:p>
    <w:p>
      <w:pPr>
        <w:pStyle w:val="7"/>
        <w:spacing w:line="360" w:lineRule="auto"/>
        <w:ind w:firstLine="0"/>
        <w:jc w:val="right"/>
        <w:rPr>
          <w:spacing w:val="24"/>
          <w:sz w:val="24"/>
        </w:rPr>
      </w:pPr>
      <w:r>
        <w:rPr>
          <w:rFonts w:hint="eastAsia"/>
          <w:spacing w:val="24"/>
          <w:sz w:val="24"/>
        </w:rPr>
        <w:t>日期：  年  月  日</w:t>
      </w:r>
    </w:p>
    <w:p>
      <w:pPr>
        <w:pStyle w:val="7"/>
        <w:spacing w:line="500" w:lineRule="exact"/>
        <w:ind w:firstLine="0"/>
        <w:rPr>
          <w:b/>
          <w:bCs/>
          <w:spacing w:val="24"/>
          <w:sz w:val="24"/>
        </w:rPr>
      </w:pPr>
    </w:p>
    <w:p>
      <w:pPr>
        <w:pStyle w:val="7"/>
        <w:ind w:firstLine="0"/>
        <w:jc w:val="center"/>
        <w:rPr>
          <w:b/>
          <w:bCs/>
          <w:sz w:val="44"/>
          <w:szCs w:val="44"/>
        </w:rPr>
      </w:pPr>
    </w:p>
    <w:p>
      <w:pPr>
        <w:pStyle w:val="7"/>
        <w:ind w:firstLine="0"/>
        <w:jc w:val="center"/>
        <w:rPr>
          <w:b/>
          <w:bCs/>
          <w:sz w:val="44"/>
          <w:szCs w:val="44"/>
        </w:rPr>
      </w:pPr>
    </w:p>
    <w:p>
      <w:pPr>
        <w:pStyle w:val="7"/>
        <w:ind w:firstLine="0"/>
        <w:jc w:val="center"/>
        <w:rPr>
          <w:b/>
          <w:bCs/>
          <w:sz w:val="44"/>
          <w:szCs w:val="44"/>
        </w:rPr>
      </w:pPr>
    </w:p>
    <w:p>
      <w:pPr>
        <w:pStyle w:val="7"/>
        <w:ind w:firstLine="0"/>
        <w:jc w:val="center"/>
        <w:rPr>
          <w:b/>
          <w:bCs/>
          <w:sz w:val="44"/>
          <w:szCs w:val="44"/>
        </w:rPr>
      </w:pPr>
    </w:p>
    <w:p>
      <w:pPr>
        <w:pStyle w:val="7"/>
        <w:ind w:firstLine="0"/>
        <w:jc w:val="center"/>
        <w:rPr>
          <w:b/>
          <w:bCs/>
          <w:sz w:val="44"/>
          <w:szCs w:val="44"/>
        </w:rPr>
      </w:pPr>
    </w:p>
    <w:p>
      <w:pPr>
        <w:pStyle w:val="7"/>
        <w:ind w:firstLine="0"/>
        <w:jc w:val="center"/>
        <w:rPr>
          <w:b/>
          <w:bCs/>
          <w:sz w:val="44"/>
          <w:szCs w:val="44"/>
        </w:rPr>
      </w:pPr>
    </w:p>
    <w:p>
      <w:pPr>
        <w:pStyle w:val="7"/>
        <w:ind w:firstLine="0"/>
        <w:jc w:val="center"/>
        <w:rPr>
          <w:b/>
          <w:bCs/>
          <w:sz w:val="44"/>
          <w:szCs w:val="44"/>
        </w:rPr>
      </w:pPr>
    </w:p>
    <w:p>
      <w:pPr>
        <w:pStyle w:val="7"/>
        <w:ind w:firstLine="0"/>
        <w:jc w:val="center"/>
        <w:rPr>
          <w:b/>
          <w:bCs/>
          <w:sz w:val="44"/>
          <w:szCs w:val="44"/>
        </w:rPr>
      </w:pPr>
      <w:r>
        <w:rPr>
          <w:rFonts w:hint="eastAsia"/>
          <w:b/>
          <w:bCs/>
          <w:sz w:val="44"/>
          <w:szCs w:val="44"/>
        </w:rPr>
        <w:t>安全施工保证书</w:t>
      </w:r>
    </w:p>
    <w:p>
      <w:pPr>
        <w:pStyle w:val="7"/>
        <w:ind w:firstLine="0"/>
        <w:jc w:val="center"/>
        <w:rPr>
          <w:b/>
          <w:bCs/>
          <w:spacing w:val="24"/>
          <w:sz w:val="44"/>
          <w:szCs w:val="44"/>
        </w:rPr>
      </w:pPr>
    </w:p>
    <w:p>
      <w:pPr>
        <w:pStyle w:val="7"/>
        <w:spacing w:line="500" w:lineRule="exact"/>
        <w:ind w:firstLine="0"/>
        <w:jc w:val="center"/>
        <w:rPr>
          <w:b/>
          <w:bCs/>
          <w:color w:val="FF0000"/>
          <w:spacing w:val="24"/>
          <w:sz w:val="31"/>
          <w:szCs w:val="31"/>
        </w:rPr>
      </w:pPr>
    </w:p>
    <w:p>
      <w:pPr>
        <w:pStyle w:val="7"/>
        <w:spacing w:line="360" w:lineRule="auto"/>
        <w:ind w:firstLine="0"/>
        <w:rPr>
          <w:rFonts w:ascii="宋体" w:hAnsi="宋体"/>
          <w:b/>
          <w:color w:val="FF0000"/>
          <w:sz w:val="24"/>
        </w:rPr>
      </w:pPr>
      <w:r>
        <w:rPr>
          <w:rFonts w:hint="eastAsia" w:ascii="宋体" w:hAnsi="宋体"/>
          <w:b/>
          <w:color w:val="FF0000"/>
          <w:sz w:val="24"/>
        </w:rPr>
        <w:t>湖州市吴兴区人民政府湖东街道办事处：</w:t>
      </w:r>
    </w:p>
    <w:p>
      <w:pPr>
        <w:pStyle w:val="7"/>
        <w:spacing w:line="360" w:lineRule="auto"/>
        <w:ind w:firstLine="480" w:firstLineChars="200"/>
        <w:rPr>
          <w:rFonts w:ascii="宋体" w:hAnsi="宋体"/>
          <w:sz w:val="24"/>
        </w:rPr>
      </w:pPr>
      <w:r>
        <w:rPr>
          <w:rFonts w:hint="eastAsia" w:ascii="宋体" w:hAnsi="宋体"/>
          <w:sz w:val="24"/>
        </w:rPr>
        <w:t>作为投标人，我保证：一旦我方中标，在工程最终验收移交前的整个施工期间，我方将制订并实施一切必要的措施，保证工程现场施工安全（包括承包者和非承包者的人员安全），维护工地正常生产、生活秩序。严格遵守国家颁布的有关安全规程，不论何种原因而发生安全事故，我方并不因此而要求你方增加支付费用或顺延工期，并由我方承担一切经济和法律责任。</w:t>
      </w:r>
    </w:p>
    <w:p>
      <w:pPr>
        <w:pStyle w:val="7"/>
        <w:ind w:firstLine="480" w:firstLineChars="200"/>
        <w:rPr>
          <w:rFonts w:ascii="宋体" w:hAnsi="宋体"/>
          <w:sz w:val="24"/>
        </w:rPr>
      </w:pPr>
    </w:p>
    <w:p>
      <w:pPr>
        <w:pStyle w:val="7"/>
        <w:ind w:firstLine="480" w:firstLineChars="200"/>
        <w:rPr>
          <w:rFonts w:ascii="宋体" w:hAnsi="宋体"/>
          <w:sz w:val="24"/>
        </w:rPr>
      </w:pPr>
    </w:p>
    <w:p>
      <w:pPr>
        <w:pStyle w:val="7"/>
        <w:spacing w:line="360" w:lineRule="auto"/>
        <w:ind w:firstLine="0"/>
        <w:rPr>
          <w:rFonts w:ascii="宋体" w:hAnsi="宋体"/>
          <w:spacing w:val="24"/>
          <w:sz w:val="24"/>
        </w:rPr>
      </w:pPr>
      <w:r>
        <w:rPr>
          <w:rFonts w:hint="eastAsia" w:ascii="宋体" w:hAnsi="宋体"/>
          <w:spacing w:val="24"/>
          <w:sz w:val="24"/>
        </w:rPr>
        <w:t>投标单位（盖章）：</w:t>
      </w:r>
    </w:p>
    <w:p>
      <w:pPr>
        <w:pStyle w:val="7"/>
        <w:spacing w:line="360" w:lineRule="auto"/>
        <w:ind w:firstLine="0"/>
        <w:rPr>
          <w:rFonts w:ascii="宋体" w:hAnsi="宋体"/>
          <w:spacing w:val="24"/>
          <w:sz w:val="24"/>
        </w:rPr>
      </w:pPr>
      <w:r>
        <w:rPr>
          <w:rFonts w:hint="eastAsia" w:ascii="宋体" w:hAnsi="宋体"/>
          <w:spacing w:val="24"/>
          <w:sz w:val="24"/>
        </w:rPr>
        <w:t>单位地址：</w:t>
      </w:r>
    </w:p>
    <w:p>
      <w:pPr>
        <w:pStyle w:val="7"/>
        <w:spacing w:line="360" w:lineRule="auto"/>
        <w:ind w:firstLine="0"/>
        <w:rPr>
          <w:rFonts w:ascii="宋体" w:hAnsi="宋体"/>
          <w:spacing w:val="24"/>
          <w:sz w:val="24"/>
        </w:rPr>
      </w:pPr>
      <w:r>
        <w:rPr>
          <w:rFonts w:hint="eastAsia" w:ascii="宋体" w:hAnsi="宋体"/>
          <w:spacing w:val="24"/>
          <w:sz w:val="24"/>
        </w:rPr>
        <w:t>法定代表人（签字、盖章）：</w:t>
      </w:r>
    </w:p>
    <w:p>
      <w:pPr>
        <w:pStyle w:val="7"/>
        <w:spacing w:line="360" w:lineRule="auto"/>
        <w:ind w:firstLine="0"/>
        <w:rPr>
          <w:rFonts w:ascii="宋体" w:hAnsi="宋体"/>
          <w:spacing w:val="24"/>
          <w:sz w:val="24"/>
        </w:rPr>
      </w:pPr>
      <w:r>
        <w:rPr>
          <w:rFonts w:hint="eastAsia" w:ascii="宋体" w:hAnsi="宋体"/>
          <w:spacing w:val="24"/>
          <w:sz w:val="24"/>
        </w:rPr>
        <w:t>电话：</w:t>
      </w:r>
    </w:p>
    <w:p>
      <w:pPr>
        <w:pStyle w:val="7"/>
        <w:spacing w:line="360" w:lineRule="auto"/>
        <w:ind w:firstLine="0"/>
        <w:rPr>
          <w:rFonts w:ascii="宋体" w:hAnsi="宋体"/>
          <w:spacing w:val="24"/>
          <w:sz w:val="24"/>
        </w:rPr>
      </w:pPr>
      <w:r>
        <w:rPr>
          <w:rFonts w:hint="eastAsia" w:ascii="宋体" w:hAnsi="宋体"/>
          <w:spacing w:val="24"/>
          <w:sz w:val="24"/>
        </w:rPr>
        <w:t>邮编：</w:t>
      </w:r>
    </w:p>
    <w:p>
      <w:pPr>
        <w:pStyle w:val="7"/>
        <w:spacing w:line="360" w:lineRule="auto"/>
        <w:ind w:firstLine="0"/>
        <w:rPr>
          <w:rFonts w:ascii="宋体" w:hAnsi="宋体"/>
          <w:spacing w:val="24"/>
          <w:sz w:val="24"/>
        </w:rPr>
      </w:pPr>
      <w:r>
        <w:rPr>
          <w:rFonts w:hint="eastAsia" w:ascii="宋体" w:hAnsi="宋体"/>
          <w:spacing w:val="24"/>
          <w:sz w:val="24"/>
        </w:rPr>
        <w:t>传真：</w:t>
      </w:r>
    </w:p>
    <w:p>
      <w:pPr>
        <w:pStyle w:val="7"/>
        <w:ind w:left="5145" w:leftChars="2450" w:firstLine="3168" w:firstLineChars="1100"/>
        <w:rPr>
          <w:spacing w:val="24"/>
          <w:sz w:val="24"/>
        </w:rPr>
      </w:pPr>
    </w:p>
    <w:p>
      <w:pPr>
        <w:pStyle w:val="7"/>
        <w:ind w:left="5145" w:leftChars="2450" w:firstLine="3168" w:firstLineChars="1100"/>
        <w:rPr>
          <w:spacing w:val="24"/>
          <w:sz w:val="24"/>
        </w:rPr>
      </w:pPr>
    </w:p>
    <w:p>
      <w:pPr>
        <w:jc w:val="right"/>
        <w:rPr>
          <w:b/>
          <w:bCs/>
          <w:sz w:val="24"/>
        </w:rPr>
      </w:pPr>
      <w:r>
        <w:rPr>
          <w:rFonts w:hint="eastAsia"/>
          <w:sz w:val="24"/>
        </w:rPr>
        <w:t>日期：  年  月  日</w:t>
      </w:r>
    </w:p>
    <w:p>
      <w:pPr>
        <w:snapToGrid w:val="0"/>
        <w:spacing w:beforeLines="50" w:afterLines="50"/>
        <w:ind w:firstLine="3162" w:firstLineChars="1050"/>
        <w:rPr>
          <w:b/>
          <w:sz w:val="30"/>
          <w:szCs w:val="30"/>
        </w:rPr>
      </w:pPr>
    </w:p>
    <w:p>
      <w:pPr>
        <w:snapToGrid w:val="0"/>
        <w:spacing w:beforeLines="50" w:afterLines="50"/>
        <w:ind w:firstLine="3162" w:firstLineChars="1050"/>
        <w:rPr>
          <w:b/>
          <w:sz w:val="30"/>
          <w:szCs w:val="30"/>
        </w:rPr>
      </w:pPr>
    </w:p>
    <w:p>
      <w:pPr>
        <w:snapToGrid w:val="0"/>
        <w:spacing w:beforeLines="50" w:afterLines="50"/>
        <w:ind w:firstLine="3162" w:firstLineChars="1050"/>
        <w:rPr>
          <w:b/>
          <w:sz w:val="30"/>
          <w:szCs w:val="30"/>
        </w:rPr>
      </w:pPr>
    </w:p>
    <w:p>
      <w:pPr>
        <w:snapToGrid w:val="0"/>
        <w:spacing w:beforeLines="50" w:afterLines="50"/>
        <w:ind w:firstLine="3162" w:firstLineChars="1050"/>
        <w:rPr>
          <w:b/>
          <w:sz w:val="30"/>
          <w:szCs w:val="30"/>
        </w:rPr>
      </w:pPr>
    </w:p>
    <w:p>
      <w:pPr>
        <w:rPr>
          <w:rFonts w:ascii="宋体" w:hAnsi="宋体"/>
        </w:rPr>
      </w:pPr>
    </w:p>
    <w:p>
      <w:pPr>
        <w:rPr>
          <w:rFonts w:ascii="宋体" w:hAnsi="宋体"/>
        </w:rPr>
      </w:pPr>
    </w:p>
    <w:p>
      <w:pPr>
        <w:rPr>
          <w:rFonts w:ascii="宋体" w:hAnsi="宋体"/>
        </w:rPr>
      </w:pPr>
    </w:p>
    <w:p>
      <w:pPr>
        <w:rPr>
          <w:rFonts w:ascii="宋体" w:hAnsi="宋体"/>
        </w:rPr>
      </w:pPr>
    </w:p>
    <w:p/>
    <w:p>
      <w:pPr>
        <w:adjustRightInd w:val="0"/>
        <w:snapToGrid w:val="0"/>
        <w:spacing w:line="320" w:lineRule="exact"/>
        <w:rPr>
          <w:rFonts w:ascii="仿宋" w:hAnsi="仿宋" w:eastAsia="仿宋" w:cs="仿宋"/>
          <w:sz w:val="24"/>
        </w:rPr>
      </w:pPr>
    </w:p>
    <w:p>
      <w:pPr>
        <w:adjustRightInd w:val="0"/>
        <w:snapToGrid w:val="0"/>
        <w:spacing w:line="320" w:lineRule="exact"/>
        <w:rPr>
          <w:rFonts w:ascii="仿宋" w:hAnsi="仿宋" w:eastAsia="仿宋" w:cs="仿宋"/>
          <w:sz w:val="24"/>
        </w:rPr>
      </w:pPr>
    </w:p>
    <w:p>
      <w:pPr>
        <w:adjustRightInd w:val="0"/>
        <w:snapToGrid w:val="0"/>
        <w:spacing w:line="320" w:lineRule="exact"/>
        <w:rPr>
          <w:rFonts w:ascii="仿宋" w:hAnsi="仿宋" w:eastAsia="仿宋" w:cs="仿宋"/>
          <w:b/>
          <w:sz w:val="24"/>
        </w:rPr>
      </w:pPr>
    </w:p>
    <w:p>
      <w:pPr>
        <w:adjustRightInd w:val="0"/>
        <w:snapToGrid w:val="0"/>
        <w:spacing w:line="320" w:lineRule="exact"/>
        <w:rPr>
          <w:rFonts w:ascii="仿宋" w:hAnsi="仿宋" w:eastAsia="仿宋" w:cs="仿宋"/>
          <w:b/>
          <w:sz w:val="24"/>
        </w:rPr>
      </w:pPr>
    </w:p>
    <w:p>
      <w:pPr>
        <w:adjustRightInd w:val="0"/>
        <w:snapToGrid w:val="0"/>
        <w:spacing w:line="320" w:lineRule="exact"/>
        <w:rPr>
          <w:rFonts w:ascii="仿宋" w:hAnsi="仿宋" w:eastAsia="仿宋" w:cs="仿宋"/>
          <w:b/>
          <w:sz w:val="24"/>
        </w:rPr>
      </w:pPr>
      <w:r>
        <w:rPr>
          <w:rFonts w:hint="eastAsia" w:ascii="仿宋" w:hAnsi="仿宋" w:eastAsia="仿宋" w:cs="仿宋"/>
          <w:b/>
          <w:sz w:val="24"/>
        </w:rPr>
        <w:t>八、商务、技术文件、资信及其他目录：</w:t>
      </w:r>
    </w:p>
    <w:p>
      <w:pPr>
        <w:adjustRightInd w:val="0"/>
        <w:snapToGrid w:val="0"/>
        <w:spacing w:line="320" w:lineRule="exact"/>
        <w:jc w:val="left"/>
        <w:rPr>
          <w:rFonts w:ascii="仿宋" w:hAnsi="仿宋" w:eastAsia="仿宋" w:cs="仿宋"/>
          <w:sz w:val="24"/>
        </w:rPr>
      </w:pPr>
      <w:r>
        <w:rPr>
          <w:rFonts w:hint="eastAsia" w:ascii="仿宋" w:hAnsi="仿宋" w:eastAsia="仿宋" w:cs="仿宋"/>
          <w:sz w:val="24"/>
        </w:rPr>
        <w:t>（1）对本项目系统总体要求的理解，项目总体架构及技术解决方案；</w:t>
      </w:r>
    </w:p>
    <w:p>
      <w:pPr>
        <w:adjustRightInd w:val="0"/>
        <w:snapToGrid w:val="0"/>
        <w:spacing w:line="320" w:lineRule="exact"/>
        <w:jc w:val="left"/>
        <w:rPr>
          <w:rFonts w:ascii="仿宋" w:hAnsi="仿宋" w:eastAsia="仿宋" w:cs="仿宋"/>
          <w:sz w:val="24"/>
        </w:rPr>
      </w:pPr>
      <w:r>
        <w:rPr>
          <w:rFonts w:hint="eastAsia" w:ascii="仿宋" w:hAnsi="仿宋" w:eastAsia="仿宋" w:cs="仿宋"/>
          <w:sz w:val="24"/>
        </w:rPr>
        <w:t>（2）保证工程质量的技术力量及技术措施；</w:t>
      </w:r>
    </w:p>
    <w:p>
      <w:pPr>
        <w:adjustRightInd w:val="0"/>
        <w:snapToGrid w:val="0"/>
        <w:spacing w:line="320" w:lineRule="exact"/>
        <w:jc w:val="left"/>
        <w:rPr>
          <w:rFonts w:ascii="仿宋" w:hAnsi="仿宋" w:eastAsia="仿宋" w:cs="仿宋"/>
          <w:sz w:val="24"/>
        </w:rPr>
      </w:pPr>
      <w:r>
        <w:rPr>
          <w:rFonts w:hint="eastAsia" w:ascii="仿宋" w:hAnsi="仿宋" w:eastAsia="仿宋" w:cs="仿宋"/>
          <w:sz w:val="24"/>
        </w:rPr>
        <w:t>（3）保证工期的施工组织方案及人力资源安排；</w:t>
      </w:r>
    </w:p>
    <w:p>
      <w:pPr>
        <w:adjustRightInd w:val="0"/>
        <w:snapToGrid w:val="0"/>
        <w:spacing w:line="320" w:lineRule="exact"/>
        <w:jc w:val="left"/>
        <w:rPr>
          <w:rFonts w:ascii="仿宋" w:hAnsi="仿宋" w:eastAsia="仿宋" w:cs="仿宋"/>
          <w:sz w:val="24"/>
        </w:rPr>
      </w:pPr>
      <w:r>
        <w:rPr>
          <w:rFonts w:hint="eastAsia" w:ascii="仿宋" w:hAnsi="仿宋" w:eastAsia="仿宋" w:cs="仿宋"/>
          <w:sz w:val="24"/>
        </w:rPr>
        <w:t>（4）项目实施人员一览表；</w:t>
      </w:r>
    </w:p>
    <w:p>
      <w:pPr>
        <w:adjustRightInd w:val="0"/>
        <w:snapToGrid w:val="0"/>
        <w:spacing w:line="320" w:lineRule="exact"/>
        <w:jc w:val="left"/>
        <w:rPr>
          <w:rFonts w:ascii="仿宋" w:hAnsi="仿宋" w:eastAsia="仿宋" w:cs="仿宋"/>
          <w:sz w:val="24"/>
        </w:rPr>
      </w:pPr>
      <w:r>
        <w:rPr>
          <w:rFonts w:hint="eastAsia" w:ascii="仿宋" w:hAnsi="仿宋" w:eastAsia="仿宋" w:cs="仿宋"/>
          <w:sz w:val="24"/>
        </w:rPr>
        <w:t>（5）拟投入的主要施工机械设备表，主要施工机械进场计划</w:t>
      </w:r>
    </w:p>
    <w:p>
      <w:pPr>
        <w:adjustRightInd w:val="0"/>
        <w:snapToGrid w:val="0"/>
        <w:spacing w:line="320" w:lineRule="exact"/>
        <w:jc w:val="left"/>
        <w:rPr>
          <w:rFonts w:ascii="仿宋" w:hAnsi="仿宋" w:eastAsia="仿宋" w:cs="仿宋"/>
          <w:sz w:val="24"/>
        </w:rPr>
      </w:pPr>
      <w:r>
        <w:rPr>
          <w:rFonts w:hint="eastAsia" w:ascii="仿宋" w:hAnsi="仿宋" w:eastAsia="仿宋" w:cs="仿宋"/>
          <w:sz w:val="24"/>
        </w:rPr>
        <w:t>（6）施工现场平面布置图；</w:t>
      </w:r>
    </w:p>
    <w:p>
      <w:pPr>
        <w:adjustRightInd w:val="0"/>
        <w:snapToGrid w:val="0"/>
        <w:spacing w:line="320" w:lineRule="exact"/>
        <w:jc w:val="left"/>
        <w:rPr>
          <w:rFonts w:ascii="仿宋" w:hAnsi="仿宋" w:eastAsia="仿宋" w:cs="仿宋"/>
          <w:sz w:val="24"/>
        </w:rPr>
      </w:pPr>
      <w:r>
        <w:rPr>
          <w:rFonts w:hint="eastAsia" w:ascii="仿宋" w:hAnsi="仿宋" w:eastAsia="仿宋" w:cs="仿宋"/>
          <w:sz w:val="24"/>
        </w:rPr>
        <w:t>（7）施工前提供详细的进度计划表及网络图承诺；</w:t>
      </w:r>
    </w:p>
    <w:p>
      <w:pPr>
        <w:adjustRightInd w:val="0"/>
        <w:snapToGrid w:val="0"/>
        <w:spacing w:line="320" w:lineRule="exact"/>
        <w:jc w:val="left"/>
        <w:rPr>
          <w:rFonts w:ascii="仿宋" w:hAnsi="仿宋" w:eastAsia="仿宋" w:cs="仿宋"/>
          <w:sz w:val="24"/>
        </w:rPr>
      </w:pPr>
      <w:r>
        <w:rPr>
          <w:rFonts w:hint="eastAsia" w:ascii="仿宋" w:hAnsi="仿宋" w:eastAsia="仿宋" w:cs="仿宋"/>
          <w:sz w:val="24"/>
        </w:rPr>
        <w:t>（8）安全、文明施工措施；</w:t>
      </w:r>
    </w:p>
    <w:p>
      <w:pPr>
        <w:adjustRightInd w:val="0"/>
        <w:snapToGrid w:val="0"/>
        <w:spacing w:line="320" w:lineRule="exact"/>
        <w:jc w:val="left"/>
        <w:rPr>
          <w:rFonts w:ascii="仿宋" w:hAnsi="仿宋" w:eastAsia="仿宋" w:cs="仿宋"/>
          <w:sz w:val="24"/>
        </w:rPr>
      </w:pPr>
      <w:r>
        <w:rPr>
          <w:rFonts w:hint="eastAsia" w:ascii="仿宋" w:hAnsi="仿宋" w:eastAsia="仿宋" w:cs="仿宋"/>
          <w:sz w:val="24"/>
        </w:rPr>
        <w:t>（9）施工技术方案及关键部位施工技术措施；</w:t>
      </w:r>
    </w:p>
    <w:p>
      <w:pPr>
        <w:adjustRightInd w:val="0"/>
        <w:snapToGrid w:val="0"/>
        <w:spacing w:line="320" w:lineRule="exact"/>
        <w:jc w:val="left"/>
        <w:rPr>
          <w:rFonts w:ascii="仿宋" w:hAnsi="仿宋" w:eastAsia="仿宋" w:cs="仿宋"/>
          <w:sz w:val="24"/>
        </w:rPr>
      </w:pPr>
      <w:r>
        <w:rPr>
          <w:rFonts w:hint="eastAsia" w:ascii="仿宋" w:hAnsi="仿宋" w:eastAsia="仿宋" w:cs="仿宋"/>
          <w:sz w:val="24"/>
        </w:rPr>
        <w:t>（10）投标人对本项目的合理化建议和改进措施；</w:t>
      </w:r>
    </w:p>
    <w:p>
      <w:pPr>
        <w:adjustRightInd w:val="0"/>
        <w:snapToGrid w:val="0"/>
        <w:spacing w:line="320" w:lineRule="exact"/>
        <w:jc w:val="left"/>
        <w:rPr>
          <w:rFonts w:ascii="仿宋" w:hAnsi="仿宋" w:eastAsia="仿宋" w:cs="仿宋"/>
          <w:sz w:val="24"/>
        </w:rPr>
      </w:pPr>
      <w:r>
        <w:rPr>
          <w:rFonts w:hint="eastAsia" w:ascii="仿宋" w:hAnsi="仿宋" w:eastAsia="仿宋" w:cs="仿宋"/>
          <w:sz w:val="24"/>
        </w:rPr>
        <w:t>（11）投标人需要说明的其他文件和说明（根据评分办法提供，格式自拟）。</w:t>
      </w:r>
    </w:p>
    <w:p>
      <w:pPr>
        <w:adjustRightInd w:val="0"/>
        <w:snapToGrid w:val="0"/>
        <w:spacing w:line="320" w:lineRule="exact"/>
        <w:jc w:val="left"/>
        <w:rPr>
          <w:rFonts w:ascii="仿宋" w:hAnsi="仿宋" w:eastAsia="仿宋" w:cs="仿宋"/>
          <w:sz w:val="24"/>
        </w:rPr>
      </w:pPr>
      <w:r>
        <w:rPr>
          <w:rFonts w:hint="eastAsia" w:ascii="仿宋" w:hAnsi="仿宋" w:eastAsia="仿宋" w:cs="仿宋"/>
          <w:sz w:val="24"/>
        </w:rPr>
        <w:t>2.商务文件</w:t>
      </w:r>
    </w:p>
    <w:p>
      <w:pPr>
        <w:adjustRightInd w:val="0"/>
        <w:snapToGrid w:val="0"/>
        <w:spacing w:line="320" w:lineRule="exact"/>
        <w:jc w:val="left"/>
        <w:rPr>
          <w:rFonts w:ascii="仿宋" w:hAnsi="仿宋" w:eastAsia="仿宋" w:cs="仿宋"/>
          <w:sz w:val="24"/>
        </w:rPr>
      </w:pPr>
      <w:r>
        <w:rPr>
          <w:rFonts w:hint="eastAsia" w:ascii="仿宋" w:hAnsi="仿宋" w:eastAsia="仿宋" w:cs="仿宋"/>
          <w:sz w:val="24"/>
        </w:rPr>
        <w:t>（1）售后服务的内容和措施；</w:t>
      </w:r>
    </w:p>
    <w:p>
      <w:pPr>
        <w:adjustRightInd w:val="0"/>
        <w:snapToGrid w:val="0"/>
        <w:spacing w:line="320" w:lineRule="exact"/>
        <w:jc w:val="left"/>
        <w:rPr>
          <w:rFonts w:ascii="仿宋" w:hAnsi="仿宋" w:eastAsia="仿宋" w:cs="仿宋"/>
          <w:sz w:val="24"/>
        </w:rPr>
      </w:pPr>
      <w:r>
        <w:rPr>
          <w:rFonts w:hint="eastAsia" w:ascii="仿宋" w:hAnsi="仿宋" w:eastAsia="仿宋" w:cs="仿宋"/>
          <w:sz w:val="24"/>
        </w:rPr>
        <w:t>（2）商务响应表；</w:t>
      </w:r>
    </w:p>
    <w:p>
      <w:pPr>
        <w:adjustRightInd w:val="0"/>
        <w:snapToGrid w:val="0"/>
        <w:spacing w:line="320" w:lineRule="exact"/>
        <w:jc w:val="left"/>
        <w:rPr>
          <w:rFonts w:ascii="仿宋" w:hAnsi="仿宋" w:eastAsia="仿宋" w:cs="仿宋"/>
          <w:sz w:val="24"/>
        </w:rPr>
      </w:pPr>
      <w:r>
        <w:rPr>
          <w:rFonts w:hint="eastAsia" w:ascii="仿宋" w:hAnsi="仿宋" w:eastAsia="仿宋" w:cs="仿宋"/>
          <w:sz w:val="24"/>
        </w:rPr>
        <w:t>（3）售后服务承诺（网点）；</w:t>
      </w:r>
    </w:p>
    <w:p>
      <w:pPr>
        <w:adjustRightInd w:val="0"/>
        <w:snapToGrid w:val="0"/>
        <w:spacing w:line="320" w:lineRule="exact"/>
        <w:jc w:val="left"/>
        <w:rPr>
          <w:rFonts w:ascii="仿宋" w:hAnsi="仿宋" w:eastAsia="仿宋" w:cs="仿宋"/>
          <w:sz w:val="24"/>
        </w:rPr>
      </w:pPr>
      <w:r>
        <w:rPr>
          <w:rFonts w:hint="eastAsia" w:ascii="仿宋" w:hAnsi="仿宋" w:eastAsia="仿宋" w:cs="仿宋"/>
          <w:sz w:val="24"/>
        </w:rPr>
        <w:t>（4）支付承诺。</w:t>
      </w:r>
    </w:p>
    <w:p>
      <w:pPr>
        <w:adjustRightInd w:val="0"/>
        <w:snapToGrid w:val="0"/>
        <w:spacing w:line="320" w:lineRule="exact"/>
        <w:jc w:val="left"/>
        <w:rPr>
          <w:rFonts w:ascii="仿宋" w:hAnsi="仿宋" w:eastAsia="仿宋" w:cs="仿宋"/>
          <w:sz w:val="24"/>
        </w:rPr>
      </w:pPr>
      <w:r>
        <w:rPr>
          <w:rFonts w:hint="eastAsia" w:ascii="仿宋" w:hAnsi="仿宋" w:eastAsia="仿宋" w:cs="仿宋"/>
          <w:sz w:val="24"/>
        </w:rPr>
        <w:t>3.资信及其他文件：</w:t>
      </w:r>
    </w:p>
    <w:p>
      <w:pPr>
        <w:adjustRightInd w:val="0"/>
        <w:snapToGrid w:val="0"/>
        <w:spacing w:line="320" w:lineRule="exact"/>
        <w:jc w:val="left"/>
        <w:rPr>
          <w:rFonts w:ascii="仿宋" w:hAnsi="仿宋" w:eastAsia="仿宋" w:cs="仿宋"/>
          <w:sz w:val="24"/>
        </w:rPr>
      </w:pPr>
      <w:r>
        <w:rPr>
          <w:rFonts w:hint="eastAsia" w:ascii="仿宋" w:hAnsi="仿宋" w:eastAsia="仿宋" w:cs="仿宋"/>
          <w:sz w:val="24"/>
        </w:rPr>
        <w:t>（1）投标人的有效信用等级证书；</w:t>
      </w:r>
    </w:p>
    <w:p>
      <w:pPr>
        <w:adjustRightInd w:val="0"/>
        <w:snapToGrid w:val="0"/>
        <w:spacing w:line="320" w:lineRule="exact"/>
        <w:jc w:val="left"/>
        <w:rPr>
          <w:rFonts w:ascii="仿宋" w:hAnsi="仿宋" w:eastAsia="仿宋" w:cs="仿宋"/>
          <w:sz w:val="24"/>
        </w:rPr>
      </w:pPr>
      <w:r>
        <w:rPr>
          <w:rFonts w:hint="eastAsia" w:ascii="仿宋" w:hAnsi="仿宋" w:eastAsia="仿宋" w:cs="仿宋"/>
          <w:sz w:val="24"/>
        </w:rPr>
        <w:t>（2）投标人质量管理体系、环境认证体系等方面的认证证书；</w:t>
      </w:r>
    </w:p>
    <w:p>
      <w:pPr>
        <w:adjustRightInd w:val="0"/>
        <w:snapToGrid w:val="0"/>
        <w:spacing w:line="320" w:lineRule="exact"/>
        <w:jc w:val="left"/>
        <w:rPr>
          <w:rFonts w:ascii="仿宋" w:hAnsi="仿宋" w:eastAsia="仿宋" w:cs="仿宋"/>
          <w:sz w:val="24"/>
        </w:rPr>
      </w:pPr>
      <w:r>
        <w:rPr>
          <w:rFonts w:hint="eastAsia" w:ascii="仿宋" w:hAnsi="仿宋" w:eastAsia="仿宋" w:cs="仿宋"/>
          <w:sz w:val="24"/>
        </w:rPr>
        <w:t>（3）投标人综合实力；</w:t>
      </w:r>
    </w:p>
    <w:p>
      <w:pPr>
        <w:adjustRightInd w:val="0"/>
        <w:snapToGrid w:val="0"/>
        <w:spacing w:line="320" w:lineRule="exact"/>
        <w:jc w:val="left"/>
        <w:rPr>
          <w:rFonts w:ascii="仿宋" w:hAnsi="仿宋" w:eastAsia="仿宋" w:cs="仿宋"/>
          <w:sz w:val="24"/>
        </w:rPr>
      </w:pPr>
      <w:r>
        <w:rPr>
          <w:rFonts w:hint="eastAsia" w:ascii="仿宋" w:hAnsi="仿宋" w:eastAsia="仿宋" w:cs="仿宋"/>
          <w:sz w:val="24"/>
        </w:rPr>
        <w:t>（4）投标人信誉；</w:t>
      </w:r>
    </w:p>
    <w:p>
      <w:pPr>
        <w:adjustRightInd w:val="0"/>
        <w:snapToGrid w:val="0"/>
        <w:spacing w:line="320" w:lineRule="exact"/>
        <w:jc w:val="left"/>
        <w:rPr>
          <w:rFonts w:ascii="仿宋" w:hAnsi="仿宋" w:eastAsia="仿宋" w:cs="仿宋"/>
          <w:sz w:val="24"/>
        </w:rPr>
      </w:pPr>
      <w:r>
        <w:rPr>
          <w:rFonts w:hint="eastAsia" w:ascii="仿宋" w:hAnsi="仿宋" w:eastAsia="仿宋" w:cs="仿宋"/>
          <w:sz w:val="24"/>
        </w:rPr>
        <w:t>（5）投标人业绩；</w:t>
      </w:r>
    </w:p>
    <w:p>
      <w:pPr>
        <w:adjustRightInd w:val="0"/>
        <w:snapToGrid w:val="0"/>
        <w:spacing w:line="320" w:lineRule="exact"/>
        <w:jc w:val="left"/>
        <w:rPr>
          <w:rFonts w:ascii="仿宋" w:hAnsi="仿宋" w:eastAsia="仿宋" w:cs="仿宋"/>
          <w:sz w:val="24"/>
        </w:rPr>
      </w:pPr>
      <w:r>
        <w:rPr>
          <w:rFonts w:hint="eastAsia" w:ascii="仿宋" w:hAnsi="仿宋" w:eastAsia="仿宋" w:cs="仿宋"/>
          <w:sz w:val="24"/>
        </w:rPr>
        <w:t>（6）投标人荣誉；</w:t>
      </w:r>
    </w:p>
    <w:p>
      <w:pPr>
        <w:adjustRightInd w:val="0"/>
        <w:snapToGrid w:val="0"/>
        <w:spacing w:line="320" w:lineRule="exact"/>
        <w:jc w:val="left"/>
        <w:rPr>
          <w:rFonts w:ascii="仿宋" w:hAnsi="仿宋" w:eastAsia="仿宋" w:cs="仿宋"/>
          <w:sz w:val="24"/>
        </w:rPr>
      </w:pPr>
      <w:r>
        <w:rPr>
          <w:rFonts w:hint="eastAsia" w:ascii="仿宋" w:hAnsi="仿宋" w:eastAsia="仿宋" w:cs="仿宋"/>
          <w:sz w:val="24"/>
        </w:rPr>
        <w:t>（7）近两年度企业财务审计报告；</w:t>
      </w:r>
    </w:p>
    <w:p>
      <w:pPr>
        <w:adjustRightInd w:val="0"/>
        <w:snapToGrid w:val="0"/>
        <w:spacing w:line="320" w:lineRule="exact"/>
        <w:jc w:val="left"/>
        <w:rPr>
          <w:rFonts w:ascii="仿宋" w:hAnsi="仿宋" w:eastAsia="仿宋" w:cs="仿宋"/>
          <w:b/>
          <w:sz w:val="24"/>
        </w:rPr>
      </w:pPr>
      <w:r>
        <w:rPr>
          <w:rFonts w:hint="eastAsia" w:ascii="仿宋" w:hAnsi="仿宋" w:eastAsia="仿宋" w:cs="仿宋"/>
          <w:sz w:val="24"/>
        </w:rPr>
        <w:t>（8）投标人需要说明的其他文件和说明</w:t>
      </w:r>
    </w:p>
    <w:p>
      <w:pPr>
        <w:adjustRightInd w:val="0"/>
        <w:snapToGrid w:val="0"/>
        <w:spacing w:line="400" w:lineRule="exact"/>
        <w:jc w:val="left"/>
        <w:rPr>
          <w:rFonts w:ascii="仿宋" w:hAnsi="仿宋" w:eastAsia="仿宋" w:cs="仿宋"/>
          <w:sz w:val="24"/>
        </w:rPr>
      </w:pPr>
    </w:p>
    <w:p>
      <w:pPr>
        <w:adjustRightInd w:val="0"/>
        <w:snapToGrid w:val="0"/>
        <w:spacing w:line="320" w:lineRule="exact"/>
        <w:jc w:val="left"/>
        <w:rPr>
          <w:rFonts w:ascii="仿宋" w:hAnsi="仿宋" w:eastAsia="仿宋" w:cs="仿宋"/>
          <w:b/>
          <w:sz w:val="24"/>
        </w:rPr>
      </w:pPr>
    </w:p>
    <w:p>
      <w:pPr>
        <w:adjustRightInd w:val="0"/>
        <w:snapToGrid w:val="0"/>
        <w:spacing w:line="320" w:lineRule="exact"/>
        <w:jc w:val="left"/>
        <w:rPr>
          <w:rFonts w:ascii="仿宋" w:hAnsi="仿宋" w:eastAsia="仿宋" w:cs="仿宋"/>
          <w:b/>
          <w:sz w:val="24"/>
        </w:rPr>
      </w:pPr>
    </w:p>
    <w:p>
      <w:pPr>
        <w:adjustRightInd w:val="0"/>
        <w:snapToGrid w:val="0"/>
        <w:spacing w:line="320" w:lineRule="exact"/>
        <w:jc w:val="left"/>
        <w:rPr>
          <w:rFonts w:ascii="仿宋" w:hAnsi="仿宋" w:eastAsia="仿宋" w:cs="仿宋"/>
          <w:b/>
          <w:sz w:val="24"/>
        </w:rPr>
      </w:pPr>
    </w:p>
    <w:p>
      <w:pPr>
        <w:adjustRightInd w:val="0"/>
        <w:snapToGrid w:val="0"/>
        <w:spacing w:line="320" w:lineRule="exact"/>
        <w:jc w:val="left"/>
        <w:rPr>
          <w:rFonts w:ascii="仿宋" w:hAnsi="仿宋" w:eastAsia="仿宋" w:cs="仿宋"/>
          <w:b/>
          <w:sz w:val="24"/>
        </w:rPr>
      </w:pPr>
    </w:p>
    <w:p>
      <w:pPr>
        <w:adjustRightInd w:val="0"/>
        <w:snapToGrid w:val="0"/>
        <w:spacing w:line="320" w:lineRule="exact"/>
        <w:jc w:val="left"/>
        <w:rPr>
          <w:rFonts w:ascii="仿宋" w:hAnsi="仿宋" w:eastAsia="仿宋" w:cs="仿宋"/>
          <w:sz w:val="24"/>
        </w:rPr>
      </w:pPr>
      <w:r>
        <w:rPr>
          <w:rFonts w:hint="eastAsia" w:ascii="仿宋" w:hAnsi="仿宋" w:eastAsia="仿宋" w:cs="仿宋"/>
          <w:b/>
          <w:sz w:val="24"/>
        </w:rPr>
        <w:t>以上投标文件组成部分招标文件有格式的参照后附件格式，无格式的投标单位自拟。</w:t>
      </w:r>
    </w:p>
    <w:p>
      <w:pPr>
        <w:adjustRightInd w:val="0"/>
        <w:snapToGrid w:val="0"/>
        <w:spacing w:beforeLines="50" w:afterLines="50" w:line="500" w:lineRule="exact"/>
        <w:rPr>
          <w:rFonts w:ascii="仿宋" w:hAnsi="仿宋" w:eastAsia="仿宋" w:cs="仿宋"/>
          <w:b/>
          <w:sz w:val="24"/>
        </w:rPr>
      </w:pPr>
    </w:p>
    <w:p>
      <w:pPr>
        <w:adjustRightInd w:val="0"/>
        <w:snapToGrid w:val="0"/>
        <w:spacing w:beforeLines="50" w:afterLines="50" w:line="500" w:lineRule="exact"/>
        <w:rPr>
          <w:rFonts w:ascii="仿宋" w:hAnsi="仿宋" w:eastAsia="仿宋" w:cs="仿宋"/>
          <w:b/>
          <w:sz w:val="24"/>
        </w:rPr>
      </w:pPr>
    </w:p>
    <w:p>
      <w:pPr>
        <w:adjustRightInd w:val="0"/>
        <w:snapToGrid w:val="0"/>
        <w:spacing w:beforeLines="50" w:afterLines="50" w:line="500" w:lineRule="exact"/>
        <w:rPr>
          <w:rFonts w:ascii="仿宋" w:hAnsi="仿宋" w:eastAsia="仿宋" w:cs="仿宋"/>
          <w:b/>
          <w:sz w:val="24"/>
        </w:rPr>
      </w:pPr>
    </w:p>
    <w:p>
      <w:pPr>
        <w:adjustRightInd w:val="0"/>
        <w:snapToGrid w:val="0"/>
        <w:spacing w:beforeLines="50" w:afterLines="50" w:line="500" w:lineRule="exact"/>
        <w:rPr>
          <w:rFonts w:ascii="仿宋" w:hAnsi="仿宋" w:eastAsia="仿宋" w:cs="仿宋"/>
          <w:b/>
          <w:sz w:val="24"/>
        </w:rPr>
      </w:pPr>
    </w:p>
    <w:p>
      <w:pPr>
        <w:adjustRightInd w:val="0"/>
        <w:snapToGrid w:val="0"/>
        <w:spacing w:beforeLines="50" w:afterLines="50" w:line="500" w:lineRule="exact"/>
        <w:rPr>
          <w:rFonts w:ascii="仿宋" w:hAnsi="仿宋" w:eastAsia="仿宋" w:cs="仿宋"/>
          <w:b/>
          <w:sz w:val="24"/>
        </w:rPr>
      </w:pPr>
    </w:p>
    <w:p>
      <w:pPr>
        <w:snapToGrid w:val="0"/>
        <w:spacing w:before="50" w:afterLines="50"/>
        <w:jc w:val="center"/>
        <w:rPr>
          <w:rFonts w:ascii="宋体" w:hAnsi="宋体"/>
          <w:b/>
          <w:bCs/>
          <w:sz w:val="24"/>
        </w:rPr>
      </w:pPr>
      <w:r>
        <w:rPr>
          <w:rFonts w:hint="eastAsia" w:ascii="宋体" w:hAnsi="宋体"/>
          <w:b/>
          <w:bCs/>
          <w:sz w:val="24"/>
        </w:rPr>
        <w:t>九、项目实施人员一览表</w:t>
      </w:r>
    </w:p>
    <w:tbl>
      <w:tblPr>
        <w:tblStyle w:val="24"/>
        <w:tblW w:w="0" w:type="auto"/>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81"/>
        <w:gridCol w:w="1004"/>
        <w:gridCol w:w="1663"/>
        <w:gridCol w:w="1260"/>
        <w:gridCol w:w="349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81" w:type="dxa"/>
            <w:tcBorders>
              <w:top w:val="single" w:color="auto" w:sz="4" w:space="0"/>
              <w:bottom w:val="single" w:color="auto" w:sz="4" w:space="0"/>
              <w:right w:val="single" w:color="auto" w:sz="4" w:space="0"/>
            </w:tcBorders>
            <w:noWrap/>
            <w:vAlign w:val="bottom"/>
          </w:tcPr>
          <w:p>
            <w:pPr>
              <w:snapToGrid w:val="0"/>
              <w:spacing w:beforeLines="50" w:after="50"/>
              <w:rPr>
                <w:rFonts w:ascii="宋体"/>
                <w:sz w:val="24"/>
                <w:szCs w:val="20"/>
              </w:rPr>
            </w:pPr>
            <w:r>
              <w:rPr>
                <w:rFonts w:hint="eastAsia" w:ascii="宋体" w:hAnsi="宋体"/>
                <w:sz w:val="24"/>
              </w:rPr>
              <w:t>姓名</w:t>
            </w:r>
          </w:p>
        </w:tc>
        <w:tc>
          <w:tcPr>
            <w:tcW w:w="1004" w:type="dxa"/>
            <w:tcBorders>
              <w:top w:val="single" w:color="auto" w:sz="4" w:space="0"/>
              <w:left w:val="single" w:color="auto" w:sz="4" w:space="0"/>
              <w:bottom w:val="single" w:color="auto" w:sz="4" w:space="0"/>
              <w:right w:val="single" w:color="auto" w:sz="4" w:space="0"/>
            </w:tcBorders>
            <w:noWrap/>
            <w:vAlign w:val="bottom"/>
          </w:tcPr>
          <w:p>
            <w:pPr>
              <w:snapToGrid w:val="0"/>
              <w:spacing w:beforeLines="50" w:after="50"/>
              <w:rPr>
                <w:rFonts w:ascii="宋体"/>
                <w:sz w:val="24"/>
                <w:szCs w:val="20"/>
              </w:rPr>
            </w:pPr>
            <w:r>
              <w:rPr>
                <w:rFonts w:hint="eastAsia" w:ascii="宋体" w:hAnsi="宋体"/>
                <w:sz w:val="24"/>
              </w:rPr>
              <w:t>职务</w:t>
            </w:r>
          </w:p>
        </w:tc>
        <w:tc>
          <w:tcPr>
            <w:tcW w:w="1663" w:type="dxa"/>
            <w:tcBorders>
              <w:top w:val="single" w:color="auto" w:sz="4" w:space="0"/>
              <w:left w:val="single" w:color="auto" w:sz="4" w:space="0"/>
              <w:bottom w:val="single" w:color="auto" w:sz="4" w:space="0"/>
              <w:right w:val="single" w:color="auto" w:sz="4" w:space="0"/>
            </w:tcBorders>
            <w:noWrap/>
            <w:vAlign w:val="bottom"/>
          </w:tcPr>
          <w:p>
            <w:pPr>
              <w:snapToGrid w:val="0"/>
              <w:spacing w:beforeLines="50" w:after="50"/>
              <w:jc w:val="center"/>
              <w:rPr>
                <w:rFonts w:ascii="宋体"/>
                <w:sz w:val="24"/>
                <w:szCs w:val="20"/>
              </w:rPr>
            </w:pPr>
            <w:r>
              <w:rPr>
                <w:rFonts w:hint="eastAsia" w:ascii="宋体" w:hAnsi="宋体"/>
                <w:sz w:val="24"/>
              </w:rPr>
              <w:t>专业技术资格</w:t>
            </w:r>
          </w:p>
        </w:tc>
        <w:tc>
          <w:tcPr>
            <w:tcW w:w="1260" w:type="dxa"/>
            <w:tcBorders>
              <w:top w:val="single" w:color="auto" w:sz="4" w:space="0"/>
              <w:left w:val="single" w:color="auto" w:sz="4" w:space="0"/>
              <w:bottom w:val="single" w:color="auto" w:sz="4" w:space="0"/>
              <w:right w:val="single" w:color="auto" w:sz="4" w:space="0"/>
            </w:tcBorders>
            <w:noWrap/>
            <w:vAlign w:val="bottom"/>
          </w:tcPr>
          <w:p>
            <w:pPr>
              <w:snapToGrid w:val="0"/>
              <w:spacing w:beforeLines="50" w:after="50"/>
              <w:rPr>
                <w:rFonts w:ascii="宋体"/>
                <w:sz w:val="24"/>
                <w:szCs w:val="20"/>
              </w:rPr>
            </w:pPr>
            <w:r>
              <w:rPr>
                <w:rFonts w:hint="eastAsia" w:ascii="宋体" w:hAnsi="宋体"/>
                <w:sz w:val="24"/>
              </w:rPr>
              <w:t>证书编号</w:t>
            </w:r>
          </w:p>
        </w:tc>
        <w:tc>
          <w:tcPr>
            <w:tcW w:w="3493" w:type="dxa"/>
            <w:tcBorders>
              <w:top w:val="single" w:color="auto" w:sz="4" w:space="0"/>
              <w:left w:val="single" w:color="auto" w:sz="4" w:space="0"/>
              <w:bottom w:val="single" w:color="auto" w:sz="4" w:space="0"/>
              <w:right w:val="single" w:color="auto" w:sz="4" w:space="0"/>
            </w:tcBorders>
            <w:noWrap/>
            <w:vAlign w:val="bottom"/>
          </w:tcPr>
          <w:p>
            <w:pPr>
              <w:snapToGrid w:val="0"/>
              <w:spacing w:beforeLines="50" w:after="50"/>
              <w:rPr>
                <w:rFonts w:ascii="宋体"/>
                <w:bCs/>
                <w:sz w:val="24"/>
                <w:szCs w:val="20"/>
              </w:rPr>
            </w:pPr>
            <w:r>
              <w:rPr>
                <w:rFonts w:hint="eastAsia" w:ascii="宋体" w:hAnsi="宋体"/>
                <w:bCs/>
                <w:sz w:val="24"/>
              </w:rPr>
              <w:t>参加本单位工作时间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81" w:type="dxa"/>
            <w:tcBorders>
              <w:top w:val="single" w:color="auto" w:sz="4" w:space="0"/>
              <w:bottom w:val="single" w:color="auto" w:sz="4" w:space="0"/>
              <w:right w:val="single" w:color="auto" w:sz="4" w:space="0"/>
            </w:tcBorders>
            <w:noWrap/>
          </w:tcPr>
          <w:p>
            <w:pPr>
              <w:snapToGrid w:val="0"/>
              <w:spacing w:beforeLines="50" w:after="50"/>
              <w:rPr>
                <w:rFonts w:ascii="宋体"/>
                <w:sz w:val="24"/>
                <w:szCs w:val="20"/>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rPr>
                <w:rFonts w:ascii="宋体"/>
                <w:sz w:val="24"/>
                <w:szCs w:val="20"/>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rPr>
                <w:rFonts w:ascii="宋体"/>
                <w:sz w:val="24"/>
                <w:szCs w:val="20"/>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rPr>
                <w:rFonts w:ascii="宋体"/>
                <w:sz w:val="24"/>
                <w:szCs w:val="20"/>
              </w:rPr>
            </w:pPr>
          </w:p>
        </w:tc>
        <w:tc>
          <w:tcPr>
            <w:tcW w:w="3493" w:type="dxa"/>
            <w:tcBorders>
              <w:top w:val="single" w:color="auto" w:sz="4" w:space="0"/>
              <w:left w:val="single" w:color="auto" w:sz="4" w:space="0"/>
              <w:bottom w:val="single" w:color="auto" w:sz="4" w:space="0"/>
              <w:right w:val="single" w:color="auto" w:sz="4" w:space="0"/>
            </w:tcBorders>
            <w:noWrap/>
          </w:tcPr>
          <w:p>
            <w:pPr>
              <w:snapToGrid w:val="0"/>
              <w:spacing w:beforeLines="50" w:after="50"/>
              <w:rPr>
                <w:rFonts w:asci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81" w:type="dxa"/>
            <w:tcBorders>
              <w:top w:val="single" w:color="auto" w:sz="4" w:space="0"/>
              <w:bottom w:val="single" w:color="auto" w:sz="4" w:space="0"/>
              <w:right w:val="single" w:color="auto" w:sz="4" w:space="0"/>
            </w:tcBorders>
            <w:noWrap/>
          </w:tcPr>
          <w:p>
            <w:pPr>
              <w:snapToGrid w:val="0"/>
              <w:spacing w:beforeLines="50" w:after="50"/>
              <w:rPr>
                <w:rFonts w:ascii="宋体"/>
                <w:sz w:val="24"/>
                <w:szCs w:val="20"/>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rPr>
                <w:rFonts w:ascii="宋体"/>
                <w:sz w:val="24"/>
                <w:szCs w:val="20"/>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rPr>
                <w:rFonts w:ascii="宋体"/>
                <w:sz w:val="24"/>
                <w:szCs w:val="20"/>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rPr>
                <w:rFonts w:ascii="宋体"/>
                <w:sz w:val="24"/>
                <w:szCs w:val="20"/>
              </w:rPr>
            </w:pPr>
          </w:p>
        </w:tc>
        <w:tc>
          <w:tcPr>
            <w:tcW w:w="3493" w:type="dxa"/>
            <w:tcBorders>
              <w:top w:val="single" w:color="auto" w:sz="4" w:space="0"/>
              <w:left w:val="single" w:color="auto" w:sz="4" w:space="0"/>
              <w:bottom w:val="single" w:color="auto" w:sz="4" w:space="0"/>
              <w:right w:val="single" w:color="auto" w:sz="4" w:space="0"/>
            </w:tcBorders>
            <w:noWrap/>
          </w:tcPr>
          <w:p>
            <w:pPr>
              <w:snapToGrid w:val="0"/>
              <w:spacing w:beforeLines="50" w:after="50"/>
              <w:rPr>
                <w:rFonts w:asci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81" w:type="dxa"/>
            <w:tcBorders>
              <w:top w:val="single" w:color="auto" w:sz="4" w:space="0"/>
              <w:bottom w:val="single" w:color="auto" w:sz="4" w:space="0"/>
              <w:right w:val="single" w:color="auto" w:sz="4" w:space="0"/>
            </w:tcBorders>
            <w:noWrap/>
          </w:tcPr>
          <w:p>
            <w:pPr>
              <w:snapToGrid w:val="0"/>
              <w:spacing w:beforeLines="50" w:after="50"/>
              <w:rPr>
                <w:rFonts w:ascii="宋体"/>
                <w:sz w:val="24"/>
                <w:szCs w:val="20"/>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rPr>
                <w:rFonts w:ascii="宋体"/>
                <w:sz w:val="24"/>
                <w:szCs w:val="20"/>
              </w:rPr>
            </w:pPr>
          </w:p>
        </w:tc>
        <w:tc>
          <w:tcPr>
            <w:tcW w:w="1663" w:type="dxa"/>
            <w:tcBorders>
              <w:top w:val="single" w:color="auto" w:sz="4" w:space="0"/>
              <w:left w:val="single" w:color="auto" w:sz="4" w:space="0"/>
              <w:bottom w:val="single" w:color="auto" w:sz="4" w:space="0"/>
              <w:right w:val="single" w:color="auto" w:sz="4" w:space="0"/>
            </w:tcBorders>
            <w:noWrap/>
          </w:tcPr>
          <w:p>
            <w:pPr>
              <w:pStyle w:val="14"/>
              <w:snapToGrid w:val="0"/>
              <w:spacing w:beforeLines="50" w:after="50"/>
              <w:ind w:left="5250"/>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rPr>
                <w:rFonts w:ascii="宋体"/>
                <w:sz w:val="24"/>
                <w:szCs w:val="20"/>
              </w:rPr>
            </w:pPr>
          </w:p>
        </w:tc>
        <w:tc>
          <w:tcPr>
            <w:tcW w:w="3493" w:type="dxa"/>
            <w:tcBorders>
              <w:top w:val="single" w:color="auto" w:sz="4" w:space="0"/>
              <w:left w:val="single" w:color="auto" w:sz="4" w:space="0"/>
              <w:bottom w:val="single" w:color="auto" w:sz="4" w:space="0"/>
              <w:right w:val="single" w:color="auto" w:sz="4" w:space="0"/>
            </w:tcBorders>
            <w:noWrap/>
          </w:tcPr>
          <w:p>
            <w:pPr>
              <w:snapToGrid w:val="0"/>
              <w:spacing w:beforeLines="50" w:after="50"/>
              <w:rPr>
                <w:rFonts w:asci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81" w:type="dxa"/>
            <w:tcBorders>
              <w:top w:val="single" w:color="auto" w:sz="4" w:space="0"/>
              <w:bottom w:val="single" w:color="auto" w:sz="4" w:space="0"/>
              <w:right w:val="single" w:color="auto" w:sz="4" w:space="0"/>
            </w:tcBorders>
            <w:noWrap/>
          </w:tcPr>
          <w:p>
            <w:pPr>
              <w:snapToGrid w:val="0"/>
              <w:spacing w:beforeLines="50" w:after="50"/>
              <w:rPr>
                <w:rFonts w:ascii="宋体"/>
                <w:sz w:val="24"/>
                <w:szCs w:val="20"/>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rPr>
                <w:rFonts w:ascii="宋体"/>
                <w:sz w:val="24"/>
                <w:szCs w:val="20"/>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rPr>
                <w:rFonts w:ascii="宋体"/>
                <w:sz w:val="24"/>
                <w:szCs w:val="20"/>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rPr>
                <w:rFonts w:ascii="宋体"/>
                <w:sz w:val="24"/>
                <w:szCs w:val="20"/>
              </w:rPr>
            </w:pPr>
          </w:p>
        </w:tc>
        <w:tc>
          <w:tcPr>
            <w:tcW w:w="3493" w:type="dxa"/>
            <w:tcBorders>
              <w:top w:val="single" w:color="auto" w:sz="4" w:space="0"/>
              <w:left w:val="single" w:color="auto" w:sz="4" w:space="0"/>
              <w:bottom w:val="single" w:color="auto" w:sz="4" w:space="0"/>
              <w:right w:val="single" w:color="auto" w:sz="4" w:space="0"/>
            </w:tcBorders>
            <w:noWrap/>
          </w:tcPr>
          <w:p>
            <w:pPr>
              <w:snapToGrid w:val="0"/>
              <w:spacing w:beforeLines="50" w:after="50"/>
              <w:rPr>
                <w:rFonts w:asci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81" w:type="dxa"/>
            <w:tcBorders>
              <w:top w:val="single" w:color="auto" w:sz="4" w:space="0"/>
              <w:bottom w:val="single" w:color="auto" w:sz="4" w:space="0"/>
              <w:right w:val="single" w:color="auto" w:sz="4" w:space="0"/>
            </w:tcBorders>
            <w:noWrap/>
          </w:tcPr>
          <w:p>
            <w:pPr>
              <w:snapToGrid w:val="0"/>
              <w:spacing w:beforeLines="50" w:after="50"/>
              <w:rPr>
                <w:rFonts w:ascii="宋体"/>
                <w:sz w:val="24"/>
                <w:szCs w:val="20"/>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rPr>
                <w:rFonts w:ascii="宋体"/>
                <w:sz w:val="24"/>
                <w:szCs w:val="20"/>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rPr>
                <w:rFonts w:ascii="宋体"/>
                <w:sz w:val="24"/>
                <w:szCs w:val="20"/>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rPr>
                <w:rFonts w:ascii="宋体"/>
                <w:sz w:val="24"/>
                <w:szCs w:val="20"/>
              </w:rPr>
            </w:pPr>
          </w:p>
        </w:tc>
        <w:tc>
          <w:tcPr>
            <w:tcW w:w="3493" w:type="dxa"/>
            <w:tcBorders>
              <w:top w:val="single" w:color="auto" w:sz="4" w:space="0"/>
              <w:left w:val="single" w:color="auto" w:sz="4" w:space="0"/>
              <w:bottom w:val="single" w:color="auto" w:sz="4" w:space="0"/>
              <w:right w:val="single" w:color="auto" w:sz="4" w:space="0"/>
            </w:tcBorders>
            <w:noWrap/>
          </w:tcPr>
          <w:p>
            <w:pPr>
              <w:snapToGrid w:val="0"/>
              <w:spacing w:beforeLines="50" w:after="50"/>
              <w:rPr>
                <w:rFonts w:asci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81" w:type="dxa"/>
            <w:tcBorders>
              <w:top w:val="single" w:color="auto" w:sz="4" w:space="0"/>
              <w:bottom w:val="single" w:color="auto" w:sz="4" w:space="0"/>
              <w:right w:val="single" w:color="auto" w:sz="4" w:space="0"/>
            </w:tcBorders>
            <w:noWrap/>
          </w:tcPr>
          <w:p>
            <w:pPr>
              <w:snapToGrid w:val="0"/>
              <w:spacing w:beforeLines="50" w:after="50"/>
              <w:rPr>
                <w:rFonts w:ascii="宋体"/>
                <w:sz w:val="24"/>
                <w:szCs w:val="20"/>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rPr>
                <w:rFonts w:ascii="宋体"/>
                <w:sz w:val="24"/>
                <w:szCs w:val="20"/>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rPr>
                <w:rFonts w:ascii="宋体"/>
                <w:sz w:val="24"/>
                <w:szCs w:val="20"/>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rPr>
                <w:rFonts w:ascii="宋体"/>
                <w:sz w:val="24"/>
                <w:szCs w:val="20"/>
              </w:rPr>
            </w:pPr>
          </w:p>
        </w:tc>
        <w:tc>
          <w:tcPr>
            <w:tcW w:w="3493" w:type="dxa"/>
            <w:tcBorders>
              <w:top w:val="single" w:color="auto" w:sz="4" w:space="0"/>
              <w:left w:val="single" w:color="auto" w:sz="4" w:space="0"/>
              <w:bottom w:val="single" w:color="auto" w:sz="4" w:space="0"/>
              <w:right w:val="single" w:color="auto" w:sz="4" w:space="0"/>
            </w:tcBorders>
            <w:noWrap/>
          </w:tcPr>
          <w:p>
            <w:pPr>
              <w:snapToGrid w:val="0"/>
              <w:spacing w:beforeLines="50" w:after="50"/>
              <w:rPr>
                <w:rFonts w:asci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81" w:type="dxa"/>
            <w:tcBorders>
              <w:top w:val="single" w:color="auto" w:sz="4" w:space="0"/>
              <w:bottom w:val="single" w:color="auto" w:sz="4" w:space="0"/>
              <w:right w:val="single" w:color="auto" w:sz="4" w:space="0"/>
            </w:tcBorders>
            <w:noWrap/>
          </w:tcPr>
          <w:p>
            <w:pPr>
              <w:snapToGrid w:val="0"/>
              <w:spacing w:beforeLines="50" w:after="50"/>
              <w:rPr>
                <w:rFonts w:ascii="宋体"/>
                <w:sz w:val="24"/>
                <w:szCs w:val="20"/>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rPr>
                <w:rFonts w:ascii="宋体"/>
                <w:sz w:val="24"/>
                <w:szCs w:val="20"/>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rPr>
                <w:rFonts w:ascii="宋体"/>
                <w:sz w:val="24"/>
                <w:szCs w:val="20"/>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rPr>
                <w:rFonts w:ascii="宋体"/>
                <w:sz w:val="24"/>
                <w:szCs w:val="20"/>
              </w:rPr>
            </w:pPr>
          </w:p>
        </w:tc>
        <w:tc>
          <w:tcPr>
            <w:tcW w:w="3493" w:type="dxa"/>
            <w:tcBorders>
              <w:top w:val="single" w:color="auto" w:sz="4" w:space="0"/>
              <w:left w:val="single" w:color="auto" w:sz="4" w:space="0"/>
              <w:bottom w:val="single" w:color="auto" w:sz="4" w:space="0"/>
              <w:right w:val="single" w:color="auto" w:sz="4" w:space="0"/>
            </w:tcBorders>
            <w:noWrap/>
          </w:tcPr>
          <w:p>
            <w:pPr>
              <w:snapToGrid w:val="0"/>
              <w:spacing w:beforeLines="50" w:after="50"/>
              <w:rPr>
                <w:rFonts w:asci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81" w:type="dxa"/>
            <w:tcBorders>
              <w:top w:val="single" w:color="auto" w:sz="4" w:space="0"/>
              <w:bottom w:val="single" w:color="auto" w:sz="4" w:space="0"/>
              <w:right w:val="single" w:color="auto" w:sz="4" w:space="0"/>
            </w:tcBorders>
            <w:noWrap/>
          </w:tcPr>
          <w:p>
            <w:pPr>
              <w:snapToGrid w:val="0"/>
              <w:spacing w:beforeLines="50" w:after="50"/>
              <w:rPr>
                <w:rFonts w:ascii="宋体"/>
                <w:sz w:val="24"/>
                <w:szCs w:val="20"/>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rPr>
                <w:rFonts w:ascii="宋体"/>
                <w:sz w:val="24"/>
                <w:szCs w:val="20"/>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rPr>
                <w:rFonts w:ascii="宋体"/>
                <w:sz w:val="24"/>
                <w:szCs w:val="20"/>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rPr>
                <w:rFonts w:ascii="宋体"/>
                <w:sz w:val="24"/>
                <w:szCs w:val="20"/>
              </w:rPr>
            </w:pPr>
          </w:p>
        </w:tc>
        <w:tc>
          <w:tcPr>
            <w:tcW w:w="3493" w:type="dxa"/>
            <w:tcBorders>
              <w:top w:val="single" w:color="auto" w:sz="4" w:space="0"/>
              <w:left w:val="single" w:color="auto" w:sz="4" w:space="0"/>
              <w:bottom w:val="single" w:color="auto" w:sz="4" w:space="0"/>
              <w:right w:val="single" w:color="auto" w:sz="4" w:space="0"/>
            </w:tcBorders>
            <w:noWrap/>
          </w:tcPr>
          <w:p>
            <w:pPr>
              <w:snapToGrid w:val="0"/>
              <w:spacing w:beforeLines="50" w:after="50"/>
              <w:rPr>
                <w:rFonts w:asci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81" w:type="dxa"/>
            <w:tcBorders>
              <w:top w:val="single" w:color="auto" w:sz="4" w:space="0"/>
              <w:bottom w:val="single" w:color="auto" w:sz="4" w:space="0"/>
              <w:right w:val="single" w:color="auto" w:sz="4" w:space="0"/>
            </w:tcBorders>
            <w:noWrap/>
          </w:tcPr>
          <w:p>
            <w:pPr>
              <w:snapToGrid w:val="0"/>
              <w:spacing w:beforeLines="50" w:after="50"/>
              <w:rPr>
                <w:rFonts w:ascii="宋体"/>
                <w:sz w:val="24"/>
                <w:szCs w:val="20"/>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rPr>
                <w:rFonts w:ascii="宋体"/>
                <w:sz w:val="24"/>
                <w:szCs w:val="20"/>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rPr>
                <w:rFonts w:ascii="宋体"/>
                <w:sz w:val="24"/>
                <w:szCs w:val="20"/>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rPr>
                <w:rFonts w:ascii="宋体"/>
                <w:sz w:val="24"/>
                <w:szCs w:val="20"/>
              </w:rPr>
            </w:pPr>
          </w:p>
        </w:tc>
        <w:tc>
          <w:tcPr>
            <w:tcW w:w="3493" w:type="dxa"/>
            <w:tcBorders>
              <w:top w:val="single" w:color="auto" w:sz="4" w:space="0"/>
              <w:left w:val="single" w:color="auto" w:sz="4" w:space="0"/>
              <w:bottom w:val="single" w:color="auto" w:sz="4" w:space="0"/>
              <w:right w:val="single" w:color="auto" w:sz="4" w:space="0"/>
            </w:tcBorders>
            <w:noWrap/>
          </w:tcPr>
          <w:p>
            <w:pPr>
              <w:snapToGrid w:val="0"/>
              <w:spacing w:beforeLines="50" w:after="50"/>
              <w:rPr>
                <w:rFonts w:ascii="宋体"/>
                <w:sz w:val="24"/>
                <w:szCs w:val="20"/>
              </w:rPr>
            </w:pPr>
          </w:p>
        </w:tc>
      </w:tr>
    </w:tbl>
    <w:p>
      <w:pPr>
        <w:snapToGrid w:val="0"/>
        <w:spacing w:before="50" w:afterLines="50"/>
        <w:jc w:val="left"/>
        <w:rPr>
          <w:rFonts w:ascii="宋体" w:hAnsi="宋体"/>
          <w:sz w:val="24"/>
        </w:rPr>
      </w:pPr>
      <w:r>
        <w:rPr>
          <w:rFonts w:hint="eastAsia" w:ascii="宋体" w:hAnsi="宋体"/>
          <w:sz w:val="24"/>
        </w:rPr>
        <w:t>注：在填写时，如本表格不适合投标单位的实际情况，可根据本表格式自行划表填写。</w:t>
      </w:r>
    </w:p>
    <w:p>
      <w:pPr>
        <w:snapToGrid w:val="0"/>
        <w:spacing w:before="50" w:afterLines="50"/>
        <w:jc w:val="center"/>
        <w:rPr>
          <w:rFonts w:ascii="宋体"/>
          <w:sz w:val="24"/>
        </w:rPr>
      </w:pPr>
      <w:r>
        <w:rPr>
          <w:rFonts w:hint="eastAsia" w:ascii="宋体" w:hAnsi="宋体"/>
          <w:b/>
          <w:sz w:val="24"/>
          <w:szCs w:val="20"/>
        </w:rPr>
        <w:t>十、施工现场平面布置图</w:t>
      </w:r>
    </w:p>
    <w:p>
      <w:pPr>
        <w:ind w:firstLine="480" w:firstLineChars="200"/>
        <w:rPr>
          <w:rFonts w:ascii="宋体"/>
          <w:sz w:val="24"/>
        </w:rPr>
      </w:pPr>
      <w:r>
        <w:rPr>
          <w:rFonts w:hint="eastAsia" w:ascii="宋体" w:hAnsi="宋体"/>
          <w:sz w:val="24"/>
        </w:rPr>
        <w:t>投标人应提交一份保障基地总平面图，绘出保障基地设施布置图表并附文字说明，说明临时设施、加工车间、现场办公、设备及仓储、供电、供水、卫生、生活等设施的情况和布置。</w:t>
      </w:r>
    </w:p>
    <w:p>
      <w:pPr>
        <w:snapToGrid w:val="0"/>
        <w:spacing w:before="50" w:afterLines="50"/>
        <w:jc w:val="center"/>
        <w:rPr>
          <w:rFonts w:ascii="宋体" w:hAnsi="宋体"/>
          <w:b/>
          <w:sz w:val="24"/>
          <w:szCs w:val="20"/>
        </w:rPr>
      </w:pPr>
    </w:p>
    <w:p>
      <w:pPr>
        <w:snapToGrid w:val="0"/>
        <w:spacing w:before="50" w:afterLines="50"/>
        <w:jc w:val="center"/>
        <w:rPr>
          <w:rFonts w:ascii="宋体" w:hAnsi="宋体"/>
          <w:b/>
          <w:sz w:val="24"/>
          <w:szCs w:val="20"/>
        </w:rPr>
      </w:pPr>
    </w:p>
    <w:p>
      <w:pPr>
        <w:snapToGrid w:val="0"/>
        <w:spacing w:before="50" w:afterLines="50"/>
        <w:jc w:val="center"/>
        <w:rPr>
          <w:rFonts w:ascii="宋体" w:hAnsi="宋体"/>
          <w:b/>
          <w:sz w:val="24"/>
          <w:szCs w:val="20"/>
        </w:rPr>
      </w:pPr>
      <w:r>
        <w:rPr>
          <w:rFonts w:hint="eastAsia" w:ascii="宋体" w:hAnsi="宋体"/>
          <w:b/>
          <w:sz w:val="24"/>
          <w:szCs w:val="20"/>
        </w:rPr>
        <w:t>十一、施工前提供详细的进度计划表及网络图承诺</w:t>
      </w:r>
    </w:p>
    <w:p>
      <w:pPr>
        <w:spacing w:line="360" w:lineRule="auto"/>
        <w:ind w:left="-6" w:firstLine="480"/>
        <w:jc w:val="center"/>
        <w:rPr>
          <w:rFonts w:ascii="宋体" w:hAnsi="宋体"/>
          <w:sz w:val="24"/>
        </w:rPr>
      </w:pPr>
    </w:p>
    <w:p>
      <w:pPr>
        <w:spacing w:line="360" w:lineRule="auto"/>
        <w:ind w:left="-6" w:firstLine="480"/>
        <w:rPr>
          <w:rFonts w:ascii="宋体"/>
          <w:sz w:val="24"/>
        </w:rPr>
      </w:pPr>
      <w:r>
        <w:rPr>
          <w:rFonts w:ascii="宋体" w:hAnsi="宋体"/>
          <w:sz w:val="24"/>
        </w:rPr>
        <w:t>1.</w:t>
      </w:r>
      <w:r>
        <w:rPr>
          <w:rFonts w:hint="eastAsia" w:ascii="宋体" w:hAnsi="宋体"/>
          <w:sz w:val="24"/>
        </w:rPr>
        <w:t>投标人提交的施工进度网络图或施工进度表，说明按招标文件要求的工期进行施工的各个关键日期。中标的投标人还应按合同条件有关条款的要求提交详细的施工进度计划。</w:t>
      </w:r>
    </w:p>
    <w:p>
      <w:pPr>
        <w:spacing w:line="360" w:lineRule="auto"/>
        <w:ind w:left="-6" w:firstLine="420"/>
        <w:rPr>
          <w:rFonts w:ascii="宋体"/>
          <w:sz w:val="24"/>
        </w:rPr>
      </w:pPr>
      <w:r>
        <w:rPr>
          <w:rFonts w:ascii="宋体" w:hAnsi="宋体"/>
          <w:sz w:val="24"/>
        </w:rPr>
        <w:t>2.</w:t>
      </w:r>
      <w:r>
        <w:rPr>
          <w:rFonts w:hint="eastAsia" w:ascii="宋体" w:hAnsi="宋体"/>
          <w:sz w:val="24"/>
        </w:rPr>
        <w:t>施工进度表可采用网络图（或横道图）表示，说明计划开工日期和各分项工程各阶段的完工日期和分包合同签订的日期。</w:t>
      </w:r>
    </w:p>
    <w:p>
      <w:pPr>
        <w:spacing w:line="360" w:lineRule="auto"/>
        <w:ind w:left="-6" w:firstLine="420"/>
        <w:rPr>
          <w:rFonts w:ascii="宋体"/>
          <w:sz w:val="24"/>
        </w:rPr>
      </w:pPr>
      <w:r>
        <w:rPr>
          <w:rFonts w:ascii="宋体" w:hAnsi="宋体"/>
          <w:sz w:val="24"/>
        </w:rPr>
        <w:t>3.</w:t>
      </w:r>
      <w:r>
        <w:rPr>
          <w:rFonts w:hint="eastAsia" w:ascii="宋体" w:hAnsi="宋体"/>
          <w:sz w:val="24"/>
        </w:rPr>
        <w:t>施工进度计划应与施工组织设计相适应。</w:t>
      </w:r>
    </w:p>
    <w:p>
      <w:pPr>
        <w:pStyle w:val="2"/>
      </w:pPr>
    </w:p>
    <w:p>
      <w:pPr>
        <w:tabs>
          <w:tab w:val="left" w:pos="3870"/>
          <w:tab w:val="left" w:pos="4085"/>
        </w:tabs>
        <w:snapToGrid w:val="0"/>
        <w:spacing w:line="420" w:lineRule="exact"/>
        <w:ind w:firstLine="482" w:firstLineChars="200"/>
        <w:jc w:val="center"/>
        <w:rPr>
          <w:rFonts w:ascii="宋体" w:hAnsi="宋体"/>
          <w:b/>
          <w:bCs/>
          <w:sz w:val="24"/>
        </w:rPr>
      </w:pPr>
    </w:p>
    <w:p>
      <w:pPr>
        <w:tabs>
          <w:tab w:val="left" w:pos="3870"/>
          <w:tab w:val="left" w:pos="4085"/>
        </w:tabs>
        <w:snapToGrid w:val="0"/>
        <w:spacing w:line="420" w:lineRule="exact"/>
        <w:ind w:firstLine="482" w:firstLineChars="200"/>
        <w:jc w:val="center"/>
        <w:rPr>
          <w:rFonts w:ascii="宋体" w:hAnsi="宋体"/>
          <w:b/>
          <w:bCs/>
          <w:sz w:val="24"/>
        </w:rPr>
      </w:pPr>
    </w:p>
    <w:p>
      <w:pPr>
        <w:tabs>
          <w:tab w:val="left" w:pos="3870"/>
          <w:tab w:val="left" w:pos="4085"/>
        </w:tabs>
        <w:snapToGrid w:val="0"/>
        <w:spacing w:line="420" w:lineRule="exact"/>
        <w:ind w:firstLine="482" w:firstLineChars="200"/>
        <w:jc w:val="center"/>
        <w:rPr>
          <w:rFonts w:ascii="宋体"/>
          <w:b/>
          <w:bCs/>
          <w:sz w:val="24"/>
        </w:rPr>
      </w:pPr>
      <w:r>
        <w:rPr>
          <w:rFonts w:hint="eastAsia" w:ascii="宋体" w:hAnsi="宋体"/>
          <w:b/>
          <w:bCs/>
          <w:sz w:val="24"/>
        </w:rPr>
        <w:t>十二、商务响应表</w:t>
      </w:r>
    </w:p>
    <w:p>
      <w:pPr>
        <w:snapToGrid w:val="0"/>
        <w:spacing w:before="50"/>
        <w:jc w:val="left"/>
        <w:rPr>
          <w:rFonts w:ascii="宋体" w:hAnsi="宋体"/>
          <w:sz w:val="24"/>
          <w:u w:val="single"/>
        </w:rPr>
      </w:pPr>
      <w:r>
        <w:rPr>
          <w:rFonts w:hint="eastAsia" w:ascii="宋体" w:hAnsi="宋体"/>
          <w:sz w:val="24"/>
        </w:rPr>
        <w:t>项目名称：</w:t>
      </w:r>
    </w:p>
    <w:tbl>
      <w:tblPr>
        <w:tblStyle w:val="2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4500"/>
        <w:gridCol w:w="1620"/>
        <w:gridCol w:w="15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368" w:type="dxa"/>
            <w:tcBorders>
              <w:top w:val="single" w:color="auto" w:sz="4" w:space="0"/>
              <w:bottom w:val="single" w:color="auto" w:sz="4" w:space="0"/>
              <w:right w:val="single" w:color="auto" w:sz="4" w:space="0"/>
            </w:tcBorders>
            <w:noWrap/>
          </w:tcPr>
          <w:p>
            <w:pPr>
              <w:snapToGrid w:val="0"/>
              <w:spacing w:beforeLines="50"/>
              <w:rPr>
                <w:rFonts w:ascii="宋体"/>
                <w:sz w:val="24"/>
                <w:szCs w:val="20"/>
              </w:rPr>
            </w:pPr>
            <w:r>
              <w:rPr>
                <w:rFonts w:hint="eastAsia" w:ascii="宋体" w:hAnsi="宋体"/>
                <w:sz w:val="24"/>
              </w:rPr>
              <w:t>项目</w:t>
            </w:r>
          </w:p>
        </w:tc>
        <w:tc>
          <w:tcPr>
            <w:tcW w:w="450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sz w:val="24"/>
                <w:szCs w:val="20"/>
              </w:rPr>
            </w:pPr>
            <w:r>
              <w:rPr>
                <w:rFonts w:hint="eastAsia" w:ascii="宋体" w:hAnsi="宋体"/>
                <w:sz w:val="24"/>
              </w:rPr>
              <w:t>招标文件要求</w:t>
            </w:r>
          </w:p>
        </w:tc>
        <w:tc>
          <w:tcPr>
            <w:tcW w:w="162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sz w:val="24"/>
                <w:szCs w:val="20"/>
              </w:rPr>
            </w:pPr>
            <w:r>
              <w:rPr>
                <w:rFonts w:hint="eastAsia" w:ascii="宋体" w:hAnsi="宋体"/>
                <w:sz w:val="24"/>
              </w:rPr>
              <w:t>是否响应</w:t>
            </w:r>
          </w:p>
        </w:tc>
        <w:tc>
          <w:tcPr>
            <w:tcW w:w="1512" w:type="dxa"/>
            <w:tcBorders>
              <w:top w:val="single" w:color="auto" w:sz="4" w:space="0"/>
              <w:left w:val="single" w:color="auto" w:sz="4" w:space="0"/>
              <w:bottom w:val="single" w:color="auto" w:sz="4" w:space="0"/>
            </w:tcBorders>
            <w:noWrap/>
          </w:tcPr>
          <w:p>
            <w:pPr>
              <w:snapToGrid w:val="0"/>
              <w:spacing w:beforeLines="50"/>
              <w:rPr>
                <w:rFonts w:ascii="宋体"/>
                <w:sz w:val="24"/>
                <w:szCs w:val="20"/>
              </w:rPr>
            </w:pPr>
            <w:r>
              <w:rPr>
                <w:rFonts w:hint="eastAsia" w:ascii="宋体" w:hAnsi="宋体"/>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368" w:type="dxa"/>
            <w:tcBorders>
              <w:top w:val="single" w:color="auto" w:sz="4" w:space="0"/>
              <w:bottom w:val="single" w:color="auto" w:sz="4" w:space="0"/>
              <w:right w:val="single" w:color="auto" w:sz="4" w:space="0"/>
            </w:tcBorders>
            <w:noWrap/>
          </w:tcPr>
          <w:p>
            <w:pPr>
              <w:snapToGrid w:val="0"/>
              <w:spacing w:beforeLines="50"/>
              <w:rPr>
                <w:rFonts w:ascii="宋体"/>
                <w:sz w:val="24"/>
                <w:szCs w:val="20"/>
              </w:rPr>
            </w:pPr>
            <w:r>
              <w:rPr>
                <w:rFonts w:hint="eastAsia" w:ascii="宋体" w:hAnsi="宋体"/>
                <w:sz w:val="24"/>
              </w:rPr>
              <w:t>质保期</w:t>
            </w:r>
          </w:p>
        </w:tc>
        <w:tc>
          <w:tcPr>
            <w:tcW w:w="450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sz w:val="24"/>
                <w:szCs w:val="20"/>
              </w:rPr>
            </w:pPr>
          </w:p>
        </w:tc>
        <w:tc>
          <w:tcPr>
            <w:tcW w:w="162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sz w:val="24"/>
                <w:szCs w:val="20"/>
              </w:rPr>
            </w:pPr>
          </w:p>
        </w:tc>
        <w:tc>
          <w:tcPr>
            <w:tcW w:w="1512" w:type="dxa"/>
            <w:tcBorders>
              <w:top w:val="single" w:color="auto" w:sz="4" w:space="0"/>
              <w:left w:val="single" w:color="auto" w:sz="4" w:space="0"/>
              <w:bottom w:val="single" w:color="auto" w:sz="4" w:space="0"/>
            </w:tcBorders>
            <w:noWrap/>
          </w:tcPr>
          <w:p>
            <w:pPr>
              <w:snapToGrid w:val="0"/>
              <w:spacing w:beforeLines="50"/>
              <w:rPr>
                <w:rFonts w:asci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368" w:type="dxa"/>
            <w:tcBorders>
              <w:top w:val="single" w:color="auto" w:sz="4" w:space="0"/>
              <w:bottom w:val="single" w:color="auto" w:sz="4" w:space="0"/>
              <w:right w:val="single" w:color="auto" w:sz="4" w:space="0"/>
            </w:tcBorders>
            <w:noWrap/>
          </w:tcPr>
          <w:p>
            <w:pPr>
              <w:snapToGrid w:val="0"/>
              <w:spacing w:beforeLines="50"/>
              <w:rPr>
                <w:rFonts w:ascii="宋体"/>
                <w:sz w:val="24"/>
                <w:szCs w:val="20"/>
              </w:rPr>
            </w:pPr>
            <w:r>
              <w:rPr>
                <w:rFonts w:hint="eastAsia" w:ascii="宋体" w:hAnsi="宋体"/>
                <w:sz w:val="24"/>
              </w:rPr>
              <w:t>工期及地点</w:t>
            </w:r>
          </w:p>
        </w:tc>
        <w:tc>
          <w:tcPr>
            <w:tcW w:w="450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sz w:val="24"/>
                <w:shd w:val="pct10" w:color="auto" w:fill="FFFFFF"/>
              </w:rPr>
            </w:pPr>
            <w:r>
              <w:rPr>
                <w:rFonts w:hint="eastAsia" w:ascii="宋体" w:hAnsi="宋体"/>
                <w:color w:val="FF0000"/>
                <w:sz w:val="24"/>
                <w:u w:val="single"/>
                <w:shd w:val="pct10" w:color="auto" w:fill="FFFFFF"/>
              </w:rPr>
              <w:t>合同签订后</w:t>
            </w:r>
            <w:r>
              <w:rPr>
                <w:rFonts w:ascii="宋体" w:hAnsi="宋体"/>
                <w:color w:val="FF0000"/>
                <w:sz w:val="24"/>
                <w:u w:val="single"/>
                <w:shd w:val="pct10" w:color="auto" w:fill="FFFFFF"/>
              </w:rPr>
              <w:t>2年</w:t>
            </w:r>
            <w:r>
              <w:rPr>
                <w:rFonts w:hint="eastAsia" w:ascii="宋体" w:hAnsi="宋体"/>
                <w:color w:val="FF0000"/>
                <w:sz w:val="24"/>
                <w:u w:val="single"/>
                <w:shd w:val="pct10" w:color="auto" w:fill="FFFFFF"/>
              </w:rPr>
              <w:t>（年月日</w:t>
            </w:r>
            <w:r>
              <w:rPr>
                <w:rFonts w:ascii="宋体" w:hAnsi="宋体"/>
                <w:color w:val="FF0000"/>
                <w:sz w:val="24"/>
                <w:u w:val="single"/>
                <w:shd w:val="pct10" w:color="auto" w:fill="FFFFFF"/>
              </w:rPr>
              <w:t xml:space="preserve">-   </w:t>
            </w:r>
            <w:r>
              <w:rPr>
                <w:rFonts w:hint="eastAsia" w:ascii="宋体" w:hAnsi="宋体"/>
                <w:color w:val="FF0000"/>
                <w:sz w:val="24"/>
                <w:u w:val="single"/>
                <w:shd w:val="pct10" w:color="auto" w:fill="FFFFFF"/>
              </w:rPr>
              <w:t>年月日）</w:t>
            </w:r>
            <w:r>
              <w:rPr>
                <w:rFonts w:hint="eastAsia" w:ascii="宋体" w:hAnsi="宋体"/>
                <w:color w:val="FF0000"/>
                <w:sz w:val="24"/>
                <w:shd w:val="pct10" w:color="auto" w:fill="FFFFFF"/>
              </w:rPr>
              <w:t>；</w:t>
            </w:r>
            <w:r>
              <w:rPr>
                <w:rFonts w:hint="eastAsia" w:ascii="宋体" w:hAnsi="宋体"/>
                <w:sz w:val="24"/>
                <w:shd w:val="pct10" w:color="auto" w:fill="FFFFFF"/>
              </w:rPr>
              <w:t>地点：</w:t>
            </w:r>
            <w:r>
              <w:rPr>
                <w:rFonts w:hint="eastAsia" w:ascii="宋体" w:hAnsi="宋体"/>
                <w:sz w:val="24"/>
                <w:u w:val="single"/>
                <w:shd w:val="pct10" w:color="auto" w:fill="FFFFFF"/>
              </w:rPr>
              <w:t>招标人指定地点</w:t>
            </w:r>
          </w:p>
        </w:tc>
        <w:tc>
          <w:tcPr>
            <w:tcW w:w="1620" w:type="dxa"/>
            <w:tcBorders>
              <w:top w:val="single" w:color="auto" w:sz="4" w:space="0"/>
              <w:left w:val="single" w:color="auto" w:sz="4" w:space="0"/>
              <w:bottom w:val="single" w:color="auto" w:sz="4" w:space="0"/>
              <w:right w:val="single" w:color="auto" w:sz="4" w:space="0"/>
            </w:tcBorders>
            <w:noWrap/>
          </w:tcPr>
          <w:p>
            <w:pPr>
              <w:snapToGrid w:val="0"/>
              <w:spacing w:beforeLines="50"/>
              <w:ind w:left="43"/>
              <w:rPr>
                <w:rFonts w:ascii="宋体"/>
                <w:sz w:val="24"/>
                <w:szCs w:val="20"/>
              </w:rPr>
            </w:pPr>
          </w:p>
        </w:tc>
        <w:tc>
          <w:tcPr>
            <w:tcW w:w="1512" w:type="dxa"/>
            <w:tcBorders>
              <w:top w:val="single" w:color="auto" w:sz="4" w:space="0"/>
              <w:left w:val="single" w:color="auto" w:sz="4" w:space="0"/>
              <w:bottom w:val="single" w:color="auto" w:sz="4" w:space="0"/>
            </w:tcBorders>
            <w:noWrap/>
          </w:tcPr>
          <w:p>
            <w:pPr>
              <w:snapToGrid w:val="0"/>
              <w:spacing w:beforeLines="50"/>
              <w:ind w:left="43"/>
              <w:rPr>
                <w:rFonts w:asci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368" w:type="dxa"/>
            <w:tcBorders>
              <w:top w:val="single" w:color="auto" w:sz="4" w:space="0"/>
              <w:bottom w:val="single" w:color="auto" w:sz="4" w:space="0"/>
              <w:right w:val="single" w:color="auto" w:sz="4" w:space="0"/>
            </w:tcBorders>
            <w:noWrap/>
          </w:tcPr>
          <w:p>
            <w:pPr>
              <w:snapToGrid w:val="0"/>
              <w:spacing w:beforeLines="50"/>
              <w:rPr>
                <w:rFonts w:ascii="宋体"/>
                <w:sz w:val="24"/>
                <w:szCs w:val="20"/>
              </w:rPr>
            </w:pPr>
            <w:r>
              <w:rPr>
                <w:rFonts w:hint="eastAsia" w:ascii="宋体" w:hAnsi="宋体"/>
                <w:sz w:val="24"/>
              </w:rPr>
              <w:t>付款条件</w:t>
            </w:r>
          </w:p>
        </w:tc>
        <w:tc>
          <w:tcPr>
            <w:tcW w:w="4500" w:type="dxa"/>
            <w:tcBorders>
              <w:top w:val="single" w:color="auto" w:sz="4" w:space="0"/>
              <w:left w:val="single" w:color="auto" w:sz="4" w:space="0"/>
              <w:bottom w:val="single" w:color="auto" w:sz="4" w:space="0"/>
              <w:right w:val="single" w:color="auto" w:sz="4" w:space="0"/>
            </w:tcBorders>
            <w:noWrap/>
          </w:tcPr>
          <w:p>
            <w:pPr>
              <w:snapToGrid w:val="0"/>
              <w:rPr>
                <w:rFonts w:ascii="宋体"/>
                <w:sz w:val="24"/>
              </w:rPr>
            </w:pPr>
          </w:p>
          <w:p>
            <w:pPr>
              <w:snapToGrid w:val="0"/>
              <w:rPr>
                <w:rFonts w:ascii="宋体"/>
                <w:sz w:val="24"/>
              </w:rPr>
            </w:pPr>
          </w:p>
          <w:p>
            <w:pPr>
              <w:snapToGrid w:val="0"/>
              <w:rPr>
                <w:rFonts w:ascii="宋体"/>
                <w:sz w:val="24"/>
              </w:rPr>
            </w:pPr>
          </w:p>
          <w:p>
            <w:pPr>
              <w:snapToGrid w:val="0"/>
              <w:rPr>
                <w:rFonts w:ascii="宋体"/>
                <w:sz w:val="24"/>
              </w:rPr>
            </w:pPr>
          </w:p>
          <w:p>
            <w:pPr>
              <w:snapToGrid w:val="0"/>
              <w:rPr>
                <w:rFonts w:ascii="宋体"/>
                <w:sz w:val="24"/>
              </w:rPr>
            </w:pPr>
          </w:p>
          <w:p>
            <w:pPr>
              <w:snapToGrid w:val="0"/>
              <w:rPr>
                <w:rFonts w:ascii="宋体"/>
                <w:sz w:val="24"/>
              </w:rPr>
            </w:pPr>
          </w:p>
          <w:p>
            <w:pPr>
              <w:snapToGrid w:val="0"/>
              <w:rPr>
                <w:rFonts w:ascii="宋体"/>
                <w:sz w:val="24"/>
              </w:rPr>
            </w:pPr>
          </w:p>
          <w:p>
            <w:pPr>
              <w:snapToGrid w:val="0"/>
              <w:rPr>
                <w:rFonts w:ascii="宋体"/>
                <w:sz w:val="24"/>
              </w:rPr>
            </w:pPr>
          </w:p>
          <w:p>
            <w:pPr>
              <w:snapToGrid w:val="0"/>
              <w:rPr>
                <w:rFonts w:ascii="宋体"/>
                <w:sz w:val="24"/>
              </w:rPr>
            </w:pPr>
          </w:p>
          <w:p>
            <w:pPr>
              <w:snapToGrid w:val="0"/>
              <w:rPr>
                <w:rFonts w:ascii="宋体"/>
                <w:sz w:val="24"/>
              </w:rPr>
            </w:pPr>
          </w:p>
          <w:p>
            <w:pPr>
              <w:snapToGrid w:val="0"/>
              <w:rPr>
                <w:rFonts w:ascii="宋体"/>
                <w:sz w:val="24"/>
              </w:rPr>
            </w:pPr>
          </w:p>
          <w:p>
            <w:pPr>
              <w:snapToGrid w:val="0"/>
              <w:rPr>
                <w:rFonts w:ascii="宋体"/>
                <w:sz w:val="24"/>
              </w:rPr>
            </w:pPr>
          </w:p>
          <w:p>
            <w:pPr>
              <w:snapToGrid w:val="0"/>
              <w:rPr>
                <w:rFonts w:ascii="宋体"/>
                <w:sz w:val="24"/>
              </w:rPr>
            </w:pPr>
          </w:p>
          <w:p>
            <w:pPr>
              <w:snapToGrid w:val="0"/>
              <w:rPr>
                <w:rFonts w:ascii="宋体"/>
                <w:sz w:val="24"/>
              </w:rPr>
            </w:pPr>
          </w:p>
          <w:p>
            <w:pPr>
              <w:snapToGrid w:val="0"/>
              <w:rPr>
                <w:rFonts w:ascii="宋体"/>
                <w:sz w:val="24"/>
              </w:rPr>
            </w:pPr>
          </w:p>
          <w:p>
            <w:pPr>
              <w:snapToGrid w:val="0"/>
              <w:rPr>
                <w:rFonts w:ascii="宋体"/>
                <w:sz w:val="24"/>
              </w:rPr>
            </w:pPr>
          </w:p>
          <w:p>
            <w:pPr>
              <w:snapToGrid w:val="0"/>
              <w:rPr>
                <w:rFonts w:ascii="宋体"/>
                <w:sz w:val="24"/>
              </w:rPr>
            </w:pPr>
          </w:p>
          <w:p>
            <w:pPr>
              <w:snapToGrid w:val="0"/>
              <w:rPr>
                <w:rFonts w:ascii="宋体"/>
                <w:sz w:val="24"/>
              </w:rPr>
            </w:pPr>
          </w:p>
          <w:p>
            <w:pPr>
              <w:snapToGrid w:val="0"/>
              <w:rPr>
                <w:rFonts w:ascii="宋体"/>
                <w:sz w:val="24"/>
              </w:rPr>
            </w:pPr>
          </w:p>
          <w:p>
            <w:pPr>
              <w:snapToGrid w:val="0"/>
              <w:rPr>
                <w:rFonts w:ascii="宋体"/>
                <w:sz w:val="24"/>
              </w:rPr>
            </w:pPr>
          </w:p>
        </w:tc>
        <w:tc>
          <w:tcPr>
            <w:tcW w:w="162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sz w:val="24"/>
                <w:szCs w:val="20"/>
              </w:rPr>
            </w:pPr>
          </w:p>
        </w:tc>
        <w:tc>
          <w:tcPr>
            <w:tcW w:w="1512" w:type="dxa"/>
            <w:tcBorders>
              <w:top w:val="single" w:color="auto" w:sz="4" w:space="0"/>
              <w:left w:val="single" w:color="auto" w:sz="4" w:space="0"/>
              <w:bottom w:val="single" w:color="auto" w:sz="4" w:space="0"/>
            </w:tcBorders>
            <w:noWrap/>
          </w:tcPr>
          <w:p>
            <w:pPr>
              <w:snapToGrid w:val="0"/>
              <w:spacing w:beforeLines="50"/>
              <w:rPr>
                <w:rFonts w:ascii="宋体"/>
                <w:sz w:val="24"/>
                <w:szCs w:val="20"/>
              </w:rPr>
            </w:pPr>
          </w:p>
        </w:tc>
      </w:tr>
    </w:tbl>
    <w:p>
      <w:pPr>
        <w:snapToGrid w:val="0"/>
        <w:spacing w:before="50" w:afterLines="50"/>
        <w:jc w:val="left"/>
        <w:rPr>
          <w:rFonts w:ascii="宋体"/>
          <w:b/>
          <w:sz w:val="28"/>
          <w:szCs w:val="28"/>
        </w:rPr>
      </w:pPr>
    </w:p>
    <w:p>
      <w:pPr>
        <w:snapToGrid w:val="0"/>
        <w:spacing w:beforeLines="50"/>
        <w:ind w:firstLine="319" w:firstLineChars="133"/>
        <w:rPr>
          <w:rFonts w:ascii="宋体" w:hAnsi="宋体"/>
          <w:sz w:val="24"/>
          <w:u w:val="single"/>
        </w:rPr>
      </w:pPr>
      <w:r>
        <w:rPr>
          <w:rFonts w:hint="eastAsia" w:ascii="宋体" w:hAnsi="宋体"/>
          <w:sz w:val="24"/>
        </w:rPr>
        <w:t>法定代表人或授权代表签字：</w:t>
      </w:r>
    </w:p>
    <w:p>
      <w:pPr>
        <w:snapToGrid w:val="0"/>
        <w:spacing w:beforeLines="50" w:after="50"/>
        <w:ind w:firstLine="360" w:firstLineChars="150"/>
        <w:rPr>
          <w:rFonts w:ascii="宋体" w:hAnsi="宋体"/>
          <w:sz w:val="24"/>
        </w:rPr>
      </w:pPr>
      <w:r>
        <w:rPr>
          <w:rFonts w:hint="eastAsia" w:ascii="宋体" w:hAnsi="宋体"/>
          <w:sz w:val="24"/>
        </w:rPr>
        <w:t>投标人公章：</w:t>
      </w:r>
    </w:p>
    <w:p>
      <w:pPr>
        <w:snapToGrid w:val="0"/>
        <w:spacing w:beforeLines="50" w:after="50"/>
        <w:ind w:firstLine="6240" w:firstLineChars="2600"/>
        <w:rPr>
          <w:rFonts w:ascii="宋体" w:hAnsi="宋体"/>
          <w:sz w:val="24"/>
        </w:rPr>
      </w:pPr>
    </w:p>
    <w:p>
      <w:pPr>
        <w:snapToGrid w:val="0"/>
        <w:spacing w:beforeLines="50" w:after="50"/>
        <w:ind w:firstLine="6240" w:firstLineChars="2600"/>
        <w:rPr>
          <w:rFonts w:ascii="宋体" w:hAnsi="宋体"/>
          <w:sz w:val="24"/>
        </w:rPr>
      </w:pPr>
      <w:r>
        <w:rPr>
          <w:rFonts w:hint="eastAsia" w:ascii="宋体" w:hAnsi="宋体"/>
          <w:sz w:val="24"/>
        </w:rPr>
        <w:t>年    月    日</w:t>
      </w:r>
    </w:p>
    <w:p>
      <w:pPr>
        <w:snapToGrid w:val="0"/>
        <w:rPr>
          <w:rFonts w:ascii="宋体" w:hAnsi="宋体"/>
          <w:b/>
          <w:bCs/>
          <w:sz w:val="24"/>
        </w:rPr>
      </w:pPr>
    </w:p>
    <w:p>
      <w:pPr>
        <w:snapToGrid w:val="0"/>
        <w:rPr>
          <w:rFonts w:ascii="宋体" w:hAnsi="宋体"/>
          <w:b/>
          <w:bCs/>
          <w:sz w:val="24"/>
        </w:rPr>
      </w:pPr>
    </w:p>
    <w:p>
      <w:pPr>
        <w:snapToGrid w:val="0"/>
        <w:rPr>
          <w:rFonts w:ascii="宋体" w:hAnsi="宋体"/>
          <w:b/>
          <w:bCs/>
          <w:sz w:val="24"/>
        </w:rPr>
      </w:pPr>
    </w:p>
    <w:p>
      <w:pPr>
        <w:snapToGrid w:val="0"/>
        <w:rPr>
          <w:rFonts w:ascii="宋体" w:hAnsi="宋体"/>
          <w:b/>
          <w:bCs/>
          <w:sz w:val="24"/>
        </w:rPr>
      </w:pPr>
    </w:p>
    <w:p>
      <w:pPr>
        <w:snapToGrid w:val="0"/>
        <w:rPr>
          <w:rFonts w:ascii="宋体" w:hAnsi="宋体"/>
          <w:b/>
          <w:bCs/>
          <w:sz w:val="24"/>
        </w:rPr>
      </w:pPr>
    </w:p>
    <w:p>
      <w:pPr>
        <w:snapToGrid w:val="0"/>
        <w:rPr>
          <w:rFonts w:ascii="宋体" w:hAnsi="宋体"/>
          <w:b/>
          <w:bCs/>
          <w:sz w:val="24"/>
        </w:rPr>
      </w:pPr>
    </w:p>
    <w:p>
      <w:pPr>
        <w:snapToGrid w:val="0"/>
        <w:rPr>
          <w:rFonts w:ascii="宋体" w:hAnsi="宋体"/>
          <w:b/>
          <w:bCs/>
          <w:sz w:val="24"/>
        </w:rPr>
      </w:pPr>
    </w:p>
    <w:p>
      <w:pPr>
        <w:snapToGrid w:val="0"/>
        <w:jc w:val="center"/>
        <w:rPr>
          <w:rFonts w:ascii="宋体" w:hAnsi="宋体"/>
          <w:b/>
          <w:bCs/>
          <w:sz w:val="24"/>
        </w:rPr>
      </w:pPr>
      <w:r>
        <w:rPr>
          <w:rFonts w:hint="eastAsia" w:ascii="宋体" w:hAnsi="宋体"/>
          <w:b/>
          <w:bCs/>
          <w:sz w:val="24"/>
        </w:rPr>
        <w:t>十三、投标人业绩</w:t>
      </w:r>
    </w:p>
    <w:p>
      <w:pPr>
        <w:snapToGrid w:val="0"/>
        <w:rPr>
          <w:rFonts w:ascii="宋体" w:hAnsi="宋体"/>
          <w:b/>
          <w:bCs/>
          <w:sz w:val="24"/>
        </w:rPr>
      </w:pPr>
    </w:p>
    <w:p>
      <w:pPr>
        <w:spacing w:line="360" w:lineRule="auto"/>
        <w:jc w:val="left"/>
        <w:rPr>
          <w:rFonts w:ascii="宋体" w:hAnsi="宋体" w:cs="宋体"/>
          <w:sz w:val="24"/>
        </w:rPr>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57"/>
        <w:gridCol w:w="1183"/>
        <w:gridCol w:w="947"/>
        <w:gridCol w:w="1125"/>
        <w:gridCol w:w="756"/>
        <w:gridCol w:w="1174"/>
        <w:gridCol w:w="1136"/>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ign w:val="center"/>
          </w:tcPr>
          <w:p>
            <w:pPr>
              <w:snapToGrid w:val="0"/>
              <w:spacing w:before="50" w:afterLines="50" w:line="400" w:lineRule="exact"/>
              <w:jc w:val="center"/>
              <w:rPr>
                <w:rFonts w:ascii="宋体" w:hAnsi="宋体" w:cs="Arial"/>
                <w:szCs w:val="21"/>
              </w:rPr>
            </w:pPr>
            <w:r>
              <w:rPr>
                <w:rFonts w:hint="eastAsia" w:ascii="宋体" w:hAnsi="宋体" w:cs="Arial"/>
                <w:szCs w:val="21"/>
              </w:rPr>
              <w:t>采购单位名称</w:t>
            </w:r>
          </w:p>
        </w:tc>
        <w:tc>
          <w:tcPr>
            <w:tcW w:w="1157" w:type="dxa"/>
            <w:vMerge w:val="restart"/>
            <w:noWrap/>
            <w:vAlign w:val="center"/>
          </w:tcPr>
          <w:p>
            <w:pPr>
              <w:snapToGrid w:val="0"/>
              <w:spacing w:before="50" w:afterLines="50" w:line="400" w:lineRule="exact"/>
              <w:jc w:val="center"/>
              <w:rPr>
                <w:rFonts w:ascii="宋体" w:hAnsi="宋体" w:cs="Arial"/>
                <w:szCs w:val="21"/>
              </w:rPr>
            </w:pPr>
            <w:r>
              <w:rPr>
                <w:rFonts w:hint="eastAsia" w:ascii="宋体" w:hAnsi="宋体" w:cs="Arial"/>
                <w:szCs w:val="21"/>
              </w:rPr>
              <w:t>产品或项目名称</w:t>
            </w:r>
          </w:p>
        </w:tc>
        <w:tc>
          <w:tcPr>
            <w:tcW w:w="1183" w:type="dxa"/>
            <w:vMerge w:val="restart"/>
            <w:noWrap/>
            <w:vAlign w:val="center"/>
          </w:tcPr>
          <w:p>
            <w:pPr>
              <w:snapToGrid w:val="0"/>
              <w:spacing w:before="50" w:afterLines="50" w:line="400" w:lineRule="exact"/>
              <w:jc w:val="center"/>
              <w:rPr>
                <w:rFonts w:ascii="宋体" w:hAnsi="宋体" w:cs="Arial"/>
                <w:szCs w:val="21"/>
              </w:rPr>
            </w:pPr>
            <w:r>
              <w:rPr>
                <w:rFonts w:hint="eastAsia" w:ascii="宋体" w:hAnsi="宋体" w:cs="Arial"/>
                <w:szCs w:val="21"/>
              </w:rPr>
              <w:t>采购数量</w:t>
            </w:r>
          </w:p>
        </w:tc>
        <w:tc>
          <w:tcPr>
            <w:tcW w:w="947" w:type="dxa"/>
            <w:vMerge w:val="restart"/>
            <w:noWrap/>
            <w:vAlign w:val="center"/>
          </w:tcPr>
          <w:p>
            <w:pPr>
              <w:snapToGrid w:val="0"/>
              <w:spacing w:before="50" w:afterLines="50" w:line="400" w:lineRule="exact"/>
              <w:jc w:val="center"/>
              <w:rPr>
                <w:rFonts w:ascii="宋体" w:hAnsi="宋体" w:cs="Arial"/>
                <w:szCs w:val="21"/>
              </w:rPr>
            </w:pPr>
            <w:r>
              <w:rPr>
                <w:rFonts w:hint="eastAsia" w:ascii="宋体" w:hAnsi="宋体" w:cs="Arial"/>
                <w:szCs w:val="21"/>
              </w:rPr>
              <w:t>单价</w:t>
            </w:r>
          </w:p>
        </w:tc>
        <w:tc>
          <w:tcPr>
            <w:tcW w:w="1125" w:type="dxa"/>
            <w:vMerge w:val="restart"/>
            <w:noWrap/>
            <w:vAlign w:val="center"/>
          </w:tcPr>
          <w:p>
            <w:pPr>
              <w:snapToGrid w:val="0"/>
              <w:spacing w:before="50" w:afterLines="50" w:line="400" w:lineRule="exact"/>
              <w:jc w:val="center"/>
              <w:rPr>
                <w:rFonts w:ascii="宋体" w:hAnsi="宋体" w:cs="Arial"/>
                <w:szCs w:val="21"/>
              </w:rPr>
            </w:pPr>
            <w:r>
              <w:rPr>
                <w:rFonts w:hint="eastAsia" w:ascii="宋体" w:hAnsi="宋体" w:cs="Arial"/>
                <w:szCs w:val="21"/>
              </w:rPr>
              <w:t>合同金额（万元）</w:t>
            </w:r>
          </w:p>
        </w:tc>
        <w:tc>
          <w:tcPr>
            <w:tcW w:w="3066" w:type="dxa"/>
            <w:gridSpan w:val="3"/>
            <w:noWrap/>
            <w:vAlign w:val="center"/>
          </w:tcPr>
          <w:p>
            <w:pPr>
              <w:snapToGrid w:val="0"/>
              <w:spacing w:before="50" w:afterLines="50" w:line="400" w:lineRule="exact"/>
              <w:jc w:val="center"/>
              <w:rPr>
                <w:rFonts w:ascii="宋体" w:hAnsi="宋体" w:cs="Arial"/>
                <w:szCs w:val="21"/>
              </w:rPr>
            </w:pPr>
            <w:r>
              <w:rPr>
                <w:rFonts w:hint="eastAsia" w:ascii="宋体" w:hAnsi="宋体" w:cs="Arial"/>
                <w:szCs w:val="21"/>
              </w:rPr>
              <w:t>附件页码</w:t>
            </w:r>
          </w:p>
        </w:tc>
        <w:tc>
          <w:tcPr>
            <w:tcW w:w="1050" w:type="dxa"/>
            <w:vMerge w:val="restart"/>
            <w:noWrap/>
            <w:vAlign w:val="center"/>
          </w:tcPr>
          <w:p>
            <w:pPr>
              <w:snapToGrid w:val="0"/>
              <w:spacing w:before="50" w:afterLines="50" w:line="400" w:lineRule="exact"/>
              <w:jc w:val="center"/>
              <w:rPr>
                <w:rFonts w:ascii="宋体" w:hAnsi="宋体" w:cs="Arial"/>
                <w:szCs w:val="21"/>
              </w:rPr>
            </w:pPr>
            <w:r>
              <w:rPr>
                <w:rFonts w:hint="eastAsia" w:ascii="宋体" w:hAnsi="宋体" w:cs="Arial"/>
                <w:szCs w:val="21"/>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tcPr>
          <w:p>
            <w:pPr>
              <w:snapToGrid w:val="0"/>
              <w:spacing w:before="50" w:afterLines="50" w:line="400" w:lineRule="exact"/>
              <w:jc w:val="left"/>
              <w:rPr>
                <w:rFonts w:ascii="宋体" w:hAnsi="宋体" w:cs="Arial"/>
                <w:sz w:val="24"/>
              </w:rPr>
            </w:pPr>
          </w:p>
        </w:tc>
        <w:tc>
          <w:tcPr>
            <w:tcW w:w="1157" w:type="dxa"/>
            <w:vMerge w:val="continue"/>
            <w:noWrap/>
          </w:tcPr>
          <w:p>
            <w:pPr>
              <w:snapToGrid w:val="0"/>
              <w:spacing w:before="50" w:afterLines="50" w:line="400" w:lineRule="exact"/>
              <w:jc w:val="left"/>
              <w:rPr>
                <w:rFonts w:ascii="宋体" w:hAnsi="宋体" w:cs="Arial"/>
                <w:sz w:val="24"/>
              </w:rPr>
            </w:pPr>
          </w:p>
        </w:tc>
        <w:tc>
          <w:tcPr>
            <w:tcW w:w="1183" w:type="dxa"/>
            <w:vMerge w:val="continue"/>
            <w:noWrap/>
          </w:tcPr>
          <w:p>
            <w:pPr>
              <w:snapToGrid w:val="0"/>
              <w:spacing w:before="50" w:afterLines="50" w:line="400" w:lineRule="exact"/>
              <w:jc w:val="left"/>
              <w:rPr>
                <w:rFonts w:ascii="宋体" w:hAnsi="宋体" w:cs="Arial"/>
                <w:sz w:val="24"/>
              </w:rPr>
            </w:pPr>
          </w:p>
        </w:tc>
        <w:tc>
          <w:tcPr>
            <w:tcW w:w="947" w:type="dxa"/>
            <w:vMerge w:val="continue"/>
            <w:noWrap/>
          </w:tcPr>
          <w:p>
            <w:pPr>
              <w:snapToGrid w:val="0"/>
              <w:spacing w:before="50" w:afterLines="50" w:line="400" w:lineRule="exact"/>
              <w:jc w:val="left"/>
              <w:rPr>
                <w:rFonts w:ascii="宋体" w:hAnsi="宋体" w:cs="Arial"/>
                <w:sz w:val="24"/>
              </w:rPr>
            </w:pPr>
          </w:p>
        </w:tc>
        <w:tc>
          <w:tcPr>
            <w:tcW w:w="1125" w:type="dxa"/>
            <w:vMerge w:val="continue"/>
            <w:noWrap/>
          </w:tcPr>
          <w:p>
            <w:pPr>
              <w:snapToGrid w:val="0"/>
              <w:spacing w:before="50" w:afterLines="50" w:line="400" w:lineRule="exact"/>
              <w:jc w:val="left"/>
              <w:rPr>
                <w:rFonts w:ascii="宋体" w:hAnsi="宋体" w:cs="Arial"/>
                <w:sz w:val="24"/>
              </w:rPr>
            </w:pPr>
          </w:p>
        </w:tc>
        <w:tc>
          <w:tcPr>
            <w:tcW w:w="756" w:type="dxa"/>
            <w:noWrap/>
          </w:tcPr>
          <w:p>
            <w:pPr>
              <w:snapToGrid w:val="0"/>
              <w:spacing w:before="50" w:afterLines="50" w:line="400" w:lineRule="exact"/>
              <w:jc w:val="left"/>
              <w:rPr>
                <w:rFonts w:ascii="宋体" w:hAnsi="宋体" w:cs="Arial"/>
                <w:szCs w:val="21"/>
              </w:rPr>
            </w:pPr>
            <w:r>
              <w:rPr>
                <w:rFonts w:hint="eastAsia" w:ascii="宋体" w:hAnsi="宋体" w:cs="Arial"/>
                <w:szCs w:val="21"/>
              </w:rPr>
              <w:t>合同</w:t>
            </w:r>
          </w:p>
        </w:tc>
        <w:tc>
          <w:tcPr>
            <w:tcW w:w="1174" w:type="dxa"/>
            <w:noWrap/>
          </w:tcPr>
          <w:p>
            <w:pPr>
              <w:snapToGrid w:val="0"/>
              <w:spacing w:before="50" w:afterLines="50" w:line="400" w:lineRule="exact"/>
              <w:jc w:val="left"/>
              <w:rPr>
                <w:rFonts w:ascii="宋体" w:hAnsi="宋体" w:cs="Arial"/>
                <w:szCs w:val="21"/>
              </w:rPr>
            </w:pPr>
            <w:r>
              <w:rPr>
                <w:rFonts w:hint="eastAsia" w:ascii="宋体" w:hAnsi="宋体" w:cs="Arial"/>
                <w:szCs w:val="21"/>
              </w:rPr>
              <w:t>验收报告</w:t>
            </w:r>
          </w:p>
        </w:tc>
        <w:tc>
          <w:tcPr>
            <w:tcW w:w="1136" w:type="dxa"/>
            <w:noWrap/>
          </w:tcPr>
          <w:p>
            <w:pPr>
              <w:snapToGrid w:val="0"/>
              <w:spacing w:before="50" w:afterLines="50" w:line="400" w:lineRule="exact"/>
              <w:jc w:val="left"/>
              <w:rPr>
                <w:rFonts w:ascii="宋体" w:hAnsi="宋体" w:cs="Arial"/>
                <w:szCs w:val="21"/>
              </w:rPr>
            </w:pPr>
            <w:r>
              <w:rPr>
                <w:rFonts w:hint="eastAsia" w:ascii="宋体" w:hAnsi="宋体" w:cs="Arial"/>
                <w:szCs w:val="21"/>
              </w:rPr>
              <w:t>用户评价</w:t>
            </w:r>
          </w:p>
        </w:tc>
        <w:tc>
          <w:tcPr>
            <w:tcW w:w="1050" w:type="dxa"/>
            <w:vMerge w:val="continue"/>
            <w:noWrap/>
          </w:tcPr>
          <w:p>
            <w:pPr>
              <w:snapToGrid w:val="0"/>
              <w:spacing w:before="50" w:afterLines="50" w:line="400" w:lineRule="exact"/>
              <w:jc w:val="left"/>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tcPr>
          <w:p>
            <w:pPr>
              <w:snapToGrid w:val="0"/>
              <w:spacing w:before="50" w:afterLines="50" w:line="400" w:lineRule="exact"/>
              <w:jc w:val="left"/>
              <w:rPr>
                <w:rFonts w:ascii="宋体" w:hAnsi="宋体" w:cs="Arial"/>
                <w:sz w:val="24"/>
              </w:rPr>
            </w:pPr>
          </w:p>
        </w:tc>
        <w:tc>
          <w:tcPr>
            <w:tcW w:w="1157" w:type="dxa"/>
            <w:noWrap/>
          </w:tcPr>
          <w:p>
            <w:pPr>
              <w:snapToGrid w:val="0"/>
              <w:spacing w:before="50" w:afterLines="50" w:line="400" w:lineRule="exact"/>
              <w:jc w:val="left"/>
              <w:rPr>
                <w:rFonts w:ascii="宋体" w:hAnsi="宋体" w:cs="Arial"/>
                <w:sz w:val="24"/>
              </w:rPr>
            </w:pPr>
          </w:p>
        </w:tc>
        <w:tc>
          <w:tcPr>
            <w:tcW w:w="1183" w:type="dxa"/>
            <w:noWrap/>
          </w:tcPr>
          <w:p>
            <w:pPr>
              <w:snapToGrid w:val="0"/>
              <w:spacing w:before="50" w:afterLines="50" w:line="400" w:lineRule="exact"/>
              <w:jc w:val="left"/>
              <w:rPr>
                <w:rFonts w:ascii="宋体" w:hAnsi="宋体" w:cs="Arial"/>
                <w:sz w:val="24"/>
              </w:rPr>
            </w:pPr>
          </w:p>
        </w:tc>
        <w:tc>
          <w:tcPr>
            <w:tcW w:w="947" w:type="dxa"/>
            <w:noWrap/>
          </w:tcPr>
          <w:p>
            <w:pPr>
              <w:snapToGrid w:val="0"/>
              <w:spacing w:before="50" w:afterLines="50" w:line="400" w:lineRule="exact"/>
              <w:jc w:val="left"/>
              <w:rPr>
                <w:rFonts w:ascii="宋体" w:hAnsi="宋体" w:cs="Arial"/>
                <w:sz w:val="24"/>
              </w:rPr>
            </w:pPr>
          </w:p>
        </w:tc>
        <w:tc>
          <w:tcPr>
            <w:tcW w:w="1125" w:type="dxa"/>
            <w:noWrap/>
          </w:tcPr>
          <w:p>
            <w:pPr>
              <w:snapToGrid w:val="0"/>
              <w:spacing w:before="50" w:afterLines="50" w:line="400" w:lineRule="exact"/>
              <w:jc w:val="left"/>
              <w:rPr>
                <w:rFonts w:ascii="宋体" w:hAnsi="宋体" w:cs="Arial"/>
                <w:sz w:val="24"/>
              </w:rPr>
            </w:pPr>
          </w:p>
        </w:tc>
        <w:tc>
          <w:tcPr>
            <w:tcW w:w="756" w:type="dxa"/>
            <w:noWrap/>
          </w:tcPr>
          <w:p>
            <w:pPr>
              <w:snapToGrid w:val="0"/>
              <w:spacing w:before="50" w:afterLines="50" w:line="400" w:lineRule="exact"/>
              <w:jc w:val="left"/>
              <w:rPr>
                <w:rFonts w:ascii="宋体" w:hAnsi="宋体" w:cs="Arial"/>
                <w:sz w:val="24"/>
              </w:rPr>
            </w:pPr>
          </w:p>
        </w:tc>
        <w:tc>
          <w:tcPr>
            <w:tcW w:w="1174" w:type="dxa"/>
            <w:noWrap/>
          </w:tcPr>
          <w:p>
            <w:pPr>
              <w:snapToGrid w:val="0"/>
              <w:spacing w:before="50" w:afterLines="50" w:line="400" w:lineRule="exact"/>
              <w:jc w:val="left"/>
              <w:rPr>
                <w:rFonts w:ascii="宋体" w:hAnsi="宋体" w:cs="Arial"/>
                <w:sz w:val="24"/>
              </w:rPr>
            </w:pPr>
          </w:p>
        </w:tc>
        <w:tc>
          <w:tcPr>
            <w:tcW w:w="1136" w:type="dxa"/>
            <w:noWrap/>
          </w:tcPr>
          <w:p>
            <w:pPr>
              <w:snapToGrid w:val="0"/>
              <w:spacing w:before="50" w:afterLines="50" w:line="400" w:lineRule="exact"/>
              <w:jc w:val="left"/>
              <w:rPr>
                <w:rFonts w:ascii="宋体" w:hAnsi="宋体" w:cs="Arial"/>
                <w:sz w:val="24"/>
              </w:rPr>
            </w:pPr>
          </w:p>
        </w:tc>
        <w:tc>
          <w:tcPr>
            <w:tcW w:w="1050" w:type="dxa"/>
            <w:noWrap/>
          </w:tcPr>
          <w:p>
            <w:pPr>
              <w:snapToGrid w:val="0"/>
              <w:spacing w:before="50" w:afterLines="50" w:line="400" w:lineRule="exact"/>
              <w:jc w:val="left"/>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tcPr>
          <w:p>
            <w:pPr>
              <w:snapToGrid w:val="0"/>
              <w:spacing w:before="50" w:afterLines="50" w:line="400" w:lineRule="exact"/>
              <w:jc w:val="left"/>
              <w:rPr>
                <w:rFonts w:ascii="宋体" w:hAnsi="宋体" w:cs="Arial"/>
                <w:sz w:val="24"/>
              </w:rPr>
            </w:pPr>
          </w:p>
        </w:tc>
        <w:tc>
          <w:tcPr>
            <w:tcW w:w="1157" w:type="dxa"/>
            <w:noWrap/>
          </w:tcPr>
          <w:p>
            <w:pPr>
              <w:snapToGrid w:val="0"/>
              <w:spacing w:before="50" w:afterLines="50" w:line="400" w:lineRule="exact"/>
              <w:jc w:val="left"/>
              <w:rPr>
                <w:rFonts w:ascii="宋体" w:hAnsi="宋体" w:cs="Arial"/>
                <w:sz w:val="24"/>
              </w:rPr>
            </w:pPr>
          </w:p>
        </w:tc>
        <w:tc>
          <w:tcPr>
            <w:tcW w:w="1183" w:type="dxa"/>
            <w:noWrap/>
          </w:tcPr>
          <w:p>
            <w:pPr>
              <w:snapToGrid w:val="0"/>
              <w:spacing w:before="50" w:afterLines="50" w:line="400" w:lineRule="exact"/>
              <w:jc w:val="left"/>
              <w:rPr>
                <w:rFonts w:ascii="宋体" w:hAnsi="宋体" w:cs="Arial"/>
                <w:sz w:val="24"/>
              </w:rPr>
            </w:pPr>
          </w:p>
        </w:tc>
        <w:tc>
          <w:tcPr>
            <w:tcW w:w="947" w:type="dxa"/>
            <w:noWrap/>
          </w:tcPr>
          <w:p>
            <w:pPr>
              <w:snapToGrid w:val="0"/>
              <w:spacing w:before="50" w:afterLines="50" w:line="400" w:lineRule="exact"/>
              <w:jc w:val="left"/>
              <w:rPr>
                <w:rFonts w:ascii="宋体" w:hAnsi="宋体" w:cs="Arial"/>
                <w:sz w:val="24"/>
              </w:rPr>
            </w:pPr>
          </w:p>
        </w:tc>
        <w:tc>
          <w:tcPr>
            <w:tcW w:w="1125" w:type="dxa"/>
            <w:noWrap/>
          </w:tcPr>
          <w:p>
            <w:pPr>
              <w:snapToGrid w:val="0"/>
              <w:spacing w:before="50" w:afterLines="50" w:line="400" w:lineRule="exact"/>
              <w:jc w:val="left"/>
              <w:rPr>
                <w:rFonts w:ascii="宋体" w:hAnsi="宋体" w:cs="Arial"/>
                <w:sz w:val="24"/>
              </w:rPr>
            </w:pPr>
          </w:p>
        </w:tc>
        <w:tc>
          <w:tcPr>
            <w:tcW w:w="756" w:type="dxa"/>
            <w:noWrap/>
          </w:tcPr>
          <w:p>
            <w:pPr>
              <w:snapToGrid w:val="0"/>
              <w:spacing w:before="50" w:afterLines="50" w:line="400" w:lineRule="exact"/>
              <w:jc w:val="left"/>
              <w:rPr>
                <w:rFonts w:ascii="宋体" w:hAnsi="宋体" w:cs="Arial"/>
                <w:sz w:val="24"/>
              </w:rPr>
            </w:pPr>
          </w:p>
        </w:tc>
        <w:tc>
          <w:tcPr>
            <w:tcW w:w="1174" w:type="dxa"/>
            <w:noWrap/>
          </w:tcPr>
          <w:p>
            <w:pPr>
              <w:snapToGrid w:val="0"/>
              <w:spacing w:before="50" w:afterLines="50" w:line="400" w:lineRule="exact"/>
              <w:jc w:val="left"/>
              <w:rPr>
                <w:rFonts w:ascii="宋体" w:hAnsi="宋体" w:cs="Arial"/>
                <w:sz w:val="24"/>
              </w:rPr>
            </w:pPr>
          </w:p>
        </w:tc>
        <w:tc>
          <w:tcPr>
            <w:tcW w:w="1136" w:type="dxa"/>
            <w:noWrap/>
          </w:tcPr>
          <w:p>
            <w:pPr>
              <w:snapToGrid w:val="0"/>
              <w:spacing w:before="50" w:afterLines="50" w:line="400" w:lineRule="exact"/>
              <w:jc w:val="left"/>
              <w:rPr>
                <w:rFonts w:ascii="宋体" w:hAnsi="宋体" w:cs="Arial"/>
                <w:sz w:val="24"/>
              </w:rPr>
            </w:pPr>
          </w:p>
        </w:tc>
        <w:tc>
          <w:tcPr>
            <w:tcW w:w="1050" w:type="dxa"/>
            <w:noWrap/>
          </w:tcPr>
          <w:p>
            <w:pPr>
              <w:snapToGrid w:val="0"/>
              <w:spacing w:before="50" w:afterLines="50" w:line="400" w:lineRule="exact"/>
              <w:jc w:val="left"/>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tcPr>
          <w:p>
            <w:pPr>
              <w:snapToGrid w:val="0"/>
              <w:spacing w:before="50" w:afterLines="50" w:line="400" w:lineRule="exact"/>
              <w:jc w:val="left"/>
              <w:rPr>
                <w:rFonts w:ascii="宋体" w:hAnsi="宋体" w:cs="Arial"/>
                <w:sz w:val="24"/>
              </w:rPr>
            </w:pPr>
          </w:p>
        </w:tc>
        <w:tc>
          <w:tcPr>
            <w:tcW w:w="1157" w:type="dxa"/>
            <w:noWrap/>
          </w:tcPr>
          <w:p>
            <w:pPr>
              <w:snapToGrid w:val="0"/>
              <w:spacing w:before="50" w:afterLines="50" w:line="400" w:lineRule="exact"/>
              <w:jc w:val="left"/>
              <w:rPr>
                <w:rFonts w:ascii="宋体" w:hAnsi="宋体" w:cs="Arial"/>
                <w:sz w:val="24"/>
              </w:rPr>
            </w:pPr>
          </w:p>
        </w:tc>
        <w:tc>
          <w:tcPr>
            <w:tcW w:w="1183" w:type="dxa"/>
            <w:noWrap/>
          </w:tcPr>
          <w:p>
            <w:pPr>
              <w:snapToGrid w:val="0"/>
              <w:spacing w:before="50" w:afterLines="50" w:line="400" w:lineRule="exact"/>
              <w:jc w:val="left"/>
              <w:rPr>
                <w:rFonts w:ascii="宋体" w:hAnsi="宋体" w:cs="Arial"/>
                <w:sz w:val="24"/>
              </w:rPr>
            </w:pPr>
          </w:p>
        </w:tc>
        <w:tc>
          <w:tcPr>
            <w:tcW w:w="947" w:type="dxa"/>
            <w:noWrap/>
          </w:tcPr>
          <w:p>
            <w:pPr>
              <w:snapToGrid w:val="0"/>
              <w:spacing w:before="50" w:afterLines="50" w:line="400" w:lineRule="exact"/>
              <w:jc w:val="left"/>
              <w:rPr>
                <w:rFonts w:ascii="宋体" w:hAnsi="宋体" w:cs="Arial"/>
                <w:sz w:val="24"/>
              </w:rPr>
            </w:pPr>
          </w:p>
        </w:tc>
        <w:tc>
          <w:tcPr>
            <w:tcW w:w="1125" w:type="dxa"/>
            <w:noWrap/>
          </w:tcPr>
          <w:p>
            <w:pPr>
              <w:snapToGrid w:val="0"/>
              <w:spacing w:before="50" w:afterLines="50" w:line="400" w:lineRule="exact"/>
              <w:jc w:val="left"/>
              <w:rPr>
                <w:rFonts w:ascii="宋体" w:hAnsi="宋体" w:cs="Arial"/>
                <w:sz w:val="24"/>
              </w:rPr>
            </w:pPr>
          </w:p>
        </w:tc>
        <w:tc>
          <w:tcPr>
            <w:tcW w:w="756" w:type="dxa"/>
            <w:noWrap/>
          </w:tcPr>
          <w:p>
            <w:pPr>
              <w:snapToGrid w:val="0"/>
              <w:spacing w:before="50" w:afterLines="50" w:line="400" w:lineRule="exact"/>
              <w:jc w:val="left"/>
              <w:rPr>
                <w:rFonts w:ascii="宋体" w:hAnsi="宋体" w:cs="Arial"/>
                <w:sz w:val="24"/>
              </w:rPr>
            </w:pPr>
          </w:p>
        </w:tc>
        <w:tc>
          <w:tcPr>
            <w:tcW w:w="1174" w:type="dxa"/>
            <w:noWrap/>
          </w:tcPr>
          <w:p>
            <w:pPr>
              <w:snapToGrid w:val="0"/>
              <w:spacing w:before="50" w:afterLines="50" w:line="400" w:lineRule="exact"/>
              <w:jc w:val="left"/>
              <w:rPr>
                <w:rFonts w:ascii="宋体" w:hAnsi="宋体" w:cs="Arial"/>
                <w:sz w:val="24"/>
              </w:rPr>
            </w:pPr>
          </w:p>
        </w:tc>
        <w:tc>
          <w:tcPr>
            <w:tcW w:w="1136" w:type="dxa"/>
            <w:noWrap/>
          </w:tcPr>
          <w:p>
            <w:pPr>
              <w:snapToGrid w:val="0"/>
              <w:spacing w:before="50" w:afterLines="50" w:line="400" w:lineRule="exact"/>
              <w:jc w:val="left"/>
              <w:rPr>
                <w:rFonts w:ascii="宋体" w:hAnsi="宋体" w:cs="Arial"/>
                <w:sz w:val="24"/>
              </w:rPr>
            </w:pPr>
          </w:p>
        </w:tc>
        <w:tc>
          <w:tcPr>
            <w:tcW w:w="1050" w:type="dxa"/>
            <w:noWrap/>
          </w:tcPr>
          <w:p>
            <w:pPr>
              <w:snapToGrid w:val="0"/>
              <w:spacing w:before="50" w:afterLines="50" w:line="400" w:lineRule="exact"/>
              <w:jc w:val="left"/>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tcPr>
          <w:p>
            <w:pPr>
              <w:snapToGrid w:val="0"/>
              <w:spacing w:before="50" w:afterLines="50" w:line="400" w:lineRule="exact"/>
              <w:jc w:val="left"/>
              <w:rPr>
                <w:rFonts w:ascii="宋体" w:hAnsi="宋体" w:cs="Arial"/>
                <w:sz w:val="24"/>
              </w:rPr>
            </w:pPr>
          </w:p>
        </w:tc>
        <w:tc>
          <w:tcPr>
            <w:tcW w:w="1157" w:type="dxa"/>
            <w:noWrap/>
          </w:tcPr>
          <w:p>
            <w:pPr>
              <w:snapToGrid w:val="0"/>
              <w:spacing w:before="50" w:afterLines="50" w:line="400" w:lineRule="exact"/>
              <w:jc w:val="left"/>
              <w:rPr>
                <w:rFonts w:ascii="宋体" w:hAnsi="宋体" w:cs="Arial"/>
                <w:sz w:val="24"/>
              </w:rPr>
            </w:pPr>
          </w:p>
        </w:tc>
        <w:tc>
          <w:tcPr>
            <w:tcW w:w="1183" w:type="dxa"/>
            <w:noWrap/>
          </w:tcPr>
          <w:p>
            <w:pPr>
              <w:snapToGrid w:val="0"/>
              <w:spacing w:before="50" w:afterLines="50" w:line="400" w:lineRule="exact"/>
              <w:jc w:val="left"/>
              <w:rPr>
                <w:rFonts w:ascii="宋体" w:hAnsi="宋体" w:cs="Arial"/>
                <w:sz w:val="24"/>
              </w:rPr>
            </w:pPr>
          </w:p>
        </w:tc>
        <w:tc>
          <w:tcPr>
            <w:tcW w:w="947" w:type="dxa"/>
            <w:noWrap/>
          </w:tcPr>
          <w:p>
            <w:pPr>
              <w:snapToGrid w:val="0"/>
              <w:spacing w:before="50" w:afterLines="50" w:line="400" w:lineRule="exact"/>
              <w:jc w:val="left"/>
              <w:rPr>
                <w:rFonts w:ascii="宋体" w:hAnsi="宋体" w:cs="Arial"/>
                <w:sz w:val="24"/>
              </w:rPr>
            </w:pPr>
          </w:p>
        </w:tc>
        <w:tc>
          <w:tcPr>
            <w:tcW w:w="1125" w:type="dxa"/>
            <w:noWrap/>
          </w:tcPr>
          <w:p>
            <w:pPr>
              <w:snapToGrid w:val="0"/>
              <w:spacing w:before="50" w:afterLines="50" w:line="400" w:lineRule="exact"/>
              <w:jc w:val="left"/>
              <w:rPr>
                <w:rFonts w:ascii="宋体" w:hAnsi="宋体" w:cs="Arial"/>
                <w:sz w:val="24"/>
              </w:rPr>
            </w:pPr>
          </w:p>
        </w:tc>
        <w:tc>
          <w:tcPr>
            <w:tcW w:w="756" w:type="dxa"/>
            <w:noWrap/>
          </w:tcPr>
          <w:p>
            <w:pPr>
              <w:snapToGrid w:val="0"/>
              <w:spacing w:before="50" w:afterLines="50" w:line="400" w:lineRule="exact"/>
              <w:jc w:val="left"/>
              <w:rPr>
                <w:rFonts w:ascii="宋体" w:hAnsi="宋体" w:cs="Arial"/>
                <w:sz w:val="24"/>
              </w:rPr>
            </w:pPr>
          </w:p>
        </w:tc>
        <w:tc>
          <w:tcPr>
            <w:tcW w:w="1174" w:type="dxa"/>
            <w:noWrap/>
          </w:tcPr>
          <w:p>
            <w:pPr>
              <w:snapToGrid w:val="0"/>
              <w:spacing w:before="50" w:afterLines="50" w:line="400" w:lineRule="exact"/>
              <w:jc w:val="left"/>
              <w:rPr>
                <w:rFonts w:ascii="宋体" w:hAnsi="宋体" w:cs="Arial"/>
                <w:sz w:val="24"/>
              </w:rPr>
            </w:pPr>
          </w:p>
        </w:tc>
        <w:tc>
          <w:tcPr>
            <w:tcW w:w="1136" w:type="dxa"/>
            <w:noWrap/>
          </w:tcPr>
          <w:p>
            <w:pPr>
              <w:snapToGrid w:val="0"/>
              <w:spacing w:before="50" w:afterLines="50" w:line="400" w:lineRule="exact"/>
              <w:jc w:val="left"/>
              <w:rPr>
                <w:rFonts w:ascii="宋体" w:hAnsi="宋体" w:cs="Arial"/>
                <w:sz w:val="24"/>
              </w:rPr>
            </w:pPr>
          </w:p>
        </w:tc>
        <w:tc>
          <w:tcPr>
            <w:tcW w:w="1050" w:type="dxa"/>
            <w:noWrap/>
          </w:tcPr>
          <w:p>
            <w:pPr>
              <w:snapToGrid w:val="0"/>
              <w:spacing w:before="50" w:afterLines="50" w:line="400" w:lineRule="exact"/>
              <w:jc w:val="left"/>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tcPr>
          <w:p>
            <w:pPr>
              <w:snapToGrid w:val="0"/>
              <w:spacing w:before="50" w:afterLines="50" w:line="400" w:lineRule="exact"/>
              <w:jc w:val="left"/>
              <w:rPr>
                <w:rFonts w:ascii="宋体" w:hAnsi="宋体" w:cs="Arial"/>
                <w:sz w:val="24"/>
              </w:rPr>
            </w:pPr>
          </w:p>
        </w:tc>
        <w:tc>
          <w:tcPr>
            <w:tcW w:w="1157" w:type="dxa"/>
            <w:noWrap/>
          </w:tcPr>
          <w:p>
            <w:pPr>
              <w:snapToGrid w:val="0"/>
              <w:spacing w:before="50" w:afterLines="50" w:line="400" w:lineRule="exact"/>
              <w:jc w:val="left"/>
              <w:rPr>
                <w:rFonts w:ascii="宋体" w:hAnsi="宋体" w:cs="Arial"/>
                <w:sz w:val="24"/>
              </w:rPr>
            </w:pPr>
          </w:p>
        </w:tc>
        <w:tc>
          <w:tcPr>
            <w:tcW w:w="1183" w:type="dxa"/>
            <w:noWrap/>
          </w:tcPr>
          <w:p>
            <w:pPr>
              <w:snapToGrid w:val="0"/>
              <w:spacing w:before="50" w:afterLines="50" w:line="400" w:lineRule="exact"/>
              <w:jc w:val="left"/>
              <w:rPr>
                <w:rFonts w:ascii="宋体" w:hAnsi="宋体" w:cs="Arial"/>
                <w:sz w:val="24"/>
              </w:rPr>
            </w:pPr>
          </w:p>
        </w:tc>
        <w:tc>
          <w:tcPr>
            <w:tcW w:w="947" w:type="dxa"/>
            <w:noWrap/>
          </w:tcPr>
          <w:p>
            <w:pPr>
              <w:snapToGrid w:val="0"/>
              <w:spacing w:before="50" w:afterLines="50" w:line="400" w:lineRule="exact"/>
              <w:jc w:val="left"/>
              <w:rPr>
                <w:rFonts w:ascii="宋体" w:hAnsi="宋体" w:cs="Arial"/>
                <w:sz w:val="24"/>
              </w:rPr>
            </w:pPr>
          </w:p>
        </w:tc>
        <w:tc>
          <w:tcPr>
            <w:tcW w:w="1125" w:type="dxa"/>
            <w:noWrap/>
          </w:tcPr>
          <w:p>
            <w:pPr>
              <w:snapToGrid w:val="0"/>
              <w:spacing w:before="50" w:afterLines="50" w:line="400" w:lineRule="exact"/>
              <w:jc w:val="left"/>
              <w:rPr>
                <w:rFonts w:ascii="宋体" w:hAnsi="宋体" w:cs="Arial"/>
                <w:sz w:val="24"/>
              </w:rPr>
            </w:pPr>
          </w:p>
        </w:tc>
        <w:tc>
          <w:tcPr>
            <w:tcW w:w="756" w:type="dxa"/>
            <w:noWrap/>
          </w:tcPr>
          <w:p>
            <w:pPr>
              <w:snapToGrid w:val="0"/>
              <w:spacing w:before="50" w:afterLines="50" w:line="400" w:lineRule="exact"/>
              <w:jc w:val="left"/>
              <w:rPr>
                <w:rFonts w:ascii="宋体" w:hAnsi="宋体" w:cs="Arial"/>
                <w:sz w:val="24"/>
              </w:rPr>
            </w:pPr>
          </w:p>
        </w:tc>
        <w:tc>
          <w:tcPr>
            <w:tcW w:w="1174" w:type="dxa"/>
            <w:noWrap/>
          </w:tcPr>
          <w:p>
            <w:pPr>
              <w:snapToGrid w:val="0"/>
              <w:spacing w:before="50" w:afterLines="50" w:line="400" w:lineRule="exact"/>
              <w:jc w:val="left"/>
              <w:rPr>
                <w:rFonts w:ascii="宋体" w:hAnsi="宋体" w:cs="Arial"/>
                <w:sz w:val="24"/>
              </w:rPr>
            </w:pPr>
          </w:p>
        </w:tc>
        <w:tc>
          <w:tcPr>
            <w:tcW w:w="1136" w:type="dxa"/>
            <w:noWrap/>
          </w:tcPr>
          <w:p>
            <w:pPr>
              <w:snapToGrid w:val="0"/>
              <w:spacing w:before="50" w:afterLines="50" w:line="400" w:lineRule="exact"/>
              <w:jc w:val="left"/>
              <w:rPr>
                <w:rFonts w:ascii="宋体" w:hAnsi="宋体" w:cs="Arial"/>
                <w:sz w:val="24"/>
              </w:rPr>
            </w:pPr>
          </w:p>
        </w:tc>
        <w:tc>
          <w:tcPr>
            <w:tcW w:w="1050" w:type="dxa"/>
            <w:noWrap/>
          </w:tcPr>
          <w:p>
            <w:pPr>
              <w:snapToGrid w:val="0"/>
              <w:spacing w:before="50" w:afterLines="50" w:line="400" w:lineRule="exact"/>
              <w:jc w:val="left"/>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tcPr>
          <w:p>
            <w:pPr>
              <w:snapToGrid w:val="0"/>
              <w:spacing w:before="50" w:afterLines="50" w:line="400" w:lineRule="exact"/>
              <w:jc w:val="left"/>
              <w:rPr>
                <w:rFonts w:ascii="宋体" w:hAnsi="宋体" w:cs="Arial"/>
                <w:sz w:val="24"/>
              </w:rPr>
            </w:pPr>
          </w:p>
        </w:tc>
        <w:tc>
          <w:tcPr>
            <w:tcW w:w="1157" w:type="dxa"/>
            <w:noWrap/>
          </w:tcPr>
          <w:p>
            <w:pPr>
              <w:snapToGrid w:val="0"/>
              <w:spacing w:before="50" w:afterLines="50" w:line="400" w:lineRule="exact"/>
              <w:jc w:val="left"/>
              <w:rPr>
                <w:rFonts w:ascii="宋体" w:hAnsi="宋体" w:cs="Arial"/>
                <w:sz w:val="24"/>
              </w:rPr>
            </w:pPr>
          </w:p>
        </w:tc>
        <w:tc>
          <w:tcPr>
            <w:tcW w:w="1183" w:type="dxa"/>
            <w:noWrap/>
          </w:tcPr>
          <w:p>
            <w:pPr>
              <w:snapToGrid w:val="0"/>
              <w:spacing w:before="50" w:afterLines="50" w:line="400" w:lineRule="exact"/>
              <w:jc w:val="left"/>
              <w:rPr>
                <w:rFonts w:ascii="宋体" w:hAnsi="宋体" w:cs="Arial"/>
                <w:sz w:val="24"/>
              </w:rPr>
            </w:pPr>
          </w:p>
        </w:tc>
        <w:tc>
          <w:tcPr>
            <w:tcW w:w="947" w:type="dxa"/>
            <w:noWrap/>
          </w:tcPr>
          <w:p>
            <w:pPr>
              <w:snapToGrid w:val="0"/>
              <w:spacing w:before="50" w:afterLines="50" w:line="400" w:lineRule="exact"/>
              <w:jc w:val="left"/>
              <w:rPr>
                <w:rFonts w:ascii="宋体" w:hAnsi="宋体" w:cs="Arial"/>
                <w:sz w:val="24"/>
              </w:rPr>
            </w:pPr>
          </w:p>
        </w:tc>
        <w:tc>
          <w:tcPr>
            <w:tcW w:w="1125" w:type="dxa"/>
            <w:noWrap/>
          </w:tcPr>
          <w:p>
            <w:pPr>
              <w:snapToGrid w:val="0"/>
              <w:spacing w:before="50" w:afterLines="50" w:line="400" w:lineRule="exact"/>
              <w:jc w:val="left"/>
              <w:rPr>
                <w:rFonts w:ascii="宋体" w:hAnsi="宋体" w:cs="Arial"/>
                <w:sz w:val="24"/>
              </w:rPr>
            </w:pPr>
          </w:p>
        </w:tc>
        <w:tc>
          <w:tcPr>
            <w:tcW w:w="756" w:type="dxa"/>
            <w:noWrap/>
          </w:tcPr>
          <w:p>
            <w:pPr>
              <w:snapToGrid w:val="0"/>
              <w:spacing w:before="50" w:afterLines="50" w:line="400" w:lineRule="exact"/>
              <w:jc w:val="left"/>
              <w:rPr>
                <w:rFonts w:ascii="宋体" w:hAnsi="宋体" w:cs="Arial"/>
                <w:sz w:val="24"/>
              </w:rPr>
            </w:pPr>
          </w:p>
        </w:tc>
        <w:tc>
          <w:tcPr>
            <w:tcW w:w="1174" w:type="dxa"/>
            <w:noWrap/>
          </w:tcPr>
          <w:p>
            <w:pPr>
              <w:snapToGrid w:val="0"/>
              <w:spacing w:before="50" w:afterLines="50" w:line="400" w:lineRule="exact"/>
              <w:jc w:val="left"/>
              <w:rPr>
                <w:rFonts w:ascii="宋体" w:hAnsi="宋体" w:cs="Arial"/>
                <w:sz w:val="24"/>
              </w:rPr>
            </w:pPr>
          </w:p>
        </w:tc>
        <w:tc>
          <w:tcPr>
            <w:tcW w:w="1136" w:type="dxa"/>
            <w:noWrap/>
          </w:tcPr>
          <w:p>
            <w:pPr>
              <w:snapToGrid w:val="0"/>
              <w:spacing w:before="50" w:afterLines="50" w:line="400" w:lineRule="exact"/>
              <w:jc w:val="left"/>
              <w:rPr>
                <w:rFonts w:ascii="宋体" w:hAnsi="宋体" w:cs="Arial"/>
                <w:sz w:val="24"/>
              </w:rPr>
            </w:pPr>
          </w:p>
        </w:tc>
        <w:tc>
          <w:tcPr>
            <w:tcW w:w="1050" w:type="dxa"/>
            <w:noWrap/>
          </w:tcPr>
          <w:p>
            <w:pPr>
              <w:snapToGrid w:val="0"/>
              <w:spacing w:before="50" w:afterLines="50" w:line="400" w:lineRule="exact"/>
              <w:jc w:val="left"/>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tcPr>
          <w:p>
            <w:pPr>
              <w:snapToGrid w:val="0"/>
              <w:spacing w:before="50" w:afterLines="50" w:line="400" w:lineRule="exact"/>
              <w:jc w:val="left"/>
              <w:rPr>
                <w:rFonts w:ascii="宋体" w:hAnsi="宋体" w:cs="Arial"/>
                <w:sz w:val="24"/>
              </w:rPr>
            </w:pPr>
          </w:p>
        </w:tc>
        <w:tc>
          <w:tcPr>
            <w:tcW w:w="1157" w:type="dxa"/>
            <w:noWrap/>
          </w:tcPr>
          <w:p>
            <w:pPr>
              <w:snapToGrid w:val="0"/>
              <w:spacing w:before="50" w:afterLines="50" w:line="400" w:lineRule="exact"/>
              <w:jc w:val="left"/>
              <w:rPr>
                <w:rFonts w:ascii="宋体" w:hAnsi="宋体" w:cs="Arial"/>
                <w:sz w:val="24"/>
              </w:rPr>
            </w:pPr>
          </w:p>
        </w:tc>
        <w:tc>
          <w:tcPr>
            <w:tcW w:w="1183" w:type="dxa"/>
            <w:noWrap/>
          </w:tcPr>
          <w:p>
            <w:pPr>
              <w:snapToGrid w:val="0"/>
              <w:spacing w:before="50" w:afterLines="50" w:line="400" w:lineRule="exact"/>
              <w:jc w:val="left"/>
              <w:rPr>
                <w:rFonts w:ascii="宋体" w:hAnsi="宋体" w:cs="Arial"/>
                <w:sz w:val="24"/>
              </w:rPr>
            </w:pPr>
          </w:p>
        </w:tc>
        <w:tc>
          <w:tcPr>
            <w:tcW w:w="947" w:type="dxa"/>
            <w:noWrap/>
          </w:tcPr>
          <w:p>
            <w:pPr>
              <w:snapToGrid w:val="0"/>
              <w:spacing w:before="50" w:afterLines="50" w:line="400" w:lineRule="exact"/>
              <w:jc w:val="left"/>
              <w:rPr>
                <w:rFonts w:ascii="宋体" w:hAnsi="宋体" w:cs="Arial"/>
                <w:sz w:val="24"/>
              </w:rPr>
            </w:pPr>
          </w:p>
        </w:tc>
        <w:tc>
          <w:tcPr>
            <w:tcW w:w="1125" w:type="dxa"/>
            <w:noWrap/>
          </w:tcPr>
          <w:p>
            <w:pPr>
              <w:snapToGrid w:val="0"/>
              <w:spacing w:before="50" w:afterLines="50" w:line="400" w:lineRule="exact"/>
              <w:jc w:val="left"/>
              <w:rPr>
                <w:rFonts w:ascii="宋体" w:hAnsi="宋体" w:cs="Arial"/>
                <w:sz w:val="24"/>
              </w:rPr>
            </w:pPr>
          </w:p>
        </w:tc>
        <w:tc>
          <w:tcPr>
            <w:tcW w:w="756" w:type="dxa"/>
            <w:noWrap/>
          </w:tcPr>
          <w:p>
            <w:pPr>
              <w:snapToGrid w:val="0"/>
              <w:spacing w:before="50" w:afterLines="50" w:line="400" w:lineRule="exact"/>
              <w:jc w:val="left"/>
              <w:rPr>
                <w:rFonts w:ascii="宋体" w:hAnsi="宋体" w:cs="Arial"/>
                <w:sz w:val="24"/>
              </w:rPr>
            </w:pPr>
          </w:p>
        </w:tc>
        <w:tc>
          <w:tcPr>
            <w:tcW w:w="1174" w:type="dxa"/>
            <w:noWrap/>
          </w:tcPr>
          <w:p>
            <w:pPr>
              <w:snapToGrid w:val="0"/>
              <w:spacing w:before="50" w:afterLines="50" w:line="400" w:lineRule="exact"/>
              <w:jc w:val="left"/>
              <w:rPr>
                <w:rFonts w:ascii="宋体" w:hAnsi="宋体" w:cs="Arial"/>
                <w:sz w:val="24"/>
              </w:rPr>
            </w:pPr>
          </w:p>
        </w:tc>
        <w:tc>
          <w:tcPr>
            <w:tcW w:w="1136" w:type="dxa"/>
            <w:noWrap/>
          </w:tcPr>
          <w:p>
            <w:pPr>
              <w:snapToGrid w:val="0"/>
              <w:spacing w:before="50" w:afterLines="50" w:line="400" w:lineRule="exact"/>
              <w:jc w:val="left"/>
              <w:rPr>
                <w:rFonts w:ascii="宋体" w:hAnsi="宋体" w:cs="Arial"/>
                <w:sz w:val="24"/>
              </w:rPr>
            </w:pPr>
          </w:p>
        </w:tc>
        <w:tc>
          <w:tcPr>
            <w:tcW w:w="1050" w:type="dxa"/>
            <w:noWrap/>
          </w:tcPr>
          <w:p>
            <w:pPr>
              <w:snapToGrid w:val="0"/>
              <w:spacing w:before="50" w:afterLines="50" w:line="400" w:lineRule="exact"/>
              <w:jc w:val="left"/>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tcPr>
          <w:p>
            <w:pPr>
              <w:snapToGrid w:val="0"/>
              <w:spacing w:before="50" w:afterLines="50" w:line="400" w:lineRule="exact"/>
              <w:jc w:val="left"/>
              <w:rPr>
                <w:rFonts w:ascii="宋体" w:hAnsi="宋体" w:cs="Arial"/>
                <w:sz w:val="24"/>
              </w:rPr>
            </w:pPr>
          </w:p>
        </w:tc>
        <w:tc>
          <w:tcPr>
            <w:tcW w:w="1157" w:type="dxa"/>
            <w:noWrap/>
          </w:tcPr>
          <w:p>
            <w:pPr>
              <w:snapToGrid w:val="0"/>
              <w:spacing w:before="50" w:afterLines="50" w:line="400" w:lineRule="exact"/>
              <w:jc w:val="left"/>
              <w:rPr>
                <w:rFonts w:ascii="宋体" w:hAnsi="宋体" w:cs="Arial"/>
                <w:sz w:val="24"/>
              </w:rPr>
            </w:pPr>
          </w:p>
        </w:tc>
        <w:tc>
          <w:tcPr>
            <w:tcW w:w="1183" w:type="dxa"/>
            <w:noWrap/>
          </w:tcPr>
          <w:p>
            <w:pPr>
              <w:snapToGrid w:val="0"/>
              <w:spacing w:before="50" w:afterLines="50" w:line="400" w:lineRule="exact"/>
              <w:jc w:val="left"/>
              <w:rPr>
                <w:rFonts w:ascii="宋体" w:hAnsi="宋体" w:cs="Arial"/>
                <w:sz w:val="24"/>
              </w:rPr>
            </w:pPr>
          </w:p>
        </w:tc>
        <w:tc>
          <w:tcPr>
            <w:tcW w:w="947" w:type="dxa"/>
            <w:noWrap/>
          </w:tcPr>
          <w:p>
            <w:pPr>
              <w:snapToGrid w:val="0"/>
              <w:spacing w:before="50" w:afterLines="50" w:line="400" w:lineRule="exact"/>
              <w:jc w:val="left"/>
              <w:rPr>
                <w:rFonts w:ascii="宋体" w:hAnsi="宋体" w:cs="Arial"/>
                <w:sz w:val="24"/>
              </w:rPr>
            </w:pPr>
          </w:p>
        </w:tc>
        <w:tc>
          <w:tcPr>
            <w:tcW w:w="1125" w:type="dxa"/>
            <w:noWrap/>
          </w:tcPr>
          <w:p>
            <w:pPr>
              <w:snapToGrid w:val="0"/>
              <w:spacing w:before="50" w:afterLines="50" w:line="400" w:lineRule="exact"/>
              <w:jc w:val="left"/>
              <w:rPr>
                <w:rFonts w:ascii="宋体" w:hAnsi="宋体" w:cs="Arial"/>
                <w:sz w:val="24"/>
              </w:rPr>
            </w:pPr>
          </w:p>
        </w:tc>
        <w:tc>
          <w:tcPr>
            <w:tcW w:w="756" w:type="dxa"/>
            <w:noWrap/>
          </w:tcPr>
          <w:p>
            <w:pPr>
              <w:snapToGrid w:val="0"/>
              <w:spacing w:before="50" w:afterLines="50" w:line="400" w:lineRule="exact"/>
              <w:jc w:val="left"/>
              <w:rPr>
                <w:rFonts w:ascii="宋体" w:hAnsi="宋体" w:cs="Arial"/>
                <w:sz w:val="24"/>
              </w:rPr>
            </w:pPr>
          </w:p>
        </w:tc>
        <w:tc>
          <w:tcPr>
            <w:tcW w:w="1174" w:type="dxa"/>
            <w:noWrap/>
          </w:tcPr>
          <w:p>
            <w:pPr>
              <w:snapToGrid w:val="0"/>
              <w:spacing w:before="50" w:afterLines="50" w:line="400" w:lineRule="exact"/>
              <w:jc w:val="left"/>
              <w:rPr>
                <w:rFonts w:ascii="宋体" w:hAnsi="宋体" w:cs="Arial"/>
                <w:sz w:val="24"/>
              </w:rPr>
            </w:pPr>
          </w:p>
        </w:tc>
        <w:tc>
          <w:tcPr>
            <w:tcW w:w="1136" w:type="dxa"/>
            <w:noWrap/>
          </w:tcPr>
          <w:p>
            <w:pPr>
              <w:snapToGrid w:val="0"/>
              <w:spacing w:before="50" w:afterLines="50" w:line="400" w:lineRule="exact"/>
              <w:jc w:val="left"/>
              <w:rPr>
                <w:rFonts w:ascii="宋体" w:hAnsi="宋体" w:cs="Arial"/>
                <w:sz w:val="24"/>
              </w:rPr>
            </w:pPr>
          </w:p>
        </w:tc>
        <w:tc>
          <w:tcPr>
            <w:tcW w:w="1050" w:type="dxa"/>
            <w:noWrap/>
          </w:tcPr>
          <w:p>
            <w:pPr>
              <w:snapToGrid w:val="0"/>
              <w:spacing w:before="50" w:afterLines="50" w:line="400" w:lineRule="exact"/>
              <w:jc w:val="left"/>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tcPr>
          <w:p>
            <w:pPr>
              <w:snapToGrid w:val="0"/>
              <w:spacing w:before="50" w:afterLines="50" w:line="400" w:lineRule="exact"/>
              <w:jc w:val="left"/>
              <w:rPr>
                <w:rFonts w:ascii="宋体" w:hAnsi="宋体" w:cs="Arial"/>
                <w:sz w:val="24"/>
              </w:rPr>
            </w:pPr>
          </w:p>
        </w:tc>
        <w:tc>
          <w:tcPr>
            <w:tcW w:w="1157" w:type="dxa"/>
            <w:noWrap/>
          </w:tcPr>
          <w:p>
            <w:pPr>
              <w:snapToGrid w:val="0"/>
              <w:spacing w:before="50" w:afterLines="50" w:line="400" w:lineRule="exact"/>
              <w:jc w:val="left"/>
              <w:rPr>
                <w:rFonts w:ascii="宋体" w:hAnsi="宋体" w:cs="Arial"/>
                <w:sz w:val="24"/>
              </w:rPr>
            </w:pPr>
          </w:p>
        </w:tc>
        <w:tc>
          <w:tcPr>
            <w:tcW w:w="1183" w:type="dxa"/>
            <w:noWrap/>
          </w:tcPr>
          <w:p>
            <w:pPr>
              <w:snapToGrid w:val="0"/>
              <w:spacing w:before="50" w:afterLines="50" w:line="400" w:lineRule="exact"/>
              <w:jc w:val="left"/>
              <w:rPr>
                <w:rFonts w:ascii="宋体" w:hAnsi="宋体" w:cs="Arial"/>
                <w:sz w:val="24"/>
              </w:rPr>
            </w:pPr>
          </w:p>
        </w:tc>
        <w:tc>
          <w:tcPr>
            <w:tcW w:w="947" w:type="dxa"/>
            <w:noWrap/>
          </w:tcPr>
          <w:p>
            <w:pPr>
              <w:snapToGrid w:val="0"/>
              <w:spacing w:before="50" w:afterLines="50" w:line="400" w:lineRule="exact"/>
              <w:jc w:val="left"/>
              <w:rPr>
                <w:rFonts w:ascii="宋体" w:hAnsi="宋体" w:cs="Arial"/>
                <w:sz w:val="24"/>
              </w:rPr>
            </w:pPr>
          </w:p>
        </w:tc>
        <w:tc>
          <w:tcPr>
            <w:tcW w:w="1125" w:type="dxa"/>
            <w:noWrap/>
          </w:tcPr>
          <w:p>
            <w:pPr>
              <w:snapToGrid w:val="0"/>
              <w:spacing w:before="50" w:afterLines="50" w:line="400" w:lineRule="exact"/>
              <w:jc w:val="left"/>
              <w:rPr>
                <w:rFonts w:ascii="宋体" w:hAnsi="宋体" w:cs="Arial"/>
                <w:sz w:val="24"/>
              </w:rPr>
            </w:pPr>
          </w:p>
        </w:tc>
        <w:tc>
          <w:tcPr>
            <w:tcW w:w="756" w:type="dxa"/>
            <w:noWrap/>
          </w:tcPr>
          <w:p>
            <w:pPr>
              <w:snapToGrid w:val="0"/>
              <w:spacing w:before="50" w:afterLines="50" w:line="400" w:lineRule="exact"/>
              <w:jc w:val="left"/>
              <w:rPr>
                <w:rFonts w:ascii="宋体" w:hAnsi="宋体" w:cs="Arial"/>
                <w:sz w:val="24"/>
              </w:rPr>
            </w:pPr>
          </w:p>
        </w:tc>
        <w:tc>
          <w:tcPr>
            <w:tcW w:w="1174" w:type="dxa"/>
            <w:noWrap/>
          </w:tcPr>
          <w:p>
            <w:pPr>
              <w:snapToGrid w:val="0"/>
              <w:spacing w:before="50" w:afterLines="50" w:line="400" w:lineRule="exact"/>
              <w:jc w:val="left"/>
              <w:rPr>
                <w:rFonts w:ascii="宋体" w:hAnsi="宋体" w:cs="Arial"/>
                <w:sz w:val="24"/>
              </w:rPr>
            </w:pPr>
          </w:p>
        </w:tc>
        <w:tc>
          <w:tcPr>
            <w:tcW w:w="1136" w:type="dxa"/>
            <w:noWrap/>
          </w:tcPr>
          <w:p>
            <w:pPr>
              <w:snapToGrid w:val="0"/>
              <w:spacing w:before="50" w:afterLines="50" w:line="400" w:lineRule="exact"/>
              <w:jc w:val="left"/>
              <w:rPr>
                <w:rFonts w:ascii="宋体" w:hAnsi="宋体" w:cs="Arial"/>
                <w:sz w:val="24"/>
              </w:rPr>
            </w:pPr>
          </w:p>
        </w:tc>
        <w:tc>
          <w:tcPr>
            <w:tcW w:w="1050" w:type="dxa"/>
            <w:noWrap/>
          </w:tcPr>
          <w:p>
            <w:pPr>
              <w:snapToGrid w:val="0"/>
              <w:spacing w:before="50" w:afterLines="50" w:line="400" w:lineRule="exact"/>
              <w:jc w:val="left"/>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tcPr>
          <w:p>
            <w:pPr>
              <w:snapToGrid w:val="0"/>
              <w:spacing w:before="50" w:afterLines="50" w:line="400" w:lineRule="exact"/>
              <w:jc w:val="left"/>
              <w:rPr>
                <w:rFonts w:ascii="宋体" w:hAnsi="宋体" w:cs="Arial"/>
                <w:sz w:val="24"/>
              </w:rPr>
            </w:pPr>
          </w:p>
        </w:tc>
        <w:tc>
          <w:tcPr>
            <w:tcW w:w="1157" w:type="dxa"/>
            <w:noWrap/>
          </w:tcPr>
          <w:p>
            <w:pPr>
              <w:snapToGrid w:val="0"/>
              <w:spacing w:before="50" w:afterLines="50" w:line="400" w:lineRule="exact"/>
              <w:jc w:val="left"/>
              <w:rPr>
                <w:rFonts w:ascii="宋体" w:hAnsi="宋体" w:cs="Arial"/>
                <w:sz w:val="24"/>
              </w:rPr>
            </w:pPr>
          </w:p>
        </w:tc>
        <w:tc>
          <w:tcPr>
            <w:tcW w:w="1183" w:type="dxa"/>
            <w:noWrap/>
          </w:tcPr>
          <w:p>
            <w:pPr>
              <w:snapToGrid w:val="0"/>
              <w:spacing w:before="50" w:afterLines="50" w:line="400" w:lineRule="exact"/>
              <w:jc w:val="left"/>
              <w:rPr>
                <w:rFonts w:ascii="宋体" w:hAnsi="宋体" w:cs="Arial"/>
                <w:sz w:val="24"/>
              </w:rPr>
            </w:pPr>
          </w:p>
        </w:tc>
        <w:tc>
          <w:tcPr>
            <w:tcW w:w="947" w:type="dxa"/>
            <w:noWrap/>
          </w:tcPr>
          <w:p>
            <w:pPr>
              <w:snapToGrid w:val="0"/>
              <w:spacing w:before="50" w:afterLines="50" w:line="400" w:lineRule="exact"/>
              <w:jc w:val="left"/>
              <w:rPr>
                <w:rFonts w:ascii="宋体" w:hAnsi="宋体" w:cs="Arial"/>
                <w:sz w:val="24"/>
              </w:rPr>
            </w:pPr>
          </w:p>
        </w:tc>
        <w:tc>
          <w:tcPr>
            <w:tcW w:w="1125" w:type="dxa"/>
            <w:noWrap/>
          </w:tcPr>
          <w:p>
            <w:pPr>
              <w:snapToGrid w:val="0"/>
              <w:spacing w:before="50" w:afterLines="50" w:line="400" w:lineRule="exact"/>
              <w:jc w:val="left"/>
              <w:rPr>
                <w:rFonts w:ascii="宋体" w:hAnsi="宋体" w:cs="Arial"/>
                <w:sz w:val="24"/>
              </w:rPr>
            </w:pPr>
          </w:p>
        </w:tc>
        <w:tc>
          <w:tcPr>
            <w:tcW w:w="756" w:type="dxa"/>
            <w:noWrap/>
          </w:tcPr>
          <w:p>
            <w:pPr>
              <w:snapToGrid w:val="0"/>
              <w:spacing w:before="50" w:afterLines="50" w:line="400" w:lineRule="exact"/>
              <w:jc w:val="left"/>
              <w:rPr>
                <w:rFonts w:ascii="宋体" w:hAnsi="宋体" w:cs="Arial"/>
                <w:sz w:val="24"/>
              </w:rPr>
            </w:pPr>
          </w:p>
        </w:tc>
        <w:tc>
          <w:tcPr>
            <w:tcW w:w="1174" w:type="dxa"/>
            <w:noWrap/>
          </w:tcPr>
          <w:p>
            <w:pPr>
              <w:snapToGrid w:val="0"/>
              <w:spacing w:before="50" w:afterLines="50" w:line="400" w:lineRule="exact"/>
              <w:jc w:val="left"/>
              <w:rPr>
                <w:rFonts w:ascii="宋体" w:hAnsi="宋体" w:cs="Arial"/>
                <w:sz w:val="24"/>
              </w:rPr>
            </w:pPr>
          </w:p>
        </w:tc>
        <w:tc>
          <w:tcPr>
            <w:tcW w:w="1136" w:type="dxa"/>
            <w:noWrap/>
          </w:tcPr>
          <w:p>
            <w:pPr>
              <w:snapToGrid w:val="0"/>
              <w:spacing w:before="50" w:afterLines="50" w:line="400" w:lineRule="exact"/>
              <w:jc w:val="left"/>
              <w:rPr>
                <w:rFonts w:ascii="宋体" w:hAnsi="宋体" w:cs="Arial"/>
                <w:sz w:val="24"/>
              </w:rPr>
            </w:pPr>
          </w:p>
        </w:tc>
        <w:tc>
          <w:tcPr>
            <w:tcW w:w="1050" w:type="dxa"/>
            <w:noWrap/>
          </w:tcPr>
          <w:p>
            <w:pPr>
              <w:snapToGrid w:val="0"/>
              <w:spacing w:before="50" w:afterLines="50" w:line="400" w:lineRule="exact"/>
              <w:jc w:val="left"/>
              <w:rPr>
                <w:rFonts w:ascii="宋体" w:hAnsi="宋体" w:cs="Arial"/>
                <w:sz w:val="24"/>
              </w:rPr>
            </w:pPr>
          </w:p>
        </w:tc>
      </w:tr>
    </w:tbl>
    <w:p>
      <w:pPr>
        <w:snapToGrid w:val="0"/>
        <w:spacing w:before="50" w:afterLines="50" w:line="400" w:lineRule="exact"/>
        <w:jc w:val="left"/>
        <w:rPr>
          <w:rFonts w:ascii="宋体" w:hAnsi="宋体" w:cs="Arial"/>
          <w:sz w:val="24"/>
        </w:rPr>
      </w:pPr>
      <w:r>
        <w:rPr>
          <w:rFonts w:hint="eastAsia" w:ascii="宋体" w:hAnsi="宋体" w:cs="Arial"/>
          <w:sz w:val="24"/>
        </w:rPr>
        <w:t>自201</w:t>
      </w:r>
      <w:r>
        <w:rPr>
          <w:rFonts w:hint="eastAsia" w:ascii="宋体" w:hAnsi="宋体" w:cs="Arial"/>
          <w:sz w:val="24"/>
          <w:lang w:val="en-US" w:eastAsia="zh-CN"/>
        </w:rPr>
        <w:t>8</w:t>
      </w:r>
      <w:r>
        <w:rPr>
          <w:rFonts w:hint="eastAsia" w:ascii="宋体" w:hAnsi="宋体" w:cs="Arial"/>
          <w:sz w:val="24"/>
        </w:rPr>
        <w:t>年1月1日以来的业绩，（附</w:t>
      </w:r>
      <w:r>
        <w:rPr>
          <w:rFonts w:hint="eastAsia" w:ascii="宋体" w:hAnsi="宋体"/>
          <w:sz w:val="24"/>
        </w:rPr>
        <w:t>中标通知书、合同及竣工证明材料加盖公章</w:t>
      </w:r>
      <w:r>
        <w:rPr>
          <w:rFonts w:hint="eastAsia" w:ascii="宋体" w:hAnsi="宋体" w:cs="Arial"/>
          <w:sz w:val="24"/>
        </w:rPr>
        <w:t>为准，原件备查）</w:t>
      </w:r>
    </w:p>
    <w:p>
      <w:pPr>
        <w:adjustRightInd w:val="0"/>
        <w:snapToGrid w:val="0"/>
        <w:spacing w:beforeLines="50" w:afterLines="50" w:line="500" w:lineRule="exact"/>
        <w:rPr>
          <w:rFonts w:ascii="仿宋" w:hAnsi="仿宋" w:eastAsia="仿宋" w:cs="仿宋"/>
          <w:b/>
          <w:sz w:val="24"/>
        </w:rPr>
      </w:pPr>
      <w:r>
        <w:rPr>
          <w:rFonts w:hint="eastAsia" w:ascii="仿宋" w:hAnsi="仿宋" w:eastAsia="仿宋" w:cs="仿宋"/>
          <w:b/>
          <w:sz w:val="24"/>
        </w:rPr>
        <w:br w:type="page"/>
      </w:r>
      <w:r>
        <w:rPr>
          <w:rFonts w:hint="eastAsia" w:ascii="仿宋" w:hAnsi="仿宋" w:eastAsia="仿宋" w:cs="仿宋"/>
          <w:b/>
          <w:sz w:val="24"/>
        </w:rPr>
        <w:t>十四、投标函：</w:t>
      </w:r>
    </w:p>
    <w:p>
      <w:pPr>
        <w:snapToGrid w:val="0"/>
        <w:spacing w:beforeLines="50" w:after="50"/>
        <w:jc w:val="center"/>
        <w:rPr>
          <w:rFonts w:ascii="宋体" w:hAnsi="宋体"/>
          <w:b/>
          <w:sz w:val="24"/>
        </w:rPr>
      </w:pPr>
      <w:r>
        <w:rPr>
          <w:rFonts w:hint="eastAsia" w:ascii="宋体" w:hAnsi="宋体"/>
          <w:b/>
          <w:sz w:val="24"/>
        </w:rPr>
        <w:t>1.投标函</w:t>
      </w:r>
    </w:p>
    <w:p>
      <w:pPr>
        <w:rPr>
          <w:rFonts w:ascii="宋体"/>
          <w:sz w:val="24"/>
          <w:u w:val="single"/>
        </w:rPr>
      </w:pPr>
      <w:r>
        <w:rPr>
          <w:rFonts w:hint="eastAsia" w:ascii="宋体" w:hAnsi="宋体"/>
          <w:sz w:val="24"/>
        </w:rPr>
        <w:t>致：</w:t>
      </w:r>
      <w:r>
        <w:rPr>
          <w:rFonts w:ascii="宋体"/>
          <w:sz w:val="24"/>
          <w:u w:val="single"/>
        </w:rPr>
        <w:t>{</w:t>
      </w:r>
      <w:r>
        <w:rPr>
          <w:rFonts w:hint="eastAsia" w:ascii="宋体" w:hAnsi="宋体"/>
          <w:sz w:val="24"/>
          <w:u w:val="single"/>
        </w:rPr>
        <w:t>招标人名称</w:t>
      </w:r>
      <w:r>
        <w:rPr>
          <w:rFonts w:ascii="宋体"/>
          <w:sz w:val="24"/>
          <w:u w:val="single"/>
        </w:rPr>
        <w:t>}</w:t>
      </w:r>
    </w:p>
    <w:p>
      <w:pPr>
        <w:rPr>
          <w:rFonts w:ascii="宋体"/>
          <w:sz w:val="24"/>
          <w:u w:val="single"/>
        </w:rPr>
      </w:pPr>
    </w:p>
    <w:p>
      <w:pPr>
        <w:tabs>
          <w:tab w:val="left" w:pos="7560"/>
        </w:tabs>
        <w:ind w:firstLine="488"/>
        <w:rPr>
          <w:rFonts w:ascii="宋体"/>
          <w:sz w:val="24"/>
        </w:rPr>
      </w:pPr>
      <w:r>
        <w:rPr>
          <w:rFonts w:ascii="宋体" w:hAnsi="宋体"/>
          <w:sz w:val="24"/>
        </w:rPr>
        <w:t>1</w:t>
      </w:r>
      <w:r>
        <w:rPr>
          <w:rFonts w:hint="eastAsia" w:ascii="宋体" w:hAnsi="宋体"/>
          <w:sz w:val="24"/>
        </w:rPr>
        <w:t>、根据你方招标工程项目编号为</w:t>
      </w:r>
      <w:r>
        <w:rPr>
          <w:rFonts w:ascii="宋体" w:hAnsi="宋体"/>
          <w:sz w:val="24"/>
          <w:u w:val="single"/>
        </w:rPr>
        <w:t xml:space="preserve">  {</w:t>
      </w:r>
      <w:r>
        <w:rPr>
          <w:rFonts w:hint="eastAsia" w:ascii="宋体" w:hAnsi="宋体"/>
          <w:sz w:val="24"/>
          <w:u w:val="single"/>
        </w:rPr>
        <w:t>项目编号</w:t>
      </w:r>
      <w:r>
        <w:rPr>
          <w:rFonts w:ascii="宋体"/>
          <w:sz w:val="24"/>
          <w:u w:val="single"/>
        </w:rPr>
        <w:t>}</w:t>
      </w:r>
      <w:r>
        <w:rPr>
          <w:rFonts w:hint="eastAsia" w:ascii="宋体" w:hAnsi="宋体"/>
          <w:sz w:val="24"/>
        </w:rPr>
        <w:t>的</w:t>
      </w:r>
      <w:r>
        <w:rPr>
          <w:rFonts w:ascii="宋体" w:hAnsi="宋体"/>
          <w:sz w:val="24"/>
          <w:u w:val="single"/>
        </w:rPr>
        <w:t xml:space="preserve">  {</w:t>
      </w:r>
      <w:r>
        <w:rPr>
          <w:rFonts w:hint="eastAsia" w:ascii="宋体" w:hAnsi="宋体"/>
          <w:sz w:val="24"/>
          <w:u w:val="single"/>
        </w:rPr>
        <w:t>招标工程项目名称</w:t>
      </w:r>
      <w:r>
        <w:rPr>
          <w:rFonts w:ascii="宋体"/>
          <w:sz w:val="24"/>
          <w:u w:val="single"/>
        </w:rPr>
        <w:t>}</w:t>
      </w:r>
      <w:r>
        <w:rPr>
          <w:rFonts w:hint="eastAsia" w:ascii="宋体"/>
          <w:sz w:val="24"/>
          <w:u w:val="single"/>
          <w:lang w:eastAsia="zh-CN"/>
        </w:rPr>
        <w:t>（</w:t>
      </w:r>
      <w:r>
        <w:rPr>
          <w:rFonts w:hint="eastAsia" w:ascii="宋体"/>
          <w:sz w:val="24"/>
          <w:u w:val="single"/>
          <w:lang w:val="en-US" w:eastAsia="zh-CN"/>
        </w:rPr>
        <w:t xml:space="preserve">标项：   </w:t>
      </w:r>
      <w:r>
        <w:rPr>
          <w:rFonts w:hint="eastAsia" w:ascii="宋体"/>
          <w:sz w:val="24"/>
          <w:u w:val="single"/>
          <w:lang w:eastAsia="zh-CN"/>
        </w:rPr>
        <w:t>）</w:t>
      </w:r>
      <w:r>
        <w:rPr>
          <w:rFonts w:hint="eastAsia" w:ascii="宋体" w:hAnsi="宋体"/>
          <w:sz w:val="24"/>
        </w:rPr>
        <w:t>工程招标文件，遵照《中华人民共和国招标投标法》等有关规定，经踏勘项目现场和研究上述招标文件的投标须知、合同条款、图纸、工程建设标准和工程量清单及其他有关文件后，我方愿以综合费率</w:t>
      </w:r>
      <w:r>
        <w:rPr>
          <w:rFonts w:hint="eastAsia" w:ascii="宋体" w:hAnsi="宋体"/>
          <w:sz w:val="24"/>
          <w:u w:val="single"/>
        </w:rPr>
        <w:t xml:space="preserve">     % </w:t>
      </w:r>
      <w:r>
        <w:rPr>
          <w:rFonts w:hint="eastAsia" w:ascii="宋体" w:hAnsi="宋体"/>
          <w:b/>
          <w:bCs/>
          <w:color w:val="auto"/>
          <w:sz w:val="24"/>
          <w:u w:val="single"/>
          <w:lang w:eastAsia="zh-CN"/>
        </w:rPr>
        <w:t>（</w:t>
      </w:r>
      <w:r>
        <w:rPr>
          <w:rFonts w:hint="eastAsia"/>
          <w:b/>
          <w:bCs/>
          <w:color w:val="auto"/>
          <w:sz w:val="24"/>
          <w:lang w:val="en-US" w:eastAsia="zh-CN"/>
        </w:rPr>
        <w:t>本次报价以</w:t>
      </w:r>
      <w:r>
        <w:rPr>
          <w:rFonts w:hint="eastAsia"/>
          <w:b/>
          <w:bCs/>
          <w:color w:val="auto"/>
          <w:sz w:val="24"/>
          <w:u w:val="single"/>
          <w:lang w:val="en-US" w:eastAsia="zh-CN"/>
        </w:rPr>
        <w:t>A%</w:t>
      </w:r>
      <w:r>
        <w:rPr>
          <w:rFonts w:hint="eastAsia"/>
          <w:b/>
          <w:bCs/>
          <w:color w:val="auto"/>
          <w:sz w:val="24"/>
          <w:lang w:val="en-US" w:eastAsia="zh-CN"/>
        </w:rPr>
        <w:t>体现，其中A值为整数，不允许有小数点，否则按废标处理）</w:t>
      </w:r>
      <w:r>
        <w:rPr>
          <w:rFonts w:hint="eastAsia" w:ascii="宋体" w:hAnsi="宋体"/>
          <w:sz w:val="24"/>
        </w:rPr>
        <w:t>的投标报价并按招标文件要求承包上述工程的施工、竣工，并承担任何质量缺陷保修责任。</w:t>
      </w:r>
    </w:p>
    <w:p>
      <w:pPr>
        <w:ind w:firstLine="490"/>
        <w:rPr>
          <w:rFonts w:ascii="宋体"/>
          <w:sz w:val="24"/>
        </w:rPr>
      </w:pPr>
      <w:r>
        <w:rPr>
          <w:rFonts w:ascii="宋体" w:hAnsi="宋体"/>
          <w:sz w:val="24"/>
        </w:rPr>
        <w:t>2</w:t>
      </w:r>
      <w:r>
        <w:rPr>
          <w:rFonts w:hint="eastAsia" w:ascii="宋体" w:hAnsi="宋体"/>
          <w:sz w:val="24"/>
        </w:rPr>
        <w:t>、我方的总报价中已包含安全防护、文明施工措施费。</w:t>
      </w:r>
    </w:p>
    <w:p>
      <w:pPr>
        <w:ind w:firstLine="490"/>
        <w:rPr>
          <w:rFonts w:ascii="宋体"/>
          <w:sz w:val="24"/>
        </w:rPr>
      </w:pPr>
      <w:r>
        <w:rPr>
          <w:rFonts w:ascii="宋体" w:hAnsi="宋体"/>
          <w:sz w:val="24"/>
        </w:rPr>
        <w:t>3</w:t>
      </w:r>
      <w:r>
        <w:rPr>
          <w:rFonts w:hint="eastAsia" w:ascii="宋体" w:hAnsi="宋体"/>
          <w:sz w:val="24"/>
        </w:rPr>
        <w:t>、我方已详细审核全部招标文件，包括修改文件及有关附件。</w:t>
      </w:r>
    </w:p>
    <w:p>
      <w:pPr>
        <w:ind w:firstLine="490"/>
        <w:rPr>
          <w:rFonts w:ascii="宋体"/>
          <w:sz w:val="24"/>
        </w:rPr>
      </w:pPr>
      <w:r>
        <w:rPr>
          <w:rFonts w:ascii="宋体" w:hAnsi="宋体"/>
          <w:sz w:val="24"/>
        </w:rPr>
        <w:t>4</w:t>
      </w:r>
      <w:r>
        <w:rPr>
          <w:rFonts w:hint="eastAsia" w:ascii="宋体" w:hAnsi="宋体"/>
          <w:sz w:val="24"/>
        </w:rPr>
        <w:t>、我方承认投标函附录是我方投标函的组成部分。</w:t>
      </w:r>
    </w:p>
    <w:p>
      <w:pPr>
        <w:ind w:firstLine="490"/>
        <w:rPr>
          <w:rFonts w:ascii="宋体"/>
          <w:sz w:val="24"/>
        </w:rPr>
      </w:pPr>
      <w:r>
        <w:rPr>
          <w:rFonts w:ascii="宋体" w:hAnsi="宋体"/>
          <w:sz w:val="24"/>
        </w:rPr>
        <w:t>5</w:t>
      </w:r>
      <w:r>
        <w:rPr>
          <w:rFonts w:hint="eastAsia" w:ascii="宋体" w:hAnsi="宋体"/>
          <w:sz w:val="24"/>
        </w:rPr>
        <w:t>、一旦我方中标，我方保证</w:t>
      </w:r>
      <w:r>
        <w:rPr>
          <w:rFonts w:hint="eastAsia" w:ascii="宋体" w:hAnsi="宋体"/>
          <w:snapToGrid w:val="0"/>
          <w:kern w:val="0"/>
          <w:sz w:val="24"/>
        </w:rPr>
        <w:t>在年月日至年月日竣工，</w:t>
      </w:r>
      <w:r>
        <w:rPr>
          <w:rFonts w:hint="eastAsia" w:ascii="宋体" w:hAnsi="宋体"/>
          <w:sz w:val="24"/>
        </w:rPr>
        <w:t>即</w:t>
      </w:r>
      <w:r>
        <w:rPr>
          <w:rFonts w:ascii="宋体" w:hAnsi="宋体"/>
          <w:sz w:val="24"/>
          <w:u w:val="single"/>
        </w:rPr>
        <w:t xml:space="preserve"> {</w:t>
      </w:r>
      <w:r>
        <w:rPr>
          <w:rFonts w:hint="eastAsia" w:ascii="宋体" w:hAnsi="宋体"/>
          <w:sz w:val="24"/>
          <w:u w:val="single"/>
        </w:rPr>
        <w:t>维修期</w:t>
      </w:r>
      <w:r>
        <w:rPr>
          <w:rFonts w:ascii="宋体"/>
          <w:sz w:val="24"/>
          <w:u w:val="single"/>
        </w:rPr>
        <w:t>}</w:t>
      </w:r>
      <w:r>
        <w:rPr>
          <w:rFonts w:hint="eastAsia" w:ascii="宋体" w:hAnsi="宋体"/>
          <w:sz w:val="24"/>
        </w:rPr>
        <w:t>年内完成巡查及维修并移交全部工程。</w:t>
      </w:r>
    </w:p>
    <w:p>
      <w:pPr>
        <w:ind w:firstLine="490"/>
        <w:rPr>
          <w:rFonts w:ascii="宋体"/>
          <w:sz w:val="24"/>
        </w:rPr>
      </w:pPr>
      <w:r>
        <w:rPr>
          <w:rFonts w:ascii="宋体" w:hAnsi="宋体"/>
          <w:snapToGrid w:val="0"/>
          <w:kern w:val="0"/>
          <w:sz w:val="24"/>
        </w:rPr>
        <w:t>6</w:t>
      </w:r>
      <w:r>
        <w:rPr>
          <w:rFonts w:hint="eastAsia" w:ascii="宋体" w:hAnsi="宋体"/>
          <w:snapToGrid w:val="0"/>
          <w:kern w:val="0"/>
          <w:sz w:val="24"/>
        </w:rPr>
        <w:t>、如果我方中标，我方承诺工程质量达到的目标为：。</w:t>
      </w:r>
    </w:p>
    <w:p>
      <w:pPr>
        <w:snapToGrid w:val="0"/>
        <w:ind w:firstLine="480" w:firstLineChars="200"/>
        <w:rPr>
          <w:rFonts w:ascii="宋体"/>
          <w:snapToGrid w:val="0"/>
          <w:kern w:val="0"/>
          <w:sz w:val="24"/>
        </w:rPr>
      </w:pPr>
      <w:r>
        <w:rPr>
          <w:rFonts w:ascii="宋体" w:hAnsi="宋体"/>
          <w:sz w:val="24"/>
        </w:rPr>
        <w:t>7</w:t>
      </w:r>
      <w:r>
        <w:rPr>
          <w:rFonts w:hint="eastAsia" w:ascii="宋体" w:hAnsi="宋体"/>
          <w:sz w:val="24"/>
        </w:rPr>
        <w:t>、</w:t>
      </w:r>
      <w:r>
        <w:rPr>
          <w:rFonts w:hint="eastAsia" w:ascii="宋体" w:hAnsi="宋体"/>
          <w:snapToGrid w:val="0"/>
          <w:kern w:val="0"/>
          <w:sz w:val="24"/>
        </w:rPr>
        <w:t>如果我方中标，我方将按照招标文件的规定提交中标造价的</w:t>
      </w:r>
      <w:r>
        <w:rPr>
          <w:rFonts w:hint="eastAsia" w:ascii="宋体" w:hAnsi="宋体"/>
          <w:snapToGrid w:val="0"/>
          <w:kern w:val="0"/>
          <w:sz w:val="24"/>
          <w:u w:val="single"/>
        </w:rPr>
        <w:t>/</w:t>
      </w:r>
      <w:r>
        <w:rPr>
          <w:rFonts w:hint="eastAsia" w:ascii="宋体" w:hAnsi="宋体"/>
          <w:snapToGrid w:val="0"/>
          <w:kern w:val="0"/>
          <w:sz w:val="24"/>
        </w:rPr>
        <w:t>，计</w:t>
      </w:r>
      <w:r>
        <w:rPr>
          <w:rFonts w:hint="eastAsia" w:ascii="宋体" w:hAnsi="宋体"/>
          <w:snapToGrid w:val="0"/>
          <w:kern w:val="0"/>
          <w:sz w:val="24"/>
          <w:u w:val="single"/>
          <w:lang w:val="en-US" w:eastAsia="zh-CN"/>
        </w:rPr>
        <w:t xml:space="preserve">   </w:t>
      </w:r>
      <w:r>
        <w:rPr>
          <w:rFonts w:hint="eastAsia" w:ascii="宋体" w:hAnsi="宋体"/>
          <w:snapToGrid w:val="0"/>
          <w:kern w:val="0"/>
          <w:sz w:val="24"/>
        </w:rPr>
        <w:t>万元（人民币）作为履约保证金（其中：工程质量履约保证金为</w:t>
      </w:r>
      <w:r>
        <w:rPr>
          <w:rFonts w:ascii="宋体" w:hAnsi="宋体"/>
          <w:snapToGrid w:val="0"/>
          <w:kern w:val="0"/>
          <w:sz w:val="24"/>
          <w:u w:val="single"/>
        </w:rPr>
        <w:t xml:space="preserve"> 30   </w:t>
      </w:r>
      <w:r>
        <w:rPr>
          <w:rFonts w:ascii="宋体" w:hAnsi="宋体"/>
          <w:snapToGrid w:val="0"/>
          <w:kern w:val="0"/>
          <w:sz w:val="24"/>
        </w:rPr>
        <w:t>%</w:t>
      </w:r>
      <w:r>
        <w:rPr>
          <w:rFonts w:hint="eastAsia" w:ascii="宋体" w:hAnsi="宋体"/>
          <w:snapToGrid w:val="0"/>
          <w:kern w:val="0"/>
          <w:sz w:val="24"/>
        </w:rPr>
        <w:t>：￥万元；工期履约保证金为</w:t>
      </w:r>
      <w:r>
        <w:rPr>
          <w:rFonts w:ascii="宋体" w:hAnsi="宋体"/>
          <w:snapToGrid w:val="0"/>
          <w:kern w:val="0"/>
          <w:sz w:val="24"/>
          <w:u w:val="single"/>
        </w:rPr>
        <w:t xml:space="preserve"> 30  </w:t>
      </w:r>
      <w:r>
        <w:rPr>
          <w:rFonts w:ascii="宋体" w:hAnsi="宋体"/>
          <w:snapToGrid w:val="0"/>
          <w:kern w:val="0"/>
          <w:sz w:val="24"/>
        </w:rPr>
        <w:t>%</w:t>
      </w:r>
      <w:r>
        <w:rPr>
          <w:rFonts w:hint="eastAsia" w:ascii="宋体" w:hAnsi="宋体"/>
          <w:snapToGrid w:val="0"/>
          <w:kern w:val="0"/>
          <w:sz w:val="24"/>
        </w:rPr>
        <w:t>：￥万元；项目负责人到位率保证金为</w:t>
      </w:r>
      <w:r>
        <w:rPr>
          <w:rFonts w:ascii="宋体" w:hAnsi="宋体"/>
          <w:snapToGrid w:val="0"/>
          <w:kern w:val="0"/>
          <w:sz w:val="24"/>
          <w:u w:val="single"/>
        </w:rPr>
        <w:t xml:space="preserve"> 20  </w:t>
      </w:r>
      <w:r>
        <w:rPr>
          <w:rFonts w:ascii="宋体" w:hAnsi="宋体"/>
          <w:snapToGrid w:val="0"/>
          <w:kern w:val="0"/>
          <w:sz w:val="24"/>
        </w:rPr>
        <w:t>%</w:t>
      </w:r>
      <w:r>
        <w:rPr>
          <w:rFonts w:hint="eastAsia" w:ascii="宋体" w:hAnsi="宋体"/>
          <w:snapToGrid w:val="0"/>
          <w:kern w:val="0"/>
          <w:sz w:val="24"/>
        </w:rPr>
        <w:t>：￥万元；安全无死亡事故保证金为</w:t>
      </w:r>
      <w:r>
        <w:rPr>
          <w:rFonts w:ascii="宋体" w:hAnsi="宋体"/>
          <w:snapToGrid w:val="0"/>
          <w:kern w:val="0"/>
          <w:sz w:val="24"/>
          <w:u w:val="single"/>
        </w:rPr>
        <w:t xml:space="preserve"> 10 </w:t>
      </w:r>
      <w:r>
        <w:rPr>
          <w:rFonts w:ascii="宋体" w:hAnsi="宋体"/>
          <w:snapToGrid w:val="0"/>
          <w:kern w:val="0"/>
          <w:sz w:val="24"/>
        </w:rPr>
        <w:t>%</w:t>
      </w:r>
      <w:r>
        <w:rPr>
          <w:rFonts w:hint="eastAsia" w:ascii="宋体" w:hAnsi="宋体"/>
          <w:snapToGrid w:val="0"/>
          <w:kern w:val="0"/>
          <w:sz w:val="24"/>
        </w:rPr>
        <w:t>：￥万元；文明施工保证金为</w:t>
      </w:r>
      <w:r>
        <w:rPr>
          <w:rFonts w:ascii="宋体" w:hAnsi="宋体"/>
          <w:snapToGrid w:val="0"/>
          <w:kern w:val="0"/>
          <w:sz w:val="24"/>
          <w:u w:val="single"/>
        </w:rPr>
        <w:t xml:space="preserve"> 10  </w:t>
      </w:r>
      <w:r>
        <w:rPr>
          <w:rFonts w:ascii="宋体" w:hAnsi="宋体"/>
          <w:snapToGrid w:val="0"/>
          <w:kern w:val="0"/>
          <w:sz w:val="24"/>
        </w:rPr>
        <w:t>%</w:t>
      </w:r>
      <w:r>
        <w:rPr>
          <w:rFonts w:hint="eastAsia" w:ascii="宋体" w:hAnsi="宋体"/>
          <w:snapToGrid w:val="0"/>
          <w:kern w:val="0"/>
          <w:sz w:val="24"/>
        </w:rPr>
        <w:t>：￥万元），并按中标通知书中规定的日期与贵方签订承包合同，并承担承包单位的一切义务和责任。</w:t>
      </w:r>
    </w:p>
    <w:p>
      <w:pPr>
        <w:ind w:firstLine="490"/>
        <w:rPr>
          <w:rFonts w:ascii="宋体"/>
          <w:sz w:val="24"/>
        </w:rPr>
      </w:pPr>
      <w:r>
        <w:rPr>
          <w:rFonts w:ascii="宋体" w:hAnsi="宋体"/>
          <w:sz w:val="24"/>
        </w:rPr>
        <w:t>8</w:t>
      </w:r>
      <w:r>
        <w:rPr>
          <w:rFonts w:hint="eastAsia" w:ascii="宋体" w:hAnsi="宋体"/>
          <w:sz w:val="24"/>
        </w:rPr>
        <w:t>、我方同意所提交的投标文件在招标文件的投标须知中第</w:t>
      </w:r>
      <w:r>
        <w:rPr>
          <w:rFonts w:ascii="宋体" w:hAnsi="宋体"/>
          <w:sz w:val="24"/>
        </w:rPr>
        <w:t>14</w:t>
      </w:r>
      <w:r>
        <w:rPr>
          <w:rFonts w:hint="eastAsia" w:ascii="宋体" w:hAnsi="宋体"/>
          <w:sz w:val="24"/>
        </w:rPr>
        <w:t>条规定的投标有效期内有效，在此期间内如果中标，我方将受此约束。</w:t>
      </w:r>
    </w:p>
    <w:p>
      <w:pPr>
        <w:ind w:firstLine="490"/>
        <w:rPr>
          <w:rFonts w:ascii="宋体"/>
          <w:sz w:val="24"/>
        </w:rPr>
      </w:pPr>
      <w:r>
        <w:rPr>
          <w:rFonts w:ascii="宋体" w:hAnsi="宋体"/>
          <w:sz w:val="24"/>
        </w:rPr>
        <w:t>9</w:t>
      </w:r>
      <w:r>
        <w:rPr>
          <w:rFonts w:hint="eastAsia" w:ascii="宋体" w:hAnsi="宋体"/>
          <w:sz w:val="24"/>
        </w:rPr>
        <w:t>、除非另外达成协议并生效，你方的中标通知书和本投标文件将成为约束双方的合同文件的组成部分。</w:t>
      </w:r>
    </w:p>
    <w:p>
      <w:pPr>
        <w:tabs>
          <w:tab w:val="left" w:pos="7560"/>
        </w:tabs>
        <w:ind w:firstLine="480" w:firstLineChars="200"/>
        <w:rPr>
          <w:rFonts w:ascii="宋体"/>
          <w:sz w:val="24"/>
        </w:rPr>
      </w:pPr>
    </w:p>
    <w:p>
      <w:pPr>
        <w:tabs>
          <w:tab w:val="left" w:pos="7560"/>
        </w:tabs>
        <w:ind w:firstLine="480" w:firstLineChars="200"/>
        <w:rPr>
          <w:rFonts w:ascii="宋体"/>
          <w:sz w:val="24"/>
        </w:rPr>
      </w:pPr>
      <w:r>
        <w:rPr>
          <w:rFonts w:ascii="宋体" w:hAnsi="宋体"/>
          <w:sz w:val="24"/>
        </w:rPr>
        <w:t>10</w:t>
      </w:r>
      <w:r>
        <w:rPr>
          <w:rFonts w:hint="eastAsia" w:ascii="宋体" w:hAnsi="宋体"/>
          <w:sz w:val="24"/>
        </w:rPr>
        <w:t>、项目负责人姓名</w:t>
      </w:r>
      <w:r>
        <w:rPr>
          <w:rFonts w:hint="eastAsia" w:ascii="宋体" w:hAnsi="宋体"/>
          <w:sz w:val="24"/>
          <w:u w:val="single"/>
          <w:lang w:val="en-US" w:eastAsia="zh-CN"/>
        </w:rPr>
        <w:t xml:space="preserve">     </w:t>
      </w:r>
      <w:r>
        <w:rPr>
          <w:rFonts w:hint="eastAsia" w:ascii="宋体" w:hAnsi="宋体"/>
          <w:sz w:val="24"/>
        </w:rPr>
        <w:t>，专业及等级</w:t>
      </w:r>
      <w:r>
        <w:rPr>
          <w:rFonts w:hint="eastAsia" w:ascii="宋体" w:hAnsi="宋体"/>
          <w:sz w:val="24"/>
          <w:u w:val="single"/>
          <w:lang w:val="en-US" w:eastAsia="zh-CN"/>
        </w:rPr>
        <w:t xml:space="preserve">     </w:t>
      </w:r>
      <w:r>
        <w:rPr>
          <w:rFonts w:hint="eastAsia" w:ascii="宋体" w:hAnsi="宋体"/>
          <w:sz w:val="24"/>
        </w:rPr>
        <w:t>。</w:t>
      </w:r>
    </w:p>
    <w:p>
      <w:pPr>
        <w:tabs>
          <w:tab w:val="left" w:pos="7560"/>
        </w:tabs>
        <w:ind w:firstLine="480" w:firstLineChars="200"/>
        <w:rPr>
          <w:rFonts w:ascii="宋体" w:hAnsi="宋体"/>
          <w:sz w:val="24"/>
        </w:rPr>
      </w:pPr>
      <w:r>
        <w:rPr>
          <w:rFonts w:hint="eastAsia" w:ascii="宋体" w:hAnsi="宋体"/>
          <w:sz w:val="24"/>
        </w:rPr>
        <w:t xml:space="preserve">   </w:t>
      </w:r>
    </w:p>
    <w:p>
      <w:pPr>
        <w:tabs>
          <w:tab w:val="left" w:pos="7560"/>
        </w:tabs>
        <w:ind w:firstLine="480" w:firstLineChars="200"/>
        <w:rPr>
          <w:rFonts w:ascii="宋体"/>
          <w:sz w:val="24"/>
        </w:rPr>
      </w:pPr>
      <w:r>
        <w:rPr>
          <w:rFonts w:hint="eastAsia" w:ascii="宋体" w:hAnsi="宋体"/>
          <w:sz w:val="24"/>
        </w:rPr>
        <w:t>11、企业资质</w:t>
      </w:r>
      <w:r>
        <w:rPr>
          <w:rFonts w:hint="eastAsia" w:ascii="宋体" w:hAnsi="宋体"/>
          <w:sz w:val="24"/>
          <w:u w:val="single"/>
          <w:lang w:val="en-US" w:eastAsia="zh-CN"/>
        </w:rPr>
        <w:t xml:space="preserve">     </w:t>
      </w:r>
      <w:r>
        <w:rPr>
          <w:rFonts w:hint="eastAsia" w:ascii="宋体" w:hAnsi="宋体"/>
          <w:sz w:val="24"/>
        </w:rPr>
        <w:t>。</w:t>
      </w:r>
    </w:p>
    <w:p>
      <w:pPr>
        <w:ind w:firstLine="490"/>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ind w:left="998"/>
        <w:rPr>
          <w:rFonts w:ascii="宋体"/>
          <w:sz w:val="24"/>
          <w:u w:val="single"/>
        </w:rPr>
      </w:pPr>
      <w:bookmarkStart w:id="613" w:name="_GoBack"/>
      <w:bookmarkEnd w:id="613"/>
      <w:r>
        <w:rPr>
          <w:rFonts w:hint="eastAsia" w:ascii="宋体" w:hAnsi="宋体"/>
          <w:sz w:val="24"/>
        </w:rPr>
        <w:t>投标人：</w:t>
      </w:r>
      <w:r>
        <w:rPr>
          <w:rFonts w:hint="eastAsia" w:ascii="宋体" w:hAnsi="宋体"/>
          <w:sz w:val="24"/>
          <w:u w:val="single"/>
        </w:rPr>
        <w:t>（盖章）</w:t>
      </w:r>
    </w:p>
    <w:p>
      <w:pPr>
        <w:ind w:left="998"/>
        <w:rPr>
          <w:rFonts w:ascii="宋体"/>
          <w:sz w:val="24"/>
          <w:u w:val="single"/>
        </w:rPr>
      </w:pPr>
      <w:r>
        <w:rPr>
          <w:rFonts w:hint="eastAsia" w:ascii="宋体" w:hAnsi="宋体"/>
          <w:sz w:val="24"/>
        </w:rPr>
        <w:t>单位地址：</w:t>
      </w:r>
      <w:r>
        <w:rPr>
          <w:rFonts w:ascii="宋体"/>
          <w:sz w:val="24"/>
          <w:u w:val="single"/>
        </w:rPr>
        <w:tab/>
      </w:r>
      <w:r>
        <w:rPr>
          <w:rFonts w:ascii="宋体"/>
          <w:sz w:val="24"/>
          <w:u w:val="single"/>
        </w:rPr>
        <w:tab/>
      </w:r>
      <w:r>
        <w:rPr>
          <w:rFonts w:asci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pPr>
        <w:ind w:left="998"/>
        <w:rPr>
          <w:rFonts w:ascii="宋体"/>
          <w:sz w:val="24"/>
          <w:u w:val="single"/>
        </w:rPr>
      </w:pPr>
      <w:r>
        <w:rPr>
          <w:rFonts w:hint="eastAsia" w:ascii="宋体" w:hAnsi="宋体"/>
          <w:sz w:val="24"/>
        </w:rPr>
        <w:t>法定代表人或其委托代理人：</w:t>
      </w:r>
      <w:r>
        <w:rPr>
          <w:rFonts w:hint="eastAsia" w:ascii="宋体" w:hAnsi="宋体"/>
          <w:sz w:val="24"/>
          <w:u w:val="single"/>
        </w:rPr>
        <w:t>（签字或盖章）</w:t>
      </w:r>
    </w:p>
    <w:p>
      <w:pPr>
        <w:ind w:left="998"/>
        <w:rPr>
          <w:rFonts w:ascii="宋体"/>
          <w:sz w:val="24"/>
        </w:rPr>
      </w:pPr>
      <w:r>
        <w:rPr>
          <w:rFonts w:hint="eastAsia" w:ascii="宋体" w:hAnsi="宋体"/>
          <w:sz w:val="24"/>
        </w:rPr>
        <w:t>邮政编码：</w:t>
      </w:r>
      <w:r>
        <w:rPr>
          <w:rFonts w:ascii="宋体"/>
          <w:sz w:val="24"/>
          <w:u w:val="single"/>
        </w:rPr>
        <w:tab/>
      </w:r>
      <w:r>
        <w:rPr>
          <w:rFonts w:ascii="宋体" w:hAnsi="宋体"/>
          <w:sz w:val="24"/>
          <w:u w:val="single"/>
        </w:rPr>
        <w:tab/>
      </w:r>
      <w:r>
        <w:rPr>
          <w:rFonts w:hint="eastAsia" w:ascii="宋体" w:hAnsi="宋体"/>
          <w:sz w:val="24"/>
        </w:rPr>
        <w:t>电话：</w:t>
      </w:r>
      <w:r>
        <w:rPr>
          <w:rFonts w:ascii="宋体"/>
          <w:sz w:val="24"/>
          <w:u w:val="single"/>
        </w:rPr>
        <w:tab/>
      </w:r>
      <w:r>
        <w:rPr>
          <w:rFonts w:ascii="宋体" w:hAnsi="宋体"/>
          <w:sz w:val="24"/>
          <w:u w:val="single"/>
        </w:rPr>
        <w:tab/>
      </w:r>
      <w:r>
        <w:rPr>
          <w:rFonts w:hint="eastAsia" w:ascii="宋体" w:hAnsi="宋体"/>
          <w:sz w:val="24"/>
        </w:rPr>
        <w:t>传真：</w:t>
      </w:r>
      <w:r>
        <w:rPr>
          <w:rFonts w:ascii="宋体"/>
          <w:sz w:val="24"/>
          <w:u w:val="single"/>
        </w:rPr>
        <w:tab/>
      </w:r>
    </w:p>
    <w:p>
      <w:pPr>
        <w:spacing w:line="360" w:lineRule="auto"/>
        <w:rPr>
          <w:rFonts w:ascii="宋体"/>
          <w:sz w:val="24"/>
        </w:rPr>
      </w:pPr>
      <w:r>
        <w:rPr>
          <w:rFonts w:hint="eastAsia" w:ascii="宋体" w:hAnsi="宋体"/>
          <w:sz w:val="24"/>
        </w:rPr>
        <w:t>日期：</w:t>
      </w:r>
      <w:r>
        <w:rPr>
          <w:rFonts w:ascii="宋体" w:hAnsi="宋体"/>
          <w:sz w:val="24"/>
        </w:rPr>
        <w:t>_____</w:t>
      </w:r>
      <w:r>
        <w:rPr>
          <w:rFonts w:hint="eastAsia" w:ascii="宋体" w:hAnsi="宋体"/>
          <w:sz w:val="24"/>
        </w:rPr>
        <w:t>年</w:t>
      </w:r>
      <w:r>
        <w:rPr>
          <w:rFonts w:ascii="宋体" w:hAnsi="宋体"/>
          <w:sz w:val="24"/>
        </w:rPr>
        <w:t>____</w:t>
      </w:r>
      <w:r>
        <w:rPr>
          <w:rFonts w:hint="eastAsia" w:ascii="宋体" w:hAnsi="宋体"/>
          <w:sz w:val="24"/>
        </w:rPr>
        <w:t>月</w:t>
      </w:r>
      <w:r>
        <w:rPr>
          <w:rFonts w:ascii="宋体" w:hAnsi="宋体"/>
          <w:sz w:val="24"/>
        </w:rPr>
        <w:t>____</w:t>
      </w:r>
      <w:r>
        <w:rPr>
          <w:rFonts w:hint="eastAsia" w:ascii="宋体" w:hAnsi="宋体"/>
          <w:sz w:val="24"/>
        </w:rPr>
        <w:t>日</w:t>
      </w:r>
    </w:p>
    <w:p>
      <w:pPr>
        <w:spacing w:line="360" w:lineRule="auto"/>
        <w:ind w:firstLine="2160" w:firstLineChars="900"/>
        <w:rPr>
          <w:rFonts w:ascii="宋体"/>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b/>
          <w:sz w:val="24"/>
        </w:rPr>
      </w:pPr>
      <w:r>
        <w:rPr>
          <w:rFonts w:hint="eastAsia" w:ascii="宋体" w:hAnsi="宋体"/>
          <w:b/>
          <w:sz w:val="24"/>
        </w:rPr>
        <w:t>十五、投标函附录</w:t>
      </w:r>
    </w:p>
    <w:p>
      <w:pPr>
        <w:jc w:val="center"/>
        <w:rPr>
          <w:rFonts w:ascii="宋体"/>
          <w:b/>
          <w:sz w:val="24"/>
        </w:rPr>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3425"/>
        <w:gridCol w:w="3591"/>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trPr>
        <w:tc>
          <w:tcPr>
            <w:tcW w:w="687" w:type="dxa"/>
            <w:noWrap/>
            <w:vAlign w:val="center"/>
          </w:tcPr>
          <w:p>
            <w:pPr>
              <w:jc w:val="center"/>
              <w:rPr>
                <w:rFonts w:ascii="宋体"/>
                <w:sz w:val="24"/>
              </w:rPr>
            </w:pPr>
            <w:r>
              <w:rPr>
                <w:rFonts w:hint="eastAsia" w:ascii="宋体" w:hAnsi="宋体"/>
                <w:sz w:val="24"/>
              </w:rPr>
              <w:t>序号</w:t>
            </w:r>
          </w:p>
        </w:tc>
        <w:tc>
          <w:tcPr>
            <w:tcW w:w="3425" w:type="dxa"/>
            <w:noWrap/>
            <w:vAlign w:val="center"/>
          </w:tcPr>
          <w:p>
            <w:pPr>
              <w:jc w:val="center"/>
              <w:rPr>
                <w:rFonts w:ascii="宋体"/>
                <w:sz w:val="24"/>
              </w:rPr>
            </w:pPr>
            <w:r>
              <w:rPr>
                <w:rFonts w:hint="eastAsia" w:ascii="宋体" w:hAnsi="宋体"/>
                <w:sz w:val="24"/>
              </w:rPr>
              <w:t>项目内容</w:t>
            </w:r>
          </w:p>
        </w:tc>
        <w:tc>
          <w:tcPr>
            <w:tcW w:w="3591" w:type="dxa"/>
            <w:noWrap/>
            <w:vAlign w:val="center"/>
          </w:tcPr>
          <w:p>
            <w:pPr>
              <w:jc w:val="center"/>
              <w:rPr>
                <w:rFonts w:ascii="宋体"/>
                <w:sz w:val="24"/>
              </w:rPr>
            </w:pPr>
            <w:r>
              <w:rPr>
                <w:rFonts w:hint="eastAsia" w:ascii="宋体" w:hAnsi="宋体"/>
                <w:sz w:val="24"/>
              </w:rPr>
              <w:t>约定内容</w:t>
            </w:r>
          </w:p>
        </w:tc>
        <w:tc>
          <w:tcPr>
            <w:tcW w:w="1657" w:type="dxa"/>
            <w:noWrap/>
            <w:vAlign w:val="center"/>
          </w:tcPr>
          <w:p>
            <w:pPr>
              <w:jc w:val="center"/>
              <w:rPr>
                <w:rFonts w:asci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6" w:hRule="atLeast"/>
        </w:trPr>
        <w:tc>
          <w:tcPr>
            <w:tcW w:w="687" w:type="dxa"/>
            <w:noWrap/>
            <w:vAlign w:val="center"/>
          </w:tcPr>
          <w:p>
            <w:pPr>
              <w:rPr>
                <w:rFonts w:ascii="宋体"/>
                <w:sz w:val="24"/>
              </w:rPr>
            </w:pPr>
            <w:r>
              <w:rPr>
                <w:rFonts w:ascii="宋体" w:hAnsi="宋体"/>
                <w:sz w:val="24"/>
              </w:rPr>
              <w:t>1</w:t>
            </w:r>
          </w:p>
        </w:tc>
        <w:tc>
          <w:tcPr>
            <w:tcW w:w="3425" w:type="dxa"/>
            <w:noWrap/>
            <w:vAlign w:val="center"/>
          </w:tcPr>
          <w:p>
            <w:pPr>
              <w:rPr>
                <w:rFonts w:ascii="宋体"/>
                <w:sz w:val="24"/>
              </w:rPr>
            </w:pPr>
            <w:r>
              <w:rPr>
                <w:rFonts w:hint="eastAsia" w:ascii="宋体" w:hAnsi="宋体"/>
                <w:sz w:val="24"/>
              </w:rPr>
              <w:t>履约保证金</w:t>
            </w:r>
          </w:p>
          <w:p>
            <w:pPr>
              <w:rPr>
                <w:rFonts w:ascii="宋体"/>
                <w:sz w:val="24"/>
              </w:rPr>
            </w:pPr>
            <w:r>
              <w:rPr>
                <w:rFonts w:hint="eastAsia" w:ascii="宋体" w:hAnsi="宋体"/>
                <w:sz w:val="24"/>
              </w:rPr>
              <w:t>履约担保书金额</w:t>
            </w:r>
          </w:p>
        </w:tc>
        <w:tc>
          <w:tcPr>
            <w:tcW w:w="3591" w:type="dxa"/>
            <w:noWrap/>
            <w:vAlign w:val="center"/>
          </w:tcPr>
          <w:p>
            <w:pPr>
              <w:rPr>
                <w:rFonts w:ascii="宋体"/>
                <w:sz w:val="24"/>
              </w:rPr>
            </w:pPr>
            <w:r>
              <w:rPr>
                <w:rFonts w:hint="eastAsia" w:ascii="宋体"/>
                <w:sz w:val="24"/>
              </w:rPr>
              <w:t>壹佰万元</w:t>
            </w:r>
          </w:p>
        </w:tc>
        <w:tc>
          <w:tcPr>
            <w:tcW w:w="1657" w:type="dxa"/>
            <w:noWrap/>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687" w:type="dxa"/>
            <w:noWrap/>
            <w:vAlign w:val="center"/>
          </w:tcPr>
          <w:p>
            <w:pPr>
              <w:rPr>
                <w:rFonts w:ascii="宋体"/>
                <w:sz w:val="24"/>
              </w:rPr>
            </w:pPr>
            <w:r>
              <w:rPr>
                <w:rFonts w:ascii="宋体" w:hAnsi="宋体"/>
                <w:sz w:val="24"/>
              </w:rPr>
              <w:t>2</w:t>
            </w:r>
          </w:p>
        </w:tc>
        <w:tc>
          <w:tcPr>
            <w:tcW w:w="3425" w:type="dxa"/>
            <w:noWrap/>
            <w:vAlign w:val="center"/>
          </w:tcPr>
          <w:p>
            <w:pPr>
              <w:rPr>
                <w:rFonts w:ascii="宋体"/>
                <w:sz w:val="24"/>
              </w:rPr>
            </w:pPr>
            <w:r>
              <w:rPr>
                <w:rFonts w:hint="eastAsia" w:ascii="宋体" w:hAnsi="宋体"/>
                <w:sz w:val="24"/>
              </w:rPr>
              <w:t>施工准备时间</w:t>
            </w:r>
          </w:p>
        </w:tc>
        <w:tc>
          <w:tcPr>
            <w:tcW w:w="3591" w:type="dxa"/>
            <w:noWrap/>
            <w:vAlign w:val="center"/>
          </w:tcPr>
          <w:p>
            <w:pPr>
              <w:rPr>
                <w:rFonts w:ascii="宋体"/>
                <w:sz w:val="24"/>
              </w:rPr>
            </w:pPr>
            <w:r>
              <w:rPr>
                <w:rFonts w:hint="eastAsia" w:ascii="宋体" w:hAnsi="宋体"/>
                <w:sz w:val="24"/>
              </w:rPr>
              <w:t>签订合同后（）天</w:t>
            </w:r>
          </w:p>
        </w:tc>
        <w:tc>
          <w:tcPr>
            <w:tcW w:w="1657" w:type="dxa"/>
            <w:noWrap/>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trPr>
        <w:tc>
          <w:tcPr>
            <w:tcW w:w="687" w:type="dxa"/>
            <w:noWrap/>
            <w:vAlign w:val="center"/>
          </w:tcPr>
          <w:p>
            <w:pPr>
              <w:rPr>
                <w:rFonts w:ascii="宋体"/>
                <w:sz w:val="24"/>
              </w:rPr>
            </w:pPr>
            <w:r>
              <w:rPr>
                <w:rFonts w:ascii="宋体" w:hAnsi="宋体"/>
                <w:sz w:val="24"/>
              </w:rPr>
              <w:t>3</w:t>
            </w:r>
          </w:p>
        </w:tc>
        <w:tc>
          <w:tcPr>
            <w:tcW w:w="3425" w:type="dxa"/>
            <w:noWrap/>
            <w:vAlign w:val="center"/>
          </w:tcPr>
          <w:p>
            <w:pPr>
              <w:rPr>
                <w:rFonts w:ascii="宋体"/>
                <w:sz w:val="24"/>
              </w:rPr>
            </w:pPr>
            <w:r>
              <w:rPr>
                <w:rFonts w:hint="eastAsia" w:ascii="宋体" w:hAnsi="宋体"/>
                <w:sz w:val="24"/>
              </w:rPr>
              <w:t>误期违约金额</w:t>
            </w:r>
          </w:p>
        </w:tc>
        <w:tc>
          <w:tcPr>
            <w:tcW w:w="3591" w:type="dxa"/>
            <w:noWrap/>
            <w:vAlign w:val="center"/>
          </w:tcPr>
          <w:p>
            <w:pPr>
              <w:rPr>
                <w:rFonts w:ascii="宋体"/>
                <w:sz w:val="24"/>
              </w:rPr>
            </w:pPr>
            <w:r>
              <w:rPr>
                <w:rFonts w:hint="eastAsia" w:ascii="宋体" w:hAnsi="宋体"/>
                <w:sz w:val="24"/>
              </w:rPr>
              <w:t>（）元</w:t>
            </w:r>
            <w:r>
              <w:rPr>
                <w:rFonts w:ascii="宋体" w:hAnsi="宋体"/>
                <w:sz w:val="24"/>
              </w:rPr>
              <w:t>/</w:t>
            </w:r>
            <w:r>
              <w:rPr>
                <w:rFonts w:hint="eastAsia" w:ascii="宋体" w:hAnsi="宋体"/>
                <w:sz w:val="24"/>
              </w:rPr>
              <w:t>天</w:t>
            </w:r>
          </w:p>
        </w:tc>
        <w:tc>
          <w:tcPr>
            <w:tcW w:w="1657" w:type="dxa"/>
            <w:noWrap/>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687" w:type="dxa"/>
            <w:noWrap/>
            <w:vAlign w:val="center"/>
          </w:tcPr>
          <w:p>
            <w:pPr>
              <w:rPr>
                <w:rFonts w:ascii="宋体"/>
                <w:sz w:val="24"/>
              </w:rPr>
            </w:pPr>
            <w:r>
              <w:rPr>
                <w:rFonts w:ascii="宋体" w:hAnsi="宋体"/>
                <w:sz w:val="24"/>
              </w:rPr>
              <w:t>4</w:t>
            </w:r>
          </w:p>
        </w:tc>
        <w:tc>
          <w:tcPr>
            <w:tcW w:w="3425" w:type="dxa"/>
            <w:noWrap/>
            <w:vAlign w:val="center"/>
          </w:tcPr>
          <w:p>
            <w:pPr>
              <w:rPr>
                <w:rFonts w:ascii="宋体"/>
                <w:sz w:val="24"/>
              </w:rPr>
            </w:pPr>
            <w:r>
              <w:rPr>
                <w:rFonts w:hint="eastAsia" w:ascii="宋体" w:hAnsi="宋体"/>
                <w:sz w:val="24"/>
              </w:rPr>
              <w:t>误期赔偿费限额</w:t>
            </w:r>
          </w:p>
        </w:tc>
        <w:tc>
          <w:tcPr>
            <w:tcW w:w="3591" w:type="dxa"/>
            <w:noWrap/>
            <w:vAlign w:val="center"/>
          </w:tcPr>
          <w:p>
            <w:pPr>
              <w:rPr>
                <w:rFonts w:ascii="宋体"/>
                <w:sz w:val="24"/>
              </w:rPr>
            </w:pPr>
            <w:r>
              <w:rPr>
                <w:rFonts w:hint="eastAsia" w:ascii="宋体" w:hAnsi="宋体"/>
                <w:sz w:val="24"/>
              </w:rPr>
              <w:t>合同价款（）</w:t>
            </w:r>
            <w:r>
              <w:rPr>
                <w:rFonts w:ascii="宋体" w:hAnsi="宋体"/>
                <w:sz w:val="24"/>
              </w:rPr>
              <w:t>%</w:t>
            </w:r>
          </w:p>
        </w:tc>
        <w:tc>
          <w:tcPr>
            <w:tcW w:w="1657" w:type="dxa"/>
            <w:noWrap/>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trPr>
        <w:tc>
          <w:tcPr>
            <w:tcW w:w="687" w:type="dxa"/>
            <w:noWrap/>
            <w:vAlign w:val="center"/>
          </w:tcPr>
          <w:p>
            <w:pPr>
              <w:rPr>
                <w:rFonts w:ascii="宋体"/>
                <w:sz w:val="24"/>
              </w:rPr>
            </w:pPr>
            <w:r>
              <w:rPr>
                <w:rFonts w:ascii="宋体" w:hAnsi="宋体"/>
                <w:sz w:val="24"/>
              </w:rPr>
              <w:t>5</w:t>
            </w:r>
          </w:p>
        </w:tc>
        <w:tc>
          <w:tcPr>
            <w:tcW w:w="3425" w:type="dxa"/>
            <w:noWrap/>
            <w:vAlign w:val="center"/>
          </w:tcPr>
          <w:p>
            <w:pPr>
              <w:rPr>
                <w:rFonts w:ascii="宋体"/>
                <w:sz w:val="24"/>
              </w:rPr>
            </w:pPr>
            <w:r>
              <w:rPr>
                <w:rFonts w:hint="eastAsia" w:ascii="宋体" w:hAnsi="宋体"/>
                <w:sz w:val="24"/>
              </w:rPr>
              <w:t>提前工期奖</w:t>
            </w:r>
          </w:p>
        </w:tc>
        <w:tc>
          <w:tcPr>
            <w:tcW w:w="3591" w:type="dxa"/>
            <w:noWrap/>
            <w:vAlign w:val="center"/>
          </w:tcPr>
          <w:p>
            <w:pPr>
              <w:rPr>
                <w:rFonts w:ascii="宋体"/>
                <w:sz w:val="24"/>
              </w:rPr>
            </w:pPr>
            <w:r>
              <w:rPr>
                <w:rFonts w:hint="eastAsia" w:ascii="宋体" w:hAnsi="宋体"/>
                <w:sz w:val="24"/>
              </w:rPr>
              <w:t>（）元</w:t>
            </w:r>
            <w:r>
              <w:rPr>
                <w:rFonts w:ascii="宋体" w:hAnsi="宋体"/>
                <w:sz w:val="24"/>
              </w:rPr>
              <w:t>/</w:t>
            </w:r>
            <w:r>
              <w:rPr>
                <w:rFonts w:hint="eastAsia" w:ascii="宋体" w:hAnsi="宋体"/>
                <w:sz w:val="24"/>
              </w:rPr>
              <w:t>天</w:t>
            </w:r>
          </w:p>
        </w:tc>
        <w:tc>
          <w:tcPr>
            <w:tcW w:w="1657" w:type="dxa"/>
            <w:noWrap/>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687" w:type="dxa"/>
            <w:noWrap/>
            <w:vAlign w:val="center"/>
          </w:tcPr>
          <w:p>
            <w:pPr>
              <w:rPr>
                <w:rFonts w:ascii="宋体"/>
                <w:sz w:val="24"/>
              </w:rPr>
            </w:pPr>
            <w:r>
              <w:rPr>
                <w:rFonts w:ascii="宋体" w:hAnsi="宋体"/>
                <w:sz w:val="24"/>
              </w:rPr>
              <w:t>6</w:t>
            </w:r>
          </w:p>
        </w:tc>
        <w:tc>
          <w:tcPr>
            <w:tcW w:w="3425" w:type="dxa"/>
            <w:noWrap/>
            <w:vAlign w:val="center"/>
          </w:tcPr>
          <w:p>
            <w:pPr>
              <w:rPr>
                <w:rFonts w:ascii="宋体"/>
                <w:sz w:val="24"/>
              </w:rPr>
            </w:pPr>
            <w:r>
              <w:rPr>
                <w:rFonts w:hint="eastAsia" w:ascii="宋体" w:hAnsi="宋体"/>
                <w:sz w:val="24"/>
              </w:rPr>
              <w:t>服务周期</w:t>
            </w:r>
          </w:p>
        </w:tc>
        <w:tc>
          <w:tcPr>
            <w:tcW w:w="3591" w:type="dxa"/>
            <w:noWrap/>
            <w:vAlign w:val="center"/>
          </w:tcPr>
          <w:p>
            <w:pPr>
              <w:rPr>
                <w:rFonts w:ascii="宋体"/>
                <w:sz w:val="24"/>
              </w:rPr>
            </w:pPr>
            <w:r>
              <w:rPr>
                <w:rFonts w:hint="eastAsia" w:ascii="宋体" w:hAnsi="宋体"/>
                <w:sz w:val="24"/>
              </w:rPr>
              <w:t>（二）年</w:t>
            </w:r>
          </w:p>
        </w:tc>
        <w:tc>
          <w:tcPr>
            <w:tcW w:w="1657" w:type="dxa"/>
            <w:noWrap/>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trPr>
        <w:tc>
          <w:tcPr>
            <w:tcW w:w="687" w:type="dxa"/>
            <w:noWrap/>
            <w:vAlign w:val="center"/>
          </w:tcPr>
          <w:p>
            <w:pPr>
              <w:rPr>
                <w:rFonts w:ascii="宋体"/>
                <w:sz w:val="24"/>
              </w:rPr>
            </w:pPr>
            <w:r>
              <w:rPr>
                <w:rFonts w:ascii="宋体" w:hAnsi="宋体"/>
                <w:sz w:val="24"/>
              </w:rPr>
              <w:t>7</w:t>
            </w:r>
          </w:p>
        </w:tc>
        <w:tc>
          <w:tcPr>
            <w:tcW w:w="3425" w:type="dxa"/>
            <w:noWrap/>
            <w:vAlign w:val="center"/>
          </w:tcPr>
          <w:p>
            <w:pPr>
              <w:rPr>
                <w:rFonts w:ascii="宋体"/>
                <w:sz w:val="24"/>
              </w:rPr>
            </w:pPr>
            <w:r>
              <w:rPr>
                <w:rFonts w:hint="eastAsia" w:ascii="宋体" w:hAnsi="宋体"/>
                <w:sz w:val="24"/>
              </w:rPr>
              <w:t>质量标准</w:t>
            </w:r>
          </w:p>
        </w:tc>
        <w:tc>
          <w:tcPr>
            <w:tcW w:w="3591" w:type="dxa"/>
            <w:noWrap/>
            <w:vAlign w:val="center"/>
          </w:tcPr>
          <w:p>
            <w:pPr>
              <w:rPr>
                <w:rFonts w:ascii="宋体"/>
                <w:sz w:val="24"/>
              </w:rPr>
            </w:pPr>
          </w:p>
        </w:tc>
        <w:tc>
          <w:tcPr>
            <w:tcW w:w="1657" w:type="dxa"/>
            <w:noWrap/>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trPr>
        <w:tc>
          <w:tcPr>
            <w:tcW w:w="687" w:type="dxa"/>
            <w:noWrap/>
            <w:vAlign w:val="center"/>
          </w:tcPr>
          <w:p>
            <w:pPr>
              <w:rPr>
                <w:rFonts w:ascii="宋体"/>
                <w:sz w:val="24"/>
              </w:rPr>
            </w:pPr>
            <w:r>
              <w:rPr>
                <w:rFonts w:ascii="宋体" w:hAnsi="宋体"/>
                <w:sz w:val="24"/>
              </w:rPr>
              <w:t>8</w:t>
            </w:r>
          </w:p>
        </w:tc>
        <w:tc>
          <w:tcPr>
            <w:tcW w:w="3425" w:type="dxa"/>
            <w:noWrap/>
            <w:vAlign w:val="center"/>
          </w:tcPr>
          <w:p>
            <w:pPr>
              <w:rPr>
                <w:rFonts w:ascii="宋体"/>
                <w:sz w:val="24"/>
              </w:rPr>
            </w:pPr>
            <w:r>
              <w:rPr>
                <w:rFonts w:hint="eastAsia" w:ascii="宋体" w:hAnsi="宋体"/>
                <w:sz w:val="24"/>
              </w:rPr>
              <w:t>工程质量违约金最高限额</w:t>
            </w:r>
          </w:p>
        </w:tc>
        <w:tc>
          <w:tcPr>
            <w:tcW w:w="3591" w:type="dxa"/>
            <w:noWrap/>
            <w:vAlign w:val="center"/>
          </w:tcPr>
          <w:p>
            <w:pPr>
              <w:rPr>
                <w:rFonts w:ascii="宋体"/>
                <w:sz w:val="24"/>
              </w:rPr>
            </w:pPr>
            <w:r>
              <w:rPr>
                <w:rFonts w:hint="eastAsia" w:ascii="宋体" w:hAnsi="宋体"/>
                <w:sz w:val="24"/>
              </w:rPr>
              <w:t>（）元</w:t>
            </w:r>
          </w:p>
        </w:tc>
        <w:tc>
          <w:tcPr>
            <w:tcW w:w="1657" w:type="dxa"/>
            <w:noWrap/>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687" w:type="dxa"/>
            <w:noWrap/>
            <w:vAlign w:val="center"/>
          </w:tcPr>
          <w:p>
            <w:pPr>
              <w:rPr>
                <w:rFonts w:ascii="宋体"/>
                <w:sz w:val="24"/>
              </w:rPr>
            </w:pPr>
            <w:r>
              <w:rPr>
                <w:rFonts w:ascii="宋体" w:hAnsi="宋体"/>
                <w:sz w:val="24"/>
              </w:rPr>
              <w:t>9.</w:t>
            </w:r>
          </w:p>
        </w:tc>
        <w:tc>
          <w:tcPr>
            <w:tcW w:w="3425" w:type="dxa"/>
            <w:noWrap/>
            <w:vAlign w:val="center"/>
          </w:tcPr>
          <w:p>
            <w:pPr>
              <w:rPr>
                <w:rFonts w:ascii="宋体"/>
                <w:sz w:val="24"/>
              </w:rPr>
            </w:pPr>
            <w:r>
              <w:rPr>
                <w:rFonts w:hint="eastAsia" w:ascii="宋体" w:hAnsi="宋体"/>
                <w:sz w:val="24"/>
              </w:rPr>
              <w:t>预付款金额</w:t>
            </w:r>
          </w:p>
        </w:tc>
        <w:tc>
          <w:tcPr>
            <w:tcW w:w="3591" w:type="dxa"/>
            <w:noWrap/>
            <w:vAlign w:val="center"/>
          </w:tcPr>
          <w:p>
            <w:pPr>
              <w:rPr>
                <w:rFonts w:ascii="宋体"/>
                <w:sz w:val="24"/>
              </w:rPr>
            </w:pPr>
            <w:r>
              <w:rPr>
                <w:rFonts w:hint="eastAsia" w:ascii="宋体" w:hAnsi="宋体"/>
                <w:sz w:val="24"/>
              </w:rPr>
              <w:t>合同价款的（/）</w:t>
            </w:r>
            <w:r>
              <w:rPr>
                <w:rFonts w:ascii="宋体" w:hAnsi="宋体"/>
                <w:sz w:val="24"/>
              </w:rPr>
              <w:t>%</w:t>
            </w:r>
          </w:p>
        </w:tc>
        <w:tc>
          <w:tcPr>
            <w:tcW w:w="1657" w:type="dxa"/>
            <w:noWrap/>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trPr>
        <w:tc>
          <w:tcPr>
            <w:tcW w:w="687" w:type="dxa"/>
            <w:noWrap/>
            <w:vAlign w:val="center"/>
          </w:tcPr>
          <w:p>
            <w:pPr>
              <w:rPr>
                <w:rFonts w:ascii="宋体"/>
                <w:sz w:val="24"/>
              </w:rPr>
            </w:pPr>
            <w:r>
              <w:rPr>
                <w:rFonts w:ascii="宋体" w:hAnsi="宋体"/>
                <w:sz w:val="24"/>
              </w:rPr>
              <w:t>10</w:t>
            </w:r>
          </w:p>
        </w:tc>
        <w:tc>
          <w:tcPr>
            <w:tcW w:w="3425" w:type="dxa"/>
            <w:noWrap/>
            <w:vAlign w:val="center"/>
          </w:tcPr>
          <w:p>
            <w:pPr>
              <w:rPr>
                <w:rFonts w:ascii="宋体"/>
                <w:sz w:val="24"/>
              </w:rPr>
            </w:pPr>
            <w:r>
              <w:rPr>
                <w:rFonts w:hint="eastAsia" w:ascii="宋体" w:hAnsi="宋体"/>
                <w:sz w:val="24"/>
              </w:rPr>
              <w:t>预付款保函金额</w:t>
            </w:r>
          </w:p>
        </w:tc>
        <w:tc>
          <w:tcPr>
            <w:tcW w:w="3591" w:type="dxa"/>
            <w:noWrap/>
            <w:vAlign w:val="center"/>
          </w:tcPr>
          <w:p>
            <w:pPr>
              <w:rPr>
                <w:rFonts w:ascii="宋体"/>
                <w:sz w:val="24"/>
              </w:rPr>
            </w:pPr>
            <w:r>
              <w:rPr>
                <w:rFonts w:hint="eastAsia" w:ascii="宋体" w:hAnsi="宋体"/>
                <w:sz w:val="24"/>
              </w:rPr>
              <w:t>合同价款的（）</w:t>
            </w:r>
            <w:r>
              <w:rPr>
                <w:rFonts w:ascii="宋体" w:hAnsi="宋体"/>
                <w:sz w:val="24"/>
              </w:rPr>
              <w:t>%</w:t>
            </w:r>
          </w:p>
        </w:tc>
        <w:tc>
          <w:tcPr>
            <w:tcW w:w="1657" w:type="dxa"/>
            <w:noWrap/>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687" w:type="dxa"/>
            <w:noWrap/>
            <w:vAlign w:val="center"/>
          </w:tcPr>
          <w:p>
            <w:pPr>
              <w:rPr>
                <w:rFonts w:ascii="宋体"/>
                <w:sz w:val="24"/>
              </w:rPr>
            </w:pPr>
            <w:r>
              <w:rPr>
                <w:rFonts w:ascii="宋体" w:hAnsi="宋体"/>
                <w:sz w:val="24"/>
              </w:rPr>
              <w:t>11</w:t>
            </w:r>
          </w:p>
        </w:tc>
        <w:tc>
          <w:tcPr>
            <w:tcW w:w="3425" w:type="dxa"/>
            <w:noWrap/>
            <w:vAlign w:val="center"/>
          </w:tcPr>
          <w:p>
            <w:pPr>
              <w:rPr>
                <w:rFonts w:ascii="宋体"/>
                <w:sz w:val="24"/>
              </w:rPr>
            </w:pPr>
            <w:r>
              <w:rPr>
                <w:rFonts w:hint="eastAsia" w:ascii="宋体" w:hAnsi="宋体"/>
                <w:sz w:val="24"/>
              </w:rPr>
              <w:t>进度款付款时间</w:t>
            </w:r>
          </w:p>
        </w:tc>
        <w:tc>
          <w:tcPr>
            <w:tcW w:w="3591" w:type="dxa"/>
            <w:noWrap/>
            <w:vAlign w:val="center"/>
          </w:tcPr>
          <w:p>
            <w:pPr>
              <w:rPr>
                <w:rFonts w:ascii="宋体"/>
                <w:sz w:val="24"/>
              </w:rPr>
            </w:pPr>
            <w:r>
              <w:rPr>
                <w:rFonts w:hint="eastAsia" w:ascii="宋体" w:hAnsi="宋体"/>
                <w:sz w:val="24"/>
              </w:rPr>
              <w:t>签发月付款凭证后（）天</w:t>
            </w:r>
          </w:p>
        </w:tc>
        <w:tc>
          <w:tcPr>
            <w:tcW w:w="1657" w:type="dxa"/>
            <w:noWrap/>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trPr>
        <w:tc>
          <w:tcPr>
            <w:tcW w:w="687" w:type="dxa"/>
            <w:noWrap/>
            <w:vAlign w:val="center"/>
          </w:tcPr>
          <w:p>
            <w:pPr>
              <w:rPr>
                <w:rFonts w:ascii="宋体"/>
                <w:sz w:val="24"/>
              </w:rPr>
            </w:pPr>
            <w:r>
              <w:rPr>
                <w:rFonts w:ascii="宋体" w:hAnsi="宋体"/>
                <w:sz w:val="24"/>
              </w:rPr>
              <w:t>12</w:t>
            </w:r>
          </w:p>
        </w:tc>
        <w:tc>
          <w:tcPr>
            <w:tcW w:w="3425" w:type="dxa"/>
            <w:noWrap/>
            <w:vAlign w:val="center"/>
          </w:tcPr>
          <w:p>
            <w:pPr>
              <w:rPr>
                <w:rFonts w:ascii="宋体"/>
                <w:sz w:val="24"/>
              </w:rPr>
            </w:pPr>
            <w:r>
              <w:rPr>
                <w:rFonts w:hint="eastAsia" w:ascii="宋体" w:hAnsi="宋体"/>
                <w:sz w:val="24"/>
              </w:rPr>
              <w:t>竣工结算款付款时间</w:t>
            </w:r>
          </w:p>
        </w:tc>
        <w:tc>
          <w:tcPr>
            <w:tcW w:w="3591" w:type="dxa"/>
            <w:noWrap/>
            <w:vAlign w:val="center"/>
          </w:tcPr>
          <w:p>
            <w:pPr>
              <w:rPr>
                <w:rFonts w:ascii="宋体"/>
                <w:sz w:val="24"/>
              </w:rPr>
            </w:pPr>
            <w:r>
              <w:rPr>
                <w:rFonts w:hint="eastAsia" w:ascii="宋体" w:hAnsi="宋体"/>
                <w:sz w:val="24"/>
              </w:rPr>
              <w:t>签发竣工结算付款凭证后（）天</w:t>
            </w:r>
          </w:p>
        </w:tc>
        <w:tc>
          <w:tcPr>
            <w:tcW w:w="1657" w:type="dxa"/>
            <w:noWrap/>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trPr>
        <w:tc>
          <w:tcPr>
            <w:tcW w:w="687" w:type="dxa"/>
            <w:noWrap/>
            <w:vAlign w:val="center"/>
          </w:tcPr>
          <w:p>
            <w:pPr>
              <w:rPr>
                <w:rFonts w:ascii="宋体"/>
                <w:sz w:val="24"/>
              </w:rPr>
            </w:pPr>
            <w:r>
              <w:rPr>
                <w:rFonts w:ascii="宋体" w:hAnsi="宋体"/>
                <w:sz w:val="24"/>
              </w:rPr>
              <w:t>13</w:t>
            </w:r>
          </w:p>
        </w:tc>
        <w:tc>
          <w:tcPr>
            <w:tcW w:w="3425" w:type="dxa"/>
            <w:noWrap/>
            <w:vAlign w:val="center"/>
          </w:tcPr>
          <w:p>
            <w:pPr>
              <w:rPr>
                <w:rFonts w:ascii="宋体"/>
                <w:sz w:val="24"/>
              </w:rPr>
            </w:pPr>
            <w:r>
              <w:rPr>
                <w:rFonts w:hint="eastAsia" w:ascii="宋体" w:hAnsi="宋体"/>
                <w:sz w:val="24"/>
              </w:rPr>
              <w:t>质保期</w:t>
            </w:r>
          </w:p>
        </w:tc>
        <w:tc>
          <w:tcPr>
            <w:tcW w:w="3591" w:type="dxa"/>
            <w:noWrap/>
            <w:vAlign w:val="center"/>
          </w:tcPr>
          <w:p>
            <w:pPr>
              <w:rPr>
                <w:rFonts w:hint="eastAsia" w:ascii="宋体" w:eastAsia="宋体"/>
                <w:sz w:val="24"/>
                <w:lang w:val="en-US" w:eastAsia="zh-CN"/>
              </w:rPr>
            </w:pPr>
            <w:r>
              <w:rPr>
                <w:rFonts w:hint="eastAsia" w:ascii="宋体"/>
                <w:sz w:val="24"/>
                <w:lang w:val="en-US" w:eastAsia="zh-CN"/>
              </w:rPr>
              <w:t>两年</w:t>
            </w:r>
          </w:p>
        </w:tc>
        <w:tc>
          <w:tcPr>
            <w:tcW w:w="1657" w:type="dxa"/>
            <w:noWrap/>
            <w:vAlign w:val="center"/>
          </w:tcPr>
          <w:p>
            <w:pPr>
              <w:rPr>
                <w:rFonts w:ascii="宋体"/>
                <w:sz w:val="24"/>
              </w:rPr>
            </w:pPr>
          </w:p>
        </w:tc>
      </w:tr>
    </w:tbl>
    <w:p>
      <w:pPr>
        <w:ind w:firstLine="1470" w:firstLineChars="700"/>
      </w:pPr>
    </w:p>
    <w:p>
      <w:pPr>
        <w:snapToGrid w:val="0"/>
        <w:spacing w:before="50" w:after="50"/>
        <w:rPr>
          <w:rFonts w:ascii="宋体" w:hAnsi="宋体"/>
          <w:b/>
          <w:sz w:val="24"/>
        </w:rPr>
      </w:pPr>
    </w:p>
    <w:p>
      <w:pPr>
        <w:snapToGrid w:val="0"/>
        <w:spacing w:line="600" w:lineRule="exact"/>
        <w:jc w:val="center"/>
        <w:rPr>
          <w:rFonts w:ascii="宋体" w:cs="宋体"/>
          <w:b/>
          <w:sz w:val="32"/>
          <w:szCs w:val="32"/>
        </w:rPr>
      </w:pPr>
      <w:r>
        <w:rPr>
          <w:rFonts w:hint="eastAsia" w:ascii="宋体" w:hAnsi="宋体" w:cs="宋体"/>
          <w:b/>
          <w:sz w:val="32"/>
          <w:szCs w:val="32"/>
        </w:rPr>
        <w:t>十六、开标一览表</w:t>
      </w:r>
    </w:p>
    <w:p>
      <w:pPr>
        <w:spacing w:line="360" w:lineRule="auto"/>
        <w:jc w:val="left"/>
        <w:rPr>
          <w:rFonts w:ascii="宋体" w:cs="宋体"/>
          <w:b/>
          <w:color w:val="000000"/>
          <w:sz w:val="24"/>
        </w:rPr>
      </w:pPr>
    </w:p>
    <w:p>
      <w:pPr>
        <w:autoSpaceDE w:val="0"/>
        <w:autoSpaceDN w:val="0"/>
        <w:adjustRightInd w:val="0"/>
        <w:spacing w:line="360" w:lineRule="auto"/>
        <w:rPr>
          <w:rFonts w:ascii="宋体" w:cs="宋体"/>
          <w:sz w:val="24"/>
          <w:lang w:val="zh-CN"/>
        </w:rPr>
      </w:pPr>
      <w:r>
        <w:rPr>
          <w:rFonts w:hint="eastAsia" w:ascii="宋体" w:hAnsi="宋体" w:cs="宋体"/>
          <w:sz w:val="24"/>
        </w:rPr>
        <w:t>投标单位</w:t>
      </w:r>
      <w:r>
        <w:rPr>
          <w:rFonts w:hint="eastAsia" w:ascii="宋体" w:hAnsi="宋体" w:cs="宋体"/>
          <w:sz w:val="24"/>
          <w:lang w:val="zh-CN"/>
        </w:rPr>
        <w:t>名称：招标编号：</w:t>
      </w:r>
    </w:p>
    <w:p>
      <w:pPr>
        <w:autoSpaceDE w:val="0"/>
        <w:autoSpaceDN w:val="0"/>
        <w:adjustRightInd w:val="0"/>
        <w:spacing w:line="360" w:lineRule="auto"/>
        <w:rPr>
          <w:rFonts w:ascii="宋体" w:cs="宋体"/>
          <w:sz w:val="24"/>
          <w:u w:val="single"/>
        </w:rPr>
      </w:pPr>
      <w:r>
        <w:rPr>
          <w:rFonts w:hint="eastAsia" w:ascii="宋体" w:hAnsi="宋体" w:cs="宋体"/>
          <w:sz w:val="24"/>
        </w:rPr>
        <w:t>项目名称：</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7"/>
        <w:gridCol w:w="3096"/>
        <w:gridCol w:w="2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3197" w:type="dxa"/>
            <w:noWrap/>
            <w:vAlign w:val="center"/>
          </w:tcPr>
          <w:p>
            <w:pPr>
              <w:pStyle w:val="13"/>
              <w:snapToGrid w:val="0"/>
              <w:spacing w:before="156" w:after="156" w:line="360" w:lineRule="auto"/>
              <w:jc w:val="center"/>
              <w:rPr>
                <w:rFonts w:hAnsi="宋体" w:cs="宋体"/>
              </w:rPr>
            </w:pPr>
            <w:r>
              <w:rPr>
                <w:rFonts w:hint="eastAsia" w:hAnsi="宋体" w:cs="宋体"/>
              </w:rPr>
              <w:t>名称</w:t>
            </w:r>
          </w:p>
        </w:tc>
        <w:tc>
          <w:tcPr>
            <w:tcW w:w="3096" w:type="dxa"/>
            <w:noWrap/>
            <w:vAlign w:val="center"/>
          </w:tcPr>
          <w:p>
            <w:pPr>
              <w:pStyle w:val="13"/>
              <w:snapToGrid w:val="0"/>
              <w:spacing w:before="156" w:after="156" w:line="360" w:lineRule="auto"/>
              <w:jc w:val="center"/>
              <w:rPr>
                <w:rFonts w:hAnsi="宋体" w:cs="宋体"/>
              </w:rPr>
            </w:pPr>
            <w:r>
              <w:rPr>
                <w:rFonts w:hint="eastAsia" w:hAnsi="宋体" w:cs="宋体"/>
              </w:rPr>
              <w:t>投标费率</w:t>
            </w:r>
          </w:p>
        </w:tc>
        <w:tc>
          <w:tcPr>
            <w:tcW w:w="2587" w:type="dxa"/>
            <w:noWrap/>
            <w:vAlign w:val="center"/>
          </w:tcPr>
          <w:p>
            <w:pPr>
              <w:pStyle w:val="13"/>
              <w:snapToGrid w:val="0"/>
              <w:spacing w:before="156" w:after="156" w:line="360" w:lineRule="auto"/>
              <w:jc w:val="center"/>
              <w:rPr>
                <w:rFonts w:hAnsi="宋体" w:cs="宋体"/>
              </w:rPr>
            </w:pPr>
            <w:r>
              <w:rPr>
                <w:rFonts w:hint="eastAsia"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6" w:hRule="atLeast"/>
          <w:jc w:val="center"/>
        </w:trPr>
        <w:tc>
          <w:tcPr>
            <w:tcW w:w="3197" w:type="dxa"/>
            <w:noWrap/>
            <w:vAlign w:val="center"/>
          </w:tcPr>
          <w:p>
            <w:pPr>
              <w:pStyle w:val="13"/>
              <w:snapToGrid w:val="0"/>
              <w:spacing w:before="156" w:after="156" w:line="360" w:lineRule="auto"/>
              <w:jc w:val="center"/>
              <w:rPr>
                <w:rFonts w:hAnsi="宋体" w:cs="宋体"/>
                <w:color w:val="000000"/>
              </w:rPr>
            </w:pPr>
            <w:r>
              <w:rPr>
                <w:rFonts w:hint="eastAsia" w:hAnsi="宋体" w:cs="宋体"/>
                <w:color w:val="000000"/>
              </w:rPr>
              <w:t>综合费率</w:t>
            </w:r>
          </w:p>
        </w:tc>
        <w:tc>
          <w:tcPr>
            <w:tcW w:w="3096" w:type="dxa"/>
            <w:noWrap/>
            <w:vAlign w:val="center"/>
          </w:tcPr>
          <w:p>
            <w:pPr>
              <w:pStyle w:val="13"/>
              <w:spacing w:before="156" w:after="156" w:line="360" w:lineRule="auto"/>
              <w:ind w:left="958" w:leftChars="456" w:firstLine="1440" w:firstLineChars="600"/>
              <w:rPr>
                <w:rFonts w:hAnsi="宋体" w:cs="宋体"/>
              </w:rPr>
            </w:pPr>
          </w:p>
        </w:tc>
        <w:tc>
          <w:tcPr>
            <w:tcW w:w="2587" w:type="dxa"/>
            <w:noWrap/>
            <w:vAlign w:val="center"/>
          </w:tcPr>
          <w:p>
            <w:pPr>
              <w:pStyle w:val="13"/>
              <w:spacing w:before="156" w:after="156" w:line="360" w:lineRule="auto"/>
              <w:jc w:val="center"/>
              <w:rPr>
                <w:rFonts w:hAnsi="宋体" w:cs="宋体"/>
              </w:rPr>
            </w:pPr>
          </w:p>
        </w:tc>
      </w:tr>
    </w:tbl>
    <w:p>
      <w:pPr>
        <w:pStyle w:val="13"/>
        <w:spacing w:before="156" w:after="156" w:line="360" w:lineRule="auto"/>
        <w:rPr>
          <w:rFonts w:hAnsi="宋体" w:cs="宋体"/>
          <w:color w:val="000000"/>
        </w:rPr>
      </w:pPr>
      <w:r>
        <w:rPr>
          <w:rFonts w:hint="eastAsia" w:hAnsi="宋体" w:cs="宋体"/>
          <w:b/>
        </w:rPr>
        <w:t>注：</w:t>
      </w:r>
      <w:r>
        <w:rPr>
          <w:rFonts w:hint="eastAsia" w:hAnsi="宋体" w:cs="宋体"/>
        </w:rPr>
        <w:t>▲</w:t>
      </w:r>
      <w:r>
        <w:rPr>
          <w:rFonts w:hAnsi="宋体" w:cs="宋体"/>
          <w:color w:val="000000"/>
        </w:rPr>
        <w:t>1</w:t>
      </w:r>
      <w:r>
        <w:rPr>
          <w:rFonts w:hint="eastAsia" w:hAnsi="宋体" w:cs="宋体"/>
          <w:color w:val="000000"/>
        </w:rPr>
        <w:t>、报价一经涂改，应在涂改处加盖单位公章或者由法定代表人或授权委托人签字或盖章，否则其投标作无效标处理。</w:t>
      </w:r>
    </w:p>
    <w:p>
      <w:pPr>
        <w:snapToGrid w:val="0"/>
        <w:spacing w:line="360" w:lineRule="auto"/>
        <w:ind w:firstLine="360" w:firstLineChars="150"/>
        <w:jc w:val="left"/>
        <w:rPr>
          <w:rFonts w:ascii="宋体" w:cs="宋体"/>
          <w:color w:val="000000"/>
          <w:sz w:val="24"/>
        </w:rPr>
      </w:pPr>
      <w:r>
        <w:rPr>
          <w:rFonts w:hint="eastAsia" w:ascii="宋体" w:hAnsi="宋体" w:cs="宋体"/>
          <w:color w:val="000000"/>
          <w:sz w:val="24"/>
        </w:rPr>
        <w:t>▲</w:t>
      </w:r>
      <w:r>
        <w:rPr>
          <w:rFonts w:ascii="宋体" w:hAnsi="宋体" w:cs="宋体"/>
          <w:color w:val="000000"/>
          <w:sz w:val="24"/>
        </w:rPr>
        <w:t>2</w:t>
      </w:r>
      <w:r>
        <w:rPr>
          <w:rFonts w:hint="eastAsia" w:ascii="宋体" w:hAnsi="宋体" w:cs="宋体"/>
          <w:color w:val="000000"/>
          <w:sz w:val="24"/>
        </w:rPr>
        <w:t>、不提供此表格的将视为没有实质性响应招标文件。</w:t>
      </w:r>
    </w:p>
    <w:p>
      <w:pPr>
        <w:autoSpaceDE w:val="0"/>
        <w:autoSpaceDN w:val="0"/>
        <w:adjustRightInd w:val="0"/>
        <w:spacing w:line="360" w:lineRule="auto"/>
        <w:jc w:val="left"/>
        <w:rPr>
          <w:rFonts w:ascii="宋体" w:cs="宋体"/>
          <w:sz w:val="24"/>
        </w:rPr>
      </w:pPr>
    </w:p>
    <w:p>
      <w:pPr>
        <w:snapToGrid w:val="0"/>
        <w:spacing w:line="360" w:lineRule="auto"/>
        <w:rPr>
          <w:rFonts w:ascii="宋体" w:cs="宋体"/>
          <w:sz w:val="24"/>
          <w:u w:val="single"/>
        </w:rPr>
      </w:pPr>
      <w:r>
        <w:rPr>
          <w:rFonts w:hint="eastAsia" w:ascii="宋体" w:hAnsi="宋体" w:cs="宋体"/>
          <w:sz w:val="24"/>
        </w:rPr>
        <w:t>法定代表人或授权代表签字：</w:t>
      </w:r>
    </w:p>
    <w:p>
      <w:pPr>
        <w:snapToGrid w:val="0"/>
        <w:spacing w:line="360" w:lineRule="auto"/>
        <w:rPr>
          <w:rFonts w:ascii="宋体" w:cs="宋体"/>
          <w:sz w:val="24"/>
        </w:rPr>
      </w:pPr>
      <w:r>
        <w:rPr>
          <w:rFonts w:hint="eastAsia" w:ascii="宋体" w:hAnsi="宋体" w:cs="宋体"/>
          <w:sz w:val="24"/>
        </w:rPr>
        <w:t>投标人公章：</w:t>
      </w:r>
    </w:p>
    <w:p>
      <w:pPr>
        <w:snapToGrid w:val="0"/>
        <w:spacing w:line="360" w:lineRule="auto"/>
        <w:ind w:firstLine="6240" w:firstLineChars="2600"/>
        <w:rPr>
          <w:rFonts w:ascii="宋体" w:cs="宋体"/>
          <w:sz w:val="24"/>
        </w:rPr>
      </w:pPr>
    </w:p>
    <w:p>
      <w:pPr>
        <w:snapToGrid w:val="0"/>
        <w:spacing w:line="360" w:lineRule="auto"/>
        <w:ind w:firstLine="480" w:firstLineChars="200"/>
        <w:jc w:val="center"/>
        <w:rPr>
          <w:rFonts w:ascii="宋体" w:cs="宋体"/>
          <w:sz w:val="24"/>
        </w:rPr>
      </w:pPr>
      <w:r>
        <w:rPr>
          <w:rFonts w:hint="eastAsia" w:ascii="宋体" w:hAnsi="宋体" w:cs="宋体"/>
          <w:sz w:val="24"/>
        </w:rPr>
        <w:t>年月日</w:t>
      </w:r>
    </w:p>
    <w:p>
      <w:pPr>
        <w:snapToGrid w:val="0"/>
        <w:spacing w:before="50" w:after="50"/>
        <w:jc w:val="center"/>
        <w:rPr>
          <w:rFonts w:ascii="宋体" w:hAnsi="宋体"/>
          <w:b/>
          <w:sz w:val="24"/>
        </w:rPr>
      </w:pPr>
      <w:r>
        <w:rPr>
          <w:rFonts w:ascii="宋体"/>
          <w:sz w:val="24"/>
          <w:szCs w:val="20"/>
        </w:rPr>
        <w:br w:type="page"/>
      </w:r>
    </w:p>
    <w:p>
      <w:pPr>
        <w:snapToGrid w:val="0"/>
        <w:spacing w:before="50" w:after="50"/>
        <w:jc w:val="center"/>
        <w:rPr>
          <w:rFonts w:ascii="宋体"/>
          <w:b/>
          <w:sz w:val="24"/>
        </w:rPr>
      </w:pPr>
      <w:r>
        <w:rPr>
          <w:rFonts w:hint="eastAsia" w:ascii="宋体"/>
          <w:b/>
          <w:sz w:val="24"/>
        </w:rPr>
        <w:t>十七、招标代理服务费承诺函</w:t>
      </w:r>
    </w:p>
    <w:p>
      <w:pPr>
        <w:snapToGrid w:val="0"/>
        <w:spacing w:before="50" w:after="50"/>
        <w:jc w:val="center"/>
        <w:rPr>
          <w:rFonts w:ascii="宋体"/>
          <w:b/>
          <w:sz w:val="24"/>
        </w:rPr>
      </w:pPr>
    </w:p>
    <w:p>
      <w:pPr>
        <w:snapToGrid w:val="0"/>
        <w:spacing w:before="50" w:after="50"/>
        <w:jc w:val="center"/>
        <w:rPr>
          <w:rFonts w:ascii="宋体"/>
          <w:b/>
          <w:sz w:val="24"/>
        </w:rPr>
      </w:pPr>
    </w:p>
    <w:p>
      <w:pPr>
        <w:tabs>
          <w:tab w:val="left" w:pos="2996"/>
        </w:tabs>
        <w:spacing w:line="480" w:lineRule="auto"/>
        <w:ind w:firstLine="480" w:firstLineChars="200"/>
        <w:rPr>
          <w:sz w:val="24"/>
        </w:rPr>
      </w:pPr>
      <w:r>
        <w:rPr>
          <w:rFonts w:hint="eastAsia"/>
          <w:sz w:val="24"/>
        </w:rPr>
        <w:t>根据国家计委、物价局文件和招标文件的规定，一旦我公司成交，我公司同意按本招标文件规定向政府采购代理机构交纳招标代理服务费，费用为</w:t>
      </w:r>
      <w:r>
        <w:rPr>
          <w:rFonts w:hint="eastAsia" w:ascii="宋体" w:hAnsi="宋体"/>
          <w:color w:val="FF0000"/>
          <w:sz w:val="24"/>
        </w:rPr>
        <w:t>人民币</w:t>
      </w:r>
      <w:r>
        <w:rPr>
          <w:rFonts w:hint="eastAsia" w:ascii="宋体" w:hAnsi="宋体"/>
          <w:color w:val="FF0000"/>
          <w:sz w:val="24"/>
          <w:u w:val="single"/>
          <w:lang w:val="en-US" w:eastAsia="zh-CN"/>
        </w:rPr>
        <w:t xml:space="preserve">   </w:t>
      </w:r>
      <w:r>
        <w:rPr>
          <w:rFonts w:hint="eastAsia" w:ascii="宋体" w:hAnsi="宋体"/>
          <w:color w:val="FF0000"/>
          <w:sz w:val="24"/>
        </w:rPr>
        <w:t>元整</w:t>
      </w:r>
      <w:r>
        <w:rPr>
          <w:rFonts w:hint="eastAsia"/>
          <w:sz w:val="24"/>
        </w:rPr>
        <w:t>，在收到成交通知书的当日一次性向代理机构缴清招标代理服务费。本承诺函自招标之日起至本次采购期满有效。</w:t>
      </w:r>
    </w:p>
    <w:p>
      <w:pPr>
        <w:spacing w:line="480" w:lineRule="auto"/>
        <w:rPr>
          <w:sz w:val="24"/>
        </w:rPr>
      </w:pPr>
    </w:p>
    <w:p>
      <w:pPr>
        <w:spacing w:line="360" w:lineRule="auto"/>
        <w:rPr>
          <w:sz w:val="24"/>
        </w:rPr>
      </w:pPr>
    </w:p>
    <w:p>
      <w:pPr>
        <w:spacing w:line="360" w:lineRule="auto"/>
        <w:rPr>
          <w:sz w:val="24"/>
        </w:rPr>
      </w:pPr>
    </w:p>
    <w:p>
      <w:pPr>
        <w:ind w:firstLine="480" w:firstLineChars="200"/>
        <w:rPr>
          <w:sz w:val="24"/>
        </w:rPr>
      </w:pPr>
    </w:p>
    <w:p>
      <w:pPr>
        <w:snapToGrid w:val="0"/>
        <w:spacing w:beforeLines="50"/>
        <w:ind w:firstLine="319" w:firstLineChars="133"/>
        <w:rPr>
          <w:rFonts w:ascii="宋体" w:hAnsi="宋体"/>
          <w:sz w:val="24"/>
        </w:rPr>
      </w:pPr>
    </w:p>
    <w:p>
      <w:pPr>
        <w:snapToGrid w:val="0"/>
        <w:spacing w:beforeLines="50"/>
        <w:ind w:firstLine="319" w:firstLineChars="133"/>
        <w:rPr>
          <w:rFonts w:ascii="宋体" w:hAnsi="宋体"/>
          <w:sz w:val="24"/>
        </w:rPr>
      </w:pPr>
      <w:r>
        <w:rPr>
          <w:rFonts w:hint="eastAsia" w:ascii="宋体" w:hAnsi="宋体"/>
          <w:sz w:val="24"/>
        </w:rPr>
        <w:t xml:space="preserve">法定代表人或授权人签名：            </w:t>
      </w:r>
    </w:p>
    <w:p>
      <w:pPr>
        <w:snapToGrid w:val="0"/>
        <w:spacing w:beforeLines="50"/>
        <w:ind w:firstLine="319" w:firstLineChars="133"/>
        <w:rPr>
          <w:rFonts w:ascii="宋体" w:hAnsi="宋体"/>
          <w:sz w:val="24"/>
        </w:rPr>
      </w:pPr>
      <w:r>
        <w:rPr>
          <w:rFonts w:hint="eastAsia" w:ascii="宋体" w:hAnsi="宋体"/>
          <w:sz w:val="24"/>
        </w:rPr>
        <w:t xml:space="preserve">投标人盖章：                         日  期：        </w:t>
      </w:r>
    </w:p>
    <w:p>
      <w:pPr>
        <w:snapToGrid w:val="0"/>
        <w:spacing w:beforeLines="50"/>
        <w:ind w:firstLine="319" w:firstLineChars="133"/>
        <w:rPr>
          <w:rFonts w:ascii="宋体" w:hAnsi="宋体"/>
          <w:sz w:val="24"/>
        </w:rPr>
      </w:pPr>
    </w:p>
    <w:p>
      <w:pPr>
        <w:snapToGrid w:val="0"/>
        <w:spacing w:beforeLines="50" w:after="50"/>
        <w:rPr>
          <w:rFonts w:ascii="宋体" w:hAnsi="宋体"/>
          <w:b/>
          <w:sz w:val="24"/>
        </w:rPr>
      </w:pPr>
    </w:p>
    <w:p>
      <w:pPr>
        <w:snapToGrid w:val="0"/>
        <w:spacing w:before="50" w:after="50"/>
        <w:rPr>
          <w:rFonts w:ascii="宋体"/>
          <w:b/>
          <w:sz w:val="24"/>
        </w:rPr>
      </w:pPr>
    </w:p>
    <w:p>
      <w:pPr>
        <w:snapToGrid w:val="0"/>
        <w:spacing w:before="50" w:after="50"/>
        <w:jc w:val="center"/>
        <w:rPr>
          <w:rFonts w:ascii="宋体"/>
          <w:b/>
          <w:sz w:val="24"/>
        </w:rPr>
      </w:pPr>
    </w:p>
    <w:p>
      <w:pPr>
        <w:snapToGrid w:val="0"/>
        <w:spacing w:before="50" w:after="50"/>
        <w:jc w:val="center"/>
        <w:rPr>
          <w:rFonts w:ascii="宋体"/>
          <w:b/>
          <w:sz w:val="24"/>
        </w:rPr>
      </w:pPr>
    </w:p>
    <w:p>
      <w:pPr>
        <w:snapToGrid w:val="0"/>
        <w:spacing w:before="50" w:after="50"/>
        <w:jc w:val="center"/>
        <w:rPr>
          <w:rFonts w:ascii="宋体"/>
          <w:b/>
          <w:sz w:val="24"/>
        </w:rPr>
      </w:pPr>
    </w:p>
    <w:p/>
    <w:p/>
    <w:sectPr>
      <w:headerReference r:id="rId3" w:type="default"/>
      <w:footerReference r:id="rId4"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汉仪仿宋简">
    <w:altName w:val="仿宋"/>
    <w:panose1 w:val="00000000000000000000"/>
    <w:charset w:val="86"/>
    <w:family w:val="modern"/>
    <w:pitch w:val="default"/>
    <w:sig w:usb0="00000000" w:usb1="00000000" w:usb2="00000012"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p>
  <w:p>
    <w:pPr>
      <w:pStyle w:val="10"/>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700" w:lineRule="exact"/>
      <w:jc w:val="left"/>
    </w:pPr>
    <w:r>
      <w:rPr>
        <w:rFonts w:hint="eastAsia" w:ascii="仿宋" w:hAnsi="仿宋" w:eastAsia="仿宋" w:cs="仿宋"/>
        <w:b w:val="0"/>
        <w:bCs/>
        <w:spacing w:val="-4"/>
        <w:sz w:val="21"/>
        <w:szCs w:val="21"/>
        <w:lang w:eastAsia="zh-CN"/>
      </w:rPr>
      <w:t>湖东街道零星维修项目</w:t>
    </w:r>
    <w:r>
      <w:rPr>
        <w:rFonts w:hint="eastAsia" w:ascii="仿宋" w:hAnsi="仿宋" w:eastAsia="仿宋" w:cs="仿宋"/>
        <w:b w:val="0"/>
        <w:bCs/>
        <w:spacing w:val="-4"/>
        <w:sz w:val="21"/>
        <w:szCs w:val="21"/>
        <w:lang w:val="en-US" w:eastAsia="zh-CN"/>
      </w:rPr>
      <w:t xml:space="preserve"> </w:t>
    </w:r>
    <w:r>
      <w:rPr>
        <w:rFonts w:hint="eastAsia" w:ascii="仿宋" w:hAnsi="仿宋" w:eastAsia="仿宋" w:cs="仿宋"/>
        <w:b/>
        <w:spacing w:val="-4"/>
        <w:sz w:val="21"/>
        <w:szCs w:val="21"/>
        <w:lang w:val="en-US" w:eastAsia="zh-CN"/>
      </w:rPr>
      <w:t xml:space="preserve">   </w:t>
    </w:r>
    <w:r>
      <w:rPr>
        <w:rFonts w:hint="eastAsia" w:ascii="仿宋" w:hAnsi="仿宋" w:eastAsia="仿宋" w:cs="仿宋"/>
        <w:b/>
        <w:spacing w:val="-4"/>
        <w:sz w:val="15"/>
        <w:szCs w:val="15"/>
        <w:lang w:val="en-US" w:eastAsia="zh-CN"/>
      </w:rPr>
      <w:t xml:space="preserve">                                                                                                   </w:t>
    </w:r>
    <w:r>
      <w:rPr>
        <w:rStyle w:val="27"/>
        <w:rFonts w:hint="eastAsia" w:ascii="仿宋" w:hAnsi="仿宋" w:eastAsia="仿宋" w:cs="仿宋"/>
        <w:kern w:val="0"/>
        <w:szCs w:val="21"/>
      </w:rPr>
      <w:t>第</w:t>
    </w:r>
    <w:r>
      <w:rPr>
        <w:rFonts w:hint="eastAsia" w:ascii="仿宋" w:hAnsi="仿宋" w:eastAsia="仿宋" w:cs="仿宋"/>
      </w:rPr>
      <w:fldChar w:fldCharType="begin"/>
    </w:r>
    <w:r>
      <w:rPr>
        <w:rStyle w:val="27"/>
        <w:rFonts w:hint="eastAsia" w:ascii="仿宋" w:hAnsi="仿宋" w:eastAsia="仿宋" w:cs="仿宋"/>
      </w:rPr>
      <w:instrText xml:space="preserve"> PAGE </w:instrText>
    </w:r>
    <w:r>
      <w:rPr>
        <w:rFonts w:hint="eastAsia" w:ascii="仿宋" w:hAnsi="仿宋" w:eastAsia="仿宋" w:cs="仿宋"/>
      </w:rPr>
      <w:fldChar w:fldCharType="separate"/>
    </w:r>
    <w:r>
      <w:rPr>
        <w:rStyle w:val="27"/>
        <w:rFonts w:ascii="仿宋" w:hAnsi="仿宋" w:eastAsia="仿宋" w:cs="仿宋"/>
      </w:rPr>
      <w:t>36</w:t>
    </w:r>
    <w:r>
      <w:rPr>
        <w:rFonts w:hint="eastAsia" w:ascii="仿宋" w:hAnsi="仿宋" w:eastAsia="仿宋" w:cs="仿宋"/>
      </w:rPr>
      <w:fldChar w:fldCharType="end"/>
    </w:r>
    <w:r>
      <w:rPr>
        <w:rStyle w:val="27"/>
        <w:rFonts w:hint="eastAsia" w:ascii="仿宋" w:hAnsi="仿宋" w:eastAsia="仿宋" w:cs="仿宋"/>
        <w:kern w:val="0"/>
        <w:szCs w:val="21"/>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11B586"/>
    <w:multiLevelType w:val="singleLevel"/>
    <w:tmpl w:val="8511B586"/>
    <w:lvl w:ilvl="0" w:tentative="0">
      <w:start w:val="4"/>
      <w:numFmt w:val="chineseCounting"/>
      <w:suff w:val="nothing"/>
      <w:lvlText w:val="%1．"/>
      <w:lvlJc w:val="left"/>
      <w:rPr>
        <w:rFonts w:hint="eastAsia"/>
      </w:rPr>
    </w:lvl>
  </w:abstractNum>
  <w:abstractNum w:abstractNumId="1">
    <w:nsid w:val="A5E4C924"/>
    <w:multiLevelType w:val="singleLevel"/>
    <w:tmpl w:val="A5E4C924"/>
    <w:lvl w:ilvl="0" w:tentative="0">
      <w:start w:val="1"/>
      <w:numFmt w:val="decimal"/>
      <w:pStyle w:val="8"/>
      <w:lvlText w:val="%1."/>
      <w:lvlJc w:val="left"/>
      <w:pPr>
        <w:tabs>
          <w:tab w:val="left" w:pos="360"/>
        </w:tabs>
        <w:ind w:left="360" w:hanging="360"/>
      </w:pPr>
    </w:lvl>
  </w:abstractNum>
  <w:abstractNum w:abstractNumId="2">
    <w:nsid w:val="B2F97F20"/>
    <w:multiLevelType w:val="singleLevel"/>
    <w:tmpl w:val="B2F97F20"/>
    <w:lvl w:ilvl="0" w:tentative="0">
      <w:start w:val="3"/>
      <w:numFmt w:val="decimal"/>
      <w:suff w:val="nothing"/>
      <w:lvlText w:val="%1、"/>
      <w:lvlJc w:val="left"/>
    </w:lvl>
  </w:abstractNum>
  <w:abstractNum w:abstractNumId="3">
    <w:nsid w:val="00000002"/>
    <w:multiLevelType w:val="multilevel"/>
    <w:tmpl w:val="00000002"/>
    <w:lvl w:ilvl="0" w:tentative="0">
      <w:start w:val="1"/>
      <w:numFmt w:val="none"/>
      <w:pStyle w:val="3"/>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lvlText w:val="           "/>
      <w:lvlJc w:val="left"/>
      <w:pPr>
        <w:tabs>
          <w:tab w:val="left" w:pos="1440"/>
        </w:tabs>
        <w:ind w:left="1152" w:hanging="1152"/>
      </w:pPr>
      <w:rPr>
        <w:rFonts w:hint="eastAsia"/>
      </w:rPr>
    </w:lvl>
    <w:lvl w:ilvl="6" w:tentative="0">
      <w:start w:val="1"/>
      <w:numFmt w:val="decimal"/>
      <w:lvlText w:val="%1.%2.%3.%4.%5.%6.%7"/>
      <w:lvlJc w:val="left"/>
      <w:pPr>
        <w:tabs>
          <w:tab w:val="left" w:pos="2520"/>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4">
    <w:nsid w:val="00000005"/>
    <w:multiLevelType w:val="multilevel"/>
    <w:tmpl w:val="00000005"/>
    <w:lvl w:ilvl="0" w:tentative="0">
      <w:start w:val="1"/>
      <w:numFmt w:val="none"/>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lvlText w:val="           "/>
      <w:lvlJc w:val="left"/>
      <w:pPr>
        <w:tabs>
          <w:tab w:val="left" w:pos="1440"/>
        </w:tabs>
        <w:ind w:left="1152" w:hanging="1152"/>
      </w:pPr>
      <w:rPr>
        <w:rFonts w:hint="eastAsia"/>
      </w:rPr>
    </w:lvl>
    <w:lvl w:ilvl="6" w:tentative="0">
      <w:start w:val="1"/>
      <w:numFmt w:val="decimal"/>
      <w:lvlText w:val="%1.%2.%3.%4.%5.%6.%7"/>
      <w:lvlJc w:val="left"/>
      <w:pPr>
        <w:tabs>
          <w:tab w:val="left" w:pos="2520"/>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5">
    <w:nsid w:val="00000019"/>
    <w:multiLevelType w:val="singleLevel"/>
    <w:tmpl w:val="00000019"/>
    <w:lvl w:ilvl="0" w:tentative="0">
      <w:start w:val="2"/>
      <w:numFmt w:val="decimal"/>
      <w:suff w:val="nothing"/>
      <w:lvlText w:val="%1、"/>
      <w:lvlJc w:val="left"/>
    </w:lvl>
  </w:abstractNum>
  <w:abstractNum w:abstractNumId="6">
    <w:nsid w:val="0000001E"/>
    <w:multiLevelType w:val="singleLevel"/>
    <w:tmpl w:val="0000001E"/>
    <w:lvl w:ilvl="0" w:tentative="0">
      <w:start w:val="1"/>
      <w:numFmt w:val="decimal"/>
      <w:pStyle w:val="16"/>
      <w:lvlText w:val="%1."/>
      <w:lvlJc w:val="left"/>
      <w:pPr>
        <w:tabs>
          <w:tab w:val="left" w:pos="1200"/>
        </w:tabs>
        <w:ind w:left="1200" w:hanging="360"/>
      </w:pPr>
    </w:lvl>
  </w:abstractNum>
  <w:abstractNum w:abstractNumId="7">
    <w:nsid w:val="014025EB"/>
    <w:multiLevelType w:val="multilevel"/>
    <w:tmpl w:val="014025EB"/>
    <w:lvl w:ilvl="0" w:tentative="0">
      <w:start w:val="1"/>
      <w:numFmt w:val="bullet"/>
      <w:pStyle w:val="5"/>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6A776F2"/>
    <w:multiLevelType w:val="multilevel"/>
    <w:tmpl w:val="06A776F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33A7A30"/>
    <w:multiLevelType w:val="singleLevel"/>
    <w:tmpl w:val="533A7A30"/>
    <w:lvl w:ilvl="0" w:tentative="0">
      <w:start w:val="10"/>
      <w:numFmt w:val="decimal"/>
      <w:suff w:val="nothing"/>
      <w:lvlText w:val="（%1）"/>
      <w:lvlJc w:val="left"/>
    </w:lvl>
  </w:abstractNum>
  <w:num w:numId="1">
    <w:abstractNumId w:val="3"/>
  </w:num>
  <w:num w:numId="2">
    <w:abstractNumId w:val="7"/>
  </w:num>
  <w:num w:numId="3">
    <w:abstractNumId w:val="1"/>
  </w:num>
  <w:num w:numId="4">
    <w:abstractNumId w:val="6"/>
  </w:num>
  <w:num w:numId="5">
    <w:abstractNumId w:val="0"/>
  </w:num>
  <w:num w:numId="6">
    <w:abstractNumId w:val="2"/>
  </w:num>
  <w:num w:numId="7">
    <w:abstractNumId w:val="8"/>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91003DB"/>
    <w:rsid w:val="0018131C"/>
    <w:rsid w:val="001945CE"/>
    <w:rsid w:val="002221B0"/>
    <w:rsid w:val="00357818"/>
    <w:rsid w:val="0038674A"/>
    <w:rsid w:val="0063437D"/>
    <w:rsid w:val="00660EBB"/>
    <w:rsid w:val="00767A63"/>
    <w:rsid w:val="008369A7"/>
    <w:rsid w:val="00BA0362"/>
    <w:rsid w:val="00DC722B"/>
    <w:rsid w:val="00E31ECB"/>
    <w:rsid w:val="00EA647A"/>
    <w:rsid w:val="00FF4AA6"/>
    <w:rsid w:val="010B7E45"/>
    <w:rsid w:val="01115E4F"/>
    <w:rsid w:val="01172897"/>
    <w:rsid w:val="019F6E6C"/>
    <w:rsid w:val="01B31A94"/>
    <w:rsid w:val="01D603EB"/>
    <w:rsid w:val="02040236"/>
    <w:rsid w:val="021B400E"/>
    <w:rsid w:val="023C0A0B"/>
    <w:rsid w:val="02632F5F"/>
    <w:rsid w:val="029420F2"/>
    <w:rsid w:val="02963D46"/>
    <w:rsid w:val="02BA0273"/>
    <w:rsid w:val="02C51930"/>
    <w:rsid w:val="02E3642D"/>
    <w:rsid w:val="02E44CD4"/>
    <w:rsid w:val="032A7D3A"/>
    <w:rsid w:val="043622E3"/>
    <w:rsid w:val="04486AFC"/>
    <w:rsid w:val="044B006A"/>
    <w:rsid w:val="04B54EFF"/>
    <w:rsid w:val="04DC63CA"/>
    <w:rsid w:val="04E51ACF"/>
    <w:rsid w:val="05A34998"/>
    <w:rsid w:val="05C543BD"/>
    <w:rsid w:val="05F23A50"/>
    <w:rsid w:val="06061FE7"/>
    <w:rsid w:val="06174684"/>
    <w:rsid w:val="061F259A"/>
    <w:rsid w:val="06461140"/>
    <w:rsid w:val="064F602B"/>
    <w:rsid w:val="065077B4"/>
    <w:rsid w:val="06A55CCA"/>
    <w:rsid w:val="07213F48"/>
    <w:rsid w:val="08191D1A"/>
    <w:rsid w:val="0846091E"/>
    <w:rsid w:val="08651EFB"/>
    <w:rsid w:val="089E124E"/>
    <w:rsid w:val="08B14F05"/>
    <w:rsid w:val="08B4020E"/>
    <w:rsid w:val="091E4473"/>
    <w:rsid w:val="094E2B3C"/>
    <w:rsid w:val="09B5508C"/>
    <w:rsid w:val="09F31A09"/>
    <w:rsid w:val="0A086FB7"/>
    <w:rsid w:val="0A3E5EE3"/>
    <w:rsid w:val="0AD649D2"/>
    <w:rsid w:val="0B3C6036"/>
    <w:rsid w:val="0B650CB3"/>
    <w:rsid w:val="0B770F98"/>
    <w:rsid w:val="0B790489"/>
    <w:rsid w:val="0B994099"/>
    <w:rsid w:val="0C475F63"/>
    <w:rsid w:val="0C6D07C2"/>
    <w:rsid w:val="0D6C7A10"/>
    <w:rsid w:val="0DB6265D"/>
    <w:rsid w:val="0DE3462B"/>
    <w:rsid w:val="0E310D92"/>
    <w:rsid w:val="0E4003A3"/>
    <w:rsid w:val="0E5367A8"/>
    <w:rsid w:val="0EB32359"/>
    <w:rsid w:val="0EE24642"/>
    <w:rsid w:val="0F003B54"/>
    <w:rsid w:val="0F3B645C"/>
    <w:rsid w:val="0FA54A6F"/>
    <w:rsid w:val="0FAC7303"/>
    <w:rsid w:val="0FC0507F"/>
    <w:rsid w:val="10CA7C09"/>
    <w:rsid w:val="1137212D"/>
    <w:rsid w:val="11766A60"/>
    <w:rsid w:val="11B06BAA"/>
    <w:rsid w:val="11E06E95"/>
    <w:rsid w:val="126A460A"/>
    <w:rsid w:val="12797113"/>
    <w:rsid w:val="128C5166"/>
    <w:rsid w:val="129133D9"/>
    <w:rsid w:val="12DE627A"/>
    <w:rsid w:val="130776AD"/>
    <w:rsid w:val="135A7B08"/>
    <w:rsid w:val="1381552A"/>
    <w:rsid w:val="13EC17F1"/>
    <w:rsid w:val="13FE484D"/>
    <w:rsid w:val="14154FB6"/>
    <w:rsid w:val="148E666A"/>
    <w:rsid w:val="14A30A4C"/>
    <w:rsid w:val="14EB03AA"/>
    <w:rsid w:val="15130029"/>
    <w:rsid w:val="15236204"/>
    <w:rsid w:val="152E3617"/>
    <w:rsid w:val="153638B7"/>
    <w:rsid w:val="159D3FD6"/>
    <w:rsid w:val="15AE0BA5"/>
    <w:rsid w:val="15C37E3E"/>
    <w:rsid w:val="15DF7DD1"/>
    <w:rsid w:val="160816F3"/>
    <w:rsid w:val="16501457"/>
    <w:rsid w:val="167E4A2B"/>
    <w:rsid w:val="16806AF2"/>
    <w:rsid w:val="168D7257"/>
    <w:rsid w:val="16944E49"/>
    <w:rsid w:val="16A2392C"/>
    <w:rsid w:val="16FD2CFF"/>
    <w:rsid w:val="17065D0B"/>
    <w:rsid w:val="174322DE"/>
    <w:rsid w:val="17444B7E"/>
    <w:rsid w:val="177918BB"/>
    <w:rsid w:val="17990128"/>
    <w:rsid w:val="17A47348"/>
    <w:rsid w:val="17D6628A"/>
    <w:rsid w:val="18150E07"/>
    <w:rsid w:val="183218D5"/>
    <w:rsid w:val="184354BE"/>
    <w:rsid w:val="188410E1"/>
    <w:rsid w:val="18A92F77"/>
    <w:rsid w:val="18C97C20"/>
    <w:rsid w:val="18FD0460"/>
    <w:rsid w:val="1995098F"/>
    <w:rsid w:val="1A2A70DC"/>
    <w:rsid w:val="1A735606"/>
    <w:rsid w:val="1AEA6C18"/>
    <w:rsid w:val="1AEB60B7"/>
    <w:rsid w:val="1B23148C"/>
    <w:rsid w:val="1B504FEE"/>
    <w:rsid w:val="1B782320"/>
    <w:rsid w:val="1BC3706A"/>
    <w:rsid w:val="1CBF0AE4"/>
    <w:rsid w:val="1D5B21AF"/>
    <w:rsid w:val="1D6455D0"/>
    <w:rsid w:val="1D6D1E44"/>
    <w:rsid w:val="1D8721B2"/>
    <w:rsid w:val="1E044DFA"/>
    <w:rsid w:val="1E06224F"/>
    <w:rsid w:val="1E7D50E5"/>
    <w:rsid w:val="1F255B09"/>
    <w:rsid w:val="1F38787A"/>
    <w:rsid w:val="1F6749DD"/>
    <w:rsid w:val="1FCF3F79"/>
    <w:rsid w:val="20D91CD6"/>
    <w:rsid w:val="211A239C"/>
    <w:rsid w:val="215F0D35"/>
    <w:rsid w:val="21B5664C"/>
    <w:rsid w:val="21E41093"/>
    <w:rsid w:val="21FF63E2"/>
    <w:rsid w:val="221A2C12"/>
    <w:rsid w:val="226B1591"/>
    <w:rsid w:val="226F103C"/>
    <w:rsid w:val="228A4B98"/>
    <w:rsid w:val="22C03DB5"/>
    <w:rsid w:val="22ED0169"/>
    <w:rsid w:val="22ED3C61"/>
    <w:rsid w:val="22F97856"/>
    <w:rsid w:val="23100C9B"/>
    <w:rsid w:val="231E3D93"/>
    <w:rsid w:val="23893271"/>
    <w:rsid w:val="23C7794B"/>
    <w:rsid w:val="23D83E1C"/>
    <w:rsid w:val="241930E9"/>
    <w:rsid w:val="242310C2"/>
    <w:rsid w:val="24903F23"/>
    <w:rsid w:val="249D1848"/>
    <w:rsid w:val="24AF4BB9"/>
    <w:rsid w:val="24E11E69"/>
    <w:rsid w:val="24EB4204"/>
    <w:rsid w:val="25001B0A"/>
    <w:rsid w:val="251927F9"/>
    <w:rsid w:val="253D1D5D"/>
    <w:rsid w:val="258D2BCB"/>
    <w:rsid w:val="25BD4EBF"/>
    <w:rsid w:val="25CA4B54"/>
    <w:rsid w:val="25D96826"/>
    <w:rsid w:val="25F37AA8"/>
    <w:rsid w:val="2602037E"/>
    <w:rsid w:val="26C62E6B"/>
    <w:rsid w:val="26CF1A35"/>
    <w:rsid w:val="276D5326"/>
    <w:rsid w:val="27870809"/>
    <w:rsid w:val="27EC6381"/>
    <w:rsid w:val="27EF3A8E"/>
    <w:rsid w:val="27F12C43"/>
    <w:rsid w:val="284B06F0"/>
    <w:rsid w:val="28602855"/>
    <w:rsid w:val="28722FF9"/>
    <w:rsid w:val="28D4349D"/>
    <w:rsid w:val="28EC3DAD"/>
    <w:rsid w:val="29063813"/>
    <w:rsid w:val="29127086"/>
    <w:rsid w:val="291530AD"/>
    <w:rsid w:val="296A5064"/>
    <w:rsid w:val="296F02F5"/>
    <w:rsid w:val="29BB5721"/>
    <w:rsid w:val="29DB45D4"/>
    <w:rsid w:val="2B2004C4"/>
    <w:rsid w:val="2B222D02"/>
    <w:rsid w:val="2B477AC8"/>
    <w:rsid w:val="2B575025"/>
    <w:rsid w:val="2BBE235D"/>
    <w:rsid w:val="2C044F9A"/>
    <w:rsid w:val="2C295310"/>
    <w:rsid w:val="2C9745AC"/>
    <w:rsid w:val="2CC03E2C"/>
    <w:rsid w:val="2CF538A8"/>
    <w:rsid w:val="2D0A2B94"/>
    <w:rsid w:val="2DBF485E"/>
    <w:rsid w:val="2E4F274B"/>
    <w:rsid w:val="2E5902B7"/>
    <w:rsid w:val="2E7440A3"/>
    <w:rsid w:val="2E773381"/>
    <w:rsid w:val="2EDA1FB7"/>
    <w:rsid w:val="2EFB31B7"/>
    <w:rsid w:val="2FFB5CD9"/>
    <w:rsid w:val="30863374"/>
    <w:rsid w:val="30974CAD"/>
    <w:rsid w:val="30BA58D0"/>
    <w:rsid w:val="30D17ECA"/>
    <w:rsid w:val="313D68A8"/>
    <w:rsid w:val="316F1AFC"/>
    <w:rsid w:val="3174748D"/>
    <w:rsid w:val="31C23A9F"/>
    <w:rsid w:val="322A15EF"/>
    <w:rsid w:val="327C53DB"/>
    <w:rsid w:val="328C3A8F"/>
    <w:rsid w:val="32A14091"/>
    <w:rsid w:val="336F6172"/>
    <w:rsid w:val="33BF4374"/>
    <w:rsid w:val="3434729C"/>
    <w:rsid w:val="349E01BC"/>
    <w:rsid w:val="34C8560B"/>
    <w:rsid w:val="34E57FA2"/>
    <w:rsid w:val="35203F9A"/>
    <w:rsid w:val="359778DC"/>
    <w:rsid w:val="35B078F9"/>
    <w:rsid w:val="36101698"/>
    <w:rsid w:val="36A7140B"/>
    <w:rsid w:val="36ED3E85"/>
    <w:rsid w:val="37484AB9"/>
    <w:rsid w:val="379A54C3"/>
    <w:rsid w:val="37CB0C5F"/>
    <w:rsid w:val="38316BDD"/>
    <w:rsid w:val="38A17656"/>
    <w:rsid w:val="38C9428C"/>
    <w:rsid w:val="38E401EB"/>
    <w:rsid w:val="3915631B"/>
    <w:rsid w:val="395C5855"/>
    <w:rsid w:val="399D109A"/>
    <w:rsid w:val="39DA1ADA"/>
    <w:rsid w:val="39F03D4D"/>
    <w:rsid w:val="3A060113"/>
    <w:rsid w:val="3A7D4D4C"/>
    <w:rsid w:val="3A8203A7"/>
    <w:rsid w:val="3ACF1FD7"/>
    <w:rsid w:val="3ADC2204"/>
    <w:rsid w:val="3B1E478A"/>
    <w:rsid w:val="3B1F58BB"/>
    <w:rsid w:val="3B244146"/>
    <w:rsid w:val="3BAC2F75"/>
    <w:rsid w:val="3BD9047A"/>
    <w:rsid w:val="3C2B3509"/>
    <w:rsid w:val="3C395FE7"/>
    <w:rsid w:val="3C70251D"/>
    <w:rsid w:val="3C9A2333"/>
    <w:rsid w:val="3CB803F1"/>
    <w:rsid w:val="3CFE4BF4"/>
    <w:rsid w:val="3D2752BE"/>
    <w:rsid w:val="3DDD7A20"/>
    <w:rsid w:val="3E2C37B3"/>
    <w:rsid w:val="3E53113C"/>
    <w:rsid w:val="3EB91C55"/>
    <w:rsid w:val="3EC33510"/>
    <w:rsid w:val="3F150F19"/>
    <w:rsid w:val="3FB23410"/>
    <w:rsid w:val="3FEF6744"/>
    <w:rsid w:val="405E24B3"/>
    <w:rsid w:val="40DB31FB"/>
    <w:rsid w:val="41665AF4"/>
    <w:rsid w:val="425E325C"/>
    <w:rsid w:val="429A127E"/>
    <w:rsid w:val="42EB2E22"/>
    <w:rsid w:val="446441DB"/>
    <w:rsid w:val="448618D3"/>
    <w:rsid w:val="44997496"/>
    <w:rsid w:val="44C0789E"/>
    <w:rsid w:val="44C5117B"/>
    <w:rsid w:val="44C95AED"/>
    <w:rsid w:val="44DA217A"/>
    <w:rsid w:val="451C03D2"/>
    <w:rsid w:val="456E10F8"/>
    <w:rsid w:val="458F0BF2"/>
    <w:rsid w:val="45B1563E"/>
    <w:rsid w:val="45DF6DF5"/>
    <w:rsid w:val="45F54FC1"/>
    <w:rsid w:val="461D097A"/>
    <w:rsid w:val="46434D6D"/>
    <w:rsid w:val="46C263B0"/>
    <w:rsid w:val="47855B72"/>
    <w:rsid w:val="47952351"/>
    <w:rsid w:val="47E8045E"/>
    <w:rsid w:val="47FF6BF2"/>
    <w:rsid w:val="480F7F9A"/>
    <w:rsid w:val="48226D41"/>
    <w:rsid w:val="48233BF1"/>
    <w:rsid w:val="48252F49"/>
    <w:rsid w:val="48532619"/>
    <w:rsid w:val="49496913"/>
    <w:rsid w:val="494A3574"/>
    <w:rsid w:val="4971761E"/>
    <w:rsid w:val="4A7B1FF3"/>
    <w:rsid w:val="4A851761"/>
    <w:rsid w:val="4A970024"/>
    <w:rsid w:val="4AB84853"/>
    <w:rsid w:val="4B362282"/>
    <w:rsid w:val="4BBE04CD"/>
    <w:rsid w:val="4BBE7DF3"/>
    <w:rsid w:val="4C3C4FDC"/>
    <w:rsid w:val="4C6B3710"/>
    <w:rsid w:val="4C6B5A15"/>
    <w:rsid w:val="4CCC5D3E"/>
    <w:rsid w:val="4CD215D0"/>
    <w:rsid w:val="4D894034"/>
    <w:rsid w:val="4DA51CA8"/>
    <w:rsid w:val="4DE652A2"/>
    <w:rsid w:val="4E170CF0"/>
    <w:rsid w:val="4E382D6A"/>
    <w:rsid w:val="4E955571"/>
    <w:rsid w:val="4EBA0865"/>
    <w:rsid w:val="4EFF590C"/>
    <w:rsid w:val="4F074B94"/>
    <w:rsid w:val="4F5C43C1"/>
    <w:rsid w:val="4F9616E7"/>
    <w:rsid w:val="4FB77BD1"/>
    <w:rsid w:val="50194A21"/>
    <w:rsid w:val="50871275"/>
    <w:rsid w:val="509E3D8C"/>
    <w:rsid w:val="50B12805"/>
    <w:rsid w:val="50D02EA2"/>
    <w:rsid w:val="5100368A"/>
    <w:rsid w:val="513E02AF"/>
    <w:rsid w:val="51417334"/>
    <w:rsid w:val="51573FFA"/>
    <w:rsid w:val="51955571"/>
    <w:rsid w:val="51C563C3"/>
    <w:rsid w:val="51DD7D4E"/>
    <w:rsid w:val="51E72E4B"/>
    <w:rsid w:val="52352235"/>
    <w:rsid w:val="52496BE8"/>
    <w:rsid w:val="526A11BD"/>
    <w:rsid w:val="526A51F0"/>
    <w:rsid w:val="52976DD5"/>
    <w:rsid w:val="52AA7B35"/>
    <w:rsid w:val="52FC7BE0"/>
    <w:rsid w:val="531612E8"/>
    <w:rsid w:val="53367F1A"/>
    <w:rsid w:val="53577604"/>
    <w:rsid w:val="53857B9A"/>
    <w:rsid w:val="53DE0302"/>
    <w:rsid w:val="53E653DF"/>
    <w:rsid w:val="540D78DA"/>
    <w:rsid w:val="542847D4"/>
    <w:rsid w:val="542F2CAC"/>
    <w:rsid w:val="549E3DEE"/>
    <w:rsid w:val="54B06208"/>
    <w:rsid w:val="54BB22CC"/>
    <w:rsid w:val="54C22AA7"/>
    <w:rsid w:val="54D25650"/>
    <w:rsid w:val="5555551B"/>
    <w:rsid w:val="556432C0"/>
    <w:rsid w:val="562953AA"/>
    <w:rsid w:val="565F1DED"/>
    <w:rsid w:val="5669712A"/>
    <w:rsid w:val="56A708AE"/>
    <w:rsid w:val="56D41AF4"/>
    <w:rsid w:val="56E3577B"/>
    <w:rsid w:val="577E7C42"/>
    <w:rsid w:val="580155EA"/>
    <w:rsid w:val="58485F41"/>
    <w:rsid w:val="58DE0E54"/>
    <w:rsid w:val="591003DB"/>
    <w:rsid w:val="592C65FC"/>
    <w:rsid w:val="594A4E24"/>
    <w:rsid w:val="59AB576D"/>
    <w:rsid w:val="59C930E8"/>
    <w:rsid w:val="5AD953C9"/>
    <w:rsid w:val="5B9865D7"/>
    <w:rsid w:val="5BA449AC"/>
    <w:rsid w:val="5BD90FA0"/>
    <w:rsid w:val="5BE610AD"/>
    <w:rsid w:val="5BE81EE8"/>
    <w:rsid w:val="5BF22F84"/>
    <w:rsid w:val="5C8B6F5C"/>
    <w:rsid w:val="5D081F0C"/>
    <w:rsid w:val="5DA0659A"/>
    <w:rsid w:val="5DB91695"/>
    <w:rsid w:val="5E267D70"/>
    <w:rsid w:val="5E6A27F2"/>
    <w:rsid w:val="5E823658"/>
    <w:rsid w:val="5EA704C2"/>
    <w:rsid w:val="5EC513DC"/>
    <w:rsid w:val="5EDE0715"/>
    <w:rsid w:val="5F29530A"/>
    <w:rsid w:val="5F2E0719"/>
    <w:rsid w:val="5F417D27"/>
    <w:rsid w:val="60013ACA"/>
    <w:rsid w:val="60275ED5"/>
    <w:rsid w:val="604B1456"/>
    <w:rsid w:val="605D71C2"/>
    <w:rsid w:val="608650A9"/>
    <w:rsid w:val="6095786D"/>
    <w:rsid w:val="60C36964"/>
    <w:rsid w:val="614D339C"/>
    <w:rsid w:val="61711243"/>
    <w:rsid w:val="61723592"/>
    <w:rsid w:val="61A6458B"/>
    <w:rsid w:val="61F8782C"/>
    <w:rsid w:val="627904AC"/>
    <w:rsid w:val="62811421"/>
    <w:rsid w:val="628D7970"/>
    <w:rsid w:val="62C61005"/>
    <w:rsid w:val="637F0504"/>
    <w:rsid w:val="6398506A"/>
    <w:rsid w:val="63A623B0"/>
    <w:rsid w:val="63FA5C52"/>
    <w:rsid w:val="64100DA4"/>
    <w:rsid w:val="642D744A"/>
    <w:rsid w:val="647D3104"/>
    <w:rsid w:val="64A04371"/>
    <w:rsid w:val="64AD5C29"/>
    <w:rsid w:val="64BF6C21"/>
    <w:rsid w:val="64C0691A"/>
    <w:rsid w:val="64E073C1"/>
    <w:rsid w:val="653B2309"/>
    <w:rsid w:val="65731CDE"/>
    <w:rsid w:val="65D279F7"/>
    <w:rsid w:val="66587AD2"/>
    <w:rsid w:val="66655743"/>
    <w:rsid w:val="668562A1"/>
    <w:rsid w:val="66A617FC"/>
    <w:rsid w:val="66FC5603"/>
    <w:rsid w:val="67077C33"/>
    <w:rsid w:val="67D61A9B"/>
    <w:rsid w:val="680A7FC4"/>
    <w:rsid w:val="68535E24"/>
    <w:rsid w:val="68B123F6"/>
    <w:rsid w:val="690F1725"/>
    <w:rsid w:val="692E2ABA"/>
    <w:rsid w:val="696040E7"/>
    <w:rsid w:val="6990540B"/>
    <w:rsid w:val="69DE3666"/>
    <w:rsid w:val="6A242548"/>
    <w:rsid w:val="6A470C82"/>
    <w:rsid w:val="6A9151C3"/>
    <w:rsid w:val="6AB200DD"/>
    <w:rsid w:val="6B097238"/>
    <w:rsid w:val="6B44440B"/>
    <w:rsid w:val="6B486B31"/>
    <w:rsid w:val="6B7F2D03"/>
    <w:rsid w:val="6C2A36E9"/>
    <w:rsid w:val="6CE130E1"/>
    <w:rsid w:val="6D33154D"/>
    <w:rsid w:val="6D4E6053"/>
    <w:rsid w:val="6D56178D"/>
    <w:rsid w:val="6D653ECE"/>
    <w:rsid w:val="6D9A62CF"/>
    <w:rsid w:val="6DBE0DB1"/>
    <w:rsid w:val="6DC222A7"/>
    <w:rsid w:val="6DE02428"/>
    <w:rsid w:val="6DE20C6A"/>
    <w:rsid w:val="6DFB68ED"/>
    <w:rsid w:val="6FF70264"/>
    <w:rsid w:val="71A64462"/>
    <w:rsid w:val="71E113E9"/>
    <w:rsid w:val="71E706DB"/>
    <w:rsid w:val="7245609F"/>
    <w:rsid w:val="72D539E6"/>
    <w:rsid w:val="72E663E0"/>
    <w:rsid w:val="733A5458"/>
    <w:rsid w:val="73480163"/>
    <w:rsid w:val="73585825"/>
    <w:rsid w:val="736A33D6"/>
    <w:rsid w:val="73865790"/>
    <w:rsid w:val="738B351A"/>
    <w:rsid w:val="738E422C"/>
    <w:rsid w:val="739D5783"/>
    <w:rsid w:val="73C64CFE"/>
    <w:rsid w:val="74464CD8"/>
    <w:rsid w:val="748F6C83"/>
    <w:rsid w:val="75241DAF"/>
    <w:rsid w:val="754E2830"/>
    <w:rsid w:val="75A843B4"/>
    <w:rsid w:val="75DB088E"/>
    <w:rsid w:val="760A5C87"/>
    <w:rsid w:val="76C1276B"/>
    <w:rsid w:val="76E918C2"/>
    <w:rsid w:val="76FC242D"/>
    <w:rsid w:val="773E3DC3"/>
    <w:rsid w:val="774D0B81"/>
    <w:rsid w:val="77681EEA"/>
    <w:rsid w:val="780265B5"/>
    <w:rsid w:val="78252FC0"/>
    <w:rsid w:val="78343898"/>
    <w:rsid w:val="785B156A"/>
    <w:rsid w:val="785C49F2"/>
    <w:rsid w:val="785F58E5"/>
    <w:rsid w:val="79176EF7"/>
    <w:rsid w:val="794936F7"/>
    <w:rsid w:val="794E5EF6"/>
    <w:rsid w:val="797B0000"/>
    <w:rsid w:val="799F3F72"/>
    <w:rsid w:val="7A141F1D"/>
    <w:rsid w:val="7A190E73"/>
    <w:rsid w:val="7A536AA2"/>
    <w:rsid w:val="7A5F6AF3"/>
    <w:rsid w:val="7AB1206E"/>
    <w:rsid w:val="7AB27B92"/>
    <w:rsid w:val="7B3C0BBD"/>
    <w:rsid w:val="7BB25572"/>
    <w:rsid w:val="7BC074C7"/>
    <w:rsid w:val="7C273897"/>
    <w:rsid w:val="7C7C41B1"/>
    <w:rsid w:val="7C982D17"/>
    <w:rsid w:val="7CE06475"/>
    <w:rsid w:val="7CE77FF1"/>
    <w:rsid w:val="7CF360FB"/>
    <w:rsid w:val="7D097530"/>
    <w:rsid w:val="7D517CAA"/>
    <w:rsid w:val="7D7A59F4"/>
    <w:rsid w:val="7E1308ED"/>
    <w:rsid w:val="7E314F2C"/>
    <w:rsid w:val="7E8C2BBA"/>
    <w:rsid w:val="7EBF3815"/>
    <w:rsid w:val="7F120800"/>
    <w:rsid w:val="7F1510D5"/>
    <w:rsid w:val="7F4F7479"/>
    <w:rsid w:val="7F6C1602"/>
    <w:rsid w:val="7FC10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9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widowControl/>
      <w:numPr>
        <w:ilvl w:val="0"/>
        <w:numId w:val="1"/>
      </w:numPr>
      <w:jc w:val="center"/>
      <w:outlineLvl w:val="0"/>
    </w:pPr>
    <w:rPr>
      <w:rFonts w:ascii="黑体" w:eastAsia="黑体"/>
      <w:kern w:val="0"/>
      <w:sz w:val="32"/>
      <w:szCs w:val="20"/>
    </w:rPr>
  </w:style>
  <w:style w:type="paragraph" w:styleId="4">
    <w:name w:val="heading 2"/>
    <w:basedOn w:val="5"/>
    <w:next w:val="1"/>
    <w:qFormat/>
    <w:uiPriority w:val="9"/>
    <w:pPr>
      <w:keepNext/>
      <w:keepLines/>
      <w:tabs>
        <w:tab w:val="left" w:pos="420"/>
      </w:tabs>
      <w:spacing w:before="260" w:after="260" w:line="413" w:lineRule="auto"/>
      <w:outlineLvl w:val="1"/>
    </w:pPr>
    <w:rPr>
      <w:rFonts w:ascii="Arial" w:hAnsi="Arial" w:eastAsia="黑体"/>
      <w:b/>
      <w:bCs/>
      <w:sz w:val="32"/>
      <w:szCs w:val="32"/>
    </w:rPr>
  </w:style>
  <w:style w:type="paragraph" w:styleId="6">
    <w:name w:val="heading 3"/>
    <w:basedOn w:val="1"/>
    <w:next w:val="7"/>
    <w:qFormat/>
    <w:uiPriority w:val="0"/>
    <w:pPr>
      <w:tabs>
        <w:tab w:val="left" w:pos="709"/>
      </w:tabs>
      <w:autoSpaceDE w:val="0"/>
      <w:autoSpaceDN w:val="0"/>
      <w:adjustRightInd w:val="0"/>
      <w:spacing w:line="300" w:lineRule="auto"/>
      <w:ind w:left="709" w:hanging="709"/>
      <w:textAlignment w:val="baseline"/>
      <w:outlineLvl w:val="2"/>
    </w:pPr>
    <w:rPr>
      <w:rFonts w:ascii="黑体" w:eastAsia="黑体"/>
      <w:b/>
      <w:color w:val="000000"/>
      <w:kern w:val="0"/>
      <w:sz w:val="28"/>
      <w:szCs w:val="20"/>
    </w:rPr>
  </w:style>
  <w:style w:type="paragraph" w:styleId="2">
    <w:name w:val="heading 4"/>
    <w:basedOn w:val="1"/>
    <w:next w:val="1"/>
    <w:qFormat/>
    <w:uiPriority w:val="9"/>
    <w:pPr>
      <w:keepNext/>
      <w:keepLines/>
      <w:spacing w:before="280" w:after="290" w:line="372" w:lineRule="auto"/>
      <w:outlineLvl w:val="3"/>
    </w:pPr>
    <w:rPr>
      <w:rFonts w:ascii="Arial" w:hAnsi="Arial" w:eastAsia="黑体"/>
      <w:b/>
      <w:bCs/>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customStyle="1" w:styleId="5">
    <w:name w:val="列表2"/>
    <w:qFormat/>
    <w:uiPriority w:val="0"/>
    <w:pPr>
      <w:numPr>
        <w:ilvl w:val="0"/>
        <w:numId w:val="2"/>
      </w:numPr>
      <w:spacing w:line="360" w:lineRule="auto"/>
      <w:ind w:firstLine="105"/>
    </w:pPr>
    <w:rPr>
      <w:rFonts w:ascii="Times New Roman" w:hAnsi="Times New Roman" w:eastAsia="宋体" w:cs="Times New Roman"/>
      <w:kern w:val="2"/>
      <w:sz w:val="24"/>
      <w:szCs w:val="24"/>
      <w:lang w:val="en-US" w:eastAsia="zh-CN" w:bidi="ar-SA"/>
    </w:rPr>
  </w:style>
  <w:style w:type="paragraph" w:styleId="7">
    <w:name w:val="Normal Indent"/>
    <w:basedOn w:val="1"/>
    <w:qFormat/>
    <w:uiPriority w:val="0"/>
    <w:pPr>
      <w:ind w:firstLine="420"/>
    </w:pPr>
    <w:rPr>
      <w:szCs w:val="20"/>
    </w:rPr>
  </w:style>
  <w:style w:type="paragraph" w:styleId="8">
    <w:name w:val="List Number"/>
    <w:basedOn w:val="1"/>
    <w:qFormat/>
    <w:uiPriority w:val="0"/>
    <w:pPr>
      <w:numPr>
        <w:ilvl w:val="0"/>
        <w:numId w:val="3"/>
      </w:numPr>
    </w:pPr>
  </w:style>
  <w:style w:type="paragraph" w:styleId="9">
    <w:name w:val="annotation text"/>
    <w:basedOn w:val="1"/>
    <w:link w:val="40"/>
    <w:qFormat/>
    <w:uiPriority w:val="0"/>
    <w:pPr>
      <w:jc w:val="left"/>
    </w:pPr>
  </w:style>
  <w:style w:type="paragraph" w:styleId="10">
    <w:name w:val="Body Text"/>
    <w:basedOn w:val="1"/>
    <w:qFormat/>
    <w:uiPriority w:val="1"/>
    <w:pPr>
      <w:spacing w:after="120"/>
    </w:pPr>
    <w:rPr>
      <w:sz w:val="28"/>
    </w:rPr>
  </w:style>
  <w:style w:type="paragraph" w:styleId="11">
    <w:name w:val="Body Text Indent"/>
    <w:basedOn w:val="1"/>
    <w:next w:val="1"/>
    <w:qFormat/>
    <w:uiPriority w:val="0"/>
    <w:pPr>
      <w:spacing w:line="200" w:lineRule="exact"/>
      <w:ind w:firstLine="301"/>
    </w:pPr>
    <w:rPr>
      <w:rFonts w:ascii="宋体" w:hAnsi="Courier New"/>
      <w:spacing w:val="-4"/>
      <w:sz w:val="18"/>
      <w:szCs w:val="20"/>
    </w:rPr>
  </w:style>
  <w:style w:type="paragraph" w:styleId="12">
    <w:name w:val="toc 3"/>
    <w:basedOn w:val="1"/>
    <w:next w:val="1"/>
    <w:qFormat/>
    <w:uiPriority w:val="0"/>
    <w:pPr>
      <w:ind w:left="840" w:leftChars="400"/>
    </w:pPr>
  </w:style>
  <w:style w:type="paragraph" w:styleId="13">
    <w:name w:val="Plain Text"/>
    <w:basedOn w:val="1"/>
    <w:qFormat/>
    <w:uiPriority w:val="0"/>
    <w:pPr>
      <w:tabs>
        <w:tab w:val="left" w:pos="1200"/>
      </w:tabs>
      <w:spacing w:beforeLines="50" w:afterLines="50" w:line="400" w:lineRule="exact"/>
      <w:ind w:left="1200" w:hanging="360"/>
    </w:pPr>
    <w:rPr>
      <w:rFonts w:ascii="宋体" w:hAnsi="Courier New"/>
      <w:sz w:val="24"/>
    </w:rPr>
  </w:style>
  <w:style w:type="paragraph" w:styleId="14">
    <w:name w:val="Date"/>
    <w:basedOn w:val="1"/>
    <w:next w:val="1"/>
    <w:qFormat/>
    <w:uiPriority w:val="0"/>
    <w:pPr>
      <w:ind w:left="2500" w:leftChars="2500"/>
    </w:pPr>
    <w:rPr>
      <w:rFonts w:eastAsia="楷体_GB2312"/>
      <w:sz w:val="32"/>
      <w:szCs w:val="20"/>
    </w:rPr>
  </w:style>
  <w:style w:type="paragraph" w:styleId="15">
    <w:name w:val="Balloon Text"/>
    <w:basedOn w:val="1"/>
    <w:link w:val="42"/>
    <w:qFormat/>
    <w:uiPriority w:val="0"/>
    <w:rPr>
      <w:rFonts w:ascii="宋体"/>
      <w:sz w:val="18"/>
      <w:szCs w:val="18"/>
    </w:rPr>
  </w:style>
  <w:style w:type="paragraph" w:styleId="16">
    <w:name w:val="footer"/>
    <w:basedOn w:val="1"/>
    <w:qFormat/>
    <w:uiPriority w:val="99"/>
    <w:pPr>
      <w:numPr>
        <w:ilvl w:val="0"/>
        <w:numId w:val="4"/>
      </w:numPr>
      <w:tabs>
        <w:tab w:val="center" w:pos="4153"/>
        <w:tab w:val="right" w:pos="8306"/>
        <w:tab w:val="clear" w:pos="1200"/>
      </w:tabs>
      <w:snapToGrid w:val="0"/>
      <w:ind w:left="0" w:firstLine="0"/>
      <w:jc w:val="left"/>
    </w:pPr>
    <w:rPr>
      <w:rFonts w:eastAsia="黑体"/>
      <w:snapToGrid w:val="0"/>
      <w:sz w:val="18"/>
      <w:szCs w:val="18"/>
    </w:rPr>
  </w:style>
  <w:style w:type="paragraph" w:styleId="17">
    <w:name w:val="header"/>
    <w:basedOn w:val="1"/>
    <w:qFormat/>
    <w:uiPriority w:val="99"/>
    <w:pPr>
      <w:pBdr>
        <w:bottom w:val="single" w:color="auto" w:sz="6" w:space="1"/>
      </w:pBdr>
      <w:tabs>
        <w:tab w:val="center" w:pos="4153"/>
        <w:tab w:val="right" w:pos="8306"/>
      </w:tabs>
      <w:snapToGrid w:val="0"/>
      <w:jc w:val="center"/>
    </w:pPr>
    <w:rPr>
      <w:rFonts w:eastAsia="仿宋_GB2312"/>
      <w:sz w:val="18"/>
      <w:szCs w:val="20"/>
    </w:rPr>
  </w:style>
  <w:style w:type="paragraph" w:styleId="18">
    <w:name w:val="toc 1"/>
    <w:basedOn w:val="1"/>
    <w:next w:val="1"/>
    <w:qFormat/>
    <w:uiPriority w:val="0"/>
  </w:style>
  <w:style w:type="paragraph" w:styleId="19">
    <w:name w:val="Body Text Indent 3"/>
    <w:basedOn w:val="1"/>
    <w:qFormat/>
    <w:uiPriority w:val="0"/>
    <w:pPr>
      <w:snapToGrid w:val="0"/>
      <w:ind w:firstLine="480" w:firstLineChars="200"/>
      <w:jc w:val="left"/>
    </w:pPr>
    <w:rPr>
      <w:rFonts w:ascii="仿宋_GB2312" w:hAnsi="宋体" w:eastAsia="仿宋_GB2312"/>
      <w:color w:val="000000"/>
      <w:sz w:val="24"/>
    </w:rPr>
  </w:style>
  <w:style w:type="paragraph" w:styleId="20">
    <w:name w:val="toc 2"/>
    <w:basedOn w:val="1"/>
    <w:next w:val="1"/>
    <w:qFormat/>
    <w:uiPriority w:val="99"/>
    <w:pPr>
      <w:ind w:left="210"/>
      <w:jc w:val="left"/>
    </w:pPr>
    <w:rPr>
      <w:smallCaps/>
      <w:sz w:val="20"/>
      <w:szCs w:val="20"/>
    </w:rPr>
  </w:style>
  <w:style w:type="paragraph" w:styleId="21">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22">
    <w:name w:val="annotation subject"/>
    <w:basedOn w:val="9"/>
    <w:next w:val="9"/>
    <w:link w:val="41"/>
    <w:qFormat/>
    <w:uiPriority w:val="0"/>
    <w:rPr>
      <w:b/>
      <w:bCs/>
    </w:rPr>
  </w:style>
  <w:style w:type="paragraph" w:styleId="23">
    <w:name w:val="Body Text First Indent 2"/>
    <w:basedOn w:val="11"/>
    <w:next w:val="1"/>
    <w:qFormat/>
    <w:uiPriority w:val="0"/>
    <w:pPr>
      <w:spacing w:after="120" w:line="240" w:lineRule="auto"/>
      <w:ind w:left="420" w:leftChars="200" w:firstLine="420"/>
    </w:pPr>
    <w:rPr>
      <w:sz w:val="21"/>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page number"/>
    <w:basedOn w:val="26"/>
    <w:qFormat/>
    <w:uiPriority w:val="0"/>
  </w:style>
  <w:style w:type="character" w:styleId="28">
    <w:name w:val="Hyperlink"/>
    <w:qFormat/>
    <w:uiPriority w:val="99"/>
    <w:rPr>
      <w:color w:val="333333"/>
      <w:u w:val="none"/>
    </w:rPr>
  </w:style>
  <w:style w:type="character" w:styleId="29">
    <w:name w:val="annotation reference"/>
    <w:basedOn w:val="26"/>
    <w:qFormat/>
    <w:uiPriority w:val="0"/>
    <w:rPr>
      <w:sz w:val="21"/>
      <w:szCs w:val="21"/>
    </w:rPr>
  </w:style>
  <w:style w:type="paragraph" w:customStyle="1" w:styleId="30">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31">
    <w:name w:val="表格文字"/>
    <w:basedOn w:val="1"/>
    <w:next w:val="10"/>
    <w:qFormat/>
    <w:uiPriority w:val="0"/>
    <w:pPr>
      <w:adjustRightInd w:val="0"/>
      <w:spacing w:line="420" w:lineRule="atLeast"/>
      <w:jc w:val="left"/>
      <w:textAlignment w:val="baseline"/>
    </w:pPr>
    <w:rPr>
      <w:rFonts w:ascii="Times New Roman" w:hAnsi="Times New Roman"/>
      <w:kern w:val="0"/>
    </w:rPr>
  </w:style>
  <w:style w:type="paragraph" w:customStyle="1" w:styleId="32">
    <w:name w:val="默认段落字体 Para Char Char Char Char Char Char Char Char Char1 Char Char Char Char"/>
    <w:basedOn w:val="1"/>
    <w:qFormat/>
    <w:uiPriority w:val="0"/>
    <w:rPr>
      <w:rFonts w:ascii="Tahoma" w:hAnsi="Tahoma"/>
      <w:sz w:val="24"/>
      <w:szCs w:val="20"/>
    </w:rPr>
  </w:style>
  <w:style w:type="paragraph" w:styleId="33">
    <w:name w:val="List Paragraph"/>
    <w:basedOn w:val="1"/>
    <w:qFormat/>
    <w:uiPriority w:val="34"/>
    <w:pPr>
      <w:ind w:firstLine="420" w:firstLineChars="200"/>
    </w:pPr>
    <w:rPr>
      <w:szCs w:val="22"/>
    </w:rPr>
  </w:style>
  <w:style w:type="paragraph" w:customStyle="1" w:styleId="34">
    <w:name w:val="Other|1"/>
    <w:basedOn w:val="1"/>
    <w:qFormat/>
    <w:uiPriority w:val="0"/>
    <w:pPr>
      <w:jc w:val="left"/>
    </w:pPr>
    <w:rPr>
      <w:rFonts w:ascii="宋体" w:hAnsi="宋体" w:cs="宋体"/>
      <w:color w:val="000000"/>
      <w:kern w:val="0"/>
      <w:sz w:val="15"/>
      <w:szCs w:val="15"/>
      <w:lang w:val="zh-TW" w:eastAsia="zh-TW" w:bidi="zh-TW"/>
    </w:rPr>
  </w:style>
  <w:style w:type="paragraph" w:customStyle="1" w:styleId="35">
    <w:name w:val="Table Paragraph"/>
    <w:basedOn w:val="1"/>
    <w:qFormat/>
    <w:uiPriority w:val="1"/>
    <w:rPr>
      <w:rFonts w:ascii="宋体" w:hAnsi="宋体" w:cs="宋体"/>
      <w:lang w:val="zh-CN" w:bidi="zh-CN"/>
    </w:rPr>
  </w:style>
  <w:style w:type="paragraph" w:customStyle="1" w:styleId="36">
    <w:name w:val="0-正文"/>
    <w:basedOn w:val="1"/>
    <w:qFormat/>
    <w:uiPriority w:val="0"/>
    <w:pPr>
      <w:spacing w:line="360" w:lineRule="auto"/>
      <w:ind w:firstLine="420" w:firstLineChars="200"/>
    </w:pPr>
    <w:rPr>
      <w:rFonts w:ascii="汉仪仿宋简" w:hAnsi="仿宋"/>
      <w:kern w:val="0"/>
      <w:sz w:val="24"/>
      <w:szCs w:val="28"/>
    </w:rPr>
  </w:style>
  <w:style w:type="character" w:customStyle="1" w:styleId="37">
    <w:name w:val="无"/>
    <w:qFormat/>
    <w:uiPriority w:val="0"/>
  </w:style>
  <w:style w:type="paragraph" w:customStyle="1" w:styleId="38">
    <w:name w:val="首行缩进"/>
    <w:basedOn w:val="1"/>
    <w:qFormat/>
    <w:uiPriority w:val="0"/>
    <w:pPr>
      <w:spacing w:line="360" w:lineRule="auto"/>
      <w:ind w:firstLine="200" w:firstLineChars="200"/>
      <w:jc w:val="left"/>
    </w:pPr>
    <w:rPr>
      <w:rFonts w:eastAsia="仿宋" w:asciiTheme="minorHAnsi" w:hAnsiTheme="minorHAnsi" w:cstheme="minorBidi"/>
      <w:sz w:val="24"/>
      <w:szCs w:val="22"/>
    </w:rPr>
  </w:style>
  <w:style w:type="table" w:customStyle="1" w:styleId="39">
    <w:name w:val="Table Normal"/>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character" w:customStyle="1" w:styleId="40">
    <w:name w:val="批注文字 Char"/>
    <w:basedOn w:val="26"/>
    <w:link w:val="9"/>
    <w:qFormat/>
    <w:uiPriority w:val="0"/>
    <w:rPr>
      <w:rFonts w:ascii="Calibri" w:hAnsi="Calibri"/>
      <w:kern w:val="2"/>
      <w:sz w:val="21"/>
      <w:szCs w:val="24"/>
    </w:rPr>
  </w:style>
  <w:style w:type="character" w:customStyle="1" w:styleId="41">
    <w:name w:val="批注主题 Char"/>
    <w:basedOn w:val="40"/>
    <w:link w:val="22"/>
    <w:qFormat/>
    <w:uiPriority w:val="0"/>
    <w:rPr>
      <w:rFonts w:ascii="Calibri" w:hAnsi="Calibri"/>
      <w:b/>
      <w:bCs/>
      <w:kern w:val="2"/>
      <w:sz w:val="21"/>
      <w:szCs w:val="24"/>
    </w:rPr>
  </w:style>
  <w:style w:type="character" w:customStyle="1" w:styleId="42">
    <w:name w:val="批注框文本 Char"/>
    <w:basedOn w:val="26"/>
    <w:link w:val="15"/>
    <w:qFormat/>
    <w:uiPriority w:val="0"/>
    <w:rPr>
      <w:rFonts w:ascii="宋体"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81</Pages>
  <Words>8400</Words>
  <Characters>47884</Characters>
  <Lines>399</Lines>
  <Paragraphs>112</Paragraphs>
  <TotalTime>0</TotalTime>
  <ScaleCrop>false</ScaleCrop>
  <LinksUpToDate>false</LinksUpToDate>
  <CharactersWithSpaces>56172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2020-06-09T07:52:00Z</dcterms:created>
  <dc:creator>暖洋洋、</dc:creator>
  <cp:lastModifiedBy>FWY</cp:lastModifiedBy>
  <cp:lastPrinted>2020-07-09T07:16:00Z</cp:lastPrinted>
  <dcterms:modified xsi:type="dcterms:W3CDTF">2020-07-13T00:56:58Z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