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浙江万里学院视频监控存储设备采购项目招标文件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 CTZB-2024040039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浙江万里学院</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浙江省成套招标代理有限公司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二〇二四年四月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浙江万里学院视频监控存储设备采购项目</w:t>
      </w:r>
      <w:r>
        <w:rPr>
          <w:rFonts w:hint="eastAsia" w:ascii="宋体" w:hAnsi="宋体" w:cs="宋体"/>
          <w:color w:val="auto"/>
          <w:szCs w:val="21"/>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1"/>
          <w:szCs w:val="21"/>
          <w:highlight w:val="none"/>
        </w:rPr>
        <w:t>https://www.zcygov.cn/）获取（下载）招标文件，</w:t>
      </w:r>
      <w:r>
        <w:rPr>
          <w:rStyle w:val="77"/>
          <w:rFonts w:hint="eastAsia" w:ascii="宋体" w:hAnsi="宋体" w:eastAsia="宋体" w:cs="宋体"/>
          <w:snapToGrid/>
          <w:color w:val="auto"/>
          <w:kern w:val="2"/>
          <w:sz w:val="21"/>
          <w:szCs w:val="21"/>
          <w:highlight w:val="none"/>
        </w:rPr>
        <w:t>并于</w:t>
      </w:r>
      <w:r>
        <w:rPr>
          <w:rStyle w:val="77"/>
          <w:rFonts w:hint="eastAsia" w:ascii="宋体" w:hAnsi="宋体" w:cs="宋体"/>
          <w:snapToGrid/>
          <w:color w:val="auto"/>
          <w:kern w:val="2"/>
          <w:sz w:val="21"/>
          <w:szCs w:val="21"/>
          <w:highlight w:val="none"/>
        </w:rPr>
        <w:t>2024</w:t>
      </w:r>
      <w:r>
        <w:rPr>
          <w:rStyle w:val="77"/>
          <w:rFonts w:hint="eastAsia" w:ascii="宋体" w:hAnsi="宋体" w:eastAsia="宋体" w:cs="宋体"/>
          <w:snapToGrid/>
          <w:color w:val="auto"/>
          <w:kern w:val="2"/>
          <w:sz w:val="21"/>
          <w:szCs w:val="21"/>
          <w:highlight w:val="none"/>
        </w:rPr>
        <w:t>年</w:t>
      </w:r>
      <w:r>
        <w:rPr>
          <w:rStyle w:val="77"/>
          <w:rFonts w:hint="eastAsia" w:ascii="宋体" w:hAnsi="宋体" w:cs="宋体"/>
          <w:snapToGrid/>
          <w:color w:val="auto"/>
          <w:kern w:val="2"/>
          <w:sz w:val="21"/>
          <w:szCs w:val="21"/>
          <w:highlight w:val="none"/>
          <w:lang w:val="en-US" w:eastAsia="zh-CN"/>
        </w:rPr>
        <w:t>4</w:t>
      </w:r>
      <w:r>
        <w:rPr>
          <w:rStyle w:val="77"/>
          <w:rFonts w:hint="eastAsia" w:ascii="宋体" w:hAnsi="宋体" w:eastAsia="宋体" w:cs="宋体"/>
          <w:snapToGrid/>
          <w:color w:val="auto"/>
          <w:kern w:val="2"/>
          <w:sz w:val="21"/>
          <w:szCs w:val="21"/>
          <w:highlight w:val="none"/>
        </w:rPr>
        <w:t>月</w:t>
      </w:r>
      <w:r>
        <w:rPr>
          <w:rStyle w:val="77"/>
          <w:rFonts w:hint="eastAsia" w:ascii="宋体" w:hAnsi="宋体" w:cs="宋体"/>
          <w:snapToGrid/>
          <w:color w:val="auto"/>
          <w:kern w:val="2"/>
          <w:sz w:val="21"/>
          <w:szCs w:val="21"/>
          <w:highlight w:val="none"/>
          <w:lang w:val="en-US" w:eastAsia="zh-CN"/>
        </w:rPr>
        <w:t>28</w:t>
      </w:r>
      <w:r>
        <w:rPr>
          <w:rStyle w:val="77"/>
          <w:rFonts w:hint="eastAsia" w:ascii="宋体" w:hAnsi="宋体" w:eastAsia="宋体" w:cs="宋体"/>
          <w:snapToGrid/>
          <w:color w:val="auto"/>
          <w:kern w:val="2"/>
          <w:sz w:val="21"/>
          <w:szCs w:val="21"/>
          <w:highlight w:val="none"/>
        </w:rPr>
        <w:t>日</w:t>
      </w:r>
      <w:r>
        <w:rPr>
          <w:rStyle w:val="77"/>
          <w:rFonts w:hint="eastAsia" w:ascii="宋体" w:hAnsi="宋体" w:cs="宋体"/>
          <w:snapToGrid/>
          <w:color w:val="auto"/>
          <w:kern w:val="2"/>
          <w:sz w:val="21"/>
          <w:szCs w:val="21"/>
          <w:highlight w:val="none"/>
        </w:rPr>
        <w:t>14</w:t>
      </w:r>
      <w:r>
        <w:rPr>
          <w:rStyle w:val="77"/>
          <w:rFonts w:hint="eastAsia" w:ascii="宋体" w:hAnsi="宋体" w:eastAsia="宋体" w:cs="宋体"/>
          <w:snapToGrid/>
          <w:color w:val="auto"/>
          <w:kern w:val="2"/>
          <w:sz w:val="21"/>
          <w:szCs w:val="21"/>
          <w:highlight w:val="none"/>
        </w:rPr>
        <w:t>点</w:t>
      </w:r>
      <w:r>
        <w:rPr>
          <w:rStyle w:val="77"/>
          <w:rFonts w:hint="eastAsia" w:ascii="宋体" w:hAnsi="宋体" w:cs="宋体"/>
          <w:snapToGrid/>
          <w:color w:val="auto"/>
          <w:kern w:val="2"/>
          <w:sz w:val="21"/>
          <w:szCs w:val="21"/>
          <w:highlight w:val="none"/>
        </w:rPr>
        <w:t>00</w:t>
      </w:r>
      <w:r>
        <w:rPr>
          <w:rStyle w:val="77"/>
          <w:rFonts w:hint="eastAsia" w:ascii="宋体" w:hAnsi="宋体" w:eastAsia="宋体" w:cs="宋体"/>
          <w:snapToGrid/>
          <w:color w:val="auto"/>
          <w:kern w:val="2"/>
          <w:sz w:val="21"/>
          <w:szCs w:val="21"/>
          <w:highlight w:val="none"/>
        </w:rPr>
        <w:t>分</w:t>
      </w:r>
      <w:r>
        <w:rPr>
          <w:rStyle w:val="77"/>
          <w:rFonts w:hint="eastAsia" w:ascii="宋体" w:hAnsi="宋体" w:eastAsia="宋体" w:cs="宋体"/>
          <w:bCs/>
          <w:snapToGrid/>
          <w:color w:val="auto"/>
          <w:kern w:val="2"/>
          <w:sz w:val="21"/>
          <w:szCs w:val="21"/>
          <w:highlight w:val="none"/>
        </w:rPr>
        <w:t>00秒</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项目编号</w:t>
      </w:r>
      <w:r>
        <w:rPr>
          <w:rFonts w:hint="eastAsia" w:ascii="宋体" w:hAnsi="宋体" w:cs="宋体"/>
          <w:bCs/>
          <w:color w:val="auto"/>
          <w:szCs w:val="21"/>
          <w:highlight w:val="none"/>
        </w:rPr>
        <w:t>：CTZB-2024040039</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项目名称：浙江万里学院视频监控存储设备采购项目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预算金额（元）：260000</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最高限价（元）：260000</w:t>
      </w:r>
    </w:p>
    <w:p>
      <w:pPr>
        <w:pStyle w:val="6"/>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采购需求：</w:t>
      </w:r>
    </w:p>
    <w:p>
      <w:pPr>
        <w:pStyle w:val="6"/>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标项名称：视频监控存储设备</w:t>
      </w:r>
    </w:p>
    <w:p>
      <w:pPr>
        <w:pStyle w:val="6"/>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数量： 1  </w:t>
      </w:r>
    </w:p>
    <w:p>
      <w:pPr>
        <w:pStyle w:val="6"/>
        <w:spacing w:line="360" w:lineRule="auto"/>
        <w:ind w:firstLine="420" w:firstLineChars="200"/>
        <w:rPr>
          <w:rFonts w:hAnsi="宋体" w:cs="宋体"/>
          <w:bCs/>
          <w:snapToGrid/>
          <w:color w:val="auto"/>
          <w:kern w:val="2"/>
          <w:sz w:val="21"/>
          <w:szCs w:val="21"/>
          <w:highlight w:val="none"/>
        </w:rPr>
      </w:pPr>
      <w:r>
        <w:rPr>
          <w:rFonts w:ascii="Arial" w:hAnsi="Arial" w:cs="Arial"/>
          <w:bCs/>
          <w:color w:val="auto"/>
          <w:sz w:val="21"/>
          <w:szCs w:val="21"/>
          <w:highlight w:val="none"/>
        </w:rPr>
        <w:t>简要规格描述或项目基本概况介绍、用途：</w:t>
      </w:r>
      <w:r>
        <w:rPr>
          <w:rFonts w:hint="eastAsia" w:hAnsi="宋体" w:cs="宋体"/>
          <w:bCs/>
          <w:snapToGrid/>
          <w:color w:val="auto"/>
          <w:kern w:val="2"/>
          <w:sz w:val="21"/>
          <w:szCs w:val="21"/>
          <w:highlight w:val="none"/>
        </w:rPr>
        <w:t>浙江万里学院视频监控存储设备采购项目主要内容：包括磁盘阵列2台、硬盘96块和扩容平台1套，具体详见招标文件。</w:t>
      </w:r>
      <w:r>
        <w:rPr>
          <w:rFonts w:hint="eastAsia" w:asciiTheme="minorEastAsia" w:hAnsiTheme="minorEastAsia" w:eastAsiaTheme="minorEastAsia"/>
          <w:bCs/>
          <w:snapToGrid/>
          <w:color w:val="auto"/>
          <w:kern w:val="2"/>
          <w:sz w:val="21"/>
          <w:szCs w:val="21"/>
          <w:highlight w:val="none"/>
        </w:rPr>
        <w:t>具体以招标文件第三部分采购需求为准，供应商可点击本公告下方“浏览采购文件”查看采购需求。</w:t>
      </w:r>
    </w:p>
    <w:p>
      <w:pPr>
        <w:pStyle w:val="6"/>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备注：</w:t>
      </w:r>
    </w:p>
    <w:p>
      <w:pPr>
        <w:pStyle w:val="131"/>
        <w:spacing w:before="0"/>
        <w:ind w:firstLine="420"/>
        <w:outlineLvl w:val="2"/>
        <w:rPr>
          <w:rFonts w:ascii="宋体" w:hAnsi="宋体" w:cs="宋体"/>
          <w:bCs/>
          <w:color w:val="auto"/>
          <w:sz w:val="21"/>
          <w:szCs w:val="21"/>
          <w:highlight w:val="none"/>
        </w:rPr>
      </w:pPr>
      <w:r>
        <w:rPr>
          <w:rFonts w:hint="eastAsia" w:ascii="宋体" w:hAnsi="宋体" w:cs="宋体"/>
          <w:bCs/>
          <w:color w:val="auto"/>
          <w:sz w:val="21"/>
          <w:szCs w:val="21"/>
          <w:highlight w:val="none"/>
        </w:rPr>
        <w:t>合同履约期限：</w:t>
      </w:r>
      <w:r>
        <w:rPr>
          <w:rFonts w:hint="eastAsia" w:ascii="Arial" w:hAnsi="Arial" w:cs="Arial"/>
          <w:bCs/>
          <w:color w:val="auto"/>
          <w:sz w:val="21"/>
          <w:szCs w:val="21"/>
          <w:highlight w:val="none"/>
        </w:rPr>
        <w:t>自合同签订之日起30天内完成全部产品的供货，安装调试期为1周，并具备验收条件</w:t>
      </w:r>
      <w:r>
        <w:rPr>
          <w:rFonts w:ascii="Arial" w:hAnsi="Arial" w:cs="Arial"/>
          <w:bCs/>
          <w:color w:val="auto"/>
          <w:sz w:val="21"/>
          <w:szCs w:val="21"/>
          <w:highlight w:val="none"/>
        </w:rPr>
        <w:t>。</w:t>
      </w:r>
    </w:p>
    <w:p>
      <w:pPr>
        <w:pStyle w:val="6"/>
        <w:spacing w:line="360" w:lineRule="auto"/>
        <w:ind w:firstLine="440"/>
        <w:rPr>
          <w:rFonts w:hAnsi="宋体" w:cs="宋体"/>
          <w:bCs/>
          <w:color w:val="auto"/>
          <w:sz w:val="21"/>
          <w:szCs w:val="21"/>
          <w:highlight w:val="none"/>
        </w:rPr>
      </w:pPr>
      <w:r>
        <w:rPr>
          <w:rFonts w:ascii="Arial" w:hAnsi="Arial" w:cs="Arial"/>
          <w:bCs/>
          <w:color w:val="auto"/>
          <w:sz w:val="21"/>
          <w:szCs w:val="21"/>
          <w:highlight w:val="none"/>
        </w:rPr>
        <w:t>本项目</w:t>
      </w:r>
      <w:r>
        <w:rPr>
          <w:rFonts w:hint="eastAsia" w:ascii="Arial" w:hAnsi="Arial" w:cs="Arial"/>
          <w:bCs/>
          <w:color w:val="auto"/>
          <w:sz w:val="21"/>
          <w:szCs w:val="21"/>
          <w:highlight w:val="none"/>
        </w:rPr>
        <w:t>（是）</w:t>
      </w:r>
      <w:r>
        <w:rPr>
          <w:rFonts w:ascii="Arial" w:hAnsi="Arial" w:cs="Arial"/>
          <w:bCs/>
          <w:color w:val="auto"/>
          <w:sz w:val="21"/>
          <w:szCs w:val="21"/>
          <w:highlight w:val="none"/>
        </w:rPr>
        <w:t>接受联合体投标。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w:t>
      </w:r>
      <w:r>
        <w:rPr>
          <w:rFonts w:hint="eastAsia" w:ascii="Arial" w:hAnsi="Arial" w:cs="Arial" w:eastAsiaTheme="minorEastAsia"/>
          <w:color w:val="auto"/>
          <w:szCs w:val="27"/>
          <w:highlight w:val="none"/>
        </w:rPr>
        <w:t>重大税收违法失信主体</w:t>
      </w:r>
      <w:r>
        <w:rPr>
          <w:rFonts w:hint="eastAsia" w:ascii="宋体" w:hAnsi="宋体" w:cs="宋体"/>
          <w:color w:val="auto"/>
          <w:szCs w:val="21"/>
          <w:highlight w:val="none"/>
        </w:rPr>
        <w:t>、政府采购严重违法失信行为记录名单。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2、实行资格后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三、获取招标文件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时间：公告发布时间起至投标截止时间止</w:t>
      </w:r>
      <w:r>
        <w:rPr>
          <w:rFonts w:hint="eastAsia" w:ascii="宋体" w:hAnsi="宋体" w:cs="宋体"/>
          <w:bCs/>
          <w:color w:val="auto"/>
          <w:szCs w:val="21"/>
          <w:highlight w:val="none"/>
        </w:rPr>
        <w:t>，</w:t>
      </w:r>
      <w:r>
        <w:rPr>
          <w:rFonts w:hint="eastAsia" w:ascii="宋体" w:hAnsi="宋体" w:cs="宋体"/>
          <w:bCs/>
          <w:color w:val="auto"/>
          <w:szCs w:val="21"/>
          <w:highlight w:val="none"/>
        </w:rPr>
        <w:t>每天上午00:00至12:00，下午12:00至23:59（北京时间，线上获取法定节假日均可）</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地点（网址）：政采云平台（http://zfcg.czt.zj.gov.cn/）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方式：（1）本项目不提供纸制版招标文件，供应商可通过“</w:t>
      </w:r>
      <w:bookmarkStart w:id="407" w:name="_GoBack"/>
      <w:bookmarkEnd w:id="407"/>
      <w:r>
        <w:rPr>
          <w:rFonts w:hint="eastAsia" w:ascii="宋体" w:hAnsi="宋体" w:cs="宋体"/>
          <w:bCs/>
          <w:color w:val="auto"/>
          <w:szCs w:val="21"/>
          <w:highlight w:val="none"/>
        </w:rPr>
        <w:t>浙江政府采购网”在线获取（采购公告下方选取“潜在供应商”处“获取招标文件”）；供应商只有在“浙江政府采购网”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（2）通过本公告下方“游客，浏览招标文件”下载的招标文件仅供浏览，不视作依法获取招标文件，不得就招标文件提出质疑投诉,未按规定获取招标文件者的投标将被拒绝。</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（3）招标文件及更正补充公告请自行登录浙江政府采购网，在招标公告及更正公告页面中下载。</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售价（元）：0</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日14点00分00秒</w:t>
      </w:r>
      <w:r>
        <w:rPr>
          <w:rFonts w:hint="eastAsia" w:ascii="宋体" w:hAnsi="宋体" w:cs="宋体"/>
          <w:color w:val="auto"/>
          <w:szCs w:val="21"/>
          <w:highlight w:val="none"/>
        </w:rPr>
        <w:t>（北京时间）</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政采云平台（https://www.zcygov.cn/）</w:t>
      </w:r>
      <w:r>
        <w:rPr>
          <w:rFonts w:hint="eastAsia" w:ascii="Arial" w:hAnsi="Arial" w:cs="Arial"/>
          <w:color w:val="auto"/>
          <w:szCs w:val="21"/>
          <w:highlight w:val="none"/>
        </w:rPr>
        <w:t>。</w:t>
      </w:r>
      <w:r>
        <w:rPr>
          <w:rFonts w:hint="eastAsia" w:ascii="宋体" w:hAnsi="宋体" w:cs="宋体"/>
          <w:color w:val="auto"/>
          <w:szCs w:val="21"/>
          <w:highlight w:val="none"/>
        </w:rPr>
        <w:t xml:space="preserve"> </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日14点00分00秒</w:t>
      </w:r>
      <w:r>
        <w:rPr>
          <w:rFonts w:hint="eastAsia" w:ascii="宋体" w:hAnsi="宋体" w:cs="宋体"/>
          <w:color w:val="auto"/>
          <w:szCs w:val="21"/>
          <w:highlight w:val="none"/>
        </w:rPr>
        <w:t>（北京时间）</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r>
        <w:rPr>
          <w:rFonts w:hint="eastAsia" w:ascii="Arial" w:hAnsi="Arial" w:cs="Arial"/>
          <w:color w:val="auto"/>
          <w:szCs w:val="21"/>
          <w:highlight w:val="none"/>
        </w:rPr>
        <w:t>开标地址：浙江省成套招标代理有限公司（宁波市海曙区翠柏路89号工程学院西校区C栋8楼）</w:t>
      </w:r>
      <w:r>
        <w:rPr>
          <w:rFonts w:ascii="Arial" w:hAnsi="Arial" w:cs="Arial"/>
          <w:color w:val="auto"/>
          <w:szCs w:val="21"/>
          <w:highlight w:val="none"/>
        </w:rPr>
        <w:t> </w:t>
      </w:r>
      <w:r>
        <w:rPr>
          <w:rFonts w:hint="eastAsia" w:ascii="Arial" w:hAnsi="Arial" w:cs="Arial"/>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w:t>
      </w:r>
      <w:r>
        <w:rPr>
          <w:rFonts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⑨投标文件的解密：供应商按照平台提示和招标文件的规定在半小时内完成在线解密。通过“政府采购云平台”上传递交的投标文件无法按时解密视为投标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pPr>
        <w:spacing w:line="360" w:lineRule="auto"/>
        <w:ind w:firstLine="420" w:firstLineChars="200"/>
        <w:rPr>
          <w:rFonts w:ascii="宋体" w:hAnsi="宋体" w:cs="宋体"/>
          <w:color w:val="auto"/>
          <w:szCs w:val="21"/>
          <w:highlight w:val="none"/>
        </w:rPr>
      </w:pPr>
      <w:r>
        <w:rPr>
          <w:rFonts w:ascii="Arial" w:hAnsi="Arial" w:cs="Arial"/>
          <w:color w:val="auto"/>
          <w:szCs w:val="21"/>
          <w:highlight w:val="none"/>
        </w:rPr>
        <w:t>1.采购人信息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称：浙江万里学院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址：宁波市钱湖南路8号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项目联系人（询问）：于老师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项目联系方式（询问）：0574-88223169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质疑联系人：杨老师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质疑联系方式：0574-88222077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称：浙江省成套招标代理有限公司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址：宁波市海曙区翠柏路89号工程学院西校区C栋8楼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项目联系人（询问）：陈彦、钱聪</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项目联系方式（询问）：0574-87127967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质疑联系人：毛宇兰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质疑联系方式：0574-87127713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称：浙江省财政厅政府采购监管处、浙江省政府采购行政裁决服务中心（杭州）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址：杭州市上城区四季青街道新业路市民之家G03办公室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人：朱女士、王女士</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监督投诉电话：0571-85252453</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政策咨询：何一平、冯华，0571-87058424、87055741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预算金额未达100万元的采购项目，由采购人处理采购争议。</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391"/>
        <w:gridCol w:w="5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5547"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货物类，单一产品或</w:t>
            </w:r>
            <w:r>
              <w:rPr>
                <w:rFonts w:hint="eastAsia" w:ascii="宋体" w:hAnsi="宋体" w:cs="宋体"/>
                <w:color w:val="auto"/>
                <w:kern w:val="0"/>
                <w:szCs w:val="21"/>
                <w:highlight w:val="none"/>
              </w:rPr>
              <w:t>核心产品为：</w:t>
            </w:r>
            <w:r>
              <w:rPr>
                <w:rFonts w:hint="eastAsia"/>
                <w:color w:val="auto"/>
                <w:kern w:val="0"/>
                <w:sz w:val="22"/>
                <w:szCs w:val="22"/>
                <w:highlight w:val="none"/>
                <w:u w:val="single"/>
                <w:lang w:bidi="ar"/>
              </w:rPr>
              <w:t>存储设备</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5547" w:type="dxa"/>
            <w:tcBorders>
              <w:top w:val="single" w:color="000000" w:sz="8" w:space="0"/>
              <w:left w:val="single" w:color="000000" w:sz="2" w:space="0"/>
              <w:bottom w:val="single" w:color="000000" w:sz="8" w:space="0"/>
              <w:right w:val="single" w:color="000000" w:sz="8" w:space="0"/>
            </w:tcBorders>
            <w:vAlign w:val="center"/>
          </w:tcPr>
          <w:p>
            <w:pPr>
              <w:pStyle w:val="4"/>
              <w:spacing w:line="400" w:lineRule="exact"/>
              <w:ind w:left="0" w:firstLine="0"/>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（1）标的：</w:t>
            </w:r>
            <w:r>
              <w:rPr>
                <w:rFonts w:hint="eastAsia" w:ascii="宋体" w:hAnsi="宋体" w:eastAsia="宋体" w:cs="宋体"/>
                <w:b w:val="0"/>
                <w:bCs w:val="0"/>
                <w:color w:val="auto"/>
                <w:sz w:val="21"/>
                <w:szCs w:val="21"/>
                <w:highlight w:val="none"/>
                <w:u w:val="single"/>
                <w:lang w:val="en-US"/>
              </w:rPr>
              <w:t>浙江万里学院视频监控存储设备采购</w:t>
            </w:r>
            <w:r>
              <w:rPr>
                <w:rFonts w:hint="eastAsia" w:ascii="宋体" w:hAnsi="宋体" w:eastAsia="宋体" w:cs="宋体"/>
                <w:b w:val="0"/>
                <w:bCs w:val="0"/>
                <w:color w:val="auto"/>
                <w:sz w:val="21"/>
                <w:szCs w:val="21"/>
                <w:highlight w:val="none"/>
                <w:lang w:val="en-US"/>
              </w:rPr>
              <w:t>，属于</w:t>
            </w:r>
            <w:r>
              <w:rPr>
                <w:rFonts w:hint="eastAsia" w:ascii="宋体" w:hAnsi="宋体" w:eastAsia="宋体" w:cs="宋体"/>
                <w:color w:val="auto"/>
                <w:sz w:val="21"/>
                <w:szCs w:val="21"/>
                <w:highlight w:val="none"/>
                <w:u w:val="single"/>
                <w:lang w:val="en-US"/>
              </w:rPr>
              <w:t>工业</w:t>
            </w:r>
            <w:r>
              <w:rPr>
                <w:rFonts w:hint="eastAsia" w:ascii="宋体" w:hAnsi="宋体" w:eastAsia="宋体" w:cs="宋体"/>
                <w:b w:val="0"/>
                <w:bCs w:val="0"/>
                <w:color w:val="auto"/>
                <w:sz w:val="21"/>
                <w:szCs w:val="21"/>
                <w:highlight w:val="none"/>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工作分包。</w:t>
            </w:r>
            <w:sdt>
              <w:sdtPr>
                <w:rPr>
                  <w:rFonts w:hint="eastAsia" w:ascii="宋体" w:hAnsi="宋体" w:cs="宋体"/>
                  <w:color w:val="auto"/>
                  <w:kern w:val="0"/>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样品提供</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B要求提供，</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。请供应商在上述时间内提供样品并按规定位置安装完毕。超过截止时间的，采购人或采购代理机构将不予接收，并将清场并封闭样品现场。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rPr>
                <w:rFonts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91"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B组织。</w:t>
            </w:r>
          </w:p>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（1）在评标时安排每个供应商进行方案讲解演示。每个供应商时间不超过</w:t>
            </w:r>
            <w:r>
              <w:rPr>
                <w:rFonts w:hint="eastAsia" w:ascii="宋体" w:hAnsi="宋体" w:cs="宋体"/>
                <w:color w:val="auto"/>
                <w:kern w:val="0"/>
                <w:szCs w:val="21"/>
                <w:highlight w:val="none"/>
                <w:u w:val="single"/>
              </w:rPr>
              <w:t>15</w:t>
            </w:r>
            <w:r>
              <w:rPr>
                <w:rFonts w:hint="eastAsia" w:ascii="宋体" w:hAnsi="宋体" w:cs="宋体"/>
                <w:color w:val="auto"/>
                <w:kern w:val="0"/>
                <w:szCs w:val="21"/>
                <w:highlight w:val="none"/>
              </w:rPr>
              <w:t>分钟，讲解次序以投标文件解密时间先后次序为准，讲解演示人员不超过</w:t>
            </w:r>
            <w:r>
              <w:rPr>
                <w:rFonts w:hint="eastAsia" w:ascii="宋体" w:hAnsi="宋体" w:cs="宋体"/>
                <w:color w:val="auto"/>
                <w:kern w:val="0"/>
                <w:szCs w:val="21"/>
                <w:highlight w:val="none"/>
                <w:u w:val="single"/>
              </w:rPr>
              <w:t>2</w:t>
            </w:r>
            <w:r>
              <w:rPr>
                <w:rFonts w:hint="eastAsia" w:ascii="宋体" w:hAnsi="宋体" w:cs="宋体"/>
                <w:color w:val="auto"/>
                <w:kern w:val="0"/>
                <w:szCs w:val="21"/>
                <w:highlight w:val="none"/>
              </w:rPr>
              <w:t>人。讲解演示结束后按要求解答评标委员会提问。</w:t>
            </w:r>
          </w:p>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w:t>
            </w:r>
          </w:p>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评标室内现场讲解演示。现场讲解地点为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，讲解演示所用电脑等设备由供应商自备。现场讲解演示人员进场时提供讲解人员名单（加盖公章或授权代表签名）及身份证明，否则不得讲解演示。</w:t>
            </w:r>
          </w:p>
          <w:p>
            <w:pPr>
              <w:snapToGrid w:val="0"/>
              <w:spacing w:line="40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rPr>
              <w:t>注：因供应商自身原因导致无法演示或者演示效果不理想的，责任自负。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391"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供应商应当提供的资格、资信证明文件</w:t>
            </w:r>
          </w:p>
        </w:tc>
        <w:tc>
          <w:tcPr>
            <w:tcW w:w="5547"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pPr>
              <w:spacing w:line="40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tcPr>
          <w:p>
            <w:pPr>
              <w:snapToGrid w:val="0"/>
              <w:spacing w:line="400" w:lineRule="exact"/>
              <w:jc w:val="center"/>
              <w:rPr>
                <w:rFonts w:ascii="宋体" w:hAnsi="宋体" w:cs="宋体"/>
                <w:color w:val="auto"/>
                <w:szCs w:val="21"/>
                <w:highlight w:val="none"/>
              </w:rPr>
            </w:pPr>
          </w:p>
        </w:tc>
        <w:tc>
          <w:tcPr>
            <w:tcW w:w="2391"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p>
        </w:tc>
        <w:tc>
          <w:tcPr>
            <w:tcW w:w="5547"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391"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5547"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91"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5547"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投标文件中价格全部采用人民币报价。招标文件未列明，而供应商认为必需的费用也需列入报价。</w:t>
            </w:r>
            <w:r>
              <w:rPr>
                <w:rFonts w:hint="eastAsia" w:ascii="宋体" w:hAnsi="宋体" w:cs="宋体"/>
                <w:b/>
                <w:color w:val="auto"/>
                <w:kern w:val="0"/>
                <w:szCs w:val="21"/>
                <w:highlight w:val="none"/>
                <w:lang w:val="zh-CN"/>
              </w:rPr>
              <w:t>提醒：验收时检测费用由采购人承担，不包含在投标</w:t>
            </w:r>
            <w:r>
              <w:rPr>
                <w:rFonts w:hint="eastAsia"/>
                <w:b/>
                <w:bCs/>
                <w:color w:val="auto"/>
                <w:highlight w:val="none"/>
              </w:rPr>
              <w:t>报价</w:t>
            </w:r>
            <w:r>
              <w:rPr>
                <w:rFonts w:hint="eastAsia" w:ascii="宋体" w:hAnsi="宋体" w:cs="宋体"/>
                <w:b/>
                <w:color w:val="auto"/>
                <w:kern w:val="0"/>
                <w:szCs w:val="21"/>
                <w:highlight w:val="none"/>
                <w:lang w:val="zh-CN"/>
              </w:rPr>
              <w:t>中。</w:t>
            </w:r>
          </w:p>
          <w:p>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pPr>
              <w:snapToGrid w:val="0"/>
              <w:spacing w:line="400" w:lineRule="exac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pPr>
              <w:spacing w:line="400" w:lineRule="exact"/>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b/>
                <w:color w:val="auto"/>
                <w:kern w:val="0"/>
                <w:szCs w:val="21"/>
                <w:highlight w:val="none"/>
              </w:rPr>
              <w:t>供应商对根据修正原则修正后的报价不确认的</w:t>
            </w:r>
            <w:r>
              <w:rPr>
                <w:rFonts w:hint="eastAsia"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91"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中标服务费</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Arial" w:hAnsi="Arial" w:cs="Arial" w:eastAsiaTheme="minorEastAsia"/>
                <w:color w:val="auto"/>
                <w:szCs w:val="21"/>
                <w:highlight w:val="none"/>
              </w:rPr>
            </w:pPr>
            <w:r>
              <w:rPr>
                <w:rFonts w:ascii="Arial" w:hAnsi="Arial" w:cs="Arial" w:eastAsiaTheme="minorEastAsia"/>
                <w:color w:val="auto"/>
                <w:szCs w:val="21"/>
                <w:highlight w:val="none"/>
              </w:rPr>
              <w:t>招标代理服务费的收取标准：</w:t>
            </w:r>
            <w:r>
              <w:rPr>
                <w:rFonts w:hint="eastAsia" w:ascii="Arial" w:hAnsi="Arial" w:cs="Arial" w:eastAsiaTheme="minorEastAsia"/>
                <w:color w:val="auto"/>
                <w:szCs w:val="21"/>
                <w:highlight w:val="none"/>
              </w:rPr>
              <w:t>按下表下浮25%向中标人收取中标服务费，不低于3000元。</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095"/>
              <w:gridCol w:w="110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中标金额（万元）</w:t>
                  </w:r>
                </w:p>
              </w:tc>
              <w:tc>
                <w:tcPr>
                  <w:tcW w:w="1095" w:type="dxa"/>
                  <w:vAlign w:val="center"/>
                </w:tcPr>
                <w:p>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货物招标</w:t>
                  </w:r>
                </w:p>
              </w:tc>
              <w:tc>
                <w:tcPr>
                  <w:tcW w:w="1104" w:type="dxa"/>
                  <w:vAlign w:val="center"/>
                </w:tcPr>
                <w:p>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服务招标</w:t>
                  </w:r>
                </w:p>
              </w:tc>
              <w:tc>
                <w:tcPr>
                  <w:tcW w:w="1064" w:type="dxa"/>
                  <w:vAlign w:val="center"/>
                </w:tcPr>
                <w:p>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100以下（含）</w:t>
                  </w:r>
                </w:p>
              </w:tc>
              <w:tc>
                <w:tcPr>
                  <w:tcW w:w="1095"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1.6%</w:t>
                  </w:r>
                </w:p>
              </w:tc>
              <w:tc>
                <w:tcPr>
                  <w:tcW w:w="110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1.6%</w:t>
                  </w:r>
                </w:p>
              </w:tc>
              <w:tc>
                <w:tcPr>
                  <w:tcW w:w="106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100-500（含）</w:t>
                  </w:r>
                </w:p>
              </w:tc>
              <w:tc>
                <w:tcPr>
                  <w:tcW w:w="1095"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1.2%</w:t>
                  </w:r>
                </w:p>
              </w:tc>
              <w:tc>
                <w:tcPr>
                  <w:tcW w:w="110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0.9%</w:t>
                  </w:r>
                </w:p>
              </w:tc>
              <w:tc>
                <w:tcPr>
                  <w:tcW w:w="106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500-1000（含）</w:t>
                  </w:r>
                </w:p>
              </w:tc>
              <w:tc>
                <w:tcPr>
                  <w:tcW w:w="1095"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0.9%</w:t>
                  </w:r>
                </w:p>
              </w:tc>
              <w:tc>
                <w:tcPr>
                  <w:tcW w:w="110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0.5%</w:t>
                  </w:r>
                </w:p>
              </w:tc>
              <w:tc>
                <w:tcPr>
                  <w:tcW w:w="106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1000-5000（含）</w:t>
                  </w:r>
                </w:p>
              </w:tc>
              <w:tc>
                <w:tcPr>
                  <w:tcW w:w="1095"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0.6%</w:t>
                  </w:r>
                </w:p>
              </w:tc>
              <w:tc>
                <w:tcPr>
                  <w:tcW w:w="110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c>
                <w:tcPr>
                  <w:tcW w:w="106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5000-10000（含）</w:t>
                  </w:r>
                </w:p>
              </w:tc>
              <w:tc>
                <w:tcPr>
                  <w:tcW w:w="1095"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c>
                <w:tcPr>
                  <w:tcW w:w="110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0.1%</w:t>
                  </w:r>
                </w:p>
              </w:tc>
              <w:tc>
                <w:tcPr>
                  <w:tcW w:w="106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10000-100000（含）</w:t>
                  </w:r>
                </w:p>
              </w:tc>
              <w:tc>
                <w:tcPr>
                  <w:tcW w:w="1095"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0.05%</w:t>
                  </w:r>
                </w:p>
              </w:tc>
              <w:tc>
                <w:tcPr>
                  <w:tcW w:w="110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0.05%</w:t>
                  </w:r>
                </w:p>
              </w:tc>
              <w:tc>
                <w:tcPr>
                  <w:tcW w:w="106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100000以上</w:t>
                  </w:r>
                </w:p>
              </w:tc>
              <w:tc>
                <w:tcPr>
                  <w:tcW w:w="1095"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c>
                <w:tcPr>
                  <w:tcW w:w="110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c>
                <w:tcPr>
                  <w:tcW w:w="1064" w:type="dxa"/>
                  <w:vAlign w:val="center"/>
                </w:tcPr>
                <w:p>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r>
          </w:tbl>
          <w:p>
            <w:pPr>
              <w:spacing w:line="400" w:lineRule="exact"/>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91" w:type="dxa"/>
            <w:tcBorders>
              <w:top w:val="single" w:color="000000" w:sz="8" w:space="0"/>
              <w:left w:val="single" w:color="000000" w:sz="2"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5547" w:type="dxa"/>
            <w:tcBorders>
              <w:top w:val="single" w:color="000000" w:sz="8" w:space="0"/>
              <w:left w:val="single" w:color="000000" w:sz="2" w:space="0"/>
              <w:right w:val="single" w:color="000000" w:sz="8" w:space="0"/>
            </w:tcBorders>
            <w:vAlign w:val="center"/>
          </w:tcPr>
          <w:p>
            <w:pPr>
              <w:spacing w:line="400" w:lineRule="exact"/>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91"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5547" w:type="dxa"/>
            <w:tcBorders>
              <w:top w:val="single" w:color="000000" w:sz="8" w:space="0"/>
              <w:left w:val="single" w:color="000000" w:sz="2" w:space="0"/>
              <w:bottom w:val="single" w:color="000000" w:sz="8" w:space="0"/>
              <w:right w:val="single" w:color="000000" w:sz="8" w:space="0"/>
            </w:tcBorders>
            <w:vAlign w:val="center"/>
          </w:tcPr>
          <w:p>
            <w:pPr>
              <w:pStyle w:val="33"/>
              <w:spacing w:line="400" w:lineRule="exact"/>
              <w:rPr>
                <w:rFonts w:hAnsi="宋体" w:cs="宋体"/>
                <w:color w:val="auto"/>
                <w:kern w:val="28"/>
                <w:highlight w:val="none"/>
                <w:u w:val="single"/>
              </w:rPr>
            </w:pPr>
            <w:r>
              <w:rPr>
                <w:rFonts w:hint="eastAsia" w:hAnsi="宋体" w:cs="宋体"/>
                <w:color w:val="auto"/>
                <w:kern w:val="28"/>
                <w:highlight w:val="none"/>
              </w:rPr>
              <w:t>供应商在“政府采购云平台”完成电子加密“投标文件”的在线传输递交后，还可以在投标截止时间前通过邮寄等方式送达以介质存储的数据电文形式的“备份投标文件”。</w:t>
            </w:r>
            <w:r>
              <w:rPr>
                <w:rFonts w:hint="eastAsia" w:hAnsi="宋体" w:cs="宋体"/>
                <w:color w:val="auto"/>
                <w:kern w:val="28"/>
                <w:highlight w:val="none"/>
                <w:u w:val="single"/>
              </w:rPr>
              <w:t>“备份投标文件”由供应商自愿提交，不作强制性要求，但供应商仅递交了“备份投标文件”的，投标无效。</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（1）备份投标文件的存储：</w:t>
            </w:r>
            <w:r>
              <w:rPr>
                <w:rFonts w:hint="eastAsia" w:ascii="宋体" w:hAnsi="宋体" w:cs="宋体"/>
                <w:color w:val="auto"/>
                <w:szCs w:val="21"/>
                <w:highlight w:val="none"/>
                <w:u w:val="single"/>
              </w:rPr>
              <w:t>以U盘</w:t>
            </w:r>
            <w:r>
              <w:rPr>
                <w:rFonts w:hint="eastAsia" w:ascii="宋体" w:hAnsi="宋体" w:cs="宋体"/>
                <w:color w:val="auto"/>
                <w:szCs w:val="21"/>
                <w:highlight w:val="none"/>
              </w:rPr>
              <w:t>。</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（2）备份投标文件的份数：</w:t>
            </w:r>
            <w:r>
              <w:rPr>
                <w:rFonts w:hint="eastAsia" w:ascii="宋体" w:hAnsi="宋体" w:cs="宋体"/>
                <w:color w:val="auto"/>
                <w:szCs w:val="21"/>
                <w:highlight w:val="none"/>
                <w:u w:val="single"/>
              </w:rPr>
              <w:t>1份</w:t>
            </w:r>
            <w:r>
              <w:rPr>
                <w:rFonts w:hint="eastAsia" w:ascii="宋体" w:hAnsi="宋体" w:cs="宋体"/>
                <w:color w:val="auto"/>
                <w:szCs w:val="21"/>
                <w:highlight w:val="none"/>
              </w:rPr>
              <w:t>。</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（3）备份投标文件的密封包装、标识：</w:t>
            </w:r>
            <w:r>
              <w:rPr>
                <w:rFonts w:hint="eastAsia" w:ascii="宋体" w:hAnsi="宋体" w:cs="宋体"/>
                <w:color w:val="auto"/>
                <w:szCs w:val="21"/>
                <w:highlight w:val="none"/>
              </w:rPr>
              <w:t>“备份投标文件”应当密封包装并在外包装上标注投标项目名称、投标单位名称并加盖公章。</w:t>
            </w:r>
            <w:r>
              <w:rPr>
                <w:rFonts w:hint="eastAsia" w:ascii="宋体" w:hAnsi="宋体" w:cs="宋体"/>
                <w:b/>
                <w:color w:val="auto"/>
                <w:szCs w:val="21"/>
                <w:highlight w:val="none"/>
                <w:u w:val="single"/>
              </w:rPr>
              <w:t>“备份投标文件”没有密封包装或标识或盖章的视为未递交</w:t>
            </w:r>
            <w:r>
              <w:rPr>
                <w:rFonts w:hint="eastAsia" w:ascii="宋体" w:hAnsi="宋体" w:cs="宋体"/>
                <w:b/>
                <w:color w:val="auto"/>
                <w:szCs w:val="21"/>
                <w:highlight w:val="none"/>
              </w:rPr>
              <w:t>。</w:t>
            </w:r>
          </w:p>
          <w:p>
            <w:pPr>
              <w:pStyle w:val="33"/>
              <w:spacing w:line="400" w:lineRule="exact"/>
              <w:rPr>
                <w:rFonts w:hAnsi="宋体" w:cs="宋体"/>
                <w:color w:val="auto"/>
                <w:kern w:val="28"/>
                <w:highlight w:val="none"/>
                <w:u w:val="single"/>
              </w:rPr>
            </w:pPr>
            <w:r>
              <w:rPr>
                <w:rFonts w:hint="eastAsia" w:hAnsi="宋体" w:cs="宋体"/>
                <w:b/>
                <w:color w:val="auto"/>
                <w:highlight w:val="none"/>
              </w:rPr>
              <w:t>（4）备份投标文件的递交与接收：</w:t>
            </w:r>
            <w:r>
              <w:rPr>
                <w:rFonts w:hint="eastAsia" w:hAnsi="宋体" w:cs="宋体"/>
                <w:b/>
                <w:color w:val="auto"/>
                <w:highlight w:val="none"/>
                <w:u w:val="single"/>
              </w:rPr>
              <w:t>投标截止时间前以邮寄等方式送达至采购代理机构</w:t>
            </w:r>
            <w:r>
              <w:rPr>
                <w:rFonts w:hint="eastAsia" w:hAnsi="宋体" w:cs="宋体"/>
                <w:color w:val="auto"/>
                <w:highlight w:val="none"/>
                <w:u w:val="single"/>
              </w:rPr>
              <w:t>（地址：宁波市海曙区翠柏路89号工程学院西校区C栋8楼，接收人：陈彦，电话：0574-87127967）</w:t>
            </w:r>
            <w:r>
              <w:rPr>
                <w:rFonts w:hint="eastAsia" w:hAnsi="宋体" w:cs="宋体"/>
                <w:color w:val="auto"/>
                <w:highlight w:val="none"/>
              </w:rPr>
              <w:t>，送达时间以采购代理机构工作人员实际签收时间为准，</w:t>
            </w:r>
            <w:r>
              <w:rPr>
                <w:rFonts w:hint="eastAsia" w:hAnsi="宋体" w:cs="宋体"/>
                <w:b/>
                <w:color w:val="auto"/>
                <w:highlight w:val="none"/>
                <w:u w:val="single"/>
              </w:rPr>
              <w:t>“备份投标文件”逾期送达的视为未递交</w:t>
            </w:r>
            <w:r>
              <w:rPr>
                <w:rFonts w:hint="eastAsia" w:hAnsi="宋体" w:cs="宋体"/>
                <w:color w:val="auto"/>
                <w:highlight w:val="none"/>
              </w:rPr>
              <w:t>。采用邮寄方式送达的，建议供应商提前办理。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2391"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履约保证金</w:t>
            </w:r>
          </w:p>
        </w:tc>
        <w:tc>
          <w:tcPr>
            <w:tcW w:w="5547" w:type="dxa"/>
            <w:tcBorders>
              <w:top w:val="single" w:color="000000" w:sz="8" w:space="0"/>
              <w:left w:val="single" w:color="000000" w:sz="2" w:space="0"/>
              <w:bottom w:val="single" w:color="000000" w:sz="8" w:space="0"/>
              <w:right w:val="single" w:color="000000" w:sz="8" w:space="0"/>
            </w:tcBorders>
            <w:vAlign w:val="center"/>
          </w:tcPr>
          <w:p>
            <w:pPr>
              <w:pStyle w:val="33"/>
              <w:spacing w:line="400" w:lineRule="exact"/>
              <w:rPr>
                <w:rFonts w:hAnsi="宋体" w:cs="宋体"/>
                <w:color w:val="auto"/>
                <w:kern w:val="28"/>
                <w:highlight w:val="none"/>
              </w:rPr>
            </w:pPr>
            <w:r>
              <w:rPr>
                <w:rFonts w:hint="eastAsia" w:hAnsi="宋体" w:cs="宋体"/>
                <w:color w:val="auto"/>
                <w:kern w:val="28"/>
                <w:highlight w:val="none"/>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391"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宋体" w:hAnsi="宋体" w:cs="宋体"/>
                <w:b/>
                <w:color w:val="auto"/>
                <w:szCs w:val="21"/>
                <w:highlight w:val="none"/>
              </w:rPr>
            </w:pPr>
            <w:r>
              <w:rPr>
                <w:rFonts w:hint="eastAsia" w:cs="仿宋_GB2312" w:asciiTheme="minorEastAsia" w:hAnsiTheme="minorEastAsia" w:eastAsiaTheme="minorEastAsia"/>
                <w:b/>
                <w:color w:val="auto"/>
                <w:szCs w:val="21"/>
                <w:highlight w:val="none"/>
              </w:rPr>
              <w:t>特别说明</w:t>
            </w: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bottom w:val="single" w:color="auto" w:sz="4" w:space="0"/>
              <w:right w:val="single" w:color="000000" w:sz="2" w:space="0"/>
            </w:tcBorders>
          </w:tcPr>
          <w:p>
            <w:pPr>
              <w:snapToGrid w:val="0"/>
              <w:spacing w:line="400" w:lineRule="exact"/>
              <w:jc w:val="center"/>
              <w:rPr>
                <w:rFonts w:ascii="宋体" w:hAnsi="宋体" w:cs="宋体"/>
                <w:color w:val="auto"/>
                <w:szCs w:val="21"/>
                <w:highlight w:val="none"/>
              </w:rPr>
            </w:pPr>
          </w:p>
        </w:tc>
        <w:tc>
          <w:tcPr>
            <w:tcW w:w="2391" w:type="dxa"/>
            <w:vMerge w:val="continue"/>
            <w:tcBorders>
              <w:left w:val="single" w:color="000000" w:sz="2" w:space="0"/>
              <w:bottom w:val="single" w:color="000000" w:sz="8" w:space="0"/>
              <w:right w:val="single" w:color="000000" w:sz="8" w:space="0"/>
            </w:tcBorders>
            <w:vAlign w:val="center"/>
          </w:tcPr>
          <w:p>
            <w:pPr>
              <w:snapToGrid w:val="0"/>
              <w:spacing w:line="400" w:lineRule="exact"/>
              <w:jc w:val="center"/>
              <w:rPr>
                <w:rFonts w:ascii="宋体" w:hAnsi="宋体" w:cs="宋体"/>
                <w:b/>
                <w:color w:val="auto"/>
                <w:szCs w:val="21"/>
                <w:highlight w:val="none"/>
              </w:rPr>
            </w:pPr>
          </w:p>
        </w:tc>
        <w:tc>
          <w:tcPr>
            <w:tcW w:w="5547"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ascii="Wingdings" w:hAnsi="Wingdings" w:eastAsia="MS Mincho" w:cs="MS Mincho"/>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pPr>
              <w:spacing w:line="400" w:lineRule="exact"/>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hint="eastAsia" w:ascii="MS Gothic" w:hAnsi="MS Gothic" w:cs="Arial" w:eastAsiaTheme="minorEastAsia"/>
                    <w:color w:val="auto"/>
                    <w:kern w:val="0"/>
                    <w:szCs w:val="21"/>
                    <w:highlight w:val="none"/>
                  </w:rPr>
                  <w:t>☐</w:t>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bookmarkEnd w:id="10"/>
    </w:tbl>
    <w:p>
      <w:pPr>
        <w:rPr>
          <w:rFonts w:ascii="宋体" w:hAnsi="宋体" w:cs="宋体"/>
          <w:b/>
          <w:color w:val="auto"/>
          <w:szCs w:val="21"/>
          <w:highlight w:val="none"/>
        </w:rPr>
      </w:pPr>
      <w:bookmarkStart w:id="11" w:name="_Toc164416483"/>
      <w:bookmarkStart w:id="12" w:name="第三部分"/>
      <w:r>
        <w:rPr>
          <w:rFonts w:hint="eastAsia" w:ascii="宋体" w:hAnsi="宋体" w:cs="宋体"/>
          <w:b/>
          <w:color w:val="auto"/>
          <w:szCs w:val="21"/>
          <w:highlight w:val="none"/>
        </w:rPr>
        <w:br w:type="page"/>
      </w:r>
    </w:p>
    <w:p>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一、总则</w:t>
      </w:r>
    </w:p>
    <w:p>
      <w:pPr>
        <w:snapToGrid w:val="0"/>
        <w:spacing w:line="360" w:lineRule="auto"/>
        <w:ind w:firstLine="316" w:firstLineChars="150"/>
        <w:jc w:val="left"/>
        <w:outlineLvl w:val="1"/>
        <w:rPr>
          <w:rFonts w:ascii="宋体" w:hAnsi="宋体" w:cs="宋体"/>
          <w:b/>
          <w:color w:val="auto"/>
          <w:szCs w:val="21"/>
          <w:highlight w:val="none"/>
        </w:rPr>
      </w:pPr>
      <w:r>
        <w:rPr>
          <w:rFonts w:hint="eastAsia" w:ascii="宋体" w:hAnsi="宋体" w:cs="宋体"/>
          <w:b/>
          <w:color w:val="auto"/>
          <w:szCs w:val="21"/>
          <w:highlight w:val="none"/>
        </w:rPr>
        <w:t>1. 适用范围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 xml:space="preserve">   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“供应商”系指是指响应招标、参加投标竞争的法人、其他组织或者自然人。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 系指不适用本项目的要求。</w:t>
      </w:r>
    </w:p>
    <w:p>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3.2.4 </w:t>
      </w:r>
      <w:r>
        <w:rPr>
          <w:rFonts w:hint="eastAsia" w:ascii="宋体" w:hAnsi="宋体" w:cs="宋体"/>
          <w:color w:val="auto"/>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widowControl/>
        <w:spacing w:line="360" w:lineRule="auto"/>
        <w:ind w:firstLine="420" w:firstLineChars="200"/>
        <w:jc w:val="left"/>
        <w:rPr>
          <w:rFonts w:ascii="宋体" w:hAnsi="宋体" w:cs="宋体"/>
          <w:color w:val="auto"/>
          <w:kern w:val="0"/>
          <w:szCs w:val="21"/>
          <w:highlight w:val="none"/>
        </w:rPr>
      </w:pPr>
      <w:r>
        <w:rPr>
          <w:rFonts w:ascii="宋体" w:hAnsi="宋体" w:cs="宋体"/>
          <w:bCs/>
          <w:color w:val="auto"/>
          <w:szCs w:val="21"/>
          <w:highlight w:val="none"/>
        </w:rPr>
        <w:t>3.3.2</w:t>
      </w:r>
      <w:r>
        <w:rPr>
          <w:rFonts w:hint="eastAsia" w:ascii="宋体" w:hAnsi="宋体" w:cs="宋体"/>
          <w:color w:val="auto"/>
          <w:kern w:val="0"/>
          <w:szCs w:val="21"/>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Cs w:val="21"/>
          <w:highlight w:val="none"/>
        </w:rPr>
        <w:t>联合协议或者分包意向协议约定小微企业的合同份额占到合同总金额30%以上的</w:t>
      </w:r>
      <w:bookmarkEnd w:id="13"/>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w:t>
      </w:r>
      <w:r>
        <w:rPr>
          <w:rFonts w:ascii="宋体" w:hAnsi="宋体" w:cs="宋体"/>
          <w:color w:val="auto"/>
          <w:szCs w:val="21"/>
          <w:highlight w:val="none"/>
        </w:rPr>
        <w:t>3</w:t>
      </w:r>
      <w:r>
        <w:rPr>
          <w:rFonts w:hint="eastAsia" w:ascii="宋体" w:hAnsi="宋体" w:cs="宋体"/>
          <w:color w:val="auto"/>
          <w:szCs w:val="21"/>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pPr>
        <w:spacing w:line="360" w:lineRule="auto"/>
        <w:ind w:firstLine="210" w:firstLineChars="1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highlight w:val="none"/>
        </w:rPr>
      </w:pPr>
      <w:r>
        <w:rPr>
          <w:rFonts w:hint="eastAsia" w:hAnsi="宋体" w:cs="宋体"/>
          <w:color w:val="auto"/>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w:t>
      </w:r>
      <w:r>
        <w:rPr>
          <w:rFonts w:hint="eastAsia" w:hAnsi="宋体" w:cs="宋体"/>
          <w:color w:val="auto"/>
          <w:highlight w:val="none"/>
        </w:rPr>
        <w:t>供应商提出质疑应当提交质疑函和必要的证明材料。质疑函应当包括下列内容：</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4.3.3.1供应商的姓名或者名称、地址、邮编、联系人及联系电话；</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4.3.3.2质疑项目的名称、编号；</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4.3.3.3具体、明确的质疑事项和与质疑事项相关的请求；</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4.3.3.4事实依据；</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4.3.3.5必要的法律依据；</w:t>
      </w:r>
    </w:p>
    <w:p>
      <w:pPr>
        <w:pStyle w:val="33"/>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4.3.3.6提出质疑的日期。</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1"/>
          <w:szCs w:val="21"/>
          <w:highlight w:val="none"/>
        </w:rPr>
        <w:t>根据《浙江省财政厅关于进一步加强政府采购公平竞争打造最优营商环境的通知》（浙财采监〔</w:t>
      </w:r>
      <w:r>
        <w:rPr>
          <w:rFonts w:asciiTheme="minorEastAsia" w:hAnsiTheme="minorEastAsia" w:eastAsiaTheme="minorEastAsia"/>
          <w:color w:val="auto"/>
          <w:sz w:val="21"/>
          <w:szCs w:val="21"/>
          <w:highlight w:val="none"/>
        </w:rPr>
        <w:t>2021〕</w:t>
      </w: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号）</w:t>
      </w:r>
      <w:r>
        <w:rPr>
          <w:rFonts w:hint="eastAsia"/>
          <w:color w:val="auto"/>
          <w:sz w:val="21"/>
          <w:szCs w:val="21"/>
          <w:highlight w:val="none"/>
        </w:rPr>
        <w:t>,采购人或者采购代理机构在质疑回复后5个工作日内，在浙江政府采购网的“其他公告”栏目公开质疑答复，答复内容应当完整。质疑函作为附件上传。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4.4.5投诉材料可寄送至公告中同级政府采购监督管理部门。</w:t>
      </w:r>
    </w:p>
    <w:p>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 w:val="32"/>
          <w:szCs w:val="20"/>
          <w:highlight w:val="none"/>
        </w:rPr>
        <w:t xml:space="preserve">    </w:t>
      </w:r>
      <w:r>
        <w:rPr>
          <w:rFonts w:hint="eastAsia" w:ascii="宋体" w:hAnsi="宋体" w:cs="宋体"/>
          <w:b/>
          <w:color w:val="auto"/>
          <w:szCs w:val="21"/>
          <w:highlight w:val="none"/>
        </w:rPr>
        <w:t xml:space="preserve">  二、招标文件的构成、澄清、修改</w:t>
      </w:r>
    </w:p>
    <w:p>
      <w:pPr>
        <w:pStyle w:val="33"/>
        <w:spacing w:line="360" w:lineRule="auto"/>
        <w:rPr>
          <w:rFonts w:hAnsi="宋体" w:cs="宋体"/>
          <w:b/>
          <w:color w:val="auto"/>
          <w:highlight w:val="none"/>
        </w:rPr>
      </w:pPr>
      <w:r>
        <w:rPr>
          <w:rFonts w:hint="eastAsia" w:hAnsi="宋体" w:cs="宋体"/>
          <w:b/>
          <w:color w:val="auto"/>
          <w:highlight w:val="none"/>
        </w:rPr>
        <w:t>5．招标文件的构成</w:t>
      </w:r>
    </w:p>
    <w:p>
      <w:pPr>
        <w:pStyle w:val="33"/>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5.1.2供应商须知；</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pPr>
        <w:pStyle w:val="33"/>
        <w:spacing w:line="360" w:lineRule="auto"/>
        <w:rPr>
          <w:rFonts w:hAnsi="宋体" w:cs="宋体"/>
          <w:b/>
          <w:color w:val="auto"/>
          <w:highlight w:val="none"/>
        </w:rPr>
      </w:pPr>
      <w:r>
        <w:rPr>
          <w:rFonts w:hint="eastAsia" w:hAnsi="宋体" w:cs="宋体"/>
          <w:b/>
          <w:color w:val="auto"/>
          <w:highlight w:val="none"/>
        </w:rPr>
        <w:t>6. 招标文件的澄清、修改</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6.1已获取招标文件的潜在供应商，若有问题需要澄清，应于投标截止时间前，以书面形式向采购代理机构提出。</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pPr>
        <w:pStyle w:val="23"/>
        <w:rPr>
          <w:rFonts w:hAnsi="宋体" w:cs="宋体"/>
          <w:color w:val="auto"/>
          <w:sz w:val="21"/>
          <w:highlight w:val="none"/>
          <w:lang w:val="en-US"/>
        </w:rPr>
      </w:pPr>
      <w:r>
        <w:rPr>
          <w:rFonts w:hint="eastAsia" w:hAnsi="宋体" w:cs="宋体"/>
          <w:color w:val="auto"/>
          <w:sz w:val="21"/>
          <w:highlight w:val="none"/>
          <w:lang w:val="en-US"/>
        </w:rPr>
        <w:t xml:space="preserve">    </w:t>
      </w:r>
    </w:p>
    <w:p>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三、投标</w:t>
      </w:r>
    </w:p>
    <w:p>
      <w:pPr>
        <w:pStyle w:val="33"/>
        <w:spacing w:line="360" w:lineRule="auto"/>
        <w:rPr>
          <w:rFonts w:hAnsi="宋体" w:cs="宋体"/>
          <w:b/>
          <w:color w:val="auto"/>
          <w:highlight w:val="none"/>
        </w:rPr>
      </w:pPr>
      <w:r>
        <w:rPr>
          <w:rFonts w:hint="eastAsia" w:hAnsi="宋体" w:cs="宋体"/>
          <w:b/>
          <w:color w:val="auto"/>
          <w:highlight w:val="none"/>
        </w:rPr>
        <w:t>7. 招标文件的获取</w:t>
      </w:r>
    </w:p>
    <w:p>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pPr>
        <w:pStyle w:val="33"/>
        <w:spacing w:line="360" w:lineRule="auto"/>
        <w:rPr>
          <w:rFonts w:hAnsi="宋体" w:cs="宋体"/>
          <w:b/>
          <w:color w:val="auto"/>
          <w:highlight w:val="none"/>
        </w:rPr>
      </w:pPr>
      <w:r>
        <w:rPr>
          <w:rFonts w:hint="eastAsia" w:hAnsi="宋体" w:cs="宋体"/>
          <w:b/>
          <w:color w:val="auto"/>
          <w:highlight w:val="none"/>
        </w:rPr>
        <w:t>8.开标前答疑会或现场考察</w:t>
      </w:r>
    </w:p>
    <w:p>
      <w:pPr>
        <w:pStyle w:val="33"/>
        <w:spacing w:line="360" w:lineRule="auto"/>
        <w:ind w:firstLine="420" w:firstLineChars="200"/>
        <w:rPr>
          <w:rFonts w:hAnsi="宋体" w:cs="宋体"/>
          <w:color w:val="auto"/>
          <w:highlight w:val="none"/>
        </w:rPr>
      </w:pPr>
      <w:r>
        <w:rPr>
          <w:rFonts w:hint="eastAsia" w:hAnsi="宋体" w:cs="宋体"/>
          <w:color w:val="auto"/>
          <w:highlight w:val="none"/>
        </w:rPr>
        <w:t>采购人组织潜在供应商现场考察或者召开开标前答疑会的，潜在供应商按第二部分供应商须知前附表的规定参加现场考察或者开标前答疑会。</w:t>
      </w:r>
    </w:p>
    <w:p>
      <w:pPr>
        <w:pStyle w:val="33"/>
        <w:spacing w:line="360" w:lineRule="auto"/>
        <w:rPr>
          <w:rFonts w:hAnsi="宋体" w:cs="宋体"/>
          <w:b/>
          <w:color w:val="auto"/>
          <w:highlight w:val="none"/>
        </w:rPr>
      </w:pPr>
      <w:r>
        <w:rPr>
          <w:rFonts w:hint="eastAsia" w:hAnsi="宋体" w:cs="宋体"/>
          <w:b/>
          <w:color w:val="auto"/>
          <w:kern w:val="28"/>
          <w:highlight w:val="none"/>
        </w:rPr>
        <w:t>9.投标保证金</w:t>
      </w:r>
    </w:p>
    <w:p>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3"/>
        <w:spacing w:line="360" w:lineRule="auto"/>
        <w:rPr>
          <w:rFonts w:hAnsi="宋体" w:cs="宋体"/>
          <w:b/>
          <w:color w:val="auto"/>
          <w:highlight w:val="none"/>
        </w:rPr>
      </w:pPr>
      <w:r>
        <w:rPr>
          <w:rFonts w:hint="eastAsia" w:hAnsi="宋体" w:cs="宋体"/>
          <w:b/>
          <w:color w:val="auto"/>
          <w:highlight w:val="none"/>
        </w:rPr>
        <w:t>10. 投标文件的语言</w:t>
      </w:r>
    </w:p>
    <w:p>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投标文件及供应商与采购有关的来往通知、函件和文件均应使用中文。</w:t>
      </w:r>
    </w:p>
    <w:p>
      <w:pPr>
        <w:pStyle w:val="33"/>
        <w:spacing w:line="360" w:lineRule="auto"/>
        <w:rPr>
          <w:rFonts w:hAnsi="宋体" w:cs="宋体"/>
          <w:b/>
          <w:color w:val="auto"/>
          <w:highlight w:val="none"/>
        </w:rPr>
      </w:pPr>
      <w:r>
        <w:rPr>
          <w:rFonts w:hint="eastAsia" w:hAnsi="宋体" w:cs="宋体"/>
          <w:b/>
          <w:color w:val="auto"/>
          <w:highlight w:val="none"/>
        </w:rPr>
        <w:t>11. 投标文件的组成</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r>
        <w:rPr>
          <w:rFonts w:hint="eastAsia" w:ascii="宋体" w:hAnsi="宋体" w:cs="宋体"/>
          <w:color w:val="auto"/>
          <w:szCs w:val="21"/>
          <w:highlight w:val="none"/>
        </w:rPr>
        <w:t>营业执照</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snapToGrid w:val="0"/>
          <w:color w:val="auto"/>
          <w:kern w:val="28"/>
          <w:szCs w:val="21"/>
          <w:highlight w:val="none"/>
        </w:rPr>
        <w:t>11.1.3联合协议（如果有)；</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11.1.5本项目的特定资格要求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4</w:t>
      </w:r>
      <w:r>
        <w:rPr>
          <w:rFonts w:hint="eastAsia" w:ascii="宋体" w:hAnsi="宋体" w:cs="宋体"/>
          <w:color w:val="auto"/>
          <w:szCs w:val="21"/>
          <w:highlight w:val="none"/>
        </w:rPr>
        <w:t>符合性审查资料；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6</w:t>
      </w:r>
      <w:r>
        <w:rPr>
          <w:rFonts w:hint="eastAsia" w:ascii="宋体" w:hAnsi="宋体" w:cs="宋体"/>
          <w:color w:val="auto"/>
          <w:szCs w:val="21"/>
          <w:highlight w:val="none"/>
        </w:rPr>
        <w:t>投标标的清单；</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7</w:t>
      </w:r>
      <w:r>
        <w:rPr>
          <w:rFonts w:hint="eastAsia" w:ascii="宋体" w:hAnsi="宋体" w:cs="宋体"/>
          <w:color w:val="auto"/>
          <w:szCs w:val="21"/>
          <w:highlight w:val="none"/>
        </w:rPr>
        <w:t>商务技术偏离表；</w:t>
      </w:r>
    </w:p>
    <w:p>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11.3.2投标分项报价表；</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11.3.3中小企业声明函。</w:t>
      </w:r>
    </w:p>
    <w:p>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供应商提供虚假材料投标的，投标无效。</w:t>
      </w:r>
    </w:p>
    <w:p>
      <w:pPr>
        <w:pStyle w:val="131"/>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13.投标文件的签署、盖章</w:t>
      </w:r>
    </w:p>
    <w:p>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★供应商的投标文件未按照招标文件要求签署、盖章的，其投标无效</w:t>
      </w:r>
      <w:r>
        <w:rPr>
          <w:rFonts w:hint="eastAsia" w:ascii="宋体" w:hAnsi="宋体" w:cs="宋体"/>
          <w:color w:val="auto"/>
          <w:sz w:val="21"/>
          <w:szCs w:val="21"/>
          <w:highlight w:val="none"/>
        </w:rPr>
        <w:t>。</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13.2为确保网上操作合法、有效和安全，供应商应当在投标截止时间前完成在“政府采购云平台”的身份认证，确保在电子投标过程中能够对相关数据电文进行加密和使用电子签名。</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pPr>
        <w:pStyle w:val="131"/>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33"/>
        <w:spacing w:line="360" w:lineRule="auto"/>
        <w:rPr>
          <w:rFonts w:hAnsi="宋体" w:cs="宋体"/>
          <w:b/>
          <w:color w:val="auto"/>
          <w:highlight w:val="none"/>
        </w:rPr>
      </w:pPr>
      <w:r>
        <w:rPr>
          <w:rFonts w:hint="eastAsia" w:hAnsi="宋体" w:cs="宋体"/>
          <w:b/>
          <w:color w:val="auto"/>
          <w:highlight w:val="none"/>
        </w:rPr>
        <w:t>15.备份投标文件</w:t>
      </w:r>
    </w:p>
    <w:p>
      <w:pPr>
        <w:pStyle w:val="33"/>
        <w:spacing w:line="360" w:lineRule="auto"/>
        <w:ind w:firstLine="315" w:firstLineChars="150"/>
        <w:rPr>
          <w:rFonts w:hAnsi="宋体" w:cs="宋体"/>
          <w:b/>
          <w:color w:val="auto"/>
          <w:highlight w:val="none"/>
        </w:rPr>
      </w:pPr>
      <w:r>
        <w:rPr>
          <w:rFonts w:hint="eastAsia" w:hAnsi="宋体" w:cs="宋体"/>
          <w:color w:val="auto"/>
          <w:highlight w:val="none"/>
        </w:rPr>
        <w:t xml:space="preserve"> 15.1详见供应商须知前附表第13条。</w:t>
      </w:r>
    </w:p>
    <w:p>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pPr>
        <w:pStyle w:val="25"/>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供应商的投标文件中承诺的投标有效期少于招标文件中载明的投标有效期的，投标无效。</w:t>
      </w:r>
    </w:p>
    <w:p>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pPr>
        <w:pStyle w:val="131"/>
        <w:spacing w:before="0"/>
        <w:ind w:firstLine="420"/>
        <w:rPr>
          <w:rFonts w:ascii="宋体" w:hAnsi="宋体" w:cs="宋体"/>
          <w:b/>
          <w:color w:val="auto"/>
          <w:sz w:val="32"/>
          <w:highlight w:val="none"/>
        </w:rPr>
      </w:pPr>
      <w:r>
        <w:rPr>
          <w:rFonts w:hint="eastAsia" w:ascii="宋体" w:hAnsi="宋体" w:cs="宋体"/>
          <w:color w:val="auto"/>
          <w:sz w:val="21"/>
          <w:szCs w:val="21"/>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pStyle w:val="131"/>
        <w:spacing w:before="0"/>
        <w:ind w:firstLine="0" w:firstLine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pPr>
        <w:pStyle w:val="557"/>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18.1采购代理机构按照招标文件规定的时间通过电子交易平台组织开标，所有供应商均应当准时在线参加。供应商不足3家的，不得开标。</w:t>
      </w:r>
    </w:p>
    <w:p>
      <w:pPr>
        <w:pStyle w:val="557"/>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18.2开标时，电子交易平台按开标时间自动提取所有投标文件。采购代理机构依托电子交易平台发起开始解密指令，供应商按照平台提示和招标文件的规定在半小时内完成在线解密。</w:t>
      </w:r>
    </w:p>
    <w:p>
      <w:pPr>
        <w:pStyle w:val="557"/>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投标文件未按时解密视为投标文件撤回。</w:t>
      </w:r>
    </w:p>
    <w:p>
      <w:pPr>
        <w:widowControl/>
        <w:spacing w:before="100" w:beforeAutospacing="1" w:after="240" w:line="360" w:lineRule="auto"/>
        <w:jc w:val="left"/>
        <w:rPr>
          <w:rFonts w:ascii="宋体" w:hAnsi="宋体" w:cs="宋体"/>
          <w:b/>
          <w:color w:val="auto"/>
          <w:szCs w:val="21"/>
          <w:highlight w:val="none"/>
        </w:rPr>
      </w:pPr>
      <w:r>
        <w:rPr>
          <w:rFonts w:hint="eastAsia" w:ascii="宋体" w:hAnsi="宋体" w:cs="宋体"/>
          <w:b/>
          <w:color w:val="auto"/>
          <w:szCs w:val="21"/>
          <w:highlight w:val="none"/>
        </w:rPr>
        <w:t>　19、资格审查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采购人或采购代理机构依据法律法规和招标文件的规定，对供应商的资格进行审查。</w:t>
      </w:r>
    </w:p>
    <w:p>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19.2供应商未按照招标文件要求提供与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供应商不具备招标文件中规定的资格要求，其投标无效。</w:t>
      </w:r>
    </w:p>
    <w:p>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3对未通过资格审查的供应商，采购人或采购代理机构告知其未通过的原因。</w:t>
      </w:r>
    </w:p>
    <w:p>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4合格供应商不足3家的，不再评标。</w:t>
      </w:r>
    </w:p>
    <w:p>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20.1信用信息查询渠道及截止时间：采购代理机构将在资格审查时通过“信用中国”网站(www.creditchina.gov.cn)、中国政府采购网(www.ccgp.gov.cn)渠道查询供应商接受资格时的信用记录。</w:t>
      </w:r>
    </w:p>
    <w:p>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20.3信用信息的使用规则：经查询列入失信被执行人名单、重大税收违法失信主体、政府采购严重违法失信行为记录名单的供应商将被拒绝参与政府采购活动。</w:t>
      </w:r>
    </w:p>
    <w:p>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pPr>
        <w:pStyle w:val="131"/>
        <w:spacing w:before="0"/>
        <w:ind w:firstLine="0" w:firstLineChars="0"/>
        <w:rPr>
          <w:rFonts w:ascii="宋体" w:hAnsi="宋体" w:cs="宋体"/>
          <w:color w:val="auto"/>
          <w:kern w:val="0"/>
          <w:sz w:val="21"/>
          <w:szCs w:val="21"/>
          <w:highlight w:val="none"/>
        </w:rPr>
      </w:pPr>
    </w:p>
    <w:p>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五、评标</w:t>
      </w:r>
    </w:p>
    <w:p>
      <w:pPr>
        <w:spacing w:line="360" w:lineRule="auto"/>
        <w:rPr>
          <w:rFonts w:ascii="宋体" w:hAnsi="宋体" w:cs="宋体"/>
          <w:b/>
          <w:color w:val="auto"/>
          <w:szCs w:val="21"/>
          <w:highlight w:val="none"/>
        </w:rPr>
      </w:pPr>
      <w:bookmarkStart w:id="14"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Cs w:val="21"/>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六、定 标</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Cs w:val="21"/>
          <w:highlight w:val="none"/>
        </w:rPr>
        <w:t>资格审查情况、评审专家抽取规则、符合性审查情况、</w:t>
      </w:r>
      <w:bookmarkEnd w:id="15"/>
      <w:r>
        <w:rPr>
          <w:rFonts w:hint="eastAsia" w:ascii="宋体" w:hAnsi="宋体" w:cs="宋体"/>
          <w:color w:val="auto"/>
          <w:szCs w:val="21"/>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七、合同授予</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履约保证金（如有）</w:t>
      </w:r>
    </w:p>
    <w:p>
      <w:pPr>
        <w:tabs>
          <w:tab w:val="left" w:pos="0"/>
        </w:tabs>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pPr>
        <w:pStyle w:val="4"/>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sz w:val="21"/>
          <w:szCs w:val="21"/>
          <w:highlight w:val="none"/>
        </w:rPr>
      </w:pPr>
      <w:r>
        <w:rPr>
          <w:rFonts w:ascii="宋体" w:hAnsi="宋体" w:eastAsia="宋体"/>
          <w:color w:val="auto"/>
          <w:sz w:val="21"/>
          <w:szCs w:val="21"/>
          <w:highlight w:val="none"/>
          <w:lang w:val="en-US"/>
        </w:rPr>
        <w:t>27.预付款</w:t>
      </w:r>
    </w:p>
    <w:p>
      <w:pPr>
        <w:adjustRightInd/>
        <w:spacing w:line="360" w:lineRule="auto"/>
        <w:ind w:firstLine="420" w:firstLineChars="200"/>
        <w:rPr>
          <w:color w:val="auto"/>
          <w:szCs w:val="21"/>
          <w:highlight w:val="none"/>
        </w:rPr>
      </w:pPr>
      <w:r>
        <w:rPr>
          <w:rFonts w:hint="eastAsia" w:ascii="宋体" w:hAnsi="宋体"/>
          <w:color w:val="auto"/>
          <w:szCs w:val="21"/>
          <w:highlight w:val="none"/>
        </w:rPr>
        <w:t>采购单位应当在政府采购合同中约定预付款，对中小企业合同预付款比例原则上不低于合同金额的</w:t>
      </w:r>
      <w:r>
        <w:rPr>
          <w:rFonts w:ascii="宋体" w:hAnsi="宋体"/>
          <w:color w:val="auto"/>
          <w:szCs w:val="21"/>
          <w:highlight w:val="none"/>
        </w:rPr>
        <w:t>40％</w:t>
      </w:r>
      <w:r>
        <w:rPr>
          <w:rFonts w:hint="eastAsia" w:ascii="宋体" w:hAnsi="宋体"/>
          <w:color w:val="auto"/>
          <w:szCs w:val="21"/>
          <w:highlight w:val="none"/>
        </w:rPr>
        <w:t>，不高于合同金额的</w:t>
      </w:r>
      <w:r>
        <w:rPr>
          <w:rFonts w:ascii="宋体" w:hAnsi="宋体"/>
          <w:color w:val="auto"/>
          <w:szCs w:val="21"/>
          <w:highlight w:val="none"/>
        </w:rPr>
        <w:t>70%；项目分年安排预算的，每年预付款比例</w:t>
      </w:r>
      <w:r>
        <w:rPr>
          <w:rFonts w:hint="eastAsia" w:ascii="宋体" w:hAnsi="宋体"/>
          <w:color w:val="auto"/>
          <w:szCs w:val="21"/>
          <w:highlight w:val="none"/>
        </w:rPr>
        <w:t>不低于</w:t>
      </w:r>
      <w:r>
        <w:rPr>
          <w:rFonts w:ascii="宋体" w:hAnsi="宋体"/>
          <w:color w:val="auto"/>
          <w:szCs w:val="21"/>
          <w:highlight w:val="none"/>
        </w:rPr>
        <w:t>项目年度计划支付资金额的40％</w:t>
      </w:r>
      <w:r>
        <w:rPr>
          <w:rFonts w:hint="eastAsia" w:ascii="宋体" w:hAnsi="宋体"/>
          <w:color w:val="auto"/>
          <w:szCs w:val="21"/>
          <w:highlight w:val="none"/>
        </w:rPr>
        <w:t>，不高于合同金额的</w:t>
      </w:r>
      <w:r>
        <w:rPr>
          <w:rFonts w:ascii="宋体" w:hAnsi="宋体"/>
          <w:color w:val="auto"/>
          <w:szCs w:val="21"/>
          <w:highlight w:val="none"/>
        </w:rPr>
        <w:t>70%；采购项目实施以人工投入为主的，</w:t>
      </w:r>
      <w:r>
        <w:rPr>
          <w:rFonts w:hint="eastAsia" w:ascii="宋体" w:hAnsi="宋体"/>
          <w:color w:val="auto"/>
          <w:szCs w:val="21"/>
          <w:highlight w:val="none"/>
        </w:rPr>
        <w:t>可适当降低预付款比例，但不得低于</w:t>
      </w:r>
      <w:r>
        <w:rPr>
          <w:rFonts w:ascii="宋体" w:hAnsi="宋体"/>
          <w:color w:val="auto"/>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Cs w:val="21"/>
          <w:highlight w:val="none"/>
        </w:rPr>
        <w:t>供应商</w:t>
      </w:r>
      <w:r>
        <w:rPr>
          <w:rFonts w:ascii="宋体" w:hAnsi="宋体"/>
          <w:color w:val="auto"/>
          <w:szCs w:val="21"/>
          <w:highlight w:val="none"/>
        </w:rPr>
        <w:t>明确表示无需预付款或者主动要求降低预付款比例的，</w:t>
      </w:r>
      <w:r>
        <w:rPr>
          <w:rFonts w:hint="eastAsia" w:ascii="宋体" w:hAnsi="宋体"/>
          <w:color w:val="auto"/>
          <w:szCs w:val="21"/>
          <w:highlight w:val="none"/>
        </w:rPr>
        <w:t>采购单位</w:t>
      </w:r>
      <w:r>
        <w:rPr>
          <w:rFonts w:ascii="宋体" w:hAnsi="宋体"/>
          <w:color w:val="auto"/>
          <w:szCs w:val="21"/>
          <w:highlight w:val="none"/>
        </w:rPr>
        <w:t>可不适用前述规定。</w:t>
      </w:r>
      <w:r>
        <w:rPr>
          <w:rFonts w:hint="eastAsia" w:ascii="宋体" w:hAnsi="宋体"/>
          <w:color w:val="auto"/>
          <w:szCs w:val="21"/>
          <w:highlight w:val="none"/>
        </w:rPr>
        <w:t>采购单位</w:t>
      </w:r>
      <w:r>
        <w:rPr>
          <w:rFonts w:ascii="宋体" w:hAnsi="宋体"/>
          <w:color w:val="auto"/>
          <w:szCs w:val="21"/>
          <w:highlight w:val="none"/>
        </w:rPr>
        <w:t>根据项目特点、供应商诚信等因素，可以要求</w:t>
      </w:r>
      <w:r>
        <w:rPr>
          <w:rFonts w:hint="eastAsia" w:ascii="宋体" w:hAnsi="宋体"/>
          <w:color w:val="auto"/>
          <w:szCs w:val="21"/>
          <w:highlight w:val="none"/>
        </w:rPr>
        <w:t>供应商</w:t>
      </w:r>
      <w:r>
        <w:rPr>
          <w:rFonts w:ascii="宋体" w:hAnsi="宋体"/>
          <w:color w:val="auto"/>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Cs w:val="21"/>
          <w:highlight w:val="none"/>
        </w:rPr>
        <w:t>政府采购工程以及与工程建设有关的货物、服务，采用招标方式采购的，预付款从其相关规定。供应商可登录政采云前台大厅选择金融服务</w:t>
      </w:r>
      <w:r>
        <w:rPr>
          <w:rFonts w:ascii="宋体" w:hAnsi="宋体"/>
          <w:color w:val="auto"/>
          <w:szCs w:val="21"/>
          <w:highlight w:val="none"/>
        </w:rPr>
        <w:t xml:space="preserve"> - </w:t>
      </w:r>
      <w:r>
        <w:rPr>
          <w:rFonts w:hint="eastAsia" w:ascii="宋体" w:hAnsi="宋体"/>
          <w:color w:val="auto"/>
          <w:szCs w:val="21"/>
          <w:highlight w:val="none"/>
        </w:rPr>
        <w:t>【保函保险服务】出具预付款保函，具体步骤：选择产品—填写供应商信息—选择中标项目—确认信息—等待保险</w:t>
      </w:r>
      <w:r>
        <w:rPr>
          <w:rFonts w:ascii="宋体" w:hAnsi="宋体"/>
          <w:color w:val="auto"/>
          <w:szCs w:val="21"/>
          <w:highlight w:val="none"/>
        </w:rPr>
        <w:t>/保函受理—确认保单—支付保费—成功出单。政</w:t>
      </w:r>
      <w:r>
        <w:rPr>
          <w:rFonts w:hint="eastAsia" w:ascii="宋体" w:hAnsi="宋体"/>
          <w:color w:val="auto"/>
          <w:szCs w:val="21"/>
          <w:highlight w:val="none"/>
        </w:rPr>
        <w:t>采云金融专线</w:t>
      </w:r>
      <w:r>
        <w:rPr>
          <w:rFonts w:ascii="宋体" w:hAnsi="宋体"/>
          <w:color w:val="auto"/>
          <w:szCs w:val="21"/>
          <w:highlight w:val="none"/>
        </w:rPr>
        <w:t>400-903-9583。</w:t>
      </w:r>
    </w:p>
    <w:p>
      <w:pPr>
        <w:rPr>
          <w:color w:val="auto"/>
          <w:szCs w:val="21"/>
          <w:highlight w:val="none"/>
        </w:rPr>
      </w:pPr>
    </w:p>
    <w:p>
      <w:pPr>
        <w:snapToGrid w:val="0"/>
        <w:spacing w:line="360" w:lineRule="auto"/>
        <w:ind w:firstLine="2203" w:firstLineChars="1045"/>
        <w:rPr>
          <w:rFonts w:ascii="宋体" w:hAnsi="宋体" w:cs="宋体"/>
          <w:b/>
          <w:color w:val="auto"/>
          <w:szCs w:val="21"/>
          <w:highlight w:val="none"/>
        </w:rPr>
      </w:pP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八、电子交易活动的中止</w:t>
      </w:r>
    </w:p>
    <w:p>
      <w:pPr>
        <w:pStyle w:val="131"/>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pPr>
        <w:pStyle w:val="131"/>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Cs w:val="21"/>
          <w:highlight w:val="none"/>
        </w:rPr>
      </w:pPr>
    </w:p>
    <w:p>
      <w:pPr>
        <w:snapToGrid w:val="0"/>
        <w:spacing w:line="360" w:lineRule="auto"/>
        <w:ind w:left="120" w:leftChars="57"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九、验收</w:t>
      </w:r>
    </w:p>
    <w:p>
      <w:pPr>
        <w:pStyle w:val="25"/>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6" w:name="_Hlt75236290"/>
      <w:bookmarkEnd w:id="16"/>
      <w:bookmarkStart w:id="17" w:name="_Hlt75236011"/>
      <w:bookmarkEnd w:id="17"/>
      <w:bookmarkStart w:id="18" w:name="_Hlt68403820"/>
      <w:bookmarkEnd w:id="18"/>
      <w:bookmarkStart w:id="19" w:name="_Hlt68073093"/>
      <w:bookmarkEnd w:id="19"/>
      <w:bookmarkStart w:id="20" w:name="_Hlt68072990"/>
      <w:bookmarkEnd w:id="20"/>
      <w:bookmarkStart w:id="21" w:name="_Hlt74707468"/>
      <w:bookmarkEnd w:id="21"/>
      <w:bookmarkStart w:id="22" w:name="_Hlt74729768"/>
      <w:bookmarkEnd w:id="22"/>
      <w:bookmarkStart w:id="23" w:name="_Hlt68072998"/>
      <w:bookmarkEnd w:id="23"/>
      <w:bookmarkStart w:id="24" w:name="_Hlt74714665"/>
      <w:bookmarkEnd w:id="24"/>
      <w:bookmarkStart w:id="25" w:name="_Hlt68057669"/>
      <w:bookmarkEnd w:id="25"/>
      <w:bookmarkStart w:id="26" w:name="_Hlt75236101"/>
      <w:bookmarkEnd w:id="26"/>
      <w:bookmarkStart w:id="27" w:name="_Hlt74730295"/>
      <w:bookmarkEnd w:id="27"/>
    </w:p>
    <w:bookmarkEnd w:id="11"/>
    <w:bookmarkEnd w:id="12"/>
    <w:p>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pPr>
        <w:spacing w:line="360" w:lineRule="auto"/>
        <w:jc w:val="center"/>
        <w:outlineLvl w:val="1"/>
        <w:rPr>
          <w:rFonts w:ascii="Arial" w:hAnsi="Arial"/>
          <w:b/>
          <w:color w:val="auto"/>
          <w:sz w:val="24"/>
          <w:szCs w:val="28"/>
          <w:highlight w:val="none"/>
        </w:rPr>
      </w:pPr>
      <w:r>
        <w:rPr>
          <w:rFonts w:hint="eastAsia" w:ascii="Arial" w:hAnsi="Arial"/>
          <w:b/>
          <w:color w:val="auto"/>
          <w:sz w:val="24"/>
          <w:szCs w:val="28"/>
          <w:highlight w:val="none"/>
        </w:rPr>
        <w:t>前附表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51"/>
        <w:gridCol w:w="4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00" w:type="dxa"/>
            <w:vAlign w:val="center"/>
          </w:tcPr>
          <w:p>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序号</w:t>
            </w:r>
          </w:p>
        </w:tc>
        <w:tc>
          <w:tcPr>
            <w:tcW w:w="3651" w:type="dxa"/>
            <w:vAlign w:val="center"/>
          </w:tcPr>
          <w:p>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子项</w:t>
            </w:r>
          </w:p>
        </w:tc>
        <w:tc>
          <w:tcPr>
            <w:tcW w:w="4434" w:type="dxa"/>
            <w:vAlign w:val="center"/>
          </w:tcPr>
          <w:p>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一</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采购标的需实现的功能或者目标</w:t>
            </w:r>
          </w:p>
        </w:tc>
        <w:tc>
          <w:tcPr>
            <w:tcW w:w="4434" w:type="dxa"/>
            <w:vAlign w:val="center"/>
          </w:tcPr>
          <w:p>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为了完成对</w:t>
            </w:r>
            <w:r>
              <w:rPr>
                <w:rFonts w:hint="eastAsia" w:ascii="Arial" w:hAnsi="Arial" w:cs="Arial"/>
                <w:color w:val="auto"/>
                <w:szCs w:val="21"/>
                <w:highlight w:val="none"/>
              </w:rPr>
              <w:t>浙江万里学院视频监控存储设备的采购</w:t>
            </w:r>
            <w:r>
              <w:rPr>
                <w:rFonts w:hint="eastAsia" w:ascii="Arial" w:hAnsi="Arial"/>
                <w:bCs/>
                <w:color w:val="auto"/>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pPr>
              <w:snapToGrid w:val="0"/>
              <w:spacing w:line="400" w:lineRule="exact"/>
              <w:jc w:val="center"/>
              <w:outlineLvl w:val="1"/>
              <w:rPr>
                <w:rFonts w:ascii="Arial" w:hAnsi="Arial"/>
                <w:b/>
                <w:color w:val="auto"/>
                <w:szCs w:val="28"/>
                <w:highlight w:val="none"/>
              </w:rPr>
            </w:pP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为落实政府采购需满足的要求</w:t>
            </w:r>
          </w:p>
        </w:tc>
        <w:tc>
          <w:tcPr>
            <w:tcW w:w="4434" w:type="dxa"/>
            <w:vAlign w:val="center"/>
          </w:tcPr>
          <w:p>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详见第一部分 招标公告第二条。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二</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采购标的需执行的国家相关标准、行业标准、地方标准或者其他标准规范</w:t>
            </w:r>
          </w:p>
        </w:tc>
        <w:tc>
          <w:tcPr>
            <w:tcW w:w="4434" w:type="dxa"/>
            <w:vAlign w:val="center"/>
          </w:tcPr>
          <w:p>
            <w:pPr>
              <w:snapToGrid w:val="0"/>
              <w:spacing w:line="400" w:lineRule="exact"/>
              <w:outlineLvl w:val="1"/>
              <w:rPr>
                <w:rFonts w:ascii="Arial" w:hAnsi="Arial"/>
                <w:b/>
                <w:color w:val="auto"/>
                <w:szCs w:val="28"/>
                <w:highlight w:val="none"/>
              </w:rPr>
            </w:pPr>
            <w:r>
              <w:rPr>
                <w:rFonts w:hint="eastAsia" w:ascii="Arial" w:hAnsi="Arial"/>
                <w:color w:val="auto"/>
                <w:szCs w:val="21"/>
                <w:highlight w:val="none"/>
              </w:rPr>
              <w:t>由采购人认可的有关</w:t>
            </w:r>
            <w:r>
              <w:rPr>
                <w:rFonts w:hint="eastAsia" w:ascii="Arial" w:hAnsi="Arial"/>
                <w:bCs/>
                <w:color w:val="auto"/>
                <w:szCs w:val="28"/>
                <w:highlight w:val="none"/>
              </w:rPr>
              <w:t>国家标准、行业标准、地方标准或者其他标准规范</w:t>
            </w:r>
            <w:r>
              <w:rPr>
                <w:rFonts w:hint="eastAsia" w:ascii="Arial" w:hAnsi="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三</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采购标的需满足的质量、安全、技术规格、物理特性等要求</w:t>
            </w:r>
          </w:p>
        </w:tc>
        <w:tc>
          <w:tcPr>
            <w:tcW w:w="4434" w:type="dxa"/>
            <w:vAlign w:val="center"/>
          </w:tcPr>
          <w:p>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详见第三部分 采购需求第一条。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四</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采购标的数量、采购项目交付或者实施的时间和地点</w:t>
            </w:r>
          </w:p>
        </w:tc>
        <w:tc>
          <w:tcPr>
            <w:tcW w:w="4434"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采购标的数量：详见第三部分 采购需求第一条。</w:t>
            </w:r>
          </w:p>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实施的时间：</w:t>
            </w:r>
            <w:r>
              <w:rPr>
                <w:rFonts w:hint="eastAsia" w:ascii="Arial" w:hAnsi="Arial" w:cs="Arial"/>
                <w:snapToGrid w:val="0"/>
                <w:color w:val="auto"/>
                <w:kern w:val="0"/>
                <w:szCs w:val="21"/>
                <w:highlight w:val="none"/>
              </w:rPr>
              <w:t>按采购人要求</w:t>
            </w:r>
            <w:r>
              <w:rPr>
                <w:rFonts w:ascii="Arial" w:hAnsi="Arial" w:cs="Arial"/>
                <w:snapToGrid w:val="0"/>
                <w:color w:val="auto"/>
                <w:kern w:val="0"/>
                <w:szCs w:val="21"/>
                <w:highlight w:val="none"/>
              </w:rPr>
              <w:t>。</w:t>
            </w:r>
          </w:p>
          <w:p>
            <w:pPr>
              <w:snapToGrid w:val="0"/>
              <w:spacing w:line="400" w:lineRule="exact"/>
              <w:outlineLvl w:val="1"/>
              <w:rPr>
                <w:rFonts w:ascii="Arial" w:hAnsi="Arial" w:cs="Arial"/>
                <w:color w:val="auto"/>
                <w:szCs w:val="21"/>
                <w:highlight w:val="none"/>
              </w:rPr>
            </w:pPr>
            <w:r>
              <w:rPr>
                <w:rFonts w:hint="eastAsia" w:ascii="Arial" w:hAnsi="Arial" w:cs="Arial"/>
                <w:color w:val="auto"/>
                <w:szCs w:val="21"/>
                <w:highlight w:val="none"/>
              </w:rPr>
              <w:t>实施的地点：采购人指定地点。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五</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采购标的需满足的服务标准、期限、效率等要求</w:t>
            </w:r>
          </w:p>
        </w:tc>
        <w:tc>
          <w:tcPr>
            <w:tcW w:w="4434" w:type="dxa"/>
            <w:vAlign w:val="center"/>
          </w:tcPr>
          <w:p>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详见第三部分 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六</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采购标的验收标准</w:t>
            </w:r>
          </w:p>
        </w:tc>
        <w:tc>
          <w:tcPr>
            <w:tcW w:w="4434"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1"/>
                <w:highlight w:val="none"/>
              </w:rPr>
              <w:t>按照中标人提供的投标文件、中标人和采购人签订的政府采购合同为标准进行验收。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七</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采购标的其他技术、服务等要求</w:t>
            </w:r>
          </w:p>
        </w:tc>
        <w:tc>
          <w:tcPr>
            <w:tcW w:w="4434"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详见第三部分 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八</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核心产品</w:t>
            </w:r>
          </w:p>
        </w:tc>
        <w:tc>
          <w:tcPr>
            <w:tcW w:w="4434" w:type="dxa"/>
            <w:vAlign w:val="center"/>
          </w:tcPr>
          <w:p>
            <w:pPr>
              <w:snapToGrid w:val="0"/>
              <w:spacing w:line="400" w:lineRule="exact"/>
              <w:outlineLvl w:val="1"/>
              <w:rPr>
                <w:rFonts w:ascii="Arial" w:hAnsi="Arial"/>
                <w:bCs/>
                <w:color w:val="auto"/>
                <w:szCs w:val="28"/>
                <w:highlight w:val="none"/>
              </w:rPr>
            </w:pPr>
            <w:r>
              <w:rPr>
                <w:rFonts w:hint="eastAsia" w:ascii="Arial" w:hAnsi="Arial" w:cs="Arial"/>
                <w:color w:val="auto"/>
                <w:szCs w:val="21"/>
                <w:highlight w:val="none"/>
              </w:rPr>
              <w:t>存储设备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九</w:t>
            </w:r>
          </w:p>
        </w:tc>
        <w:tc>
          <w:tcPr>
            <w:tcW w:w="3651" w:type="dxa"/>
            <w:vAlign w:val="center"/>
          </w:tcPr>
          <w:p>
            <w:pPr>
              <w:snapToGrid w:val="0"/>
              <w:spacing w:line="400" w:lineRule="exact"/>
              <w:outlineLvl w:val="1"/>
              <w:rPr>
                <w:rFonts w:ascii="Arial" w:hAnsi="Arial"/>
                <w:bCs/>
                <w:color w:val="auto"/>
                <w:szCs w:val="28"/>
                <w:highlight w:val="none"/>
              </w:rPr>
            </w:pPr>
            <w:r>
              <w:rPr>
                <w:rFonts w:hint="eastAsia" w:ascii="Arial" w:hAnsi="Arial"/>
                <w:color w:val="auto"/>
                <w:highlight w:val="none"/>
              </w:rPr>
              <w:t>现场踏勘</w:t>
            </w:r>
          </w:p>
        </w:tc>
        <w:tc>
          <w:tcPr>
            <w:tcW w:w="4434" w:type="dxa"/>
            <w:vAlign w:val="center"/>
          </w:tcPr>
          <w:p>
            <w:pPr>
              <w:snapToGrid w:val="0"/>
              <w:spacing w:line="400" w:lineRule="exact"/>
              <w:outlineLvl w:val="1"/>
              <w:rPr>
                <w:rFonts w:ascii="Arial" w:hAnsi="Arial"/>
                <w:bCs/>
                <w:color w:val="auto"/>
                <w:szCs w:val="28"/>
                <w:highlight w:val="none"/>
              </w:rPr>
            </w:pPr>
            <w:r>
              <w:rPr>
                <w:rFonts w:hint="eastAsia" w:ascii="Arial" w:hAnsi="Arial" w:cs="宋体"/>
                <w:color w:val="auto"/>
                <w:kern w:val="0"/>
                <w:szCs w:val="21"/>
                <w:highlight w:val="none"/>
              </w:rPr>
              <w:t>/</w:t>
            </w:r>
          </w:p>
        </w:tc>
      </w:tr>
    </w:tbl>
    <w:p>
      <w:pPr>
        <w:numPr>
          <w:ilvl w:val="0"/>
          <w:numId w:val="1"/>
        </w:numPr>
        <w:spacing w:before="120" w:beforeLines="50" w:line="360" w:lineRule="auto"/>
        <w:ind w:firstLine="0"/>
        <w:outlineLvl w:val="1"/>
        <w:rPr>
          <w:rFonts w:ascii="Arial" w:hAnsi="Arial"/>
          <w:b/>
          <w:color w:val="auto"/>
          <w:szCs w:val="28"/>
          <w:highlight w:val="none"/>
        </w:rPr>
      </w:pPr>
      <w:r>
        <w:rPr>
          <w:rFonts w:hint="eastAsia" w:ascii="Arial" w:hAnsi="Arial"/>
          <w:b/>
          <w:color w:val="auto"/>
          <w:szCs w:val="28"/>
          <w:highlight w:val="none"/>
        </w:rPr>
        <w:br w:type="page"/>
      </w:r>
      <w:r>
        <w:rPr>
          <w:rFonts w:hint="eastAsia" w:ascii="Arial" w:hAnsi="Arial"/>
          <w:b/>
          <w:color w:val="auto"/>
          <w:szCs w:val="28"/>
          <w:highlight w:val="none"/>
        </w:rPr>
        <w:t>采购内容及要求</w:t>
      </w:r>
    </w:p>
    <w:p>
      <w:pPr>
        <w:numPr>
          <w:ilvl w:val="0"/>
          <w:numId w:val="2"/>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采购清单</w:t>
      </w:r>
    </w:p>
    <w:tbl>
      <w:tblPr>
        <w:tblStyle w:val="6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5470"/>
        <w:gridCol w:w="29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 w:type="pct"/>
            <w:vAlign w:val="center"/>
          </w:tcPr>
          <w:p>
            <w:pPr>
              <w:adjustRightInd/>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2946" w:type="pct"/>
            <w:vAlign w:val="center"/>
          </w:tcPr>
          <w:p>
            <w:pPr>
              <w:adjustRightInd/>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产品类别</w:t>
            </w:r>
          </w:p>
        </w:tc>
        <w:tc>
          <w:tcPr>
            <w:tcW w:w="1581" w:type="pct"/>
            <w:vAlign w:val="center"/>
          </w:tcPr>
          <w:p>
            <w:pPr>
              <w:adjustRightInd/>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 w:type="pct"/>
            <w:vAlign w:val="center"/>
          </w:tcPr>
          <w:p>
            <w:pPr>
              <w:adjustRightInd/>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946" w:type="pct"/>
            <w:vAlign w:val="center"/>
          </w:tcPr>
          <w:p>
            <w:pPr>
              <w:adjustRightInd/>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磁盘阵列（DS-ABFC48/8T）</w:t>
            </w:r>
          </w:p>
        </w:tc>
        <w:tc>
          <w:tcPr>
            <w:tcW w:w="1581" w:type="pct"/>
            <w:vAlign w:val="center"/>
          </w:tcPr>
          <w:p>
            <w:pPr>
              <w:adjustRightInd/>
              <w:spacing w:line="400" w:lineRule="exact"/>
              <w:jc w:val="center"/>
              <w:rPr>
                <w:rFonts w:asciiTheme="minorEastAsia" w:hAnsiTheme="minorEastAsia" w:eastAsiaTheme="minorEastAsia" w:cstheme="minorEastAsia"/>
                <w:color w:val="auto"/>
                <w:szCs w:val="21"/>
                <w:highlight w:val="none"/>
                <w:lang w:eastAsia="zh-Hans"/>
              </w:rPr>
            </w:pPr>
            <w:r>
              <w:rPr>
                <w:rFonts w:hint="eastAsia" w:asciiTheme="minorEastAsia" w:hAnsiTheme="minorEastAsia" w:eastAsiaTheme="minorEastAsia" w:cstheme="minorEastAsia"/>
                <w:color w:val="auto"/>
                <w:szCs w:val="21"/>
                <w:highlight w:val="none"/>
              </w:rPr>
              <w:t>2台（48盘位）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1" w:type="pct"/>
            <w:vAlign w:val="center"/>
          </w:tcPr>
          <w:p>
            <w:pPr>
              <w:adjustRightInd/>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2946" w:type="pct"/>
            <w:vAlign w:val="center"/>
          </w:tcPr>
          <w:p>
            <w:pPr>
              <w:adjustRightInd/>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硬盘（8TB）</w:t>
            </w:r>
          </w:p>
        </w:tc>
        <w:tc>
          <w:tcPr>
            <w:tcW w:w="1581" w:type="pct"/>
            <w:vAlign w:val="center"/>
          </w:tcPr>
          <w:p>
            <w:pPr>
              <w:adjustRightInd/>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96块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1" w:type="pct"/>
            <w:vAlign w:val="center"/>
          </w:tcPr>
          <w:p>
            <w:pPr>
              <w:adjustRightInd/>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946" w:type="pct"/>
            <w:vAlign w:val="center"/>
          </w:tcPr>
          <w:p>
            <w:pPr>
              <w:adjustRightInd/>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扩容平台（ISC）</w:t>
            </w:r>
          </w:p>
        </w:tc>
        <w:tc>
          <w:tcPr>
            <w:tcW w:w="1581" w:type="pct"/>
            <w:vAlign w:val="center"/>
          </w:tcPr>
          <w:p>
            <w:pPr>
              <w:adjustRightInd/>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1套</w:t>
            </w:r>
          </w:p>
        </w:tc>
      </w:tr>
    </w:tbl>
    <w:p>
      <w:pPr>
        <w:numPr>
          <w:ilvl w:val="0"/>
          <w:numId w:val="2"/>
        </w:numPr>
        <w:spacing w:before="120" w:beforeLines="50"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采购需求</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452"/>
        <w:gridCol w:w="1784"/>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75" w:type="dxa"/>
            <w:vAlign w:val="center"/>
          </w:tcPr>
          <w:p>
            <w:pPr>
              <w:jc w:val="center"/>
              <w:rPr>
                <w:rFonts w:ascii="宋体" w:hAnsi="宋体" w:cs="宋体"/>
                <w:color w:val="auto"/>
                <w:szCs w:val="21"/>
                <w:highlight w:val="none"/>
              </w:rPr>
            </w:pPr>
            <w:r>
              <w:rPr>
                <w:rFonts w:hint="eastAsia" w:ascii="宋体" w:hAnsi="宋体" w:cs="宋体"/>
                <w:b/>
                <w:bCs/>
                <w:color w:val="auto"/>
                <w:szCs w:val="21"/>
                <w:highlight w:val="none"/>
              </w:rPr>
              <w:t>序号</w:t>
            </w:r>
          </w:p>
        </w:tc>
        <w:tc>
          <w:tcPr>
            <w:tcW w:w="7236" w:type="dxa"/>
            <w:gridSpan w:val="2"/>
            <w:vAlign w:val="center"/>
          </w:tcPr>
          <w:p>
            <w:pPr>
              <w:jc w:val="center"/>
              <w:rPr>
                <w:rFonts w:ascii="宋体" w:hAnsi="宋体" w:cs="宋体"/>
                <w:color w:val="auto"/>
                <w:szCs w:val="21"/>
                <w:highlight w:val="none"/>
              </w:rPr>
            </w:pPr>
            <w:r>
              <w:rPr>
                <w:rFonts w:hint="eastAsia" w:ascii="宋体" w:hAnsi="宋体" w:cs="宋体"/>
                <w:b/>
                <w:bCs/>
                <w:color w:val="auto"/>
                <w:szCs w:val="21"/>
                <w:highlight w:val="none"/>
              </w:rPr>
              <w:t>技术参数</w:t>
            </w:r>
          </w:p>
        </w:tc>
        <w:tc>
          <w:tcPr>
            <w:tcW w:w="113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投标</w:t>
            </w:r>
          </w:p>
          <w:p>
            <w:pPr>
              <w:jc w:val="center"/>
              <w:rPr>
                <w:rFonts w:ascii="宋体" w:hAnsi="宋体" w:cs="宋体"/>
                <w:b/>
                <w:bCs/>
                <w:color w:val="auto"/>
                <w:szCs w:val="21"/>
                <w:highlight w:val="none"/>
              </w:rPr>
            </w:pPr>
            <w:r>
              <w:rPr>
                <w:rFonts w:hint="eastAsia" w:ascii="宋体" w:hAnsi="宋体" w:cs="宋体"/>
                <w:b/>
                <w:bCs/>
                <w:color w:val="auto"/>
                <w:szCs w:val="21"/>
                <w:highlight w:val="none"/>
              </w:rPr>
              <w:t>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一</w:t>
            </w:r>
          </w:p>
        </w:tc>
        <w:tc>
          <w:tcPr>
            <w:tcW w:w="5452" w:type="dxa"/>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产品类别</w:t>
            </w:r>
          </w:p>
        </w:tc>
        <w:tc>
          <w:tcPr>
            <w:tcW w:w="178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1</w:t>
            </w:r>
          </w:p>
        </w:tc>
        <w:tc>
          <w:tcPr>
            <w:tcW w:w="5452" w:type="dxa"/>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磁盘阵列（DS-ABFC48/8T）</w:t>
            </w:r>
          </w:p>
        </w:tc>
        <w:tc>
          <w:tcPr>
            <w:tcW w:w="178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2台（48盘位）</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2</w:t>
            </w:r>
          </w:p>
        </w:tc>
        <w:tc>
          <w:tcPr>
            <w:tcW w:w="5452" w:type="dxa"/>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硬盘（8TB）</w:t>
            </w:r>
          </w:p>
        </w:tc>
        <w:tc>
          <w:tcPr>
            <w:tcW w:w="178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96块</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3</w:t>
            </w:r>
          </w:p>
        </w:tc>
        <w:tc>
          <w:tcPr>
            <w:tcW w:w="5452" w:type="dxa"/>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扩容平台（ISC）</w:t>
            </w:r>
          </w:p>
        </w:tc>
        <w:tc>
          <w:tcPr>
            <w:tcW w:w="178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1套</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dxa"/>
            <w:vAlign w:val="center"/>
          </w:tcPr>
          <w:p>
            <w:pPr>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二</w:t>
            </w:r>
          </w:p>
        </w:tc>
        <w:tc>
          <w:tcPr>
            <w:tcW w:w="7236" w:type="dxa"/>
            <w:gridSpan w:val="2"/>
            <w:vAlign w:val="center"/>
          </w:tcPr>
          <w:p>
            <w:pPr>
              <w:textAlignment w:val="baseline"/>
              <w:rPr>
                <w:rFonts w:ascii="宋体" w:hAnsi="宋体" w:cs="宋体"/>
                <w:b/>
                <w:color w:val="auto"/>
                <w:szCs w:val="21"/>
                <w:highlight w:val="none"/>
              </w:rPr>
            </w:pPr>
            <w:r>
              <w:rPr>
                <w:rFonts w:hint="eastAsia" w:ascii="宋体" w:hAnsi="宋体" w:cs="宋体"/>
                <w:b/>
                <w:color w:val="auto"/>
                <w:szCs w:val="21"/>
                <w:highlight w:val="none"/>
              </w:rPr>
              <w:t>技术规格</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7236" w:type="dxa"/>
            <w:gridSpan w:val="2"/>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磁盘阵列（DS-ABFC48/8T）</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1.1</w:t>
            </w:r>
          </w:p>
        </w:tc>
        <w:tc>
          <w:tcPr>
            <w:tcW w:w="7236" w:type="dxa"/>
            <w:gridSpan w:val="2"/>
            <w:vAlign w:val="center"/>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基本参数</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机架式/8U 48盘位/512路（1024Mbps带宽）接入/48块8T企业级SATA硬盘/64位多核处理器/4GB缓存（可扩展至64GB）/2个千兆数据网口/1个千兆管理网口/冗余电源/网络协议：RTSP/ONVIF/PSIA/（GB/T28181）；</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1.2</w:t>
            </w:r>
          </w:p>
        </w:tc>
        <w:tc>
          <w:tcPr>
            <w:tcW w:w="7236" w:type="dxa"/>
            <w:gridSpan w:val="2"/>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支持视音频、图片、智能数据流进行混合直存，无须存储服务器和图片服务器的参与，平台服务器宕机时，存储业务正常；</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1.3</w:t>
            </w:r>
          </w:p>
        </w:tc>
        <w:tc>
          <w:tcPr>
            <w:tcW w:w="7236" w:type="dxa"/>
            <w:gridSpan w:val="2"/>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支持国际GB/T 28181和Onvif视频流直存模式；</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1.4</w:t>
            </w:r>
          </w:p>
        </w:tc>
        <w:tc>
          <w:tcPr>
            <w:tcW w:w="7236" w:type="dxa"/>
            <w:gridSpan w:val="2"/>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支持iSCSI直存功能，前端网络摄像机和设备之间可直接通过iSCSI协议进行块存储（以公安部检测报告为准）；</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1.5</w:t>
            </w:r>
          </w:p>
        </w:tc>
        <w:tc>
          <w:tcPr>
            <w:tcW w:w="7236" w:type="dxa"/>
            <w:gridSpan w:val="2"/>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支持查看硬盘体检报告、硬盘深度体检和磁盘档案；</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1.6</w:t>
            </w:r>
          </w:p>
        </w:tc>
        <w:tc>
          <w:tcPr>
            <w:tcW w:w="7236" w:type="dxa"/>
            <w:gridSpan w:val="2"/>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支持下载单个硬盘或批量硬盘的报告，支持按时间显示硬盘的坏扇区、温度、振动变化趋势的曲线图；</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1.7</w:t>
            </w:r>
          </w:p>
        </w:tc>
        <w:tc>
          <w:tcPr>
            <w:tcW w:w="7236" w:type="dxa"/>
            <w:gridSpan w:val="2"/>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可通过硬盘深度体检查看硬盘原始数据读取错误率、上电时间、上电时长计数、意外断电计数、重映射扇区数、磁盘振动等多种硬盘相关健康值；</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1.8</w:t>
            </w:r>
          </w:p>
        </w:tc>
        <w:tc>
          <w:tcPr>
            <w:tcW w:w="7236" w:type="dxa"/>
            <w:gridSpan w:val="2"/>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支持查看硬盘体检的历史记录、硬盘健康状态，并对硬盘健康状态进行分级分类，包括健康（良好、正常）、亚健康（警告、即将损坏）、故障（错误、损坏）等；</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1.9</w:t>
            </w:r>
          </w:p>
        </w:tc>
        <w:tc>
          <w:tcPr>
            <w:tcW w:w="7236" w:type="dxa"/>
            <w:gridSpan w:val="2"/>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支持硬盘体检报告打印输出（以公安部检测报告为准）；</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1.10</w:t>
            </w:r>
          </w:p>
        </w:tc>
        <w:tc>
          <w:tcPr>
            <w:tcW w:w="7236" w:type="dxa"/>
            <w:gridSpan w:val="2"/>
            <w:vAlign w:val="center"/>
          </w:tcPr>
          <w:p>
            <w:pPr>
              <w:spacing w:line="360" w:lineRule="auto"/>
              <w:rPr>
                <w:rFonts w:ascii="宋体" w:hAnsi="宋体" w:cs="宋体"/>
                <w:color w:val="auto"/>
                <w:szCs w:val="21"/>
                <w:highlight w:val="none"/>
              </w:rPr>
            </w:pPr>
            <w:r>
              <w:rPr>
                <w:rFonts w:hint="eastAsia" w:ascii="宋体" w:hAnsi="宋体" w:cs="宋体"/>
                <w:bCs/>
                <w:color w:val="auto"/>
                <w:szCs w:val="21"/>
                <w:highlight w:val="none"/>
              </w:rPr>
              <w:t>提供3C、公安部委托型式检验报告、公安部GB/T28181检测报告GB 35114-2017 公共安全视频监控联网信息安全技术要求检查报告；</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2</w:t>
            </w:r>
          </w:p>
        </w:tc>
        <w:tc>
          <w:tcPr>
            <w:tcW w:w="7236" w:type="dxa"/>
            <w:gridSpan w:val="2"/>
            <w:vAlign w:val="center"/>
          </w:tcPr>
          <w:p>
            <w:pPr>
              <w:spacing w:line="360" w:lineRule="auto"/>
              <w:rPr>
                <w:rFonts w:ascii="宋体" w:hAnsi="宋体" w:cs="宋体"/>
                <w:color w:val="auto"/>
                <w:kern w:val="0"/>
                <w:szCs w:val="21"/>
                <w:highlight w:val="none"/>
              </w:rPr>
            </w:pPr>
            <w:r>
              <w:rPr>
                <w:rFonts w:hint="eastAsia" w:ascii="宋体" w:hAnsi="宋体" w:cs="宋体"/>
                <w:b/>
                <w:bCs/>
                <w:color w:val="auto"/>
                <w:szCs w:val="21"/>
                <w:highlight w:val="none"/>
              </w:rPr>
              <w:t>硬盘（8TB）</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bCs/>
                <w:color w:val="auto"/>
                <w:szCs w:val="21"/>
                <w:highlight w:val="none"/>
              </w:rPr>
              <w:t>2.1</w:t>
            </w:r>
          </w:p>
        </w:tc>
        <w:tc>
          <w:tcPr>
            <w:tcW w:w="7236" w:type="dxa"/>
            <w:gridSpan w:val="2"/>
            <w:vAlign w:val="center"/>
          </w:tcPr>
          <w:p>
            <w:pPr>
              <w:spacing w:line="360" w:lineRule="auto"/>
              <w:rPr>
                <w:rFonts w:ascii="宋体" w:hAnsi="宋体" w:cs="宋体"/>
                <w:bCs/>
                <w:color w:val="auto"/>
                <w:szCs w:val="21"/>
                <w:highlight w:val="none"/>
              </w:rPr>
            </w:pPr>
            <w:r>
              <w:rPr>
                <w:rFonts w:hint="eastAsia" w:ascii="宋体" w:hAnsi="宋体" w:cs="宋体"/>
                <w:b/>
                <w:color w:val="auto"/>
                <w:szCs w:val="21"/>
                <w:highlight w:val="none"/>
              </w:rPr>
              <w:t>基本参数</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8TB容量，3.5英寸，SATA3.0接口，7200RPM</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空气盘， CMR传统磁记录</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传输速率255 MB/s，流畅存储视频有效防止丢帧</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MTBF可达2,000,000小时</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高级格式（AF）512e扇区技术，保障硬盘扇区4K对齐</w:t>
            </w:r>
          </w:p>
          <w:p>
            <w:pPr>
              <w:spacing w:line="360" w:lineRule="auto"/>
              <w:rPr>
                <w:rFonts w:ascii="宋体" w:hAnsi="宋体" w:cs="宋体"/>
                <w:color w:val="auto"/>
                <w:kern w:val="0"/>
                <w:szCs w:val="21"/>
                <w:highlight w:val="none"/>
              </w:rPr>
            </w:pPr>
            <w:r>
              <w:rPr>
                <w:rFonts w:hint="eastAsia" w:ascii="宋体" w:hAnsi="宋体" w:cs="宋体"/>
                <w:bCs/>
                <w:color w:val="auto"/>
                <w:szCs w:val="21"/>
                <w:highlight w:val="none"/>
              </w:rPr>
              <w:t>满足数据严苛的7*24小时运行可靠性、安全性的需求</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w:t>
            </w:r>
          </w:p>
        </w:tc>
        <w:tc>
          <w:tcPr>
            <w:tcW w:w="7236" w:type="dxa"/>
            <w:gridSpan w:val="2"/>
            <w:vAlign w:val="center"/>
          </w:tcPr>
          <w:p>
            <w:pPr>
              <w:spacing w:line="360" w:lineRule="auto"/>
              <w:rPr>
                <w:rFonts w:ascii="宋体" w:hAnsi="宋体" w:cs="宋体"/>
                <w:color w:val="auto"/>
                <w:kern w:val="0"/>
                <w:szCs w:val="21"/>
                <w:highlight w:val="none"/>
              </w:rPr>
            </w:pPr>
            <w:r>
              <w:rPr>
                <w:rFonts w:hint="eastAsia" w:ascii="宋体" w:hAnsi="宋体" w:cs="宋体"/>
                <w:b/>
                <w:bCs/>
                <w:color w:val="auto"/>
                <w:szCs w:val="21"/>
                <w:highlight w:val="none"/>
              </w:rPr>
              <w:t>扩容平台（ISC）</w:t>
            </w:r>
          </w:p>
        </w:tc>
        <w:tc>
          <w:tcPr>
            <w:tcW w:w="1139" w:type="dxa"/>
            <w:vAlign w:val="center"/>
          </w:tcPr>
          <w:p>
            <w:pPr>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dxa"/>
            <w:vAlign w:val="center"/>
          </w:tcPr>
          <w:p>
            <w:pPr>
              <w:spacing w:line="360" w:lineRule="auto"/>
              <w:jc w:val="center"/>
              <w:textAlignment w:val="baseline"/>
              <w:rPr>
                <w:rFonts w:ascii="宋体" w:hAnsi="宋体" w:cs="宋体"/>
                <w:color w:val="auto"/>
                <w:szCs w:val="21"/>
                <w:highlight w:val="none"/>
              </w:rPr>
            </w:pPr>
            <w:r>
              <w:rPr>
                <w:rFonts w:hint="eastAsia" w:ascii="宋体" w:hAnsi="宋体" w:cs="宋体"/>
                <w:bCs/>
                <w:color w:val="auto"/>
                <w:szCs w:val="21"/>
                <w:highlight w:val="none"/>
              </w:rPr>
              <w:t>3.1</w:t>
            </w:r>
          </w:p>
        </w:tc>
        <w:tc>
          <w:tcPr>
            <w:tcW w:w="7236" w:type="dxa"/>
            <w:gridSpan w:val="2"/>
            <w:vAlign w:val="center"/>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基本参数</w:t>
            </w:r>
          </w:p>
          <w:p>
            <w:pPr>
              <w:spacing w:line="360" w:lineRule="auto"/>
              <w:rPr>
                <w:rFonts w:ascii="宋体" w:hAnsi="宋体" w:cs="宋体"/>
                <w:color w:val="auto"/>
                <w:kern w:val="0"/>
                <w:szCs w:val="21"/>
                <w:highlight w:val="none"/>
              </w:rPr>
            </w:pPr>
            <w:r>
              <w:rPr>
                <w:rFonts w:hint="eastAsia" w:ascii="宋体" w:hAnsi="宋体" w:cs="宋体"/>
                <w:bCs/>
                <w:color w:val="auto"/>
                <w:szCs w:val="21"/>
                <w:highlight w:val="none"/>
              </w:rPr>
              <w:t>本次主要用于安装部署升级浙江万里学院现有安防管理平台，需要跟现有平台系统无缝进行对接并做好扩容对接工作，提供技术支持保障及保证硬件兼容性。</w:t>
            </w:r>
          </w:p>
        </w:tc>
        <w:tc>
          <w:tcPr>
            <w:tcW w:w="1139" w:type="dxa"/>
            <w:vAlign w:val="center"/>
          </w:tcPr>
          <w:p>
            <w:pPr>
              <w:textAlignment w:val="baseline"/>
              <w:rPr>
                <w:rFonts w:ascii="宋体" w:hAnsi="宋体" w:cs="宋体"/>
                <w:color w:val="auto"/>
                <w:szCs w:val="21"/>
                <w:highlight w:val="none"/>
              </w:rPr>
            </w:pPr>
          </w:p>
        </w:tc>
      </w:tr>
    </w:tbl>
    <w:p>
      <w:pPr>
        <w:numPr>
          <w:ilvl w:val="0"/>
          <w:numId w:val="1"/>
        </w:numPr>
        <w:spacing w:before="120" w:beforeLines="50" w:line="360" w:lineRule="auto"/>
        <w:ind w:firstLine="0"/>
        <w:outlineLvl w:val="1"/>
        <w:rPr>
          <w:rFonts w:ascii="Arial" w:hAnsi="Arial" w:cs="Arial"/>
          <w:b/>
          <w:color w:val="auto"/>
          <w:kern w:val="1"/>
          <w:szCs w:val="21"/>
          <w:highlight w:val="none"/>
        </w:rPr>
      </w:pPr>
      <w:r>
        <w:rPr>
          <w:rFonts w:hint="eastAsia" w:ascii="Arial" w:hAnsi="Arial" w:cs="Arial"/>
          <w:b/>
          <w:color w:val="auto"/>
          <w:szCs w:val="28"/>
          <w:highlight w:val="none"/>
        </w:rPr>
        <w:t>商务要求（合同商务条款主要内容）</w:t>
      </w:r>
    </w:p>
    <w:p>
      <w:pPr>
        <w:spacing w:before="120" w:beforeLines="50" w:line="360" w:lineRule="auto"/>
        <w:outlineLvl w:val="1"/>
        <w:rPr>
          <w:rFonts w:ascii="Arial" w:hAnsi="Arial" w:cs="Arial"/>
          <w:bCs/>
          <w:color w:val="auto"/>
          <w:kern w:val="1"/>
          <w:szCs w:val="21"/>
          <w:highlight w:val="none"/>
        </w:rPr>
      </w:pPr>
      <w:r>
        <w:rPr>
          <w:rFonts w:ascii="Arial" w:hAnsi="Arial" w:cs="Arial"/>
          <w:color w:val="auto"/>
          <w:highlight w:val="none"/>
        </w:rPr>
        <w:t>★</w:t>
      </w:r>
      <w:r>
        <w:rPr>
          <w:rFonts w:hint="eastAsia" w:ascii="Arial" w:hAnsi="Arial" w:cs="Arial"/>
          <w:color w:val="auto"/>
          <w:highlight w:val="none"/>
        </w:rPr>
        <w:t>1、</w:t>
      </w:r>
      <w:r>
        <w:rPr>
          <w:rFonts w:ascii="Arial" w:hAnsi="Arial" w:cs="Arial"/>
          <w:b/>
          <w:bCs/>
          <w:color w:val="auto"/>
          <w:highlight w:val="none"/>
        </w:rPr>
        <w:t>商务要求：</w:t>
      </w:r>
    </w:p>
    <w:tbl>
      <w:tblPr>
        <w:tblStyle w:val="63"/>
        <w:tblW w:w="938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538"/>
        <w:gridCol w:w="71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34" w:hRule="atLeast"/>
          <w:jc w:val="center"/>
        </w:trPr>
        <w:tc>
          <w:tcPr>
            <w:tcW w:w="674" w:type="dxa"/>
            <w:vAlign w:val="center"/>
          </w:tcPr>
          <w:p>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序号</w:t>
            </w:r>
          </w:p>
        </w:tc>
        <w:tc>
          <w:tcPr>
            <w:tcW w:w="1538" w:type="dxa"/>
            <w:vAlign w:val="center"/>
          </w:tcPr>
          <w:p>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项目</w:t>
            </w:r>
          </w:p>
        </w:tc>
        <w:tc>
          <w:tcPr>
            <w:tcW w:w="7169" w:type="dxa"/>
            <w:vAlign w:val="center"/>
          </w:tcPr>
          <w:p>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基本要求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pPr>
              <w:spacing w:line="400" w:lineRule="exact"/>
              <w:jc w:val="center"/>
              <w:rPr>
                <w:rFonts w:ascii="Arial" w:hAnsi="Arial" w:cs="Arial"/>
                <w:color w:val="auto"/>
                <w:kern w:val="1"/>
                <w:szCs w:val="21"/>
                <w:highlight w:val="none"/>
              </w:rPr>
            </w:pPr>
            <w:r>
              <w:rPr>
                <w:rFonts w:ascii="Arial" w:hAnsi="Arial" w:cs="Arial"/>
                <w:color w:val="auto"/>
                <w:kern w:val="1"/>
                <w:szCs w:val="21"/>
                <w:highlight w:val="none"/>
              </w:rPr>
              <w:t>1</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kern w:val="1"/>
                <w:szCs w:val="21"/>
                <w:highlight w:val="none"/>
              </w:rPr>
              <w:t>产品及服务质量保证</w:t>
            </w:r>
          </w:p>
        </w:tc>
        <w:tc>
          <w:tcPr>
            <w:tcW w:w="7169" w:type="dxa"/>
            <w:vAlign w:val="center"/>
          </w:tcPr>
          <w:p>
            <w:pPr>
              <w:spacing w:line="400" w:lineRule="exact"/>
              <w:ind w:right="34" w:rightChars="16"/>
              <w:jc w:val="left"/>
              <w:rPr>
                <w:rFonts w:ascii="Arial" w:hAnsi="Arial" w:cs="Arial"/>
                <w:color w:val="auto"/>
                <w:kern w:val="1"/>
                <w:szCs w:val="21"/>
                <w:highlight w:val="none"/>
              </w:rPr>
            </w:pPr>
            <w:r>
              <w:rPr>
                <w:rFonts w:ascii="Arial" w:hAnsi="Arial" w:cs="Arial"/>
                <w:color w:val="auto"/>
                <w:kern w:val="1"/>
                <w:szCs w:val="21"/>
                <w:highlight w:val="none"/>
              </w:rPr>
              <w:t>1）供应商保证所供应的产品及</w:t>
            </w:r>
            <w:r>
              <w:rPr>
                <w:rFonts w:ascii="Arial" w:hAnsi="Arial" w:cs="Arial"/>
                <w:color w:val="auto"/>
                <w:szCs w:val="21"/>
                <w:highlight w:val="none"/>
              </w:rPr>
              <w:t>其所有部件</w:t>
            </w:r>
            <w:r>
              <w:rPr>
                <w:rFonts w:ascii="Arial" w:hAnsi="Arial" w:cs="Arial"/>
                <w:color w:val="auto"/>
                <w:kern w:val="1"/>
                <w:szCs w:val="21"/>
                <w:highlight w:val="none"/>
              </w:rPr>
              <w:t>必须是全新合格产品</w:t>
            </w:r>
            <w:r>
              <w:rPr>
                <w:rFonts w:ascii="Arial" w:hAnsi="Arial" w:cs="Arial"/>
                <w:color w:val="auto"/>
                <w:szCs w:val="21"/>
                <w:highlight w:val="none"/>
              </w:rPr>
              <w:t>。</w:t>
            </w:r>
            <w:r>
              <w:rPr>
                <w:rFonts w:ascii="Arial" w:hAnsi="Arial" w:cs="Arial"/>
                <w:color w:val="auto"/>
                <w:kern w:val="1"/>
                <w:szCs w:val="21"/>
                <w:highlight w:val="none"/>
              </w:rPr>
              <w:t>如发生所供的产品与合同不符，采购人有权拒收或退货，由此产生的一切责任和后果由供应商承担。</w:t>
            </w:r>
          </w:p>
          <w:p>
            <w:pPr>
              <w:spacing w:line="400" w:lineRule="exact"/>
              <w:jc w:val="left"/>
              <w:rPr>
                <w:rFonts w:ascii="Arial" w:hAnsi="Arial" w:cs="Arial"/>
                <w:color w:val="auto"/>
                <w:szCs w:val="21"/>
                <w:highlight w:val="none"/>
              </w:rPr>
            </w:pPr>
            <w:r>
              <w:rPr>
                <w:rFonts w:ascii="Arial" w:hAnsi="Arial" w:cs="Arial"/>
                <w:color w:val="auto"/>
                <w:kern w:val="1"/>
                <w:szCs w:val="21"/>
                <w:highlight w:val="none"/>
              </w:rPr>
              <w:t>2）在所供应的产品交付时，供应商必须向采购人提供必备的相关资料。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2</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质保期</w:t>
            </w:r>
          </w:p>
        </w:tc>
        <w:tc>
          <w:tcPr>
            <w:tcW w:w="7169" w:type="dxa"/>
            <w:vAlign w:val="center"/>
          </w:tcPr>
          <w:p>
            <w:pPr>
              <w:spacing w:line="400" w:lineRule="atLeast"/>
              <w:ind w:right="34" w:rightChars="16"/>
              <w:jc w:val="left"/>
              <w:rPr>
                <w:rFonts w:ascii="Arial" w:hAnsi="Arial" w:cs="Arial"/>
                <w:color w:val="auto"/>
                <w:szCs w:val="21"/>
                <w:highlight w:val="none"/>
              </w:rPr>
            </w:pPr>
            <w:r>
              <w:rPr>
                <w:rFonts w:ascii="Arial" w:hAnsi="Arial" w:cs="Arial"/>
                <w:color w:val="auto"/>
                <w:szCs w:val="21"/>
                <w:highlight w:val="none"/>
              </w:rPr>
              <w:t>1）自验收合格之日起提供免费质保期，</w:t>
            </w:r>
            <w:r>
              <w:rPr>
                <w:rFonts w:ascii="Arial" w:hAnsi="Arial" w:cs="Arial"/>
                <w:color w:val="auto"/>
                <w:szCs w:val="21"/>
                <w:highlight w:val="none"/>
                <w:lang w:bidi="ar"/>
              </w:rPr>
              <w:t>除本章《</w:t>
            </w:r>
            <w:r>
              <w:rPr>
                <w:rFonts w:hint="eastAsia" w:ascii="Arial" w:hAnsi="Arial" w:cs="Arial"/>
                <w:color w:val="auto"/>
                <w:szCs w:val="21"/>
                <w:highlight w:val="none"/>
                <w:lang w:bidi="ar"/>
              </w:rPr>
              <w:t>采购需求</w:t>
            </w:r>
            <w:r>
              <w:rPr>
                <w:rFonts w:ascii="Arial" w:hAnsi="Arial" w:cs="Arial"/>
                <w:color w:val="auto"/>
                <w:szCs w:val="21"/>
                <w:highlight w:val="none"/>
                <w:lang w:bidi="ar"/>
              </w:rPr>
              <w:t>》中已注明质保期的设备外，</w:t>
            </w:r>
            <w:r>
              <w:rPr>
                <w:rFonts w:ascii="Arial" w:hAnsi="Arial" w:cs="Arial"/>
                <w:color w:val="auto"/>
                <w:szCs w:val="21"/>
                <w:highlight w:val="none"/>
                <w:lang w:bidi="ar"/>
              </w:rPr>
              <w:t>其余全部投标产品</w:t>
            </w:r>
            <w:r>
              <w:rPr>
                <w:rFonts w:ascii="Arial" w:hAnsi="Arial" w:cs="Arial"/>
                <w:color w:val="auto"/>
                <w:szCs w:val="21"/>
                <w:highlight w:val="none"/>
              </w:rPr>
              <w:t>质保期为</w:t>
            </w:r>
            <w:r>
              <w:rPr>
                <w:rFonts w:hint="eastAsia" w:ascii="Arial" w:hAnsi="Arial" w:cs="Arial"/>
                <w:color w:val="auto"/>
                <w:szCs w:val="21"/>
                <w:highlight w:val="none"/>
              </w:rPr>
              <w:t>2</w:t>
            </w:r>
            <w:r>
              <w:rPr>
                <w:rFonts w:ascii="Arial" w:hAnsi="Arial" w:cs="Arial"/>
                <w:color w:val="auto"/>
                <w:szCs w:val="21"/>
                <w:highlight w:val="none"/>
              </w:rPr>
              <w:t>年。</w:t>
            </w:r>
          </w:p>
          <w:p>
            <w:pPr>
              <w:spacing w:line="400" w:lineRule="atLeast"/>
              <w:ind w:right="34" w:rightChars="16"/>
              <w:jc w:val="left"/>
              <w:rPr>
                <w:rFonts w:ascii="Arial" w:hAnsi="Arial" w:cs="Arial"/>
                <w:color w:val="auto"/>
                <w:szCs w:val="21"/>
                <w:highlight w:val="none"/>
              </w:rPr>
            </w:pPr>
            <w:r>
              <w:rPr>
                <w:rFonts w:ascii="Arial" w:hAnsi="Arial" w:cs="Arial"/>
                <w:color w:val="auto"/>
                <w:szCs w:val="21"/>
                <w:highlight w:val="none"/>
              </w:rPr>
              <w:t>2）在质保期内，供应商应负责免费解决设备使用问题、调试、技术支持、维护、软件升级等。</w:t>
            </w:r>
          </w:p>
          <w:p>
            <w:pPr>
              <w:spacing w:line="400" w:lineRule="exact"/>
              <w:jc w:val="left"/>
              <w:rPr>
                <w:rFonts w:ascii="Arial" w:hAnsi="Arial" w:cs="Arial"/>
                <w:color w:val="auto"/>
                <w:szCs w:val="21"/>
                <w:highlight w:val="none"/>
              </w:rPr>
            </w:pPr>
            <w:r>
              <w:rPr>
                <w:rFonts w:ascii="Arial" w:hAnsi="Arial" w:cs="Arial"/>
                <w:color w:val="auto"/>
                <w:szCs w:val="21"/>
                <w:highlight w:val="none"/>
              </w:rPr>
              <w:t>3）质保期内因产品本身缺陷造成各种故障应由供应商免费技术服务和维护。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3</w:t>
            </w:r>
          </w:p>
        </w:tc>
        <w:tc>
          <w:tcPr>
            <w:tcW w:w="1538" w:type="dxa"/>
            <w:vAlign w:val="center"/>
          </w:tcPr>
          <w:p>
            <w:pPr>
              <w:spacing w:line="400" w:lineRule="exact"/>
              <w:jc w:val="center"/>
              <w:rPr>
                <w:rFonts w:ascii="Arial" w:hAnsi="Arial" w:cs="Arial"/>
                <w:color w:val="auto"/>
                <w:szCs w:val="21"/>
                <w:highlight w:val="none"/>
              </w:rPr>
            </w:pPr>
            <w:r>
              <w:rPr>
                <w:rFonts w:hint="eastAsia" w:ascii="Arial" w:hAnsi="Arial" w:cs="Arial"/>
                <w:color w:val="auto"/>
                <w:szCs w:val="21"/>
                <w:highlight w:val="none"/>
              </w:rPr>
              <w:t>交货期/</w:t>
            </w:r>
            <w:r>
              <w:rPr>
                <w:rFonts w:ascii="Arial" w:hAnsi="Arial" w:cs="Arial"/>
                <w:color w:val="auto"/>
                <w:szCs w:val="21"/>
                <w:highlight w:val="none"/>
              </w:rPr>
              <w:t>工期</w:t>
            </w:r>
          </w:p>
        </w:tc>
        <w:tc>
          <w:tcPr>
            <w:tcW w:w="7169" w:type="dxa"/>
            <w:vAlign w:val="center"/>
          </w:tcPr>
          <w:p>
            <w:pPr>
              <w:spacing w:line="400" w:lineRule="exact"/>
              <w:jc w:val="left"/>
              <w:rPr>
                <w:rFonts w:ascii="Arial" w:hAnsi="Arial" w:cs="Arial"/>
                <w:color w:val="auto"/>
                <w:szCs w:val="21"/>
                <w:highlight w:val="none"/>
              </w:rPr>
            </w:pPr>
            <w:r>
              <w:rPr>
                <w:rFonts w:hint="eastAsia" w:ascii="Arial" w:hAnsi="Arial" w:cs="Arial"/>
                <w:color w:val="auto"/>
                <w:szCs w:val="21"/>
                <w:highlight w:val="none"/>
                <w:lang w:bidi="ar"/>
              </w:rPr>
              <w:t>自合同签订之日起30天内完成全部产品的供货，安装调试期为1周，并具备验收条件</w:t>
            </w:r>
            <w:r>
              <w:rPr>
                <w:rFonts w:ascii="Arial" w:hAnsi="Arial" w:cs="Arial"/>
                <w:snapToGrid w:val="0"/>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4</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交付地点</w:t>
            </w:r>
          </w:p>
        </w:tc>
        <w:tc>
          <w:tcPr>
            <w:tcW w:w="7169" w:type="dxa"/>
            <w:vAlign w:val="center"/>
          </w:tcPr>
          <w:p>
            <w:pPr>
              <w:spacing w:line="400" w:lineRule="exact"/>
              <w:jc w:val="left"/>
              <w:rPr>
                <w:rFonts w:ascii="Arial" w:hAnsi="Arial" w:cs="Arial"/>
                <w:color w:val="auto"/>
                <w:szCs w:val="21"/>
                <w:highlight w:val="none"/>
              </w:rPr>
            </w:pPr>
            <w:r>
              <w:rPr>
                <w:rFonts w:ascii="Arial" w:hAnsi="Arial" w:cs="Arial"/>
                <w:color w:val="auto"/>
                <w:szCs w:val="21"/>
                <w:highlight w:val="none"/>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5</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质量标准</w:t>
            </w:r>
          </w:p>
        </w:tc>
        <w:tc>
          <w:tcPr>
            <w:tcW w:w="7169" w:type="dxa"/>
            <w:vAlign w:val="center"/>
          </w:tcPr>
          <w:p>
            <w:pPr>
              <w:spacing w:line="400" w:lineRule="exact"/>
              <w:jc w:val="left"/>
              <w:rPr>
                <w:rFonts w:ascii="Arial" w:hAnsi="Arial" w:cs="Arial"/>
                <w:color w:val="auto"/>
                <w:szCs w:val="21"/>
                <w:highlight w:val="none"/>
              </w:rPr>
            </w:pPr>
            <w:r>
              <w:rPr>
                <w:rFonts w:ascii="Arial" w:hAnsi="Arial" w:cs="Arial"/>
                <w:color w:val="auto"/>
                <w:szCs w:val="21"/>
                <w:highlight w:val="none"/>
              </w:rPr>
              <w:t>产品质量必须执行国家相关标准、行业标准、地方标准或者其它标准、规范；</w:t>
            </w:r>
          </w:p>
          <w:p>
            <w:pPr>
              <w:spacing w:line="400" w:lineRule="exact"/>
              <w:jc w:val="left"/>
              <w:rPr>
                <w:rFonts w:ascii="Arial" w:hAnsi="Arial" w:cs="Arial"/>
                <w:color w:val="auto"/>
                <w:szCs w:val="21"/>
                <w:highlight w:val="none"/>
              </w:rPr>
            </w:pPr>
            <w:r>
              <w:rPr>
                <w:rFonts w:ascii="Arial" w:hAnsi="Arial" w:cs="Arial"/>
                <w:color w:val="auto"/>
                <w:szCs w:val="21"/>
                <w:highlight w:val="none"/>
              </w:rPr>
              <w:t>1、具有国家标准及规范的，按最新的标准及规范执行；</w:t>
            </w:r>
          </w:p>
          <w:p>
            <w:pPr>
              <w:spacing w:line="400" w:lineRule="exact"/>
              <w:jc w:val="left"/>
              <w:rPr>
                <w:rFonts w:ascii="Arial" w:hAnsi="Arial" w:cs="Arial"/>
                <w:color w:val="auto"/>
                <w:szCs w:val="21"/>
                <w:highlight w:val="none"/>
              </w:rPr>
            </w:pPr>
            <w:r>
              <w:rPr>
                <w:rFonts w:ascii="Arial" w:hAnsi="Arial" w:cs="Arial"/>
                <w:color w:val="auto"/>
                <w:szCs w:val="21"/>
                <w:highlight w:val="none"/>
              </w:rPr>
              <w:t>2、具有行业标准及规范的，按最新的标准及规范执行；</w:t>
            </w:r>
          </w:p>
          <w:p>
            <w:pPr>
              <w:spacing w:line="400" w:lineRule="exact"/>
              <w:rPr>
                <w:rFonts w:ascii="Arial" w:hAnsi="Arial" w:cs="Arial"/>
                <w:color w:val="auto"/>
                <w:szCs w:val="21"/>
                <w:highlight w:val="none"/>
              </w:rPr>
            </w:pPr>
            <w:r>
              <w:rPr>
                <w:rFonts w:ascii="Arial" w:hAnsi="Arial" w:cs="Arial"/>
                <w:color w:val="auto"/>
                <w:szCs w:val="21"/>
                <w:highlight w:val="none"/>
              </w:rPr>
              <w:t>3、具有其他标准及规范的，按照最新的标准及规范执行。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6</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highlight w:val="none"/>
              </w:rPr>
              <w:t>付款方式</w:t>
            </w:r>
          </w:p>
        </w:tc>
        <w:tc>
          <w:tcPr>
            <w:tcW w:w="7169" w:type="dxa"/>
            <w:vAlign w:val="center"/>
          </w:tcPr>
          <w:p>
            <w:pPr>
              <w:spacing w:line="400" w:lineRule="exac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合同生效后7个工作日内支付国产设备合同价的40%；货到指定地点、安装调试完毕，经采购人验收合格且采购人收到发票后7个工作日内一次性付清国产设备剩余合同款项</w:t>
            </w:r>
            <w:r>
              <w:rPr>
                <w:rFonts w:ascii="Arial" w:hAnsi="Arial" w:cs="Arial"/>
                <w:color w:val="auto"/>
                <w:szCs w:val="21"/>
                <w:highlight w:val="none"/>
              </w:rPr>
              <w:t>；</w:t>
            </w:r>
          </w:p>
          <w:p>
            <w:pPr>
              <w:spacing w:line="400" w:lineRule="exact"/>
              <w:rPr>
                <w:rFonts w:ascii="Arial" w:hAnsi="Arial" w:cs="Arial"/>
                <w:color w:val="auto"/>
                <w:szCs w:val="21"/>
                <w:highlight w:val="none"/>
              </w:rPr>
            </w:pPr>
            <w:r>
              <w:rPr>
                <w:rFonts w:ascii="Arial" w:hAnsi="Arial" w:cs="Arial"/>
                <w:color w:val="auto"/>
                <w:szCs w:val="21"/>
                <w:highlight w:val="none"/>
              </w:rPr>
              <w:t>2、按照采购文件的规定、中标人的投标响应、中标通知书确定的规格、数量和金额签订合同。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7</w:t>
            </w:r>
          </w:p>
        </w:tc>
        <w:tc>
          <w:tcPr>
            <w:tcW w:w="1538" w:type="dxa"/>
            <w:vAlign w:val="center"/>
          </w:tcPr>
          <w:p>
            <w:pPr>
              <w:spacing w:line="400" w:lineRule="exact"/>
              <w:jc w:val="center"/>
              <w:rPr>
                <w:rFonts w:ascii="Arial" w:hAnsi="Arial" w:cs="Arial"/>
                <w:color w:val="auto"/>
                <w:kern w:val="1"/>
                <w:szCs w:val="21"/>
                <w:highlight w:val="none"/>
              </w:rPr>
            </w:pPr>
            <w:r>
              <w:rPr>
                <w:rFonts w:ascii="Arial" w:hAnsi="Arial" w:cs="Arial"/>
                <w:color w:val="auto"/>
                <w:szCs w:val="21"/>
                <w:highlight w:val="none"/>
              </w:rPr>
              <w:t>验收</w:t>
            </w:r>
          </w:p>
        </w:tc>
        <w:tc>
          <w:tcPr>
            <w:tcW w:w="7169" w:type="dxa"/>
            <w:vAlign w:val="center"/>
          </w:tcPr>
          <w:p>
            <w:pPr>
              <w:spacing w:line="400" w:lineRule="exact"/>
              <w:jc w:val="left"/>
              <w:rPr>
                <w:rFonts w:ascii="Arial" w:hAnsi="Arial" w:cs="Arial"/>
                <w:color w:val="auto"/>
                <w:szCs w:val="21"/>
                <w:highlight w:val="none"/>
              </w:rPr>
            </w:pPr>
            <w:r>
              <w:rPr>
                <w:rFonts w:ascii="Arial" w:hAnsi="Arial" w:cs="Arial"/>
                <w:color w:val="auto"/>
                <w:szCs w:val="21"/>
                <w:highlight w:val="none"/>
              </w:rPr>
              <w:t>1）按照采购文件要求、中标人的投标文件（承诺）及签订的合同约定标准进行验收。且采购单位有组织检测机构和第三方单位参与检测验收的权利，检测及相关费由中标单位承担。</w:t>
            </w:r>
          </w:p>
          <w:p>
            <w:pPr>
              <w:spacing w:line="400" w:lineRule="exact"/>
              <w:jc w:val="left"/>
              <w:rPr>
                <w:rFonts w:ascii="Arial" w:hAnsi="Arial" w:cs="Arial"/>
                <w:color w:val="auto"/>
                <w:szCs w:val="21"/>
                <w:highlight w:val="none"/>
              </w:rPr>
            </w:pPr>
            <w:r>
              <w:rPr>
                <w:rFonts w:ascii="Arial" w:hAnsi="Arial" w:cs="Arial"/>
                <w:color w:val="auto"/>
                <w:szCs w:val="21"/>
                <w:highlight w:val="none"/>
              </w:rPr>
              <w:t>2）验收不合格的产品，采购人可以要求供应商无条件免费更换或退货，并赔偿由此造成的采购人的损失。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8</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签订合同时间</w:t>
            </w:r>
          </w:p>
        </w:tc>
        <w:tc>
          <w:tcPr>
            <w:tcW w:w="7169" w:type="dxa"/>
            <w:vAlign w:val="center"/>
          </w:tcPr>
          <w:p>
            <w:pPr>
              <w:spacing w:line="400" w:lineRule="exact"/>
              <w:jc w:val="left"/>
              <w:rPr>
                <w:rFonts w:ascii="Arial" w:hAnsi="Arial" w:cs="Arial"/>
                <w:color w:val="auto"/>
                <w:szCs w:val="21"/>
                <w:highlight w:val="none"/>
              </w:rPr>
            </w:pPr>
            <w:r>
              <w:rPr>
                <w:rFonts w:ascii="Arial" w:hAnsi="Arial" w:cs="Arial"/>
                <w:color w:val="auto"/>
                <w:szCs w:val="21"/>
                <w:highlight w:val="none"/>
              </w:rPr>
              <w:t>中标通知书发出之日起30日内签订合同，具体签约时间以采购人通知为准。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9</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投标报价</w:t>
            </w:r>
          </w:p>
        </w:tc>
        <w:tc>
          <w:tcPr>
            <w:tcW w:w="7169" w:type="dxa"/>
            <w:vAlign w:val="center"/>
          </w:tcPr>
          <w:p>
            <w:pPr>
              <w:snapToGrid w:val="0"/>
              <w:spacing w:line="400" w:lineRule="exact"/>
              <w:rPr>
                <w:rFonts w:ascii="Arial" w:hAnsi="Arial" w:cs="Arial"/>
                <w:b/>
                <w:color w:val="auto"/>
                <w:szCs w:val="21"/>
                <w:highlight w:val="none"/>
              </w:rPr>
            </w:pPr>
            <w:r>
              <w:rPr>
                <w:rFonts w:ascii="Arial" w:hAnsi="Arial" w:cs="Arial"/>
                <w:bCs/>
                <w:color w:val="auto"/>
                <w:szCs w:val="21"/>
                <w:highlight w:val="none"/>
              </w:rPr>
              <w:t>投标报价为</w:t>
            </w:r>
            <w:r>
              <w:rPr>
                <w:rFonts w:hint="eastAsia" w:ascii="Arial" w:hAnsi="Arial" w:cs="Arial"/>
                <w:bCs/>
                <w:color w:val="auto"/>
                <w:szCs w:val="21"/>
                <w:highlight w:val="none"/>
              </w:rPr>
              <w:t>供应商</w:t>
            </w:r>
            <w:r>
              <w:rPr>
                <w:rFonts w:ascii="Arial" w:hAnsi="Arial" w:cs="Arial"/>
                <w:bCs/>
                <w:color w:val="auto"/>
                <w:szCs w:val="21"/>
                <w:highlight w:val="none"/>
              </w:rPr>
              <w:t>为完成本项目，实现招标文件中规定的本项目采购内容和范围并达到相关标准所需要的全部费用（交钥匙价）。包含但不限于设备、</w:t>
            </w:r>
            <w:r>
              <w:rPr>
                <w:rFonts w:hint="eastAsia" w:ascii="Arial" w:hAnsi="Arial" w:cs="Arial"/>
                <w:bCs/>
                <w:color w:val="auto"/>
                <w:szCs w:val="21"/>
                <w:highlight w:val="none"/>
              </w:rPr>
              <w:t>施工、</w:t>
            </w:r>
            <w:r>
              <w:rPr>
                <w:rFonts w:ascii="Arial" w:hAnsi="Arial" w:cs="Arial"/>
                <w:bCs/>
                <w:color w:val="auto"/>
                <w:szCs w:val="21"/>
                <w:highlight w:val="none"/>
              </w:rPr>
              <w:t>耗材、配件</w:t>
            </w:r>
            <w:r>
              <w:rPr>
                <w:rFonts w:ascii="Arial" w:hAnsi="Arial" w:cs="Arial"/>
                <w:bCs/>
                <w:color w:val="auto"/>
                <w:kern w:val="0"/>
                <w:szCs w:val="21"/>
                <w:highlight w:val="none"/>
              </w:rPr>
              <w:t>，</w:t>
            </w:r>
            <w:r>
              <w:rPr>
                <w:rFonts w:ascii="Arial" w:hAnsi="Arial" w:cs="Arial"/>
                <w:bCs/>
                <w:color w:val="auto"/>
                <w:szCs w:val="21"/>
                <w:highlight w:val="none"/>
              </w:rPr>
              <w:t>安装，调试、</w:t>
            </w:r>
            <w:r>
              <w:rPr>
                <w:rFonts w:ascii="Arial" w:hAnsi="Arial" w:cs="Arial"/>
                <w:bCs/>
                <w:color w:val="auto"/>
                <w:highlight w:val="none"/>
              </w:rPr>
              <w:t>维护，</w:t>
            </w:r>
            <w:r>
              <w:rPr>
                <w:rFonts w:ascii="Arial" w:hAnsi="Arial" w:cs="Arial"/>
                <w:bCs/>
                <w:color w:val="auto"/>
                <w:szCs w:val="21"/>
                <w:highlight w:val="none"/>
              </w:rPr>
              <w:t>验收，人工费，税收，服务费，</w:t>
            </w:r>
            <w:r>
              <w:rPr>
                <w:rFonts w:ascii="Arial" w:hAnsi="Arial" w:cs="Arial"/>
                <w:bCs/>
                <w:color w:val="auto"/>
                <w:szCs w:val="21"/>
                <w:highlight w:val="none"/>
                <w:lang w:bidi="ar"/>
              </w:rPr>
              <w:t>售后服务以及原场地修复、搬运、组装，</w:t>
            </w:r>
            <w:r>
              <w:rPr>
                <w:rFonts w:ascii="Arial" w:hAnsi="Arial" w:cs="Arial"/>
                <w:bCs/>
                <w:color w:val="auto"/>
                <w:szCs w:val="21"/>
                <w:highlight w:val="none"/>
              </w:rPr>
              <w:t>质保期内的维护费、技术支持、培训、升级等以及可能漏项漏报的完成本项目的一切费用</w:t>
            </w:r>
            <w:r>
              <w:rPr>
                <w:rFonts w:hint="eastAsia" w:ascii="Arial" w:hAnsi="Arial" w:cs="Arial"/>
                <w:bCs/>
                <w:color w:val="auto"/>
                <w:szCs w:val="21"/>
                <w:highlight w:val="none"/>
              </w:rPr>
              <w:t>。请潜在供应商自行实地踏勘。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10</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售后服务要求</w:t>
            </w:r>
          </w:p>
        </w:tc>
        <w:tc>
          <w:tcPr>
            <w:tcW w:w="7169" w:type="dxa"/>
            <w:vAlign w:val="center"/>
          </w:tcPr>
          <w:p>
            <w:pPr>
              <w:spacing w:line="400" w:lineRule="exact"/>
              <w:ind w:right="-107" w:rightChars="-51"/>
              <w:jc w:val="left"/>
              <w:rPr>
                <w:rFonts w:ascii="Arial" w:hAnsi="Arial" w:cs="Arial"/>
                <w:color w:val="auto"/>
                <w:kern w:val="1"/>
                <w:szCs w:val="21"/>
                <w:highlight w:val="none"/>
              </w:rPr>
            </w:pPr>
            <w:r>
              <w:rPr>
                <w:rFonts w:hint="eastAsia" w:ascii="Arial" w:hAnsi="Arial" w:cs="Arial"/>
                <w:color w:val="auto"/>
                <w:szCs w:val="21"/>
                <w:highlight w:val="none"/>
                <w:lang w:bidi="ar"/>
              </w:rPr>
              <w:t>除本章《招标要求》中已注明响应时间的设备外，要求供应商提供1名现场人员24小时驻点服务，提供7×24小时现场响应，提供技术咨询、故障报修等服务。除本章《招标要求》中已注明响应及维修速度的情况外，其余情况供应商须在接到采购人维修要求电话后，半小时内响应，1小时内派技术人员赶到现场进行修复，若8小时内无法修复必须告知采购人修复时间。如在24小时内不能解决问题，应提供同规格的替代产品给采购人代用，直至故障修复。供应商需提供足够的备件以适应采购人维修需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1</w:t>
            </w:r>
          </w:p>
        </w:tc>
        <w:tc>
          <w:tcPr>
            <w:tcW w:w="1538" w:type="dxa"/>
            <w:vAlign w:val="center"/>
          </w:tcPr>
          <w:p>
            <w:pPr>
              <w:spacing w:line="400" w:lineRule="exact"/>
              <w:jc w:val="center"/>
              <w:rPr>
                <w:rFonts w:ascii="Arial" w:hAnsi="Arial" w:cs="Arial"/>
                <w:color w:val="auto"/>
                <w:szCs w:val="21"/>
                <w:highlight w:val="none"/>
              </w:rPr>
            </w:pPr>
            <w:r>
              <w:rPr>
                <w:rFonts w:ascii="Arial" w:hAnsi="Arial" w:cs="Arial"/>
                <w:color w:val="auto"/>
                <w:szCs w:val="21"/>
                <w:highlight w:val="none"/>
              </w:rPr>
              <w:t>其他</w:t>
            </w:r>
          </w:p>
        </w:tc>
        <w:tc>
          <w:tcPr>
            <w:tcW w:w="7169" w:type="dxa"/>
            <w:vAlign w:val="center"/>
          </w:tcPr>
          <w:p>
            <w:pPr>
              <w:spacing w:line="400" w:lineRule="exact"/>
              <w:rPr>
                <w:rFonts w:ascii="Arial" w:hAnsi="Arial" w:cs="Arial"/>
                <w:color w:val="auto"/>
                <w:szCs w:val="21"/>
                <w:highlight w:val="none"/>
              </w:rPr>
            </w:pPr>
            <w:r>
              <w:rPr>
                <w:rFonts w:ascii="Arial" w:hAnsi="Arial" w:cs="Arial"/>
                <w:color w:val="auto"/>
                <w:szCs w:val="21"/>
                <w:highlight w:val="none"/>
              </w:rPr>
              <w:t>在采购及合同执行过程中，中标人应承担由于其行为所造成的人身伤害、财产损失或损坏的责任，无论何种原因所造成，采购人均不负责。</w:t>
            </w:r>
          </w:p>
        </w:tc>
      </w:tr>
    </w:tbl>
    <w:p>
      <w:pPr>
        <w:ind w:firstLine="422" w:firstLineChars="200"/>
        <w:jc w:val="left"/>
        <w:rPr>
          <w:rFonts w:ascii="Arial" w:hAnsi="Arial" w:cs="Arial"/>
          <w:b/>
          <w:color w:val="auto"/>
          <w:szCs w:val="21"/>
          <w:highlight w:val="none"/>
        </w:rPr>
      </w:pPr>
      <w:bookmarkStart w:id="29" w:name="_Toc328310154"/>
    </w:p>
    <w:bookmarkEnd w:id="29"/>
    <w:p>
      <w:pPr>
        <w:numPr>
          <w:ilvl w:val="0"/>
          <w:numId w:val="1"/>
        </w:numPr>
        <w:snapToGrid w:val="0"/>
        <w:spacing w:line="360" w:lineRule="auto"/>
        <w:ind w:firstLine="0"/>
        <w:outlineLvl w:val="1"/>
        <w:rPr>
          <w:rFonts w:ascii="Arial" w:hAnsi="Arial" w:cs="Arial"/>
          <w:b/>
          <w:color w:val="auto"/>
          <w:szCs w:val="28"/>
          <w:highlight w:val="none"/>
        </w:rPr>
      </w:pPr>
      <w:r>
        <w:rPr>
          <w:rFonts w:ascii="Arial" w:hAnsi="Arial" w:cs="Arial"/>
          <w:b/>
          <w:color w:val="auto"/>
          <w:szCs w:val="28"/>
          <w:highlight w:val="none"/>
        </w:rPr>
        <w:t>采购标的的其他技术、服务等要求</w:t>
      </w:r>
    </w:p>
    <w:p>
      <w:pPr>
        <w:pStyle w:val="33"/>
        <w:numPr>
          <w:ilvl w:val="0"/>
          <w:numId w:val="3"/>
        </w:numPr>
        <w:snapToGrid w:val="0"/>
        <w:spacing w:line="360" w:lineRule="auto"/>
        <w:rPr>
          <w:rFonts w:ascii="Arial" w:hAnsi="Arial"/>
          <w:b/>
          <w:color w:val="auto"/>
          <w:highlight w:val="none"/>
        </w:rPr>
      </w:pPr>
      <w:r>
        <w:rPr>
          <w:rFonts w:ascii="Arial" w:hAnsi="Arial"/>
          <w:b/>
          <w:color w:val="auto"/>
          <w:highlight w:val="none"/>
        </w:rPr>
        <w:t>服务标准</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①中标产品应由中标人所投产品制造商或中标人亲自将货物送达指定的安装地点。</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②设备调试后，按使用单位确认后的验收大纲及验收标准或相应的国家标准，采购人和中标人共同对设备进行验收，达到验收标准后，买卖双方共同签署设备验收合格证书后投入使用。</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③中标产品到达采购人指定地点后，中标人应在收到采购人通知后七天内派合适的技术人员前往采购人完成安装调试，并现场操作培训。后期采购人需要技术和软件培训，中标人应在收到采购人通知后七天内派合适的技术人员前往采购人处进行相应的培训，期间人工、差旅等一切费用由中标人负担。</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④</w:t>
      </w:r>
      <w:r>
        <w:rPr>
          <w:rFonts w:hint="eastAsia" w:ascii="Arial" w:hAnsi="Arial"/>
          <w:color w:val="auto"/>
          <w:highlight w:val="none"/>
        </w:rPr>
        <w:t>供应商</w:t>
      </w:r>
      <w:r>
        <w:rPr>
          <w:rFonts w:ascii="Arial" w:hAnsi="Arial"/>
          <w:color w:val="auto"/>
          <w:highlight w:val="none"/>
        </w:rPr>
        <w:t>应在投标文件中明确说明售后服务机构的名称、位置、备品备件配置、人员配置等情况，以保证提供及时优质的售后服务。</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⑤保修期间维修、零件更换、校准、人工、差旅等一切费用由厂家负担。质保期后，配件和调试工具不得提价。</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⑥</w:t>
      </w:r>
      <w:r>
        <w:rPr>
          <w:rFonts w:hint="eastAsia" w:ascii="Arial" w:hAnsi="Arial"/>
          <w:color w:val="auto"/>
          <w:highlight w:val="none"/>
        </w:rPr>
        <w:t>在质量保证期内，设备发生故障或不能生产，供应商须在接到采购人维修要求电话后，半小时内响应，1小时内派技术人员赶到现场进行修复，若8小时内无法修复必须告知采购人修复时间。如在24小时内不能解决问题，应提供同规格的替代产品给采购人代用，直至故障修复。供应商需提供足够的备件以适应采购人维修需求。</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⑦免费提供两名人员外出免费的操作培训（含采购人和</w:t>
      </w:r>
      <w:r>
        <w:rPr>
          <w:rFonts w:hint="eastAsia" w:ascii="Arial" w:hAnsi="Arial"/>
          <w:color w:val="auto"/>
          <w:highlight w:val="none"/>
        </w:rPr>
        <w:t>供应商</w:t>
      </w:r>
      <w:r>
        <w:rPr>
          <w:rFonts w:ascii="Arial" w:hAnsi="Arial"/>
          <w:color w:val="auto"/>
          <w:highlight w:val="none"/>
        </w:rPr>
        <w:t>差旅费）。培训内容包括</w:t>
      </w:r>
      <w:r>
        <w:rPr>
          <w:rFonts w:hint="eastAsia" w:ascii="Arial" w:hAnsi="Arial"/>
          <w:color w:val="auto"/>
          <w:highlight w:val="none"/>
        </w:rPr>
        <w:t>设备</w:t>
      </w:r>
      <w:r>
        <w:rPr>
          <w:rFonts w:ascii="Arial" w:hAnsi="Arial"/>
          <w:color w:val="auto"/>
          <w:highlight w:val="none"/>
        </w:rPr>
        <w:t>的技术原理、操作规程、数据处理软件、基本维护等。</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⑧软件免费升级。</w:t>
      </w:r>
    </w:p>
    <w:p>
      <w:pPr>
        <w:pStyle w:val="33"/>
        <w:snapToGrid w:val="0"/>
        <w:spacing w:line="360" w:lineRule="auto"/>
        <w:ind w:firstLine="457" w:firstLineChars="218"/>
        <w:rPr>
          <w:rFonts w:ascii="Arial" w:hAnsi="Arial"/>
          <w:color w:val="auto"/>
          <w:highlight w:val="none"/>
        </w:rPr>
      </w:pPr>
      <w:r>
        <w:rPr>
          <w:rFonts w:ascii="Arial" w:hAnsi="Arial"/>
          <w:color w:val="auto"/>
          <w:highlight w:val="none"/>
        </w:rPr>
        <w:t>⑨</w:t>
      </w:r>
      <w:r>
        <w:rPr>
          <w:rFonts w:ascii="Arial" w:hAnsi="Arial"/>
          <w:color w:val="auto"/>
          <w:kern w:val="21"/>
          <w:highlight w:val="none"/>
        </w:rPr>
        <w:t>中标后提供厂方认可的保修证明，保修期后不收取任何维修、差旅费等，仅收取配件费。</w:t>
      </w:r>
    </w:p>
    <w:p>
      <w:pPr>
        <w:ind w:firstLine="422" w:firstLineChars="200"/>
        <w:rPr>
          <w:rFonts w:ascii="宋体" w:hAnsi="宋体" w:cs="宋体"/>
          <w:snapToGrid w:val="0"/>
          <w:color w:val="auto"/>
          <w:kern w:val="0"/>
          <w:sz w:val="24"/>
          <w:highlight w:val="none"/>
        </w:rPr>
      </w:pPr>
      <w:r>
        <w:rPr>
          <w:rFonts w:ascii="Arial" w:hAnsi="Arial" w:cs="Arial"/>
          <w:b/>
          <w:color w:val="auto"/>
          <w:szCs w:val="21"/>
          <w:highlight w:val="none"/>
        </w:rPr>
        <w:t>期限（质保期）：</w:t>
      </w:r>
      <w:r>
        <w:rPr>
          <w:rFonts w:ascii="Arial" w:hAnsi="Arial" w:cs="Arial"/>
          <w:color w:val="auto"/>
          <w:szCs w:val="21"/>
          <w:highlight w:val="none"/>
        </w:rPr>
        <w:t>详见本章</w:t>
      </w:r>
      <w:r>
        <w:rPr>
          <w:rFonts w:ascii="Arial" w:hAnsi="Arial" w:cs="Arial"/>
          <w:b/>
          <w:bCs/>
          <w:color w:val="auto"/>
          <w:highlight w:val="none"/>
        </w:rPr>
        <w:t>商务要求</w:t>
      </w:r>
      <w:r>
        <w:rPr>
          <w:rFonts w:ascii="Arial" w:hAnsi="Arial" w:cs="Arial"/>
          <w:color w:val="auto"/>
          <w:szCs w:val="21"/>
          <w:highlight w:val="none"/>
        </w:rPr>
        <w:t>。</w:t>
      </w:r>
    </w:p>
    <w:p>
      <w:pPr>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0297"/>
      <w:bookmarkEnd w:id="30"/>
      <w:bookmarkStart w:id="31" w:name="_Toc184312102"/>
      <w:bookmarkEnd w:id="31"/>
      <w:bookmarkStart w:id="32" w:name="_Toc184314436"/>
      <w:bookmarkEnd w:id="32"/>
      <w:bookmarkStart w:id="33" w:name="_Toc184312077"/>
      <w:bookmarkEnd w:id="33"/>
      <w:bookmarkStart w:id="34" w:name="_Toc184308062"/>
      <w:bookmarkEnd w:id="34"/>
      <w:bookmarkStart w:id="35" w:name="_Toc184313273"/>
      <w:bookmarkEnd w:id="35"/>
      <w:bookmarkStart w:id="36" w:name="_Toc184308069"/>
      <w:bookmarkEnd w:id="36"/>
      <w:bookmarkStart w:id="37" w:name="_Toc184313272"/>
      <w:bookmarkEnd w:id="37"/>
      <w:bookmarkStart w:id="38" w:name="_Toc184312083"/>
      <w:bookmarkEnd w:id="38"/>
      <w:bookmarkStart w:id="39" w:name="_Toc184308084"/>
      <w:bookmarkEnd w:id="39"/>
      <w:bookmarkStart w:id="40" w:name="_Toc184314418"/>
      <w:bookmarkEnd w:id="40"/>
      <w:bookmarkStart w:id="41" w:name="_Toc184312130"/>
      <w:bookmarkEnd w:id="41"/>
      <w:bookmarkStart w:id="42" w:name="_Toc184308094"/>
      <w:bookmarkEnd w:id="42"/>
      <w:bookmarkStart w:id="43" w:name="_Toc184310302"/>
      <w:bookmarkEnd w:id="43"/>
      <w:bookmarkStart w:id="44" w:name="_Toc184312120"/>
      <w:bookmarkEnd w:id="44"/>
      <w:bookmarkStart w:id="45" w:name="_Toc184314428"/>
      <w:bookmarkEnd w:id="45"/>
      <w:bookmarkStart w:id="46" w:name="_Toc184310281"/>
      <w:bookmarkEnd w:id="46"/>
      <w:bookmarkStart w:id="47" w:name="_Toc184308101"/>
      <w:bookmarkEnd w:id="47"/>
      <w:bookmarkStart w:id="48" w:name="_Toc184310341"/>
      <w:bookmarkEnd w:id="48"/>
      <w:bookmarkStart w:id="49" w:name="_Toc184314481"/>
      <w:bookmarkEnd w:id="49"/>
      <w:bookmarkStart w:id="50" w:name="_Toc184314422"/>
      <w:bookmarkEnd w:id="50"/>
      <w:bookmarkStart w:id="51" w:name="_Toc184312119"/>
      <w:bookmarkEnd w:id="51"/>
      <w:bookmarkStart w:id="52" w:name="_Toc184314446"/>
      <w:bookmarkEnd w:id="52"/>
      <w:bookmarkStart w:id="53" w:name="_Toc184314431"/>
      <w:bookmarkEnd w:id="53"/>
      <w:bookmarkStart w:id="54" w:name="_Toc184310339"/>
      <w:bookmarkEnd w:id="54"/>
      <w:bookmarkStart w:id="55" w:name="_Toc184312112"/>
      <w:bookmarkEnd w:id="55"/>
      <w:bookmarkStart w:id="56" w:name="_Toc184313310"/>
      <w:bookmarkEnd w:id="56"/>
      <w:bookmarkStart w:id="57" w:name="_Toc184314441"/>
      <w:bookmarkEnd w:id="57"/>
      <w:bookmarkStart w:id="58" w:name="_Toc184312106"/>
      <w:bookmarkEnd w:id="58"/>
      <w:bookmarkStart w:id="59" w:name="_Toc184308053"/>
      <w:bookmarkEnd w:id="59"/>
      <w:bookmarkStart w:id="60" w:name="_Toc184314445"/>
      <w:bookmarkEnd w:id="60"/>
      <w:bookmarkStart w:id="61" w:name="_Toc184308046"/>
      <w:bookmarkEnd w:id="61"/>
      <w:bookmarkStart w:id="62" w:name="_Toc184308100"/>
      <w:bookmarkEnd w:id="62"/>
      <w:bookmarkStart w:id="63" w:name="_Toc184308096"/>
      <w:bookmarkEnd w:id="63"/>
      <w:bookmarkStart w:id="64" w:name="_Toc184312129"/>
      <w:bookmarkEnd w:id="64"/>
      <w:bookmarkStart w:id="65" w:name="_Toc184310324"/>
      <w:bookmarkEnd w:id="65"/>
      <w:bookmarkStart w:id="66" w:name="_Toc184308079"/>
      <w:bookmarkEnd w:id="66"/>
      <w:bookmarkStart w:id="67" w:name="_Toc184312072"/>
      <w:bookmarkEnd w:id="67"/>
      <w:bookmarkStart w:id="68" w:name="_Toc184310311"/>
      <w:bookmarkEnd w:id="68"/>
      <w:bookmarkStart w:id="69" w:name="_Toc184313238"/>
      <w:bookmarkEnd w:id="69"/>
      <w:bookmarkStart w:id="70" w:name="_Toc184310289"/>
      <w:bookmarkEnd w:id="70"/>
      <w:bookmarkStart w:id="71" w:name="_Toc184313270"/>
      <w:bookmarkEnd w:id="71"/>
      <w:bookmarkStart w:id="72" w:name="_Toc184314432"/>
      <w:bookmarkEnd w:id="72"/>
      <w:bookmarkStart w:id="73" w:name="_Toc184308036"/>
      <w:bookmarkEnd w:id="73"/>
      <w:bookmarkStart w:id="74" w:name="_Toc184314454"/>
      <w:bookmarkEnd w:id="74"/>
      <w:bookmarkStart w:id="75" w:name="_Toc184313249"/>
      <w:bookmarkEnd w:id="75"/>
      <w:bookmarkStart w:id="76" w:name="_Toc184314430"/>
      <w:bookmarkEnd w:id="76"/>
      <w:bookmarkStart w:id="77" w:name="_Toc184312137"/>
      <w:bookmarkEnd w:id="77"/>
      <w:bookmarkStart w:id="78" w:name="_Toc184310277"/>
      <w:bookmarkEnd w:id="78"/>
      <w:bookmarkStart w:id="79" w:name="_Toc184310295"/>
      <w:bookmarkEnd w:id="79"/>
      <w:bookmarkStart w:id="80" w:name="_Toc184313264"/>
      <w:bookmarkEnd w:id="80"/>
      <w:bookmarkStart w:id="81" w:name="_Toc184313290"/>
      <w:bookmarkEnd w:id="81"/>
      <w:bookmarkStart w:id="82" w:name="_Toc184308081"/>
      <w:bookmarkEnd w:id="82"/>
      <w:bookmarkStart w:id="83" w:name="_Toc184308056"/>
      <w:bookmarkEnd w:id="83"/>
      <w:bookmarkStart w:id="84" w:name="_Toc184313244"/>
      <w:bookmarkEnd w:id="84"/>
      <w:bookmarkStart w:id="85" w:name="_Toc184314478"/>
      <w:bookmarkEnd w:id="85"/>
      <w:bookmarkStart w:id="86" w:name="_Toc184314456"/>
      <w:bookmarkEnd w:id="86"/>
      <w:bookmarkStart w:id="87" w:name="_Toc184308077"/>
      <w:bookmarkEnd w:id="87"/>
      <w:bookmarkStart w:id="88" w:name="_Toc184308073"/>
      <w:bookmarkEnd w:id="88"/>
      <w:bookmarkStart w:id="89" w:name="_Toc184312096"/>
      <w:bookmarkEnd w:id="89"/>
      <w:bookmarkStart w:id="90" w:name="_Toc184310291"/>
      <w:bookmarkEnd w:id="90"/>
      <w:bookmarkStart w:id="91" w:name="_Toc184314477"/>
      <w:bookmarkEnd w:id="91"/>
      <w:bookmarkStart w:id="92" w:name="_Toc184313294"/>
      <w:bookmarkEnd w:id="92"/>
      <w:bookmarkStart w:id="93" w:name="_Toc184314473"/>
      <w:bookmarkEnd w:id="93"/>
      <w:bookmarkStart w:id="94" w:name="_Toc184314463"/>
      <w:bookmarkEnd w:id="94"/>
      <w:bookmarkStart w:id="95" w:name="_Toc184308063"/>
      <w:bookmarkEnd w:id="95"/>
      <w:bookmarkStart w:id="96" w:name="_Toc184310293"/>
      <w:bookmarkEnd w:id="96"/>
      <w:bookmarkStart w:id="97" w:name="_Toc184310283"/>
      <w:bookmarkEnd w:id="97"/>
      <w:bookmarkStart w:id="98" w:name="_Toc184314453"/>
      <w:bookmarkEnd w:id="98"/>
      <w:bookmarkStart w:id="99" w:name="_Toc184313240"/>
      <w:bookmarkEnd w:id="99"/>
      <w:bookmarkStart w:id="100" w:name="_Toc184310275"/>
      <w:bookmarkEnd w:id="100"/>
      <w:bookmarkStart w:id="101" w:name="_Toc184312123"/>
      <w:bookmarkEnd w:id="101"/>
      <w:bookmarkStart w:id="102" w:name="_Toc184312101"/>
      <w:bookmarkEnd w:id="102"/>
      <w:bookmarkStart w:id="103" w:name="_Toc184314426"/>
      <w:bookmarkEnd w:id="103"/>
      <w:bookmarkStart w:id="104" w:name="_Toc184312113"/>
      <w:bookmarkEnd w:id="104"/>
      <w:bookmarkStart w:id="105" w:name="_Toc184313260"/>
      <w:bookmarkEnd w:id="105"/>
      <w:bookmarkStart w:id="106" w:name="_Toc184310273"/>
      <w:bookmarkEnd w:id="106"/>
      <w:bookmarkStart w:id="107" w:name="_Toc184308105"/>
      <w:bookmarkEnd w:id="107"/>
      <w:bookmarkStart w:id="108" w:name="_Toc184314444"/>
      <w:bookmarkEnd w:id="108"/>
      <w:bookmarkStart w:id="109" w:name="_Toc184308072"/>
      <w:bookmarkEnd w:id="109"/>
      <w:bookmarkStart w:id="110" w:name="_Toc184312105"/>
      <w:bookmarkEnd w:id="110"/>
      <w:bookmarkStart w:id="111" w:name="_Toc184310327"/>
      <w:bookmarkEnd w:id="111"/>
      <w:bookmarkStart w:id="112" w:name="_Toc184308086"/>
      <w:bookmarkEnd w:id="112"/>
      <w:bookmarkStart w:id="113" w:name="_Toc184312103"/>
      <w:bookmarkEnd w:id="113"/>
      <w:bookmarkStart w:id="114" w:name="_Toc184310342"/>
      <w:bookmarkEnd w:id="114"/>
      <w:bookmarkStart w:id="115" w:name="_Toc184312076"/>
      <w:bookmarkEnd w:id="115"/>
      <w:bookmarkStart w:id="116" w:name="_Toc184314479"/>
      <w:bookmarkEnd w:id="116"/>
      <w:bookmarkStart w:id="117" w:name="_Toc184312082"/>
      <w:bookmarkEnd w:id="117"/>
      <w:bookmarkStart w:id="118" w:name="_Toc184314457"/>
      <w:bookmarkEnd w:id="118"/>
      <w:bookmarkStart w:id="119" w:name="_Toc184310343"/>
      <w:bookmarkEnd w:id="119"/>
      <w:bookmarkStart w:id="120" w:name="_Toc184313298"/>
      <w:bookmarkEnd w:id="120"/>
      <w:bookmarkStart w:id="121" w:name="_Toc184314449"/>
      <w:bookmarkEnd w:id="121"/>
      <w:bookmarkStart w:id="122" w:name="_Toc184308108"/>
      <w:bookmarkEnd w:id="122"/>
      <w:bookmarkStart w:id="123" w:name="_Toc184313242"/>
      <w:bookmarkEnd w:id="123"/>
      <w:bookmarkStart w:id="124" w:name="_Toc184312115"/>
      <w:bookmarkEnd w:id="124"/>
      <w:bookmarkStart w:id="125" w:name="_Toc184313257"/>
      <w:bookmarkEnd w:id="125"/>
      <w:bookmarkStart w:id="126" w:name="_Toc184308091"/>
      <w:bookmarkEnd w:id="126"/>
      <w:bookmarkStart w:id="127" w:name="_Toc184313278"/>
      <w:bookmarkEnd w:id="127"/>
      <w:bookmarkStart w:id="128" w:name="_Toc184313251"/>
      <w:bookmarkEnd w:id="128"/>
      <w:bookmarkStart w:id="129" w:name="_Toc184312139"/>
      <w:bookmarkEnd w:id="129"/>
      <w:bookmarkStart w:id="130" w:name="_Toc184308041"/>
      <w:bookmarkEnd w:id="130"/>
      <w:bookmarkStart w:id="131" w:name="_Toc184310320"/>
      <w:bookmarkEnd w:id="131"/>
      <w:bookmarkStart w:id="132" w:name="_Toc184312136"/>
      <w:bookmarkEnd w:id="132"/>
      <w:bookmarkStart w:id="133" w:name="_Toc184313276"/>
      <w:bookmarkEnd w:id="133"/>
      <w:bookmarkStart w:id="134" w:name="_Toc184308103"/>
      <w:bookmarkEnd w:id="134"/>
      <w:bookmarkStart w:id="135" w:name="_Toc184308097"/>
      <w:bookmarkEnd w:id="135"/>
      <w:bookmarkStart w:id="136" w:name="_Toc184314413"/>
      <w:bookmarkEnd w:id="136"/>
      <w:bookmarkStart w:id="137" w:name="_Toc184310340"/>
      <w:bookmarkEnd w:id="137"/>
      <w:bookmarkStart w:id="138" w:name="_Toc184308040"/>
      <w:bookmarkEnd w:id="138"/>
      <w:bookmarkStart w:id="139" w:name="_Toc184310304"/>
      <w:bookmarkEnd w:id="139"/>
      <w:bookmarkStart w:id="140" w:name="_Toc184310322"/>
      <w:bookmarkEnd w:id="140"/>
      <w:bookmarkStart w:id="141" w:name="_Toc184313258"/>
      <w:bookmarkEnd w:id="141"/>
      <w:bookmarkStart w:id="142" w:name="_Toc184314475"/>
      <w:bookmarkEnd w:id="142"/>
      <w:bookmarkStart w:id="143" w:name="_Toc184314460"/>
      <w:bookmarkEnd w:id="143"/>
      <w:bookmarkStart w:id="144" w:name="_Toc184312126"/>
      <w:bookmarkEnd w:id="144"/>
      <w:bookmarkStart w:id="145" w:name="_Toc184308106"/>
      <w:bookmarkEnd w:id="145"/>
      <w:bookmarkStart w:id="146" w:name="_Toc184312104"/>
      <w:bookmarkEnd w:id="146"/>
      <w:bookmarkStart w:id="147" w:name="_Toc184308071"/>
      <w:bookmarkEnd w:id="147"/>
      <w:bookmarkStart w:id="148" w:name="_Toc184312135"/>
      <w:bookmarkEnd w:id="148"/>
      <w:bookmarkStart w:id="149" w:name="_Toc184308078"/>
      <w:bookmarkEnd w:id="149"/>
      <w:bookmarkStart w:id="150" w:name="_Toc184313268"/>
      <w:bookmarkEnd w:id="150"/>
      <w:bookmarkStart w:id="151" w:name="_Toc184312071"/>
      <w:bookmarkEnd w:id="151"/>
      <w:bookmarkStart w:id="152" w:name="_Toc184314425"/>
      <w:bookmarkEnd w:id="152"/>
      <w:bookmarkStart w:id="153" w:name="_Toc184314459"/>
      <w:bookmarkEnd w:id="153"/>
      <w:bookmarkStart w:id="154" w:name="_Toc184313254"/>
      <w:bookmarkEnd w:id="154"/>
      <w:bookmarkStart w:id="155" w:name="_Toc184308060"/>
      <w:bookmarkEnd w:id="155"/>
      <w:bookmarkStart w:id="156" w:name="_Toc184313256"/>
      <w:bookmarkEnd w:id="156"/>
      <w:bookmarkStart w:id="157" w:name="_Toc184312094"/>
      <w:bookmarkEnd w:id="157"/>
      <w:bookmarkStart w:id="158" w:name="_Toc184308085"/>
      <w:bookmarkEnd w:id="158"/>
      <w:bookmarkStart w:id="159" w:name="_Toc184314455"/>
      <w:bookmarkEnd w:id="159"/>
      <w:bookmarkStart w:id="160" w:name="_Toc184312124"/>
      <w:bookmarkEnd w:id="160"/>
      <w:bookmarkStart w:id="161" w:name="_Toc184310301"/>
      <w:bookmarkEnd w:id="161"/>
      <w:bookmarkStart w:id="162" w:name="_Toc184313266"/>
      <w:bookmarkEnd w:id="162"/>
      <w:bookmarkStart w:id="163" w:name="_Toc184310334"/>
      <w:bookmarkEnd w:id="163"/>
      <w:bookmarkStart w:id="164" w:name="_Toc184314423"/>
      <w:bookmarkEnd w:id="164"/>
      <w:bookmarkStart w:id="165" w:name="_Toc184314420"/>
      <w:bookmarkEnd w:id="165"/>
      <w:bookmarkStart w:id="166" w:name="_Toc184313292"/>
      <w:bookmarkEnd w:id="166"/>
      <w:bookmarkStart w:id="167" w:name="_Toc184313245"/>
      <w:bookmarkEnd w:id="167"/>
      <w:bookmarkStart w:id="168" w:name="_Toc184312131"/>
      <w:bookmarkEnd w:id="168"/>
      <w:bookmarkStart w:id="169" w:name="_Toc184314474"/>
      <w:bookmarkEnd w:id="169"/>
      <w:bookmarkStart w:id="170" w:name="_Toc184310319"/>
      <w:bookmarkEnd w:id="170"/>
      <w:bookmarkStart w:id="171" w:name="_Toc184313295"/>
      <w:bookmarkEnd w:id="171"/>
      <w:bookmarkStart w:id="172" w:name="_Toc184310307"/>
      <w:bookmarkEnd w:id="172"/>
      <w:bookmarkStart w:id="173" w:name="_Toc184308087"/>
      <w:bookmarkEnd w:id="173"/>
      <w:bookmarkStart w:id="174" w:name="_Toc184312133"/>
      <w:bookmarkEnd w:id="174"/>
      <w:bookmarkStart w:id="175" w:name="_Toc184312089"/>
      <w:bookmarkEnd w:id="175"/>
      <w:bookmarkStart w:id="176" w:name="_Toc184314411"/>
      <w:bookmarkEnd w:id="176"/>
      <w:bookmarkStart w:id="177" w:name="_Toc184312099"/>
      <w:bookmarkEnd w:id="177"/>
      <w:bookmarkStart w:id="178" w:name="_Toc184314452"/>
      <w:bookmarkEnd w:id="178"/>
      <w:bookmarkStart w:id="179" w:name="_Toc184314462"/>
      <w:bookmarkEnd w:id="179"/>
      <w:bookmarkStart w:id="180" w:name="_Toc184313305"/>
      <w:bookmarkEnd w:id="180"/>
      <w:bookmarkStart w:id="181" w:name="_Toc184314414"/>
      <w:bookmarkEnd w:id="181"/>
      <w:bookmarkStart w:id="182" w:name="_Toc184312093"/>
      <w:bookmarkEnd w:id="182"/>
      <w:bookmarkStart w:id="183" w:name="_Toc184308059"/>
      <w:bookmarkEnd w:id="183"/>
      <w:bookmarkStart w:id="184" w:name="_Toc184308067"/>
      <w:bookmarkEnd w:id="184"/>
      <w:bookmarkStart w:id="185" w:name="_Toc184308042"/>
      <w:bookmarkEnd w:id="185"/>
      <w:bookmarkStart w:id="186" w:name="_Toc184308050"/>
      <w:bookmarkEnd w:id="186"/>
      <w:bookmarkStart w:id="187" w:name="_Toc184308092"/>
      <w:bookmarkEnd w:id="187"/>
      <w:bookmarkStart w:id="188" w:name="_Toc184310282"/>
      <w:bookmarkEnd w:id="188"/>
      <w:bookmarkStart w:id="189" w:name="_Toc184310306"/>
      <w:bookmarkEnd w:id="189"/>
      <w:bookmarkStart w:id="190" w:name="_Toc184314437"/>
      <w:bookmarkEnd w:id="190"/>
      <w:bookmarkStart w:id="191" w:name="_Toc184313286"/>
      <w:bookmarkEnd w:id="191"/>
      <w:bookmarkStart w:id="192" w:name="_Toc184312138"/>
      <w:bookmarkEnd w:id="192"/>
      <w:bookmarkStart w:id="193" w:name="_Toc184312116"/>
      <w:bookmarkEnd w:id="193"/>
      <w:bookmarkStart w:id="194" w:name="_Toc184310286"/>
      <w:bookmarkEnd w:id="194"/>
      <w:bookmarkStart w:id="195" w:name="_Toc184308083"/>
      <w:bookmarkEnd w:id="195"/>
      <w:bookmarkStart w:id="196" w:name="_Toc184308080"/>
      <w:bookmarkEnd w:id="196"/>
      <w:bookmarkStart w:id="197" w:name="_Toc184314427"/>
      <w:bookmarkEnd w:id="197"/>
      <w:bookmarkStart w:id="198" w:name="_Toc184314476"/>
      <w:bookmarkEnd w:id="198"/>
      <w:bookmarkStart w:id="199" w:name="_Toc184312091"/>
      <w:bookmarkEnd w:id="199"/>
      <w:bookmarkStart w:id="200" w:name="_Toc184310317"/>
      <w:bookmarkEnd w:id="200"/>
      <w:bookmarkStart w:id="201" w:name="_Toc184313287"/>
      <w:bookmarkEnd w:id="201"/>
      <w:bookmarkStart w:id="202" w:name="_Toc184310312"/>
      <w:bookmarkEnd w:id="202"/>
      <w:bookmarkStart w:id="203" w:name="_Toc184308054"/>
      <w:bookmarkEnd w:id="203"/>
      <w:bookmarkStart w:id="204" w:name="_Toc184308051"/>
      <w:bookmarkEnd w:id="204"/>
      <w:bookmarkStart w:id="205" w:name="_Toc184308070"/>
      <w:bookmarkEnd w:id="205"/>
      <w:bookmarkStart w:id="206" w:name="_Toc184310296"/>
      <w:bookmarkEnd w:id="206"/>
      <w:bookmarkStart w:id="207" w:name="_Toc184312087"/>
      <w:bookmarkEnd w:id="207"/>
      <w:bookmarkStart w:id="208" w:name="_Toc184314450"/>
      <w:bookmarkEnd w:id="208"/>
      <w:bookmarkStart w:id="209" w:name="_Toc184313301"/>
      <w:bookmarkEnd w:id="209"/>
      <w:bookmarkStart w:id="210" w:name="_Toc184312090"/>
      <w:bookmarkEnd w:id="210"/>
      <w:bookmarkStart w:id="211" w:name="_Toc184310330"/>
      <w:bookmarkEnd w:id="211"/>
      <w:bookmarkStart w:id="212" w:name="_Toc184312070"/>
      <w:bookmarkEnd w:id="212"/>
      <w:bookmarkStart w:id="213" w:name="_Toc184313279"/>
      <w:bookmarkEnd w:id="213"/>
      <w:bookmarkStart w:id="214" w:name="_Toc184312067"/>
      <w:bookmarkEnd w:id="214"/>
      <w:bookmarkStart w:id="215" w:name="_Toc184314442"/>
      <w:bookmarkEnd w:id="215"/>
      <w:bookmarkStart w:id="216" w:name="_Toc184310308"/>
      <w:bookmarkEnd w:id="216"/>
      <w:bookmarkStart w:id="217" w:name="_Toc184314471"/>
      <w:bookmarkEnd w:id="217"/>
      <w:bookmarkStart w:id="218" w:name="_Toc184314472"/>
      <w:bookmarkEnd w:id="218"/>
      <w:bookmarkStart w:id="219" w:name="_Toc184310318"/>
      <w:bookmarkEnd w:id="219"/>
      <w:bookmarkStart w:id="220" w:name="_Toc184314417"/>
      <w:bookmarkEnd w:id="220"/>
      <w:bookmarkStart w:id="221" w:name="_Toc184314447"/>
      <w:bookmarkEnd w:id="221"/>
      <w:bookmarkStart w:id="222" w:name="_Toc184312108"/>
      <w:bookmarkEnd w:id="222"/>
      <w:bookmarkStart w:id="223" w:name="_Toc184313296"/>
      <w:bookmarkEnd w:id="223"/>
      <w:bookmarkStart w:id="224" w:name="_Toc184308055"/>
      <w:bookmarkEnd w:id="224"/>
      <w:bookmarkStart w:id="225" w:name="_Toc184313281"/>
      <w:bookmarkEnd w:id="225"/>
      <w:bookmarkStart w:id="226" w:name="_Toc184310272"/>
      <w:bookmarkEnd w:id="226"/>
      <w:bookmarkStart w:id="227" w:name="_Toc184310315"/>
      <w:bookmarkEnd w:id="227"/>
      <w:bookmarkStart w:id="228" w:name="_Toc184314470"/>
      <w:bookmarkEnd w:id="228"/>
      <w:bookmarkStart w:id="229" w:name="_Toc184314448"/>
      <w:bookmarkEnd w:id="229"/>
      <w:bookmarkStart w:id="230" w:name="_Toc184313275"/>
      <w:bookmarkEnd w:id="230"/>
      <w:bookmarkStart w:id="231" w:name="_Toc184312128"/>
      <w:bookmarkEnd w:id="231"/>
      <w:bookmarkStart w:id="232" w:name="_Toc184312100"/>
      <w:bookmarkEnd w:id="232"/>
      <w:bookmarkStart w:id="233" w:name="_Toc184312127"/>
      <w:bookmarkEnd w:id="233"/>
      <w:bookmarkStart w:id="234" w:name="_Toc184310276"/>
      <w:bookmarkEnd w:id="234"/>
      <w:bookmarkStart w:id="235" w:name="_Toc184310310"/>
      <w:bookmarkEnd w:id="235"/>
      <w:bookmarkStart w:id="236" w:name="_Toc184308058"/>
      <w:bookmarkEnd w:id="236"/>
      <w:bookmarkStart w:id="237" w:name="_Toc184312086"/>
      <w:bookmarkEnd w:id="237"/>
      <w:bookmarkStart w:id="238" w:name="_Toc184312075"/>
      <w:bookmarkEnd w:id="238"/>
      <w:bookmarkStart w:id="239" w:name="_Toc184310290"/>
      <w:bookmarkEnd w:id="239"/>
      <w:bookmarkStart w:id="240" w:name="_Toc184314438"/>
      <w:bookmarkEnd w:id="240"/>
      <w:bookmarkStart w:id="241" w:name="_Toc184313253"/>
      <w:bookmarkEnd w:id="241"/>
      <w:bookmarkStart w:id="242" w:name="_Toc184308075"/>
      <w:bookmarkEnd w:id="242"/>
      <w:bookmarkStart w:id="243" w:name="_Toc184310335"/>
      <w:bookmarkEnd w:id="243"/>
      <w:bookmarkStart w:id="244" w:name="_Toc184310287"/>
      <w:bookmarkEnd w:id="244"/>
      <w:bookmarkStart w:id="245" w:name="_Toc184312122"/>
      <w:bookmarkEnd w:id="245"/>
      <w:bookmarkStart w:id="246" w:name="_Toc184314465"/>
      <w:bookmarkEnd w:id="246"/>
      <w:bookmarkStart w:id="247" w:name="_Toc184314440"/>
      <w:bookmarkEnd w:id="247"/>
      <w:bookmarkStart w:id="248" w:name="_Toc184314467"/>
      <w:bookmarkEnd w:id="248"/>
      <w:bookmarkStart w:id="249" w:name="_Toc184310337"/>
      <w:bookmarkEnd w:id="249"/>
      <w:bookmarkStart w:id="250" w:name="_Toc184313282"/>
      <w:bookmarkEnd w:id="250"/>
      <w:bookmarkStart w:id="251" w:name="_Toc184313289"/>
      <w:bookmarkEnd w:id="251"/>
      <w:bookmarkStart w:id="252" w:name="_Toc184310300"/>
      <w:bookmarkEnd w:id="252"/>
      <w:bookmarkStart w:id="253" w:name="_Toc184313252"/>
      <w:bookmarkEnd w:id="253"/>
      <w:bookmarkStart w:id="254" w:name="_Toc184310292"/>
      <w:bookmarkEnd w:id="254"/>
      <w:bookmarkStart w:id="255" w:name="_Toc184310316"/>
      <w:bookmarkEnd w:id="255"/>
      <w:bookmarkStart w:id="256" w:name="_Toc184308043"/>
      <w:bookmarkEnd w:id="256"/>
      <w:bookmarkStart w:id="257" w:name="_Toc184313259"/>
      <w:bookmarkEnd w:id="257"/>
      <w:bookmarkStart w:id="258" w:name="_Toc184310332"/>
      <w:bookmarkEnd w:id="258"/>
      <w:bookmarkStart w:id="259" w:name="_Toc184312095"/>
      <w:bookmarkEnd w:id="259"/>
      <w:bookmarkStart w:id="260" w:name="_Toc184312110"/>
      <w:bookmarkEnd w:id="260"/>
      <w:bookmarkStart w:id="261" w:name="_Toc184314410"/>
      <w:bookmarkEnd w:id="261"/>
      <w:bookmarkStart w:id="262" w:name="_Toc184308057"/>
      <w:bookmarkEnd w:id="262"/>
      <w:bookmarkStart w:id="263" w:name="_Toc184313309"/>
      <w:bookmarkEnd w:id="263"/>
      <w:bookmarkStart w:id="264" w:name="_Toc184312111"/>
      <w:bookmarkEnd w:id="264"/>
      <w:bookmarkStart w:id="265" w:name="_Toc184314466"/>
      <w:bookmarkEnd w:id="265"/>
      <w:bookmarkStart w:id="266" w:name="_Toc184308049"/>
      <w:bookmarkEnd w:id="266"/>
      <w:bookmarkStart w:id="267" w:name="_Toc184312132"/>
      <w:bookmarkEnd w:id="267"/>
      <w:bookmarkStart w:id="268" w:name="_Toc184313303"/>
      <w:bookmarkEnd w:id="268"/>
      <w:bookmarkStart w:id="269" w:name="_Toc184314461"/>
      <w:bookmarkEnd w:id="269"/>
      <w:bookmarkStart w:id="270" w:name="_Toc184310338"/>
      <w:bookmarkEnd w:id="270"/>
      <w:bookmarkStart w:id="271" w:name="_Toc184310278"/>
      <w:bookmarkEnd w:id="271"/>
      <w:bookmarkStart w:id="272" w:name="_Toc184308065"/>
      <w:bookmarkEnd w:id="272"/>
      <w:bookmarkStart w:id="273" w:name="_Toc184308068"/>
      <w:bookmarkEnd w:id="273"/>
      <w:bookmarkStart w:id="274" w:name="_Toc184314415"/>
      <w:bookmarkEnd w:id="274"/>
      <w:bookmarkStart w:id="275" w:name="_Toc184312074"/>
      <w:bookmarkEnd w:id="275"/>
      <w:bookmarkStart w:id="276" w:name="_Toc184310323"/>
      <w:bookmarkEnd w:id="276"/>
      <w:bookmarkStart w:id="277" w:name="_Toc184312068"/>
      <w:bookmarkEnd w:id="277"/>
      <w:bookmarkStart w:id="278" w:name="_Toc184314439"/>
      <w:bookmarkEnd w:id="278"/>
      <w:bookmarkStart w:id="279" w:name="_Toc184314480"/>
      <w:bookmarkEnd w:id="279"/>
      <w:bookmarkStart w:id="280" w:name="_Toc184313263"/>
      <w:bookmarkEnd w:id="280"/>
      <w:bookmarkStart w:id="281" w:name="_Toc184313299"/>
      <w:bookmarkEnd w:id="281"/>
      <w:bookmarkStart w:id="282" w:name="_Toc184312114"/>
      <w:bookmarkEnd w:id="282"/>
      <w:bookmarkStart w:id="283" w:name="_Toc184310280"/>
      <w:bookmarkEnd w:id="283"/>
      <w:bookmarkStart w:id="284" w:name="_Toc184308048"/>
      <w:bookmarkEnd w:id="284"/>
      <w:bookmarkStart w:id="285" w:name="_Toc184308093"/>
      <w:bookmarkEnd w:id="285"/>
      <w:bookmarkStart w:id="286" w:name="_Toc184310328"/>
      <w:bookmarkEnd w:id="286"/>
      <w:bookmarkStart w:id="287" w:name="_Toc184308037"/>
      <w:bookmarkEnd w:id="287"/>
      <w:bookmarkStart w:id="288" w:name="_Toc184308104"/>
      <w:bookmarkEnd w:id="288"/>
      <w:bookmarkStart w:id="289" w:name="_Toc184314443"/>
      <w:bookmarkEnd w:id="289"/>
      <w:bookmarkStart w:id="290" w:name="_Toc184313285"/>
      <w:bookmarkEnd w:id="290"/>
      <w:bookmarkStart w:id="291" w:name="_Toc184314424"/>
      <w:bookmarkEnd w:id="291"/>
      <w:bookmarkStart w:id="292" w:name="_Toc184314419"/>
      <w:bookmarkEnd w:id="292"/>
      <w:bookmarkStart w:id="293" w:name="_Toc184312125"/>
      <w:bookmarkEnd w:id="293"/>
      <w:bookmarkStart w:id="294" w:name="_Toc184312080"/>
      <w:bookmarkEnd w:id="294"/>
      <w:bookmarkStart w:id="295" w:name="_Toc184310285"/>
      <w:bookmarkEnd w:id="295"/>
      <w:bookmarkStart w:id="296" w:name="_Toc184313277"/>
      <w:bookmarkEnd w:id="296"/>
      <w:bookmarkStart w:id="297" w:name="_Toc184308047"/>
      <w:bookmarkEnd w:id="297"/>
      <w:bookmarkStart w:id="298" w:name="_Toc184310331"/>
      <w:bookmarkEnd w:id="298"/>
      <w:bookmarkStart w:id="299" w:name="_Toc184310329"/>
      <w:bookmarkEnd w:id="299"/>
      <w:bookmarkStart w:id="300" w:name="_Toc184310279"/>
      <w:bookmarkEnd w:id="300"/>
      <w:bookmarkStart w:id="301" w:name="_Toc184313261"/>
      <w:bookmarkEnd w:id="301"/>
      <w:bookmarkStart w:id="302" w:name="_Toc184310326"/>
      <w:bookmarkEnd w:id="302"/>
      <w:bookmarkStart w:id="303" w:name="_Toc184310321"/>
      <w:bookmarkEnd w:id="303"/>
      <w:bookmarkStart w:id="304" w:name="_Toc184308045"/>
      <w:bookmarkEnd w:id="304"/>
      <w:bookmarkStart w:id="305" w:name="_Toc184313293"/>
      <w:bookmarkEnd w:id="305"/>
      <w:bookmarkStart w:id="306" w:name="_Toc184310325"/>
      <w:bookmarkEnd w:id="306"/>
      <w:bookmarkStart w:id="307" w:name="_Toc184308064"/>
      <w:bookmarkEnd w:id="307"/>
      <w:bookmarkStart w:id="308" w:name="_Toc184314468"/>
      <w:bookmarkEnd w:id="308"/>
      <w:bookmarkStart w:id="309" w:name="_Toc184313280"/>
      <w:bookmarkEnd w:id="309"/>
      <w:bookmarkStart w:id="310" w:name="_Toc184312098"/>
      <w:bookmarkEnd w:id="310"/>
      <w:bookmarkStart w:id="311" w:name="_Toc184313271"/>
      <w:bookmarkEnd w:id="311"/>
      <w:bookmarkStart w:id="312" w:name="_Toc184308088"/>
      <w:bookmarkEnd w:id="312"/>
      <w:bookmarkStart w:id="313" w:name="_Toc184314421"/>
      <w:bookmarkEnd w:id="313"/>
      <w:bookmarkStart w:id="314" w:name="_Toc184308099"/>
      <w:bookmarkEnd w:id="314"/>
      <w:bookmarkStart w:id="315" w:name="_Toc184310284"/>
      <w:bookmarkEnd w:id="315"/>
      <w:bookmarkStart w:id="316" w:name="_Toc184313302"/>
      <w:bookmarkEnd w:id="316"/>
      <w:bookmarkStart w:id="317" w:name="_Toc184313284"/>
      <w:bookmarkEnd w:id="317"/>
      <w:bookmarkStart w:id="318" w:name="_Toc184310274"/>
      <w:bookmarkEnd w:id="318"/>
      <w:bookmarkStart w:id="319" w:name="_Toc184314482"/>
      <w:bookmarkEnd w:id="319"/>
      <w:bookmarkStart w:id="320" w:name="_Toc184312097"/>
      <w:bookmarkEnd w:id="320"/>
      <w:bookmarkStart w:id="321" w:name="_Toc184310305"/>
      <w:bookmarkEnd w:id="321"/>
      <w:bookmarkStart w:id="322" w:name="_Toc184313250"/>
      <w:bookmarkEnd w:id="322"/>
      <w:bookmarkStart w:id="323" w:name="_Toc184312107"/>
      <w:bookmarkEnd w:id="323"/>
      <w:bookmarkStart w:id="324" w:name="_Toc184310303"/>
      <w:bookmarkEnd w:id="324"/>
      <w:bookmarkStart w:id="325" w:name="_Toc184310299"/>
      <w:bookmarkEnd w:id="325"/>
      <w:bookmarkStart w:id="326" w:name="_Toc184313297"/>
      <w:bookmarkEnd w:id="326"/>
      <w:bookmarkStart w:id="327" w:name="_Toc184308076"/>
      <w:bookmarkEnd w:id="327"/>
      <w:bookmarkStart w:id="328" w:name="_Toc184312088"/>
      <w:bookmarkEnd w:id="328"/>
      <w:bookmarkStart w:id="329" w:name="_Toc184313274"/>
      <w:bookmarkEnd w:id="329"/>
      <w:bookmarkStart w:id="330" w:name="_Toc184308082"/>
      <w:bookmarkEnd w:id="330"/>
      <w:bookmarkStart w:id="331" w:name="_Toc184308039"/>
      <w:bookmarkEnd w:id="331"/>
      <w:bookmarkStart w:id="332" w:name="_Toc184313239"/>
      <w:bookmarkEnd w:id="332"/>
      <w:bookmarkStart w:id="333" w:name="_Toc184308061"/>
      <w:bookmarkEnd w:id="333"/>
      <w:bookmarkStart w:id="334" w:name="_Toc184312109"/>
      <w:bookmarkEnd w:id="334"/>
      <w:bookmarkStart w:id="335" w:name="_Toc184313304"/>
      <w:bookmarkEnd w:id="335"/>
      <w:bookmarkStart w:id="336" w:name="_Toc184310336"/>
      <w:bookmarkEnd w:id="336"/>
      <w:bookmarkStart w:id="337" w:name="_Toc184308102"/>
      <w:bookmarkEnd w:id="337"/>
      <w:bookmarkStart w:id="338" w:name="_Toc184308044"/>
      <w:bookmarkEnd w:id="338"/>
      <w:bookmarkStart w:id="339" w:name="_Toc184313306"/>
      <w:bookmarkEnd w:id="339"/>
      <w:bookmarkStart w:id="340" w:name="_Toc184313308"/>
      <w:bookmarkEnd w:id="340"/>
      <w:bookmarkStart w:id="341" w:name="_Toc184313283"/>
      <w:bookmarkEnd w:id="341"/>
      <w:bookmarkStart w:id="342" w:name="_Toc184313246"/>
      <w:bookmarkEnd w:id="342"/>
      <w:bookmarkStart w:id="343" w:name="_Toc184313269"/>
      <w:bookmarkEnd w:id="343"/>
      <w:bookmarkStart w:id="344" w:name="_Toc184308090"/>
      <w:bookmarkEnd w:id="344"/>
      <w:bookmarkStart w:id="345" w:name="_Toc184314433"/>
      <w:bookmarkEnd w:id="345"/>
      <w:bookmarkStart w:id="346" w:name="_Toc184308074"/>
      <w:bookmarkEnd w:id="346"/>
      <w:bookmarkStart w:id="347" w:name="_Toc184310298"/>
      <w:bookmarkEnd w:id="347"/>
      <w:bookmarkStart w:id="348" w:name="_Toc184312079"/>
      <w:bookmarkEnd w:id="348"/>
      <w:bookmarkStart w:id="349" w:name="_Toc184312134"/>
      <w:bookmarkEnd w:id="349"/>
      <w:bookmarkStart w:id="350" w:name="_Toc184313248"/>
      <w:bookmarkEnd w:id="350"/>
      <w:bookmarkStart w:id="351" w:name="_Toc184312081"/>
      <w:bookmarkEnd w:id="351"/>
      <w:bookmarkStart w:id="352" w:name="_Toc184313288"/>
      <w:bookmarkEnd w:id="352"/>
      <w:bookmarkStart w:id="353" w:name="_Toc184310313"/>
      <w:bookmarkEnd w:id="353"/>
      <w:bookmarkStart w:id="354" w:name="_Toc184310309"/>
      <w:bookmarkEnd w:id="354"/>
      <w:bookmarkStart w:id="355" w:name="_Toc184308095"/>
      <w:bookmarkEnd w:id="355"/>
      <w:bookmarkStart w:id="356" w:name="_Toc184312118"/>
      <w:bookmarkEnd w:id="356"/>
      <w:bookmarkStart w:id="357" w:name="_Toc184314469"/>
      <w:bookmarkEnd w:id="357"/>
      <w:bookmarkStart w:id="358" w:name="_Toc184313262"/>
      <w:bookmarkEnd w:id="358"/>
      <w:bookmarkStart w:id="359" w:name="_Toc184314464"/>
      <w:bookmarkEnd w:id="359"/>
      <w:bookmarkStart w:id="360" w:name="_Toc184312084"/>
      <w:bookmarkEnd w:id="360"/>
      <w:bookmarkStart w:id="361" w:name="_Toc184310333"/>
      <w:bookmarkEnd w:id="361"/>
      <w:bookmarkStart w:id="362" w:name="_Toc184308052"/>
      <w:bookmarkEnd w:id="362"/>
      <w:bookmarkStart w:id="363" w:name="_Toc184313267"/>
      <w:bookmarkEnd w:id="363"/>
      <w:bookmarkStart w:id="364" w:name="_Toc184314412"/>
      <w:bookmarkEnd w:id="364"/>
      <w:bookmarkStart w:id="365" w:name="_Toc184312078"/>
      <w:bookmarkEnd w:id="365"/>
      <w:bookmarkStart w:id="366" w:name="_Toc184314416"/>
      <w:bookmarkEnd w:id="366"/>
      <w:bookmarkStart w:id="367" w:name="_Toc184312085"/>
      <w:bookmarkEnd w:id="367"/>
      <w:bookmarkStart w:id="368" w:name="_Toc184314451"/>
      <w:bookmarkEnd w:id="368"/>
      <w:bookmarkStart w:id="369" w:name="_Toc184308098"/>
      <w:bookmarkEnd w:id="369"/>
      <w:bookmarkStart w:id="370" w:name="_Toc184313265"/>
      <w:bookmarkEnd w:id="370"/>
      <w:bookmarkStart w:id="371" w:name="_Toc184314429"/>
      <w:bookmarkEnd w:id="371"/>
      <w:bookmarkStart w:id="372" w:name="_Toc184313300"/>
      <w:bookmarkEnd w:id="372"/>
      <w:bookmarkStart w:id="373" w:name="_Toc184312117"/>
      <w:bookmarkEnd w:id="373"/>
      <w:bookmarkStart w:id="374" w:name="_Toc184310314"/>
      <w:bookmarkEnd w:id="374"/>
      <w:bookmarkStart w:id="375" w:name="_Toc184313291"/>
      <w:bookmarkEnd w:id="375"/>
      <w:bookmarkStart w:id="376" w:name="_Toc184312069"/>
      <w:bookmarkEnd w:id="376"/>
      <w:bookmarkStart w:id="377" w:name="_Toc184313247"/>
      <w:bookmarkEnd w:id="377"/>
      <w:bookmarkStart w:id="378" w:name="_Toc184312121"/>
      <w:bookmarkEnd w:id="378"/>
      <w:bookmarkStart w:id="379" w:name="_Toc184308107"/>
      <w:bookmarkEnd w:id="379"/>
      <w:bookmarkStart w:id="380" w:name="_Toc184308066"/>
      <w:bookmarkEnd w:id="380"/>
      <w:bookmarkStart w:id="381" w:name="_Toc184314435"/>
      <w:bookmarkEnd w:id="381"/>
      <w:bookmarkStart w:id="382" w:name="_Toc184312073"/>
      <w:bookmarkEnd w:id="382"/>
      <w:bookmarkStart w:id="383" w:name="_Toc184310344"/>
      <w:bookmarkEnd w:id="383"/>
      <w:bookmarkStart w:id="384" w:name="_Toc184313255"/>
      <w:bookmarkEnd w:id="384"/>
      <w:bookmarkStart w:id="385" w:name="_Toc184313307"/>
      <w:bookmarkEnd w:id="385"/>
      <w:bookmarkStart w:id="386" w:name="_Toc184313241"/>
      <w:bookmarkEnd w:id="386"/>
      <w:bookmarkStart w:id="387" w:name="_Toc184310288"/>
      <w:bookmarkEnd w:id="387"/>
      <w:bookmarkStart w:id="388" w:name="_Toc184313243"/>
      <w:bookmarkEnd w:id="388"/>
      <w:bookmarkStart w:id="389" w:name="_Toc184312092"/>
      <w:bookmarkEnd w:id="389"/>
      <w:bookmarkStart w:id="390" w:name="_Toc184310294"/>
      <w:bookmarkEnd w:id="390"/>
      <w:bookmarkStart w:id="391" w:name="_Toc184308089"/>
      <w:bookmarkEnd w:id="391"/>
      <w:bookmarkStart w:id="392" w:name="_Toc184314434"/>
      <w:bookmarkEnd w:id="392"/>
      <w:bookmarkStart w:id="393" w:name="_Toc184314458"/>
      <w:bookmarkEnd w:id="393"/>
      <w:bookmarkStart w:id="394" w:name="_Toc184308038"/>
      <w:bookmarkEnd w:id="394"/>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63"/>
        <w:gridCol w:w="5643"/>
        <w:gridCol w:w="780"/>
        <w:gridCol w:w="7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评标项目</w:t>
            </w:r>
          </w:p>
        </w:tc>
        <w:tc>
          <w:tcPr>
            <w:tcW w:w="3039"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评分标准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分值</w:t>
            </w:r>
          </w:p>
        </w:tc>
        <w:tc>
          <w:tcPr>
            <w:tcW w:w="41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kern w:val="0"/>
                <w:szCs w:val="21"/>
                <w:highlight w:val="none"/>
                <w:lang w:val="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对招标文件的技术响应（20分）</w:t>
            </w:r>
          </w:p>
        </w:tc>
        <w:tc>
          <w:tcPr>
            <w:tcW w:w="3039" w:type="pct"/>
            <w:vAlign w:val="center"/>
          </w:tcPr>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对招标货物的性能及技术指标要求、主要技术参数、配置要求的响应情况的评审</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投标产品的性能及技术指标均满足招标文件要求的，得20分；对指标低于招标需求的（即负偏离）或未做出明确响应的，每项扣2分；</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累计扣完本项分数为止。</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对招标文件的商务响应（5分）</w:t>
            </w:r>
          </w:p>
        </w:tc>
        <w:tc>
          <w:tcPr>
            <w:tcW w:w="3039" w:type="pct"/>
            <w:vAlign w:val="center"/>
          </w:tcPr>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根据供应商对招标文件第三章采购需求中商务要求相关条款的响应情况进行评议：指标低于招标需求的（即负偏离）或未做出明确响应的，每项扣1分；累计扣完本项分数为止。</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累计扣完本项分数为止。</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w:t>
            </w:r>
          </w:p>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技术指标先进性（5分）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技术指标先进性：评委对投标产品进行评议，技术性能先进充分满足要求且优化的得5分；技术性能较先进满足要求得4分；技术性能基本满足要求的得2分；技术性能不能完全满足要求的得1分；存在较大的缺陷、技术性能与要求差距较大的得0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拟派项目实施人员</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项目组人员：人员配置合理、齐全、数量充足，经验丰富，</w:t>
            </w:r>
            <w:r>
              <w:rPr>
                <w:rFonts w:hint="eastAsia" w:ascii="宋体" w:hAnsi="宋体" w:cs="宋体"/>
                <w:color w:val="auto"/>
                <w:kern w:val="0"/>
                <w:szCs w:val="21"/>
                <w:highlight w:val="none"/>
              </w:rPr>
              <w:t>投标人需结合自身实际提供售后服务机构技术服务人员情况（提供姓名、工作经验、所持有的相关维修专业证书情况</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），需包含但不限于以下要点：①经验是否丰富；②是否持有相关维修专业证书情况；③专业性及配备是否充足。由评标委员会进行评议：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人员配置合理、人员经验丰富且人员整体素质良好，能顺利完成售后任务的得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分；上述内容明确性尚可、合理性尚可，得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分；上述内容明确性一般、合理性一般，得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分；上述内容不够明确、不够合理，得1分；未提供的不得分。</w:t>
            </w:r>
          </w:p>
        </w:tc>
        <w:tc>
          <w:tcPr>
            <w:tcW w:w="420" w:type="pct"/>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w:t>
            </w:r>
          </w:p>
          <w:p>
            <w:pPr>
              <w:spacing w:line="276"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质量确保</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kern w:val="0"/>
                <w:szCs w:val="21"/>
                <w:highlight w:val="none"/>
              </w:rPr>
              <w:t>投标文件中有确保所供产品质量的措施方案，且科学、合理、可行的情况；</w:t>
            </w:r>
            <w:r>
              <w:rPr>
                <w:rFonts w:hint="eastAsia" w:ascii="宋体" w:hAnsi="宋体" w:cs="宋体"/>
                <w:bCs/>
                <w:color w:val="auto"/>
                <w:kern w:val="0"/>
                <w:szCs w:val="21"/>
                <w:highlight w:val="none"/>
                <w:lang w:bidi="ar"/>
              </w:rPr>
              <w:t>方案完善详细得5分；方案较完善详细得4分；方案略有瑕疵得2分；方案存在较多不满足的得1分，未提供得0分。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质量跟踪</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kern w:val="0"/>
                <w:szCs w:val="21"/>
                <w:highlight w:val="none"/>
              </w:rPr>
              <w:t>投标文件中有所供产品质量跟踪保障服务体系，且科学、合理、可行的情况；</w:t>
            </w:r>
            <w:r>
              <w:rPr>
                <w:rFonts w:hint="eastAsia" w:ascii="宋体" w:hAnsi="宋体" w:cs="宋体"/>
                <w:bCs/>
                <w:color w:val="auto"/>
                <w:kern w:val="0"/>
                <w:szCs w:val="21"/>
                <w:highlight w:val="none"/>
                <w:lang w:bidi="ar"/>
              </w:rPr>
              <w:t>方案完善详细得5分；方案较完善详细得4分；方案略有瑕疵得2分；方案存在较多不满足的得1分，未提供得0分。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实施方案</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安装、调试计划、组织方案合理、可行，且具有针对性，有确保采购进度符合采购人要求措施和承诺等；</w:t>
            </w:r>
            <w:r>
              <w:rPr>
                <w:rFonts w:hint="eastAsia" w:ascii="宋体" w:hAnsi="宋体" w:cs="宋体"/>
                <w:bCs/>
                <w:color w:val="auto"/>
                <w:kern w:val="0"/>
                <w:szCs w:val="21"/>
                <w:highlight w:val="none"/>
                <w:lang w:bidi="ar"/>
              </w:rPr>
              <w:t>实施方案完善详细得5分；方案较完善详细得4分；方案能够满足需求得2分；方案有瑕疵或存在较多不满足的得1分；未提供得0分。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验收方案</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验收方案措施合理、可行，且具有针对性，确保验收结果的用户满意度的保障措施及技术服务保障优势；</w:t>
            </w:r>
            <w:r>
              <w:rPr>
                <w:rFonts w:hint="eastAsia" w:ascii="宋体" w:hAnsi="宋体" w:cs="宋体"/>
                <w:bCs/>
                <w:color w:val="auto"/>
                <w:kern w:val="0"/>
                <w:szCs w:val="21"/>
                <w:highlight w:val="none"/>
                <w:lang w:bidi="ar"/>
              </w:rPr>
              <w:t>实施方案完善详细得5分；方案较完善详细得4分；方案能够满足需求得2分；方案有瑕疵或存在较多不满足的得1分；未提供得0分。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产品保质期（1分）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产品保质期：保质期满足招标文件的不得分，多6个月的得0.5分，本项目最高1分。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10" w:type="pct"/>
            <w:vAlign w:val="center"/>
          </w:tcPr>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维修能力</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维修能力：对供应商、生产厂家拟投入本项目的维修能力及响应时间进行评价，维修能力强、响应时间满足招标文件要求的，得5分；维修能力较好、响应时间满足招标文件要求的，得4分；维修能力一般、响应时间满足招标文件要求的，得2分；维修能力弱或响应时间不满足招标文件要求的，得1分</w:t>
            </w:r>
            <w:r>
              <w:rPr>
                <w:rFonts w:hint="eastAsia" w:ascii="宋体" w:hAnsi="宋体" w:cs="宋体"/>
                <w:bCs/>
                <w:color w:val="auto"/>
                <w:kern w:val="0"/>
                <w:szCs w:val="21"/>
                <w:highlight w:val="none"/>
                <w:lang w:bidi="ar"/>
              </w:rPr>
              <w:t>；未提供得0分。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业绩（3分）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业绩：2021年1月1日至今（以合同签订时间为准），供应商承接过的同类项目业绩，每提供一个有效合同得1分，最高3分。</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（投标文件中提供合同扫描件并加盖公章，未提供的或未按要求盖章的视为无效业绩）。</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410" w:type="pct"/>
            <w:vAlign w:val="center"/>
          </w:tcPr>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734"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培训方案</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培训方案：评标委员会根据供应商的培训方案进行综合评议：培训方案内容全面完整、描述清晰，切实可行的得5分；培训方案内容较完整、描述清晰，可行的得4分；</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培训方案内容较全面完整、较描述清晰，切实可行一般的得2分。培训方案内容简单笼统，细化程度不足，但基本能满足采购人要求的得1分；未提供培训方案的，得0分。</w:t>
            </w:r>
          </w:p>
        </w:tc>
        <w:tc>
          <w:tcPr>
            <w:tcW w:w="420" w:type="pc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94" w:type="pct"/>
            <w:vAlign w:val="center"/>
          </w:tcPr>
          <w:p>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734" w:type="pct"/>
            <w:vAlign w:val="center"/>
          </w:tcPr>
          <w:p>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节能环保加分（1分）</w:t>
            </w:r>
          </w:p>
        </w:tc>
        <w:tc>
          <w:tcPr>
            <w:tcW w:w="3039"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投标产品属于《节能产品政府采购品目清单》范围的且具有国家确定的认证机构出具的、处于有效期之内的节能产品认证证书的得0.5分；</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投标产品属于《环境标志产品政府采购品目清单》范围的且具有国家确定的认证机构出具的、处于有效期之内的环境标志产品认证证书的得0.5分。</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注：投标文件中必须同时提供以下资料：</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420" w:type="pct"/>
            <w:vAlign w:val="center"/>
          </w:tcPr>
          <w:p>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10" w:type="pct"/>
            <w:vAlign w:val="center"/>
          </w:tcPr>
          <w:p>
            <w:pPr>
              <w:widowControl/>
              <w:spacing w:line="360" w:lineRule="auto"/>
              <w:jc w:val="center"/>
              <w:textAlignment w:val="center"/>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color w:val="auto"/>
                <w:szCs w:val="21"/>
                <w:highlight w:val="none"/>
                <w:lang w:val="zh-CN"/>
              </w:rPr>
              <w:t>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94" w:type="pct"/>
            <w:vAlign w:val="center"/>
          </w:tcPr>
          <w:p>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734" w:type="pct"/>
            <w:vAlign w:val="center"/>
          </w:tcPr>
          <w:p>
            <w:pPr>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价格分</w:t>
            </w:r>
          </w:p>
          <w:p>
            <w:pPr>
              <w:widowControl/>
              <w:spacing w:line="360" w:lineRule="auto"/>
              <w:jc w:val="center"/>
              <w:textAlignment w:val="center"/>
              <w:rPr>
                <w:rFonts w:ascii="宋体" w:hAnsi="宋体" w:cs="宋体"/>
                <w:bCs/>
                <w:color w:val="auto"/>
                <w:szCs w:val="21"/>
                <w:highlight w:val="none"/>
              </w:rPr>
            </w:pPr>
            <w:r>
              <w:rPr>
                <w:rFonts w:hint="eastAsia" w:ascii="宋体" w:hAnsi="宋体" w:cs="宋体"/>
                <w:color w:val="auto"/>
                <w:szCs w:val="21"/>
                <w:highlight w:val="none"/>
              </w:rPr>
              <w:t>（30分）</w:t>
            </w:r>
          </w:p>
        </w:tc>
        <w:tc>
          <w:tcPr>
            <w:tcW w:w="5643" w:type="dxa"/>
            <w:vAlign w:val="center"/>
          </w:tcPr>
          <w:p>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评标基准价指的是满足招标文件要求且最低的参与评审的价格。</w:t>
            </w:r>
          </w:p>
          <w:p>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参与评审的价格=投标报价-小微企业价格扣除优惠值（如有）。</w:t>
            </w:r>
          </w:p>
          <w:p>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参与评审的价格为评标基准价的其价格得分得满分30分。</w:t>
            </w:r>
          </w:p>
          <w:p>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其他供应商价格得分按照下列公式计算：</w:t>
            </w:r>
          </w:p>
          <w:p>
            <w:pPr>
              <w:adjustRightInd/>
              <w:spacing w:line="400" w:lineRule="exact"/>
              <w:rPr>
                <w:rFonts w:ascii="宋体" w:hAnsi="宋体" w:cs="宋体"/>
                <w:bCs/>
                <w:color w:val="auto"/>
                <w:szCs w:val="21"/>
                <w:highlight w:val="none"/>
              </w:rPr>
            </w:pPr>
            <w:r>
              <w:rPr>
                <w:rFonts w:hint="eastAsia" w:ascii="宋体" w:hAnsi="宋体" w:cs="宋体"/>
                <w:bCs/>
                <w:color w:val="auto"/>
                <w:kern w:val="0"/>
                <w:szCs w:val="21"/>
                <w:highlight w:val="none"/>
              </w:rPr>
              <w:t>价格得分=（评标基准价/参与评审的价格）×30%×100。</w:t>
            </w:r>
          </w:p>
        </w:tc>
        <w:tc>
          <w:tcPr>
            <w:tcW w:w="780" w:type="dxa"/>
            <w:vAlign w:val="center"/>
          </w:tcPr>
          <w:p>
            <w:pPr>
              <w:adjustRightInd/>
              <w:spacing w:line="40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30</w:t>
            </w:r>
          </w:p>
        </w:tc>
        <w:tc>
          <w:tcPr>
            <w:tcW w:w="761" w:type="dxa"/>
            <w:vAlign w:val="center"/>
          </w:tcPr>
          <w:p>
            <w:pPr>
              <w:adjustRightInd/>
              <w:spacing w:line="400" w:lineRule="exact"/>
              <w:jc w:val="center"/>
              <w:rPr>
                <w:rFonts w:ascii="宋体" w:hAnsi="宋体" w:cs="宋体"/>
                <w:bCs/>
                <w:color w:val="auto"/>
                <w:szCs w:val="21"/>
                <w:highlight w:val="none"/>
              </w:rPr>
            </w:pPr>
            <w:r>
              <w:rPr>
                <w:rFonts w:hint="eastAsia" w:ascii="宋体" w:hAnsi="宋体" w:cs="宋体"/>
                <w:color w:val="auto"/>
                <w:szCs w:val="21"/>
                <w:highlight w:val="none"/>
                <w:lang w:val="zh-CN"/>
              </w:rPr>
              <w:t>客观评审</w:t>
            </w:r>
          </w:p>
        </w:tc>
      </w:tr>
    </w:tbl>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w:t>
      </w:r>
      <w:r>
        <w:rPr>
          <w:rFonts w:hint="eastAsia" w:ascii="宋体" w:hAnsi="宋体" w:cs="宋体"/>
          <w:color w:val="auto"/>
          <w:szCs w:val="21"/>
          <w:highlight w:val="none"/>
        </w:rPr>
        <w:t>供应商编制投标文件（商务技术文件部分）时，建议按此目录（序号和内容）提供评标标准相应的商务技术资料。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综合评分法，是指投标文件满足招标文件全部实质性要求，且按照评审因素的量化指标评审得分排名前三的供应商为中标候选人的评标方法。</w:t>
      </w:r>
    </w:p>
    <w:p>
      <w:pPr>
        <w:adjustRightInd/>
        <w:spacing w:line="360" w:lineRule="auto"/>
        <w:rPr>
          <w:rFonts w:ascii="宋体" w:hAnsi="宋体" w:cs="宋体"/>
          <w:color w:val="auto"/>
          <w:kern w:val="0"/>
          <w:szCs w:val="21"/>
          <w:highlight w:val="none"/>
        </w:rPr>
      </w:pPr>
      <w:r>
        <w:rPr>
          <w:rFonts w:hint="eastAsia" w:ascii="宋体" w:hAnsi="宋体" w:cs="宋体"/>
          <w:b/>
          <w:color w:val="auto"/>
          <w:szCs w:val="21"/>
          <w:highlight w:val="none"/>
        </w:rPr>
        <w:t>二、评标标准</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pPr>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三、评标程序</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评标委员会应当对符合资格的供应商的投标文件进行符合性审查，以确定其是否满足招标文件的实质性要求。不满足招标文件的实质性要求的，投标无效。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评标委员会各成员应当独立对每个供应商的商务和技术文件进行评价，并汇总商务技术得分情况。商务和技术文件评审结束后进行报价文件评审。</w:t>
      </w:r>
    </w:p>
    <w:p>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pPr>
        <w:pStyle w:val="13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评审得分第二的为第二中标候选人。</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Cs w:val="21"/>
          <w:highlight w:val="none"/>
        </w:rPr>
      </w:pPr>
      <w:r>
        <w:rPr>
          <w:rFonts w:hint="eastAsia" w:ascii="宋体" w:hAnsi="宋体" w:cs="宋体"/>
          <w:b/>
          <w:color w:val="auto"/>
          <w:szCs w:val="21"/>
          <w:highlight w:val="none"/>
        </w:rPr>
        <w:t>四、评标中的其他事项</w:t>
      </w:r>
    </w:p>
    <w:p>
      <w:pPr>
        <w:pStyle w:val="13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pPr>
        <w:pStyle w:val="25"/>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4.2.1供应商不具备招标文件中规定的资格要求的（供应商未提供有效的资格文件的，视为供应商不具备招标文件中规定的资格要求）；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4.2.3采购人拟采购的产品属于政府强制采购的节能产品品目清单范围的，供应商相应的投标产品未获得国家确定的认证机构出具的、处于有效期之内的节能产品认证证书的；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pPr>
        <w:snapToGrid w:val="0"/>
        <w:spacing w:line="360" w:lineRule="auto"/>
        <w:ind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4.2.9供应商对根据修正原则修正后的报价不确认的；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4.2.10供应商提供虚假材料投标的；</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4.2.11供应商有恶意串通、妨碍其他供应商的竞争行为、损害采购人或者其他供应商的合法权益情形的；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4.2.12供应商仅提交备份投标文件，未在电子交易平台传输递交投标文件的，投标无效；</w:t>
      </w:r>
    </w:p>
    <w:p>
      <w:pPr>
        <w:pStyle w:val="4"/>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pPr>
        <w:pStyle w:val="25"/>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5.3供应商的报价均超过了采购预算，采购人不能支付的；</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废标后，采购代理机构应当将废标理由通知所有供应商。</w:t>
      </w:r>
    </w:p>
    <w:p>
      <w:pPr>
        <w:pStyle w:val="25"/>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pPr>
        <w:pStyle w:val="25"/>
        <w:snapToGrid w:val="0"/>
        <w:spacing w:line="360" w:lineRule="auto"/>
        <w:ind w:firstLine="420"/>
        <w:rPr>
          <w:rFonts w:cs="宋体"/>
          <w:color w:val="auto"/>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8"/>
    <w:p>
      <w:pPr>
        <w:rPr>
          <w:rFonts w:ascii="宋体" w:hAnsi="宋体" w:cs="宋体"/>
          <w:b/>
          <w:color w:val="auto"/>
          <w:sz w:val="36"/>
          <w:szCs w:val="36"/>
          <w:highlight w:val="none"/>
        </w:rPr>
      </w:pPr>
      <w:bookmarkStart w:id="395" w:name="第五部分"/>
      <w:bookmarkStart w:id="396" w:name="_Toc86217003"/>
    </w:p>
    <w:p>
      <w:pPr>
        <w:pStyle w:val="80"/>
        <w:rPr>
          <w:color w:val="auto"/>
          <w:highlight w:val="none"/>
          <w:lang w:val="en-US" w:eastAsia="zh-CN"/>
        </w:rPr>
      </w:pPr>
    </w:p>
    <w:p>
      <w:pPr>
        <w:pStyle w:val="80"/>
        <w:rPr>
          <w:color w:val="auto"/>
          <w:highlight w:val="none"/>
          <w:lang w:val="en-US" w:eastAsia="zh-CN"/>
        </w:rPr>
      </w:pPr>
    </w:p>
    <w:p>
      <w:pPr>
        <w:pStyle w:val="80"/>
        <w:rPr>
          <w:color w:val="auto"/>
          <w:highlight w:val="none"/>
          <w:lang w:val="en-US" w:eastAsia="zh-CN"/>
        </w:rPr>
      </w:pPr>
    </w:p>
    <w:p>
      <w:pPr>
        <w:pStyle w:val="80"/>
        <w:rPr>
          <w:color w:val="auto"/>
          <w:highlight w:val="none"/>
          <w:lang w:val="en-US" w:eastAsia="zh-CN"/>
        </w:rPr>
      </w:pPr>
    </w:p>
    <w:p>
      <w:pPr>
        <w:pStyle w:val="80"/>
        <w:rPr>
          <w:color w:val="auto"/>
          <w:highlight w:val="none"/>
          <w:lang w:val="en-US" w:eastAsia="zh-CN"/>
        </w:rPr>
      </w:pPr>
    </w:p>
    <w:p>
      <w:pPr>
        <w:pStyle w:val="80"/>
        <w:rPr>
          <w:color w:val="auto"/>
          <w:highlight w:val="none"/>
          <w:lang w:val="en-US" w:eastAsia="zh-CN"/>
        </w:rPr>
      </w:pPr>
    </w:p>
    <w:p>
      <w:pPr>
        <w:pStyle w:val="80"/>
        <w:rPr>
          <w:color w:val="auto"/>
          <w:highlight w:val="none"/>
          <w:lang w:val="en-US" w:eastAsia="zh-CN"/>
        </w:rPr>
      </w:pPr>
    </w:p>
    <w:p>
      <w:pPr>
        <w:pStyle w:val="80"/>
        <w:rPr>
          <w:color w:val="auto"/>
          <w:highlight w:val="none"/>
          <w:lang w:val="en-US" w:eastAsia="zh-CN"/>
        </w:rPr>
      </w:pPr>
    </w:p>
    <w:p>
      <w:pPr>
        <w:pStyle w:val="80"/>
        <w:rPr>
          <w:color w:val="auto"/>
          <w:highlight w:val="none"/>
          <w:lang w:val="en-US" w:eastAsia="zh-CN"/>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甲方：（采购人）</w:t>
      </w:r>
    </w:p>
    <w:p>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住所地：</w:t>
      </w:r>
    </w:p>
    <w:p>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联系方式：</w:t>
      </w:r>
    </w:p>
    <w:p>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乙方：（中标人）</w:t>
      </w:r>
    </w:p>
    <w:p>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住所地：</w:t>
      </w:r>
    </w:p>
    <w:p>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联系方式：</w:t>
      </w:r>
    </w:p>
    <w:p>
      <w:pPr>
        <w:spacing w:line="360" w:lineRule="auto"/>
        <w:rPr>
          <w:rFonts w:ascii="宋体" w:hAnsi="宋体" w:eastAsia="Times New Roman" w:cs="仿宋"/>
          <w:b/>
          <w:bCs/>
          <w:color w:val="auto"/>
          <w:highlight w:val="none"/>
        </w:rPr>
      </w:pPr>
    </w:p>
    <w:p>
      <w:pPr>
        <w:spacing w:line="400" w:lineRule="exact"/>
        <w:ind w:firstLine="420" w:firstLineChars="200"/>
        <w:rPr>
          <w:rFonts w:ascii="宋体" w:hAnsi="宋体" w:cs="宋体"/>
          <w:b/>
          <w:color w:val="auto"/>
          <w:highlight w:val="none"/>
          <w:u w:val="single"/>
        </w:rPr>
      </w:pPr>
      <w:r>
        <w:rPr>
          <w:rFonts w:hint="eastAsia" w:ascii="宋体" w:hAnsi="宋体" w:cs="宋体"/>
          <w:color w:val="auto"/>
          <w:szCs w:val="21"/>
          <w:highlight w:val="none"/>
        </w:rPr>
        <w:t>经公开招标采购（项目编号：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）及双方友好协商，</w:t>
      </w:r>
      <w:r>
        <w:rPr>
          <w:rFonts w:hint="eastAsia" w:ascii="宋体" w:hAnsi="宋体" w:cs="宋体"/>
          <w:color w:val="auto"/>
          <w:szCs w:val="21"/>
          <w:highlight w:val="none"/>
          <w:u w:val="single"/>
        </w:rPr>
        <w:t>浙江万里学院</w:t>
      </w:r>
      <w:r>
        <w:rPr>
          <w:rFonts w:hint="eastAsia" w:ascii="宋体" w:hAnsi="宋体" w:cs="宋体"/>
          <w:color w:val="auto"/>
          <w:szCs w:val="21"/>
          <w:highlight w:val="none"/>
        </w:rPr>
        <w:t>（以下简称甲方）与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（以下简称乙方）就甲方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项目向乙方采购以下产品，达成如下协议，并签订本合同书及合同技术附件。投标文件作为本合同技术附件，与本合同具有同等法律效力。</w:t>
      </w:r>
    </w:p>
    <w:p>
      <w:pPr>
        <w:spacing w:line="400" w:lineRule="exact"/>
        <w:ind w:firstLine="420" w:firstLineChars="200"/>
        <w:rPr>
          <w:color w:val="auto"/>
          <w:highlight w:val="none"/>
        </w:rPr>
      </w:pPr>
      <w:r>
        <w:rPr>
          <w:rFonts w:hint="eastAsia" w:ascii="宋体" w:hAnsi="宋体" w:cs="宋体"/>
          <w:color w:val="auto"/>
          <w:highlight w:val="none"/>
        </w:rPr>
        <w:t>下列文件构成本合同的组成部分，认为是一个整体，彼此互相补充。为便于解释，组成合同的多个文件的优先支配地位的次序如下：a，本合同书；b，本合同书的附件；c，乙方的投标文件；d，甲方的招标文件。</w:t>
      </w:r>
    </w:p>
    <w:p>
      <w:pPr>
        <w:pStyle w:val="791"/>
        <w:spacing w:line="400" w:lineRule="exact"/>
        <w:ind w:firstLine="0" w:firstLineChars="0"/>
        <w:rPr>
          <w:b/>
          <w:bCs/>
          <w:color w:val="auto"/>
          <w:highlight w:val="none"/>
        </w:rPr>
      </w:pPr>
      <w:r>
        <w:rPr>
          <w:rFonts w:hint="eastAsia"/>
          <w:b/>
          <w:bCs/>
          <w:color w:val="auto"/>
          <w:szCs w:val="21"/>
          <w:highlight w:val="none"/>
        </w:rPr>
        <w:t>一、</w:t>
      </w:r>
      <w:r>
        <w:rPr>
          <w:rFonts w:hint="eastAsia"/>
          <w:b/>
          <w:bCs/>
          <w:color w:val="auto"/>
          <w:highlight w:val="none"/>
        </w:rPr>
        <w:t>合同</w:t>
      </w:r>
      <w:r>
        <w:rPr>
          <w:b/>
          <w:bCs/>
          <w:color w:val="auto"/>
          <w:highlight w:val="none"/>
        </w:rPr>
        <w:t>内容</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83"/>
        <w:gridCol w:w="1555"/>
        <w:gridCol w:w="1336"/>
        <w:gridCol w:w="901"/>
        <w:gridCol w:w="1064"/>
        <w:gridCol w:w="10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2" w:type="dxa"/>
            <w:shd w:val="clear" w:color="auto" w:fill="auto"/>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3" w:type="dxa"/>
            <w:shd w:val="clear" w:color="auto" w:fill="auto"/>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1555" w:type="dxa"/>
            <w:shd w:val="clear" w:color="auto" w:fill="auto"/>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产地、品牌</w:t>
            </w:r>
          </w:p>
        </w:tc>
        <w:tc>
          <w:tcPr>
            <w:tcW w:w="1336" w:type="dxa"/>
            <w:shd w:val="clear" w:color="auto" w:fill="auto"/>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规格型号</w:t>
            </w:r>
          </w:p>
        </w:tc>
        <w:tc>
          <w:tcPr>
            <w:tcW w:w="901" w:type="dxa"/>
            <w:shd w:val="clear" w:color="auto" w:fill="auto"/>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064" w:type="dxa"/>
            <w:shd w:val="clear" w:color="auto" w:fill="auto"/>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单价（元）</w:t>
            </w:r>
          </w:p>
        </w:tc>
        <w:tc>
          <w:tcPr>
            <w:tcW w:w="1080" w:type="dxa"/>
            <w:shd w:val="clear" w:color="auto" w:fill="auto"/>
            <w:vAlign w:val="center"/>
          </w:tcPr>
          <w:p>
            <w:pPr>
              <w:spacing w:line="360" w:lineRule="auto"/>
              <w:rPr>
                <w:rFonts w:ascii="宋体" w:hAnsi="宋体" w:cs="宋体"/>
                <w:b/>
                <w:bCs/>
                <w:color w:val="auto"/>
                <w:kern w:val="0"/>
                <w:szCs w:val="21"/>
                <w:highlight w:val="none"/>
              </w:rPr>
            </w:pPr>
            <w:r>
              <w:rPr>
                <w:rFonts w:hint="eastAsia" w:ascii="宋体" w:hAnsi="宋体" w:cs="宋体"/>
                <w:b/>
                <w:bCs/>
                <w:color w:val="auto"/>
                <w:szCs w:val="21"/>
                <w:highlight w:val="none"/>
              </w:rPr>
              <w:t>总价（元）</w:t>
            </w:r>
          </w:p>
        </w:tc>
        <w:tc>
          <w:tcPr>
            <w:tcW w:w="841" w:type="dxa"/>
            <w:shd w:val="clear" w:color="auto" w:fill="auto"/>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2" w:type="dxa"/>
            <w:shd w:val="clear" w:color="auto" w:fill="auto"/>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3" w:type="dxa"/>
            <w:shd w:val="clear" w:color="auto" w:fill="auto"/>
            <w:vAlign w:val="center"/>
          </w:tcPr>
          <w:p>
            <w:pPr>
              <w:widowControl/>
              <w:spacing w:line="360" w:lineRule="auto"/>
              <w:jc w:val="left"/>
              <w:rPr>
                <w:rFonts w:ascii="宋体" w:hAnsi="宋体" w:cs="宋体"/>
                <w:color w:val="auto"/>
                <w:kern w:val="0"/>
                <w:szCs w:val="21"/>
                <w:highlight w:val="none"/>
              </w:rPr>
            </w:pPr>
          </w:p>
        </w:tc>
        <w:tc>
          <w:tcPr>
            <w:tcW w:w="1555" w:type="dxa"/>
            <w:shd w:val="clear" w:color="auto" w:fill="auto"/>
            <w:vAlign w:val="center"/>
          </w:tcPr>
          <w:p>
            <w:pPr>
              <w:widowControl/>
              <w:spacing w:line="360" w:lineRule="auto"/>
              <w:jc w:val="left"/>
              <w:rPr>
                <w:rFonts w:ascii="宋体" w:hAnsi="宋体" w:cs="宋体"/>
                <w:color w:val="auto"/>
                <w:kern w:val="0"/>
                <w:szCs w:val="21"/>
                <w:highlight w:val="none"/>
              </w:rPr>
            </w:pPr>
          </w:p>
        </w:tc>
        <w:tc>
          <w:tcPr>
            <w:tcW w:w="1336" w:type="dxa"/>
            <w:shd w:val="clear" w:color="auto" w:fill="auto"/>
            <w:vAlign w:val="center"/>
          </w:tcPr>
          <w:p>
            <w:pPr>
              <w:widowControl/>
              <w:spacing w:line="360" w:lineRule="auto"/>
              <w:rPr>
                <w:rFonts w:ascii="宋体" w:hAnsi="宋体" w:cs="宋体"/>
                <w:color w:val="auto"/>
                <w:kern w:val="0"/>
                <w:szCs w:val="21"/>
                <w:highlight w:val="none"/>
              </w:rPr>
            </w:pPr>
          </w:p>
        </w:tc>
        <w:tc>
          <w:tcPr>
            <w:tcW w:w="901" w:type="dxa"/>
            <w:shd w:val="clear" w:color="auto" w:fill="auto"/>
            <w:vAlign w:val="center"/>
          </w:tcPr>
          <w:p>
            <w:pPr>
              <w:widowControl/>
              <w:spacing w:line="360" w:lineRule="auto"/>
              <w:jc w:val="center"/>
              <w:rPr>
                <w:rFonts w:ascii="宋体" w:hAnsi="宋体" w:cs="宋体"/>
                <w:color w:val="auto"/>
                <w:kern w:val="0"/>
                <w:szCs w:val="21"/>
                <w:highlight w:val="none"/>
              </w:rPr>
            </w:pPr>
          </w:p>
        </w:tc>
        <w:tc>
          <w:tcPr>
            <w:tcW w:w="1064" w:type="dxa"/>
            <w:shd w:val="clear" w:color="auto" w:fill="auto"/>
          </w:tcPr>
          <w:p>
            <w:pPr>
              <w:widowControl/>
              <w:spacing w:line="360" w:lineRule="auto"/>
              <w:jc w:val="center"/>
              <w:rPr>
                <w:rFonts w:ascii="宋体" w:hAnsi="宋体" w:cs="宋体"/>
                <w:color w:val="auto"/>
                <w:kern w:val="0"/>
                <w:szCs w:val="21"/>
                <w:highlight w:val="none"/>
              </w:rPr>
            </w:pPr>
          </w:p>
        </w:tc>
        <w:tc>
          <w:tcPr>
            <w:tcW w:w="1080" w:type="dxa"/>
            <w:shd w:val="clear" w:color="auto" w:fill="auto"/>
          </w:tcPr>
          <w:p>
            <w:pPr>
              <w:widowControl/>
              <w:spacing w:line="360" w:lineRule="auto"/>
              <w:jc w:val="center"/>
              <w:rPr>
                <w:rFonts w:ascii="宋体" w:hAnsi="宋体" w:cs="宋体"/>
                <w:color w:val="auto"/>
                <w:kern w:val="0"/>
                <w:szCs w:val="21"/>
                <w:highlight w:val="none"/>
              </w:rPr>
            </w:pPr>
          </w:p>
        </w:tc>
        <w:tc>
          <w:tcPr>
            <w:tcW w:w="841" w:type="dxa"/>
            <w:shd w:val="clear" w:color="auto" w:fill="auto"/>
          </w:tcPr>
          <w:p>
            <w:pPr>
              <w:widowControl/>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636" w:type="dxa"/>
            <w:gridSpan w:val="4"/>
            <w:shd w:val="clear" w:color="auto" w:fill="auto"/>
            <w:vAlign w:val="center"/>
          </w:tcPr>
          <w:p>
            <w:pPr>
              <w:pStyle w:val="966"/>
              <w:spacing w:line="360" w:lineRule="auto"/>
              <w:ind w:firstLine="0" w:firstLineChars="0"/>
              <w:jc w:val="left"/>
              <w:rPr>
                <w:rFonts w:ascii="宋体" w:hAnsi="宋体" w:cs="宋体"/>
                <w:color w:val="auto"/>
                <w:kern w:val="0"/>
                <w:szCs w:val="21"/>
                <w:highlight w:val="none"/>
              </w:rPr>
            </w:pPr>
            <w:r>
              <w:rPr>
                <w:rFonts w:hint="eastAsia" w:ascii="宋体" w:hAnsi="宋体" w:cs="宋体"/>
                <w:b/>
                <w:bCs/>
                <w:color w:val="auto"/>
                <w:sz w:val="18"/>
                <w:szCs w:val="18"/>
                <w:highlight w:val="none"/>
                <w:lang w:val="zh-CN"/>
              </w:rPr>
              <w:t>合计大写：</w:t>
            </w:r>
          </w:p>
        </w:tc>
        <w:tc>
          <w:tcPr>
            <w:tcW w:w="3886" w:type="dxa"/>
            <w:gridSpan w:val="4"/>
            <w:shd w:val="clear" w:color="auto" w:fill="auto"/>
            <w:vAlign w:val="center"/>
          </w:tcPr>
          <w:p>
            <w:pPr>
              <w:spacing w:line="360" w:lineRule="auto"/>
              <w:jc w:val="left"/>
              <w:rPr>
                <w:rFonts w:ascii="宋体" w:hAnsi="宋体" w:cs="宋体"/>
                <w:b/>
                <w:bCs/>
                <w:color w:val="auto"/>
                <w:kern w:val="0"/>
                <w:szCs w:val="21"/>
                <w:highlight w:val="none"/>
              </w:rPr>
            </w:pPr>
            <w:r>
              <w:rPr>
                <w:rFonts w:hint="eastAsia" w:ascii="宋体" w:hAnsi="宋体" w:cs="宋体"/>
                <w:b/>
                <w:bCs/>
                <w:color w:val="auto"/>
                <w:sz w:val="18"/>
                <w:szCs w:val="18"/>
                <w:highlight w:val="none"/>
                <w:lang w:val="zh-CN"/>
              </w:rPr>
              <w:t>合计小写：</w:t>
            </w:r>
          </w:p>
        </w:tc>
      </w:tr>
    </w:tbl>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二、合同金额</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2.1本合同金额为（大写）：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元）人民币。</w:t>
      </w:r>
      <w:r>
        <w:rPr>
          <w:rFonts w:hint="eastAsia" w:hAnsi="宋体" w:cs="宋体"/>
          <w:color w:val="auto"/>
          <w:szCs w:val="21"/>
          <w:highlight w:val="none"/>
        </w:rPr>
        <w:t>上述合同金额是履行合同的最终价格，</w:t>
      </w:r>
      <w:r>
        <w:rPr>
          <w:rFonts w:hint="eastAsia" w:ascii="宋体" w:hAnsi="宋体" w:cs="宋体"/>
          <w:color w:val="auto"/>
          <w:szCs w:val="21"/>
          <w:highlight w:val="none"/>
        </w:rPr>
        <w:t>应包含本项目经</w:t>
      </w:r>
      <w:r>
        <w:rPr>
          <w:rFonts w:hint="eastAsia" w:hAnsi="宋体" w:cs="宋体"/>
          <w:color w:val="auto"/>
          <w:szCs w:val="21"/>
          <w:highlight w:val="none"/>
        </w:rPr>
        <w:t>甲方</w:t>
      </w:r>
      <w:r>
        <w:rPr>
          <w:rFonts w:hint="eastAsia" w:ascii="宋体" w:hAnsi="宋体" w:cs="宋体"/>
          <w:color w:val="auto"/>
          <w:szCs w:val="21"/>
          <w:highlight w:val="none"/>
        </w:rPr>
        <w:t>验收合格投入正式运行并交付</w:t>
      </w:r>
      <w:r>
        <w:rPr>
          <w:rFonts w:hint="eastAsia" w:hAnsi="宋体" w:cs="宋体"/>
          <w:color w:val="auto"/>
          <w:szCs w:val="21"/>
          <w:highlight w:val="none"/>
        </w:rPr>
        <w:t>甲方</w:t>
      </w:r>
      <w:r>
        <w:rPr>
          <w:rFonts w:hint="eastAsia" w:ascii="宋体" w:hAnsi="宋体" w:cs="宋体"/>
          <w:color w:val="auto"/>
          <w:szCs w:val="21"/>
          <w:highlight w:val="none"/>
        </w:rPr>
        <w:t>使用前发生的一切费用【包括设备产品/系统供货费用、安装调试费（含完成安装调试验收合格所需的所有零部件费用）、运输费、验收、人员培训费、中标服务费、售后服务、企业管理费、合理利润、风险费用、税金等为完成本项目所产生的全部费用】。</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三、技术资料</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3.1乙方应按招标文件规定的时间向甲方提供使用货物的有关技术资料。</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四、知识产权</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4.1乙方应保证提供货物及服务过程中不会侵犯任何第三方的知识产权和其他权益。如因此发生任何针对甲方的争议、索赔、诉讼等，产生的一切法律责任与费用均由乙方承担。</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五、产权担保</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5.1乙方保证所交付的货物和服务的所有权完全属于乙方且无任何抵押、查封等产权瑕疵。</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六、转包或分包</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6.1本合同范围的货物及服务，应由乙方直接供应，不得转让他人供应；</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6.2除非得到甲方的书面同意，乙方不得部分分包给他人供应。甲方有绝对权力阻止分包。</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七、交付期</w:t>
      </w:r>
    </w:p>
    <w:p>
      <w:pPr>
        <w:snapToGrid w:val="0"/>
        <w:spacing w:line="44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7.1国产设备自合同签订之日起30天内完成全部产品的供货，安装调试期为1周，并具备验收条件；</w:t>
      </w:r>
    </w:p>
    <w:p>
      <w:pPr>
        <w:snapToGrid w:val="0"/>
        <w:spacing w:line="44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7.2进口设备自合同签订之日起120天内完成全部产品的供货，安装调试期为2周，并具备验收条件。</w:t>
      </w:r>
    </w:p>
    <w:p>
      <w:pPr>
        <w:snapToGrid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八、款项支付：</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8.1国产设备付款方式：合同生效后7个工作日内支付国产设备合同价的40%；货到指定地点、安装调试完毕，经甲方验收合格且甲方收到发票后7个工作日内一次性付清国产设备剩余合同款项。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8.2进口设备付款方式：</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（1）合同生效后，甲方预付进口设备合同金额的6</w:t>
      </w:r>
      <w:r>
        <w:rPr>
          <w:rFonts w:ascii="宋体" w:hAnsi="宋体" w:cs="宋体"/>
          <w:color w:val="auto"/>
          <w:szCs w:val="21"/>
          <w:highlight w:val="none"/>
        </w:rPr>
        <w:t>0</w:t>
      </w:r>
      <w:r>
        <w:rPr>
          <w:rFonts w:hint="eastAsia" w:ascii="宋体" w:hAnsi="宋体" w:cs="宋体"/>
          <w:color w:val="auto"/>
          <w:szCs w:val="21"/>
          <w:highlight w:val="none"/>
        </w:rPr>
        <w:t>%给外贸代理公司，外贸代理开具进口设备合同金额90%不可撤销L/C；</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（2）凭单支付至进口设备合同金额90%；</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（3）安装、调试、验收合格后支付进口设备合同总价的10%。</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九、税费</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9.1本合同执行中相关的一切税费均由乙方负担。</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十、质量保证及售后服务</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10.1</w:t>
      </w:r>
      <w:r>
        <w:rPr>
          <w:rFonts w:hint="eastAsia" w:ascii="宋体" w:hAnsi="宋体" w:cs="宋体"/>
          <w:color w:val="auto"/>
          <w:szCs w:val="21"/>
          <w:highlight w:val="none"/>
        </w:rPr>
        <w:t>乙方应按招标文件规定向甲方提供货物和服务。</w:t>
      </w:r>
      <w:r>
        <w:rPr>
          <w:rFonts w:hint="eastAsia" w:ascii="宋体" w:hAnsi="宋体" w:cs="宋体"/>
          <w:bCs/>
          <w:color w:val="auto"/>
          <w:szCs w:val="21"/>
          <w:highlight w:val="none"/>
        </w:rPr>
        <w:t xml:space="preserve"> </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10.2</w:t>
      </w:r>
      <w:r>
        <w:rPr>
          <w:rFonts w:hint="eastAsia" w:ascii="宋体" w:hAnsi="宋体" w:cs="宋体"/>
          <w:color w:val="auto"/>
          <w:kern w:val="0"/>
          <w:szCs w:val="21"/>
          <w:highlight w:val="none"/>
          <w:lang w:bidi="ar"/>
        </w:rPr>
        <w:t>国产设备/进口设备质保2年，</w:t>
      </w:r>
      <w:r>
        <w:rPr>
          <w:rFonts w:hint="eastAsia" w:ascii="宋体" w:hAnsi="宋体" w:cs="宋体"/>
          <w:color w:val="auto"/>
          <w:szCs w:val="21"/>
          <w:highlight w:val="none"/>
        </w:rPr>
        <w:t>时间自本项目整体验收合格之日起计算。质保期内应保证所有产品及</w:t>
      </w:r>
      <w:r>
        <w:rPr>
          <w:rFonts w:hint="eastAsia" w:ascii="宋体" w:hAnsi="宋体" w:cs="宋体"/>
          <w:color w:val="auto"/>
          <w:szCs w:val="21"/>
          <w:highlight w:val="none"/>
          <w:lang w:eastAsia="zh-Hans"/>
        </w:rPr>
        <w:t>系统</w:t>
      </w:r>
      <w:r>
        <w:rPr>
          <w:rFonts w:hint="eastAsia" w:ascii="宋体" w:hAnsi="宋体" w:cs="宋体"/>
          <w:color w:val="auto"/>
          <w:szCs w:val="21"/>
          <w:highlight w:val="none"/>
        </w:rPr>
        <w:t>正常运行，质保期内</w:t>
      </w:r>
      <w:r>
        <w:rPr>
          <w:rFonts w:hint="eastAsia" w:ascii="宋体" w:hAnsi="宋体" w:cs="宋体"/>
          <w:color w:val="auto"/>
          <w:kern w:val="0"/>
          <w:szCs w:val="21"/>
          <w:highlight w:val="none"/>
        </w:rPr>
        <w:t>免费提供上门日常设备及系统维护、软件升级、零部件维修及更换、故障处理及定期回访服务等</w:t>
      </w:r>
      <w:r>
        <w:rPr>
          <w:rFonts w:hint="eastAsia" w:ascii="宋体" w:hAnsi="宋体" w:cs="宋体"/>
          <w:color w:val="auto"/>
          <w:highlight w:val="none"/>
        </w:rPr>
        <w:t>；</w:t>
      </w:r>
      <w:r>
        <w:rPr>
          <w:rFonts w:hint="eastAsia" w:ascii="宋体" w:hAnsi="宋体" w:cs="宋体"/>
          <w:color w:val="auto"/>
          <w:szCs w:val="21"/>
          <w:highlight w:val="none"/>
        </w:rPr>
        <w:t>质保期内被免费更换的零部件质量保证：自更换之日起计</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pPr>
        <w:snapToGrid w:val="0"/>
        <w:spacing w:line="440" w:lineRule="exact"/>
        <w:ind w:firstLine="420" w:firstLineChars="200"/>
        <w:outlineLvl w:val="1"/>
        <w:rPr>
          <w:rFonts w:ascii="宋体" w:hAnsi="宋体" w:cs="宋体"/>
          <w:color w:val="auto"/>
          <w:kern w:val="0"/>
          <w:szCs w:val="21"/>
          <w:highlight w:val="none"/>
        </w:rPr>
      </w:pPr>
      <w:r>
        <w:rPr>
          <w:rFonts w:hint="eastAsia" w:ascii="宋体" w:hAnsi="宋体" w:cs="宋体"/>
          <w:color w:val="auto"/>
          <w:kern w:val="0"/>
          <w:szCs w:val="21"/>
          <w:highlight w:val="none"/>
        </w:rPr>
        <w:t>10.3</w:t>
      </w:r>
      <w:r>
        <w:rPr>
          <w:rFonts w:hint="eastAsia" w:ascii="宋体" w:hAnsi="宋体" w:cs="宋体"/>
          <w:color w:val="auto"/>
          <w:szCs w:val="21"/>
          <w:highlight w:val="none"/>
        </w:rPr>
        <w:t>本项目要求</w:t>
      </w:r>
      <w:r>
        <w:rPr>
          <w:rFonts w:hint="eastAsia" w:ascii="宋体" w:hAnsi="宋体" w:cs="宋体"/>
          <w:color w:val="auto"/>
          <w:highlight w:val="none"/>
        </w:rPr>
        <w:t>乙方提供上门安装调试服务，并为甲方提供安装、维护技术培训人数不少于2人；具体培训计划、时间、人数等均由甲方决定，乙方须无条件配合</w:t>
      </w:r>
      <w:r>
        <w:rPr>
          <w:rFonts w:hint="eastAsia" w:ascii="宋体" w:hAnsi="宋体" w:cs="宋体"/>
          <w:color w:val="auto"/>
          <w:kern w:val="0"/>
          <w:szCs w:val="21"/>
          <w:highlight w:val="none"/>
        </w:rPr>
        <w:t>。</w:t>
      </w:r>
    </w:p>
    <w:p>
      <w:pPr>
        <w:snapToGrid w:val="0"/>
        <w:spacing w:line="44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10.4</w:t>
      </w:r>
      <w:r>
        <w:rPr>
          <w:rFonts w:hint="eastAsia" w:ascii="宋体" w:hAnsi="宋体" w:cs="宋体"/>
          <w:color w:val="auto"/>
          <w:highlight w:val="none"/>
        </w:rPr>
        <w:t>乙方对本项目提供长期有效的技术支持，要求供应商提供1名现场人员24小时驻点服务，提供7×24小时现场响应，提供技术咨询、故障报修等服务。除本章《招标要求》中已注明响应及维修速度的情况外，其余情况供应商须在接到采购人维修要求电话后，半小时内响应，1小时内派技术人员赶到现场进行修复，若8小时内无法修复必须告知采购人修复时间。如在24小时内不能解决问题，应提供同规格的替代产品给采购人代用，直至故障修复。供应商需提供足够的备件以适应采购人维修需求。</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5</w:t>
      </w:r>
      <w:r>
        <w:rPr>
          <w:rFonts w:hint="eastAsia" w:ascii="宋体" w:hAnsi="宋体" w:cs="宋体"/>
          <w:color w:val="auto"/>
          <w:kern w:val="0"/>
          <w:szCs w:val="21"/>
          <w:highlight w:val="none"/>
        </w:rPr>
        <w:t>免费提供质保期内备品备件；乙方须提供足够的备品备件、附件和耗材并保证是原厂生产和同型号（质保期内项目所需的备品备件、附件和耗材清单及对应价格，详见合同附件），以满足实验室正常运行的需要。</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十一、调试和验收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11.2乙方交货前应对产品作出全面检查和对验收文件进行整理，并列出清单，作为甲方收货验收和使用的技术条件依据，检验的结果应随货物交甲方。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11.3对技术复杂的货物，甲方应请国家认可的专业检测机构参与初步验收及最终验收，并由其出具质量检测报告。</w:t>
      </w:r>
    </w:p>
    <w:p>
      <w:pPr>
        <w:snapToGrid w:val="0"/>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11.4验收时乙方必须在现场，验收完毕后作出验收结果报告。</w:t>
      </w:r>
    </w:p>
    <w:p>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十二、保密条款 </w:t>
      </w:r>
    </w:p>
    <w:p>
      <w:pPr>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12.1乙方对合同内容及履行合同过程中所获悉的属于甲方的且无法自公开渠道获得的文件及资料，应负保密义务,非经甲方书面同意，不得擅自利用或对外发表或披露。违反前述约定的,乙方应向甲方支付违约金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万元；违约金不足以弥补甲方损失的，乙方还应负责赔偿。保密期限自乙方接收或知悉甲方信息资料之日起至该信息资料公开之日或甲方书面解除乙方保密义务之日止。</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十三、违约责任</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13.1甲方无正当理由拒收货物的，甲方向乙方偿付拒收货款总值的百分之五违约金。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13.2甲方无故逾期验收和办理货款支付手续的,甲方应按逾期付款总额每日万分之五向乙方支付违约金。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13.4乙方所交的产品规格、技术参数、质量不符合合同规定及招标文件规定标准的，甲方有权拒收该货物，乙方愿意更换货物但逾期交货的，按乙方逾期交货处理。乙方拒绝更换货物的，甲方可单方面解除合同。</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十四、不可抗力</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14.1在合同有效期内，任何一方因不可抗力事件导致不能履行合同，则合同履行期可延长，其延长期与不可抗力影响期相同。</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14.2本条所述的“不可抗力”系指那些双方不可预见、不可避免、不可克服的事件,但不包括双方的违约或 疏忽。这些事件包括但不限于:战争、严重火灭、洪水、台风、地震、国家政策的重大变化,以及双方商定的其他事件。</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14.3不可抗力事件发生后，应立即通知对方，并寄送有关权威机构出具的证明。</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14.4不可抗力事件延续120天以上，双方应通过友好协商，确定是否继续履行合同。</w:t>
      </w:r>
    </w:p>
    <w:p>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十五、法律适用及争议解决</w:t>
      </w:r>
    </w:p>
    <w:p>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15.1本合同订立、解释、履行及争议解决，均适用中华人民共和国法律。</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15.2双方在执行合同中所发生的一切争议，应通过协商解决。如协商不成，可向宁波市仲裁委员会申请仲裁。</w:t>
      </w:r>
    </w:p>
    <w:p>
      <w:pPr>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十六、合同生效及其它</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16.1合同经双方法定代表人或授权委托代理人签字并加盖单位公章后生效。</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16.2合同执行中涉及采购资金和采购内容修改或补充的，须签书面补充协议，方可作为主合同不可分割的一部分。</w:t>
      </w:r>
    </w:p>
    <w:p>
      <w:pPr>
        <w:snapToGrid w:val="0"/>
        <w:spacing w:line="440" w:lineRule="exact"/>
        <w:ind w:left="420" w:leftChars="200"/>
        <w:rPr>
          <w:rFonts w:ascii="宋体" w:hAnsi="宋体" w:cs="宋体"/>
          <w:color w:val="auto"/>
          <w:szCs w:val="21"/>
          <w:highlight w:val="none"/>
        </w:rPr>
      </w:pPr>
      <w:r>
        <w:rPr>
          <w:rFonts w:hint="eastAsia" w:ascii="宋体" w:hAnsi="宋体" w:cs="宋体"/>
          <w:color w:val="auto"/>
          <w:szCs w:val="21"/>
          <w:highlight w:val="none"/>
        </w:rPr>
        <w:t>16.3本合同未尽事宜，遵照《民法典》有关条文执行。</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16.4本合同正本一四份，具有同等法律效力，甲乙双方各执二份。</w:t>
      </w:r>
    </w:p>
    <w:p>
      <w:pPr>
        <w:spacing w:line="440" w:lineRule="exact"/>
        <w:jc w:val="left"/>
        <w:rPr>
          <w:rFonts w:ascii="宋体" w:hAnsi="宋体" w:cs="宋体"/>
          <w:bCs/>
          <w:color w:val="auto"/>
          <w:szCs w:val="21"/>
          <w:highlight w:val="none"/>
        </w:rPr>
      </w:pPr>
    </w:p>
    <w:p>
      <w:pPr>
        <w:spacing w:line="440" w:lineRule="exact"/>
        <w:jc w:val="left"/>
        <w:rPr>
          <w:rFonts w:ascii="宋体" w:hAnsi="宋体" w:cs="宋体"/>
          <w:bCs/>
          <w:color w:val="auto"/>
          <w:szCs w:val="21"/>
          <w:highlight w:val="none"/>
        </w:rPr>
      </w:pP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甲方：                                   乙方： </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地址：                                   地址： </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法定（授权）代表人：                     法定（授权）代表人：</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签字日期：      年  月  日               签字日期：      年  月  日</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电    话：                               电    话： </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传    真：                               传    真：</w:t>
      </w:r>
    </w:p>
    <w:p>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开户银行：                               开户银行：       </w:t>
      </w:r>
    </w:p>
    <w:p>
      <w:pPr>
        <w:snapToGrid w:val="0"/>
        <w:spacing w:line="440" w:lineRule="exact"/>
        <w:rPr>
          <w:rFonts w:ascii="宋体" w:hAnsi="宋体" w:cs="宋体"/>
          <w:color w:val="auto"/>
          <w:szCs w:val="21"/>
          <w:highlight w:val="none"/>
        </w:rPr>
      </w:pPr>
      <w:r>
        <w:rPr>
          <w:rFonts w:hint="eastAsia" w:ascii="宋体" w:hAnsi="宋体" w:cs="宋体"/>
          <w:bCs/>
          <w:color w:val="auto"/>
          <w:szCs w:val="21"/>
          <w:highlight w:val="none"/>
        </w:rPr>
        <w:t>账    号：                               账    号：</w:t>
      </w:r>
    </w:p>
    <w:p>
      <w:pPr>
        <w:rPr>
          <w:rFonts w:ascii="宋体" w:hAnsi="宋体" w:cs="宋体"/>
          <w:color w:val="auto"/>
          <w:sz w:val="24"/>
          <w:highlight w:val="none"/>
        </w:rPr>
      </w:pPr>
    </w:p>
    <w:p>
      <w:pPr>
        <w:rPr>
          <w:rFonts w:ascii="宋体" w:hAnsi="宋体" w:cs="宋体"/>
          <w:color w:val="auto"/>
          <w:sz w:val="24"/>
          <w:highlight w:val="none"/>
          <w:u w:val="single"/>
        </w:rPr>
      </w:pPr>
    </w:p>
    <w:p>
      <w:pPr>
        <w:pStyle w:val="965"/>
        <w:widowControl/>
        <w:snapToGrid w:val="0"/>
        <w:spacing w:before="0" w:beforeLines="0" w:after="0" w:afterLines="0" w:line="360" w:lineRule="auto"/>
        <w:jc w:val="left"/>
        <w:rPr>
          <w:rFonts w:ascii="Arial" w:hAnsi="Arial" w:cs="Arial"/>
          <w:color w:val="auto"/>
          <w:sz w:val="21"/>
          <w:szCs w:val="21"/>
          <w:highlight w:val="none"/>
        </w:rPr>
      </w:pPr>
    </w:p>
    <w:p>
      <w:pPr>
        <w:pStyle w:val="965"/>
        <w:widowControl/>
        <w:snapToGrid w:val="0"/>
        <w:spacing w:before="0" w:beforeLines="0" w:after="0" w:afterLines="0" w:line="360" w:lineRule="auto"/>
        <w:jc w:val="left"/>
        <w:rPr>
          <w:rFonts w:ascii="Arial" w:hAnsi="Arial" w:cs="Arial"/>
          <w:color w:val="auto"/>
          <w:sz w:val="21"/>
          <w:szCs w:val="21"/>
          <w:highlight w:val="none"/>
        </w:rPr>
      </w:pPr>
    </w:p>
    <w:p>
      <w:pPr>
        <w:pStyle w:val="965"/>
        <w:widowControl/>
        <w:snapToGrid w:val="0"/>
        <w:spacing w:before="0" w:beforeLines="0" w:after="0" w:afterLines="0" w:line="360" w:lineRule="auto"/>
        <w:jc w:val="left"/>
        <w:rPr>
          <w:rFonts w:ascii="Arial" w:hAnsi="Arial" w:cs="Arial"/>
          <w:color w:val="auto"/>
          <w:sz w:val="21"/>
          <w:szCs w:val="21"/>
          <w:highlight w:val="none"/>
        </w:rPr>
      </w:pPr>
    </w:p>
    <w:p>
      <w:pPr>
        <w:pStyle w:val="965"/>
        <w:widowControl/>
        <w:snapToGrid w:val="0"/>
        <w:spacing w:before="0" w:beforeLines="0" w:after="0" w:afterLines="0" w:line="360" w:lineRule="auto"/>
        <w:jc w:val="left"/>
        <w:rPr>
          <w:rFonts w:ascii="Arial" w:hAnsi="Arial" w:cs="Arial"/>
          <w:color w:val="auto"/>
          <w:sz w:val="21"/>
          <w:szCs w:val="21"/>
          <w:highlight w:val="none"/>
        </w:rPr>
      </w:pPr>
    </w:p>
    <w:p>
      <w:pPr>
        <w:pStyle w:val="965"/>
        <w:widowControl/>
        <w:snapToGrid w:val="0"/>
        <w:spacing w:before="0" w:beforeLines="0" w:after="0" w:afterLines="0" w:line="360" w:lineRule="auto"/>
        <w:jc w:val="left"/>
        <w:rPr>
          <w:rFonts w:ascii="Arial" w:hAnsi="Arial" w:cs="Arial"/>
          <w:color w:val="auto"/>
          <w:sz w:val="21"/>
          <w:szCs w:val="21"/>
          <w:highlight w:val="none"/>
        </w:rPr>
      </w:pPr>
    </w:p>
    <w:p>
      <w:pPr>
        <w:pStyle w:val="965"/>
        <w:widowControl/>
        <w:snapToGrid w:val="0"/>
        <w:spacing w:before="0" w:beforeLines="0" w:after="0" w:afterLines="0" w:line="360" w:lineRule="auto"/>
        <w:jc w:val="left"/>
        <w:rPr>
          <w:rFonts w:ascii="Arial" w:hAnsi="Arial" w:cs="Arial"/>
          <w:color w:val="auto"/>
          <w:sz w:val="21"/>
          <w:szCs w:val="21"/>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Cs w:val="21"/>
          <w:highlight w:val="none"/>
        </w:rPr>
      </w:pPr>
      <w:r>
        <w:rPr>
          <w:rFonts w:hint="eastAsia" w:ascii="宋体" w:hAnsi="宋体" w:cs="宋体"/>
          <w:color w:val="auto"/>
          <w:kern w:val="0"/>
          <w:sz w:val="24"/>
          <w:highlight w:val="none"/>
        </w:rPr>
        <w:br w:type="page"/>
      </w:r>
      <w:r>
        <w:rPr>
          <w:rFonts w:hint="eastAsia" w:ascii="宋体" w:hAnsi="宋体" w:cs="宋体"/>
          <w:b/>
          <w:color w:val="auto"/>
          <w:kern w:val="0"/>
          <w:szCs w:val="21"/>
          <w:highlight w:val="none"/>
        </w:rPr>
        <w:t xml:space="preserve">  一、 符合参加政府采购活动应当具备的一般条件的承诺函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浙江万里学院、浙江省成套招标代理有限公司：</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我方参与浙江万里学院视频监控存储设备采购项目【</w:t>
      </w:r>
      <w:r>
        <w:rPr>
          <w:rFonts w:hint="eastAsia" w:ascii="宋体" w:hAnsi="宋体" w:cs="宋体"/>
          <w:color w:val="auto"/>
          <w:szCs w:val="21"/>
          <w:highlight w:val="none"/>
        </w:rPr>
        <w:t>招标编号：CTZB-2024040039</w:t>
      </w:r>
      <w:r>
        <w:rPr>
          <w:rFonts w:hint="eastAsia" w:ascii="宋体" w:hAnsi="宋体" w:cs="宋体"/>
          <w:color w:val="auto"/>
          <w:szCs w:val="21"/>
          <w:highlight w:val="none"/>
        </w:rPr>
        <w:t>】政府采购活动，郑重承诺：</w:t>
      </w:r>
    </w:p>
    <w:p>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供应商名称(电子签名)：</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二、联合协议（如果有）</w:t>
      </w:r>
    </w:p>
    <w:p>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[以联合体形式投标的，提供联合协议（附件5）；本项目不接受联合体投标或者供应商不以联合体形式投标的，则不需要提供）]</w:t>
      </w: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r>
        <w:rPr>
          <w:rFonts w:hint="eastAsia" w:ascii="宋体" w:hAnsi="宋体" w:cs="宋体"/>
          <w:b/>
          <w:color w:val="auto"/>
          <w:kern w:val="0"/>
          <w:szCs w:val="21"/>
          <w:highlight w:val="none"/>
        </w:rPr>
        <w:t>三、落实政府采购政策需满足的资格要求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pPr>
        <w:snapToGrid w:val="0"/>
        <w:spacing w:before="50" w:after="50"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w:t>
      </w:r>
      <w:r>
        <w:rPr>
          <w:rFonts w:ascii="宋体" w:hAnsi="宋体" w:cs="宋体"/>
          <w:color w:val="auto"/>
          <w:szCs w:val="21"/>
          <w:highlight w:val="none"/>
        </w:rPr>
        <w:t>7</w:t>
      </w:r>
      <w:r>
        <w:rPr>
          <w:rFonts w:hint="eastAsia" w:ascii="宋体" w:hAnsi="宋体" w:cs="宋体"/>
          <w:color w:val="auto"/>
          <w:szCs w:val="21"/>
          <w:highlight w:val="none"/>
        </w:rPr>
        <w:t xml:space="preserve">）。 </w:t>
      </w:r>
    </w:p>
    <w:p>
      <w:pPr>
        <w:widowControl/>
        <w:spacing w:line="360" w:lineRule="auto"/>
        <w:ind w:firstLine="480"/>
        <w:jc w:val="left"/>
        <w:rPr>
          <w:rFonts w:ascii="宋体" w:hAnsi="宋体" w:cs="宋体"/>
          <w:color w:val="auto"/>
          <w:szCs w:val="21"/>
          <w:highlight w:val="none"/>
        </w:rPr>
      </w:pPr>
    </w:p>
    <w:p>
      <w:pPr>
        <w:widowControl/>
        <w:spacing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w:t>
      </w:r>
      <w:r>
        <w:rPr>
          <w:rFonts w:ascii="宋体" w:hAnsi="宋体" w:cs="宋体"/>
          <w:color w:val="auto"/>
          <w:szCs w:val="21"/>
          <w:highlight w:val="none"/>
        </w:rPr>
        <w:t>5</w:t>
      </w:r>
      <w:r>
        <w:rPr>
          <w:rFonts w:hint="eastAsia" w:ascii="宋体" w:hAnsi="宋体" w:cs="宋体"/>
          <w:color w:val="auto"/>
          <w:szCs w:val="21"/>
          <w:highlight w:val="none"/>
        </w:rPr>
        <w:t>）和中小企业声明函（附件</w:t>
      </w:r>
      <w:r>
        <w:rPr>
          <w:rFonts w:ascii="宋体" w:hAnsi="宋体" w:cs="宋体"/>
          <w:color w:val="auto"/>
          <w:szCs w:val="21"/>
          <w:highlight w:val="none"/>
        </w:rPr>
        <w:t>7</w:t>
      </w:r>
      <w:r>
        <w:rPr>
          <w:rFonts w:hint="eastAsia" w:ascii="宋体" w:hAnsi="宋体" w:cs="宋体"/>
          <w:color w:val="auto"/>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Cs w:val="21"/>
          <w:highlight w:val="none"/>
        </w:rPr>
      </w:pPr>
      <w:r>
        <w:rPr>
          <w:rFonts w:hint="eastAsia" w:ascii="宋体" w:hAnsi="宋体" w:cs="宋体"/>
          <w:b/>
          <w:color w:val="auto"/>
          <w:szCs w:val="21"/>
          <w:highlight w:val="none"/>
        </w:rPr>
        <w:t xml:space="preserve">    </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w:t>
      </w:r>
      <w:r>
        <w:rPr>
          <w:rFonts w:ascii="宋体" w:hAnsi="宋体" w:cs="宋体"/>
          <w:color w:val="auto"/>
          <w:szCs w:val="21"/>
          <w:highlight w:val="none"/>
        </w:rPr>
        <w:t>7</w:t>
      </w:r>
      <w:r>
        <w:rPr>
          <w:rFonts w:hint="eastAsia" w:ascii="宋体" w:hAnsi="宋体" w:cs="宋体"/>
          <w:color w:val="auto"/>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Cs w:val="21"/>
          <w:highlight w:val="none"/>
        </w:rPr>
      </w:pPr>
    </w:p>
    <w:p>
      <w:pPr>
        <w:widowControl/>
        <w:spacing w:line="360" w:lineRule="auto"/>
        <w:ind w:left="150"/>
        <w:jc w:val="center"/>
        <w:rPr>
          <w:rFonts w:ascii="宋体" w:hAnsi="宋体" w:cs="宋体"/>
          <w:b/>
          <w:color w:val="auto"/>
          <w:kern w:val="0"/>
          <w:szCs w:val="21"/>
          <w:highlight w:val="none"/>
        </w:rPr>
      </w:pPr>
      <w:r>
        <w:rPr>
          <w:rFonts w:hint="eastAsia" w:ascii="宋体" w:hAnsi="宋体" w:cs="宋体"/>
          <w:b/>
          <w:color w:val="auto"/>
          <w:kern w:val="0"/>
          <w:szCs w:val="21"/>
          <w:highlight w:val="none"/>
        </w:rPr>
        <w:t>四、本项目的特定资格要求</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kern w:val="0"/>
          <w:szCs w:val="21"/>
          <w:highlight w:val="none"/>
        </w:rPr>
        <w:t>一、投标</w:t>
      </w:r>
      <w:r>
        <w:rPr>
          <w:rFonts w:hint="eastAsia" w:ascii="宋体" w:hAnsi="宋体" w:cs="宋体"/>
          <w:b/>
          <w:color w:val="auto"/>
          <w:szCs w:val="21"/>
          <w:highlight w:val="none"/>
        </w:rPr>
        <w:t>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浙江万里学院、浙江省成套招标代理有限公司：</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我方参加你方组织的浙江万里学院视频监控存储设备采购项目</w:t>
      </w:r>
      <w:r>
        <w:rPr>
          <w:rFonts w:hint="eastAsia" w:ascii="宋体" w:hAnsi="宋体" w:cs="宋体"/>
          <w:color w:val="auto"/>
          <w:szCs w:val="21"/>
          <w:highlight w:val="none"/>
        </w:rPr>
        <w:t>【招标编号：CTZB-2024040039】</w:t>
      </w:r>
      <w:r>
        <w:rPr>
          <w:rFonts w:hint="eastAsia" w:ascii="宋体" w:hAnsi="宋体" w:cs="宋体"/>
          <w:color w:val="auto"/>
          <w:szCs w:val="21"/>
          <w:highlight w:val="none"/>
        </w:rPr>
        <w:t>招标的有关活动，并对此项目进行投标。为此：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w:t>
      </w:r>
      <w:bookmarkStart w:id="397" w:name="_Hlk101257010"/>
      <w:r>
        <w:rPr>
          <w:rFonts w:hint="eastAsia" w:ascii="宋体" w:hAnsi="宋体" w:cs="宋体"/>
          <w:color w:val="auto"/>
          <w:szCs w:val="21"/>
          <w:highlight w:val="none"/>
        </w:rPr>
        <w:t>（如果有)</w:t>
      </w:r>
      <w:bookmarkEnd w:id="397"/>
      <w:r>
        <w:rPr>
          <w:rFonts w:hint="eastAsia" w:ascii="宋体" w:hAnsi="宋体" w:cs="宋体"/>
          <w:snapToGrid w:val="0"/>
          <w:color w:val="auto"/>
          <w:kern w:val="28"/>
          <w:szCs w:val="21"/>
          <w:highlight w:val="none"/>
        </w:rPr>
        <w:t>；</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落实政府采购政策需满足的资格要求（如果有）；</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本项目的特定资格要求（如果有)。</w:t>
      </w:r>
    </w:p>
    <w:p>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分包意向协议（如果有)；</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6</w:t>
      </w:r>
      <w:r>
        <w:rPr>
          <w:rFonts w:hint="eastAsia" w:ascii="宋体" w:hAnsi="宋体" w:cs="宋体"/>
          <w:color w:val="auto"/>
          <w:szCs w:val="21"/>
          <w:highlight w:val="none"/>
        </w:rPr>
        <w:t>投标标的清单；</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7</w:t>
      </w:r>
      <w:r>
        <w:rPr>
          <w:rFonts w:hint="eastAsia" w:ascii="宋体" w:hAnsi="宋体" w:cs="宋体"/>
          <w:color w:val="auto"/>
          <w:szCs w:val="21"/>
          <w:highlight w:val="none"/>
        </w:rPr>
        <w:t>商务技术偏离表；</w:t>
      </w:r>
    </w:p>
    <w:p>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2.3.2中小企业声明函（如果有）。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4、如我方中标，我方承诺：4.1在收到中标通知书后，在中标通知书规定的期限内与你方签订合同； 4.2在签订合同时不向你方提出附加条件； 4.3按照招标文件要求提交履约保证金； 4.4在合同约定的期限内完成合同规定的全部义务。 </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 xml:space="preserve">供应商名称（电子签名）：                          </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pPr>
        <w:snapToGrid w:val="0"/>
        <w:spacing w:line="360" w:lineRule="auto"/>
        <w:ind w:left="420" w:leftChars="200" w:firstLine="3675" w:firstLineChars="1750"/>
        <w:rPr>
          <w:rFonts w:ascii="宋体" w:hAnsi="宋体" w:cs="宋体"/>
          <w:color w:val="auto"/>
          <w:kern w:val="0"/>
          <w:szCs w:val="21"/>
          <w:highlight w:val="none"/>
          <w:u w:val="single"/>
        </w:rPr>
      </w:pP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二、授权委托书或法定代表人（单位负责人、自然人本人）身份证明</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浙江万里学院视频监控存储设备采购项目</w:t>
      </w:r>
      <w:r>
        <w:rPr>
          <w:rFonts w:hint="eastAsia" w:ascii="宋体" w:hAnsi="宋体" w:cs="宋体"/>
          <w:color w:val="auto"/>
          <w:szCs w:val="21"/>
          <w:highlight w:val="none"/>
        </w:rPr>
        <w:t>【招标编号：CTZB-2024040039】</w:t>
      </w:r>
      <w:r>
        <w:rPr>
          <w:rFonts w:hint="eastAsia" w:ascii="宋体" w:hAnsi="宋体" w:cs="宋体"/>
          <w:color w:val="auto"/>
          <w:kern w:val="0"/>
          <w:szCs w:val="21"/>
          <w:highlight w:val="none"/>
          <w:lang w:val="zh-CN"/>
        </w:rPr>
        <w:t>政府采购投标的一切事项，其法律后果由我方承担。</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供应商名称(电子签名)：</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pPr>
        <w:snapToGrid w:val="0"/>
        <w:spacing w:line="360" w:lineRule="auto"/>
        <w:rPr>
          <w:rFonts w:ascii="宋体" w:hAnsi="宋体" w:cs="宋体"/>
          <w:color w:val="auto"/>
          <w:szCs w:val="21"/>
          <w:highlight w:val="none"/>
        </w:rPr>
      </w:pPr>
    </w:p>
    <w:p>
      <w:pPr>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 xml:space="preserve">      </w:t>
      </w:r>
      <w:r>
        <w:rPr>
          <w:rFonts w:hint="eastAsia" w:ascii="宋体" w:hAnsi="宋体" w:cs="宋体"/>
          <w:b/>
          <w:color w:val="auto"/>
          <w:kern w:val="0"/>
          <w:szCs w:val="21"/>
          <w:highlight w:val="none"/>
        </w:rPr>
        <w:t xml:space="preserve"> </w:t>
      </w:r>
    </w:p>
    <w:p>
      <w:pPr>
        <w:jc w:val="center"/>
        <w:rPr>
          <w:rFonts w:ascii="宋体" w:hAnsi="宋体" w:cs="宋体"/>
          <w:b/>
          <w:color w:val="auto"/>
          <w:kern w:val="0"/>
          <w:szCs w:val="21"/>
          <w:highlight w:val="none"/>
        </w:rPr>
      </w:pPr>
    </w:p>
    <w:p>
      <w:pPr>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授权委托书（适用于联合体投标）</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浙江万里学院视频监控存储设备采购项目【招标编号：</w:t>
      </w:r>
      <w:r>
        <w:rPr>
          <w:rFonts w:hint="eastAsia" w:ascii="宋体" w:hAnsi="宋体" w:cs="宋体"/>
          <w:color w:val="auto"/>
          <w:szCs w:val="21"/>
          <w:highlight w:val="none"/>
        </w:rPr>
        <w:t>CTZB-2024040039</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pPr>
        <w:jc w:val="center"/>
        <w:rPr>
          <w:rFonts w:ascii="宋体" w:hAnsi="宋体" w:cs="宋体"/>
          <w:b/>
          <w:color w:val="auto"/>
          <w:kern w:val="0"/>
          <w:szCs w:val="21"/>
          <w:highlight w:val="none"/>
        </w:rPr>
      </w:pPr>
    </w:p>
    <w:p>
      <w:pPr>
        <w:rPr>
          <w:rFonts w:ascii="宋体" w:hAnsi="宋体" w:cs="宋体"/>
          <w:color w:val="auto"/>
          <w:szCs w:val="21"/>
          <w:highlight w:val="none"/>
        </w:rPr>
      </w:pPr>
    </w:p>
    <w:p>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br w:type="page"/>
      </w:r>
    </w:p>
    <w:p>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lang w:val="zh-CN"/>
        </w:rPr>
        <w:t>法定代表人、单位负责人或自然人本人</w:t>
      </w:r>
      <w:r>
        <w:rPr>
          <w:rFonts w:hint="eastAsia" w:ascii="宋体" w:hAnsi="宋体" w:cs="宋体"/>
          <w:b/>
          <w:color w:val="auto"/>
          <w:szCs w:val="21"/>
          <w:highlight w:val="none"/>
        </w:rPr>
        <w:t>的身份证明（适用于法定代表人、单位负责人或者自然人本人代表供应商参加投标）</w:t>
      </w:r>
    </w:p>
    <w:p>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供应商名称(电子签名)：                              </w:t>
      </w:r>
    </w:p>
    <w:p>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三、分包意向协议（如果有）</w:t>
      </w:r>
    </w:p>
    <w:p>
      <w:pPr>
        <w:widowControl/>
        <w:spacing w:line="360" w:lineRule="auto"/>
        <w:ind w:firstLine="105" w:firstLineChars="50"/>
        <w:jc w:val="left"/>
        <w:rPr>
          <w:rFonts w:ascii="宋体" w:hAnsi="宋体" w:cs="宋体"/>
          <w:color w:val="auto"/>
          <w:szCs w:val="21"/>
          <w:highlight w:val="none"/>
        </w:rPr>
      </w:pPr>
    </w:p>
    <w:p>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中标后以分包方式履行合同的，提供分包意向协议(附件6</w:t>
      </w:r>
      <w:r>
        <w:rPr>
          <w:rFonts w:ascii="宋体" w:hAnsi="宋体" w:cs="宋体"/>
          <w:b/>
          <w:color w:val="auto"/>
          <w:szCs w:val="21"/>
          <w:highlight w:val="none"/>
        </w:rPr>
        <w:t>)</w:t>
      </w:r>
      <w:r>
        <w:rPr>
          <w:rFonts w:hint="eastAsia" w:ascii="宋体" w:hAnsi="宋体" w:cs="宋体"/>
          <w:b/>
          <w:color w:val="auto"/>
          <w:szCs w:val="21"/>
          <w:highlight w:val="none"/>
        </w:rPr>
        <w:t>；采购人不同意分包或者供应商中标后不以分包方式履行合同的，则不需要提供。</w:t>
      </w:r>
      <w:r>
        <w:rPr>
          <w:rFonts w:hint="eastAsia" w:ascii="宋体" w:hAnsi="宋体" w:cs="宋体"/>
          <w:color w:val="auto"/>
          <w:szCs w:val="21"/>
          <w:highlight w:val="none"/>
        </w:rPr>
        <w:t>]</w:t>
      </w:r>
    </w:p>
    <w:p>
      <w:pPr>
        <w:snapToGrid w:val="0"/>
        <w:spacing w:line="360" w:lineRule="auto"/>
        <w:rPr>
          <w:rFonts w:ascii="宋体" w:hAnsi="宋体" w:cs="宋体"/>
          <w:color w:val="auto"/>
          <w:kern w:val="0"/>
          <w:szCs w:val="21"/>
          <w:highlight w:val="none"/>
        </w:rPr>
      </w:pPr>
    </w:p>
    <w:p>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四、符合性审查资料</w:t>
      </w:r>
    </w:p>
    <w:p>
      <w:pPr>
        <w:jc w:val="center"/>
        <w:rPr>
          <w:rFonts w:ascii="宋体" w:hAnsi="宋体" w:cs="宋体"/>
          <w:b/>
          <w:color w:val="auto"/>
          <w:kern w:val="0"/>
          <w:szCs w:val="21"/>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96"/>
        <w:gridCol w:w="334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196" w:type="dxa"/>
            <w:vAlign w:val="center"/>
          </w:tcPr>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3346" w:type="dxa"/>
            <w:vAlign w:val="center"/>
          </w:tcPr>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w:t>
            </w:r>
          </w:p>
          <w:p>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19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346" w:type="dxa"/>
            <w:vAlign w:val="center"/>
          </w:tcPr>
          <w:p>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418" w:type="dxa"/>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见投标文件</w:t>
            </w:r>
          </w:p>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19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346" w:type="dxa"/>
            <w:vAlign w:val="center"/>
          </w:tcPr>
          <w:p>
            <w:pPr>
              <w:rPr>
                <w:rFonts w:ascii="宋体" w:hAnsi="宋体" w:cs="宋体"/>
                <w:color w:val="auto"/>
                <w:szCs w:val="21"/>
                <w:highlight w:val="none"/>
              </w:rPr>
            </w:pPr>
            <w:r>
              <w:rPr>
                <w:rFonts w:hint="eastAsia" w:ascii="宋体" w:hAnsi="宋体" w:cs="宋体"/>
                <w:color w:val="auto"/>
                <w:szCs w:val="21"/>
                <w:highlight w:val="none"/>
              </w:rPr>
              <w:t>投标函</w:t>
            </w:r>
          </w:p>
        </w:tc>
        <w:tc>
          <w:tcPr>
            <w:tcW w:w="1418" w:type="dxa"/>
          </w:tcPr>
          <w:p>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19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3346" w:type="dxa"/>
            <w:vAlign w:val="center"/>
          </w:tcPr>
          <w:p>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 系指实质性要求条款，招标文件无其它实质性要求的，无需提供）</w:t>
            </w:r>
          </w:p>
        </w:tc>
        <w:tc>
          <w:tcPr>
            <w:tcW w:w="1418" w:type="dxa"/>
          </w:tcPr>
          <w:p>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szCs w:val="21"/>
          <w:highlight w:val="none"/>
        </w:rPr>
      </w:pPr>
      <w:r>
        <w:rPr>
          <w:rFonts w:hint="eastAsia" w:ascii="宋体" w:hAnsi="宋体" w:cs="宋体"/>
          <w:b/>
          <w:color w:val="auto"/>
          <w:kern w:val="0"/>
          <w:szCs w:val="21"/>
          <w:highlight w:val="none"/>
        </w:rPr>
        <w:t>五、评标标准相应的商务技术资料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pPr>
        <w:jc w:val="center"/>
        <w:rPr>
          <w:rFonts w:ascii="宋体" w:hAnsi="宋体" w:cs="宋体"/>
          <w:b/>
          <w:color w:val="auto"/>
          <w:kern w:val="0"/>
          <w:szCs w:val="21"/>
          <w:highlight w:val="none"/>
        </w:rPr>
      </w:pPr>
    </w:p>
    <w:p>
      <w:pPr>
        <w:jc w:val="center"/>
        <w:rPr>
          <w:rFonts w:ascii="宋体" w:hAnsi="宋体" w:cs="宋体"/>
          <w:b/>
          <w:color w:val="auto"/>
          <w:kern w:val="0"/>
          <w:szCs w:val="21"/>
          <w:highlight w:val="none"/>
        </w:rPr>
      </w:pPr>
    </w:p>
    <w:p>
      <w:pPr>
        <w:jc w:val="center"/>
        <w:rPr>
          <w:rFonts w:ascii="宋体" w:hAnsi="宋体" w:cs="宋体"/>
          <w:b/>
          <w:color w:val="auto"/>
          <w:kern w:val="0"/>
          <w:szCs w:val="21"/>
          <w:highlight w:val="none"/>
        </w:rPr>
      </w:pPr>
    </w:p>
    <w:p>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bl>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jc w:val="center"/>
        <w:rPr>
          <w:rFonts w:ascii="宋体" w:hAnsi="宋体" w:cs="宋体"/>
          <w:b/>
          <w:color w:val="auto"/>
          <w:kern w:val="0"/>
          <w:szCs w:val="21"/>
          <w:highlight w:val="none"/>
        </w:rPr>
      </w:pPr>
    </w:p>
    <w:p>
      <w:pPr>
        <w:jc w:val="center"/>
        <w:rPr>
          <w:rFonts w:ascii="宋体" w:hAnsi="宋体" w:cs="宋体"/>
          <w:b/>
          <w:color w:val="auto"/>
          <w:kern w:val="0"/>
          <w:szCs w:val="21"/>
          <w:highlight w:val="none"/>
        </w:rPr>
      </w:pPr>
    </w:p>
    <w:p>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3"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46"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6" w:type="dxa"/>
          </w:tcPr>
          <w:p>
            <w:pPr>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3" w:type="dxa"/>
          </w:tcPr>
          <w:p>
            <w:pPr>
              <w:jc w:val="center"/>
              <w:rPr>
                <w:rFonts w:ascii="宋体" w:hAnsi="宋体" w:cs="宋体"/>
                <w:b/>
                <w:color w:val="auto"/>
                <w:kern w:val="0"/>
                <w:szCs w:val="21"/>
                <w:highlight w:val="none"/>
              </w:rPr>
            </w:pPr>
          </w:p>
        </w:tc>
        <w:tc>
          <w:tcPr>
            <w:tcW w:w="3546" w:type="dxa"/>
          </w:tcPr>
          <w:p>
            <w:pPr>
              <w:jc w:val="center"/>
              <w:rPr>
                <w:rFonts w:ascii="宋体" w:hAnsi="宋体" w:cs="宋体"/>
                <w:b/>
                <w:color w:val="auto"/>
                <w:kern w:val="0"/>
                <w:szCs w:val="21"/>
                <w:highlight w:val="none"/>
              </w:rPr>
            </w:pPr>
          </w:p>
        </w:tc>
        <w:tc>
          <w:tcPr>
            <w:tcW w:w="1276" w:type="dxa"/>
          </w:tcPr>
          <w:p>
            <w:pPr>
              <w:jc w:val="center"/>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3" w:type="dxa"/>
          </w:tcPr>
          <w:p>
            <w:pPr>
              <w:jc w:val="center"/>
              <w:rPr>
                <w:rFonts w:ascii="宋体" w:hAnsi="宋体" w:cs="宋体"/>
                <w:b/>
                <w:color w:val="auto"/>
                <w:kern w:val="0"/>
                <w:szCs w:val="21"/>
                <w:highlight w:val="none"/>
              </w:rPr>
            </w:pPr>
          </w:p>
        </w:tc>
        <w:tc>
          <w:tcPr>
            <w:tcW w:w="3546" w:type="dxa"/>
          </w:tcPr>
          <w:p>
            <w:pPr>
              <w:jc w:val="center"/>
              <w:rPr>
                <w:rFonts w:ascii="宋体" w:hAnsi="宋体" w:cs="宋体"/>
                <w:b/>
                <w:color w:val="auto"/>
                <w:kern w:val="0"/>
                <w:szCs w:val="21"/>
                <w:highlight w:val="none"/>
              </w:rPr>
            </w:pPr>
          </w:p>
        </w:tc>
        <w:tc>
          <w:tcPr>
            <w:tcW w:w="1276" w:type="dxa"/>
          </w:tcPr>
          <w:p>
            <w:pPr>
              <w:jc w:val="center"/>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3" w:type="dxa"/>
          </w:tcPr>
          <w:p>
            <w:pPr>
              <w:jc w:val="center"/>
              <w:rPr>
                <w:rFonts w:ascii="宋体" w:hAnsi="宋体" w:cs="宋体"/>
                <w:b/>
                <w:color w:val="auto"/>
                <w:kern w:val="0"/>
                <w:szCs w:val="21"/>
                <w:highlight w:val="none"/>
              </w:rPr>
            </w:pPr>
          </w:p>
        </w:tc>
        <w:tc>
          <w:tcPr>
            <w:tcW w:w="3546" w:type="dxa"/>
          </w:tcPr>
          <w:p>
            <w:pPr>
              <w:jc w:val="center"/>
              <w:rPr>
                <w:rFonts w:ascii="宋体" w:hAnsi="宋体" w:cs="宋体"/>
                <w:b/>
                <w:color w:val="auto"/>
                <w:kern w:val="0"/>
                <w:szCs w:val="21"/>
                <w:highlight w:val="none"/>
              </w:rPr>
            </w:pPr>
          </w:p>
        </w:tc>
        <w:tc>
          <w:tcPr>
            <w:tcW w:w="1276" w:type="dxa"/>
          </w:tcPr>
          <w:p>
            <w:pPr>
              <w:jc w:val="center"/>
              <w:rPr>
                <w:rFonts w:ascii="宋体" w:hAnsi="宋体" w:cs="宋体"/>
                <w:b/>
                <w:color w:val="auto"/>
                <w:kern w:val="0"/>
                <w:szCs w:val="21"/>
                <w:highlight w:val="none"/>
              </w:rPr>
            </w:pPr>
          </w:p>
        </w:tc>
      </w:tr>
    </w:tbl>
    <w:p>
      <w:pPr>
        <w:jc w:val="left"/>
        <w:rPr>
          <w:rFonts w:ascii="宋体" w:hAnsi="宋体" w:cs="宋体"/>
          <w:color w:val="auto"/>
          <w:kern w:val="0"/>
          <w:szCs w:val="21"/>
          <w:highlight w:val="none"/>
        </w:rPr>
      </w:pPr>
      <w:r>
        <w:rPr>
          <w:rFonts w:hint="eastAsia" w:ascii="宋体" w:hAnsi="宋体" w:cs="宋体"/>
          <w:color w:val="auto"/>
          <w:kern w:val="0"/>
          <w:szCs w:val="21"/>
          <w:highlight w:val="none"/>
        </w:rPr>
        <w:t>供应商保证：除商务技术偏离表列出的偏离外，供应商响应招标文件的全部要求</w:t>
      </w:r>
    </w:p>
    <w:p>
      <w:pPr>
        <w:jc w:val="center"/>
        <w:rPr>
          <w:rFonts w:ascii="宋体" w:hAnsi="宋体" w:cs="宋体"/>
          <w:b/>
          <w:color w:val="auto"/>
          <w:kern w:val="0"/>
          <w:szCs w:val="21"/>
          <w:highlight w:val="none"/>
        </w:rPr>
      </w:pP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ind w:firstLine="1254" w:firstLineChars="595"/>
        <w:rPr>
          <w:rFonts w:ascii="宋体" w:hAnsi="宋体" w:cs="宋体"/>
          <w:b/>
          <w:bCs/>
          <w:color w:val="auto"/>
          <w:szCs w:val="21"/>
          <w:highlight w:val="none"/>
        </w:rPr>
      </w:pPr>
    </w:p>
    <w:p>
      <w:pPr>
        <w:ind w:firstLine="1254" w:firstLineChars="595"/>
        <w:rPr>
          <w:rFonts w:ascii="宋体" w:hAnsi="宋体" w:cs="宋体"/>
          <w:b/>
          <w:bCs/>
          <w:color w:val="auto"/>
          <w:szCs w:val="21"/>
          <w:highlight w:val="none"/>
        </w:rPr>
      </w:pPr>
    </w:p>
    <w:p>
      <w:pPr>
        <w:ind w:firstLine="1254" w:firstLineChars="595"/>
        <w:rPr>
          <w:rFonts w:ascii="宋体" w:hAnsi="宋体" w:cs="宋体"/>
          <w:b/>
          <w:bCs/>
          <w:color w:val="auto"/>
          <w:szCs w:val="21"/>
          <w:highlight w:val="none"/>
        </w:rPr>
      </w:pPr>
    </w:p>
    <w:p>
      <w:pPr>
        <w:widowControl/>
        <w:adjustRightInd/>
        <w:jc w:val="left"/>
        <w:rPr>
          <w:rFonts w:ascii="宋体" w:hAnsi="宋体" w:cs="宋体"/>
          <w:b/>
          <w:bCs/>
          <w:color w:val="auto"/>
          <w:szCs w:val="21"/>
          <w:highlight w:val="none"/>
        </w:rPr>
      </w:pPr>
      <w:r>
        <w:rPr>
          <w:rFonts w:ascii="宋体" w:hAnsi="宋体" w:cs="宋体"/>
          <w:b/>
          <w:bCs/>
          <w:color w:val="auto"/>
          <w:szCs w:val="21"/>
          <w:highlight w:val="none"/>
        </w:rPr>
        <w:br w:type="page"/>
      </w:r>
    </w:p>
    <w:p>
      <w:pPr>
        <w:jc w:val="center"/>
        <w:rPr>
          <w:rFonts w:ascii="宋体" w:hAnsi="宋体" w:cs="宋体"/>
          <w:b/>
          <w:color w:val="auto"/>
          <w:kern w:val="0"/>
          <w:szCs w:val="21"/>
          <w:highlight w:val="none"/>
        </w:rPr>
      </w:pPr>
      <w:r>
        <w:rPr>
          <w:rFonts w:hint="eastAsia" w:ascii="宋体" w:hAnsi="宋体" w:cs="宋体"/>
          <w:b/>
          <w:bCs/>
          <w:color w:val="auto"/>
          <w:szCs w:val="21"/>
          <w:highlight w:val="none"/>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zh-CN"/>
        </w:rPr>
        <w:t>政府采购供应商廉洁自律承诺书</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Cs w:val="21"/>
          <w:highlight w:val="none"/>
          <w:lang w:val="zh-CN"/>
        </w:rPr>
      </w:pPr>
    </w:p>
    <w:p>
      <w:pPr>
        <w:autoSpaceDE w:val="0"/>
        <w:autoSpaceDN w:val="0"/>
        <w:spacing w:line="360" w:lineRule="auto"/>
        <w:ind w:left="2"/>
        <w:jc w:val="left"/>
        <w:rPr>
          <w:rFonts w:ascii="宋体" w:hAnsi="宋体" w:cs="宋体"/>
          <w:color w:val="auto"/>
          <w:kern w:val="0"/>
          <w:szCs w:val="21"/>
          <w:highlight w:val="none"/>
          <w:lang w:val="zh-CN"/>
        </w:rPr>
      </w:pPr>
    </w:p>
    <w:p>
      <w:pPr>
        <w:autoSpaceDE w:val="0"/>
        <w:autoSpaceDN w:val="0"/>
        <w:spacing w:line="360" w:lineRule="auto"/>
        <w:ind w:left="2"/>
        <w:jc w:val="left"/>
        <w:rPr>
          <w:rFonts w:ascii="宋体" w:hAnsi="宋体" w:cs="宋体"/>
          <w:color w:val="auto"/>
          <w:kern w:val="0"/>
          <w:szCs w:val="21"/>
          <w:highlight w:val="none"/>
          <w:lang w:val="zh-CN"/>
        </w:rPr>
      </w:pPr>
    </w:p>
    <w:p>
      <w:pPr>
        <w:autoSpaceDE w:val="0"/>
        <w:autoSpaceDN w:val="0"/>
        <w:spacing w:line="360" w:lineRule="auto"/>
        <w:ind w:left="2" w:leftChars="1" w:right="1120" w:firstLine="3990" w:firstLineChars="19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pPr>
        <w:spacing w:line="360" w:lineRule="auto"/>
        <w:jc w:val="center"/>
        <w:rPr>
          <w:rFonts w:ascii="宋体" w:hAnsi="宋体" w:cs="宋体"/>
          <w:b/>
          <w:bCs/>
          <w:color w:val="auto"/>
          <w:szCs w:val="21"/>
          <w:highlight w:val="none"/>
        </w:rPr>
      </w:pP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spacing w:line="360" w:lineRule="auto"/>
        <w:jc w:val="center"/>
        <w:rPr>
          <w:rFonts w:ascii="宋体" w:hAnsi="宋体" w:cs="宋体"/>
          <w:b/>
          <w:bCs/>
          <w:color w:val="auto"/>
          <w:szCs w:val="21"/>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pPr>
        <w:pStyle w:val="23"/>
        <w:numPr>
          <w:ilvl w:val="0"/>
          <w:numId w:val="4"/>
        </w:numPr>
        <w:rPr>
          <w:color w:val="auto"/>
          <w:highlight w:val="none"/>
        </w:rPr>
      </w:pPr>
      <w:r>
        <w:rPr>
          <w:rFonts w:hint="eastAsia"/>
          <w:color w:val="auto"/>
          <w:highlight w:val="none"/>
        </w:rPr>
        <w:t>投标分项报价表</w:t>
      </w:r>
      <w:r>
        <w:rPr>
          <w:rFonts w:hint="eastAsia" w:hAnsi="宋体" w:cs="宋体"/>
          <w:color w:val="auto"/>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浙江万里学院视频监控存储设备采购项目</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rPr>
        <w:t>CTZB-2024040039</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pPr>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3"/>
        <w:tblW w:w="8959"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3855"/>
        <w:gridCol w:w="2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674" w:type="dxa"/>
            <w:vAlign w:val="center"/>
          </w:tcPr>
          <w:p>
            <w:pPr>
              <w:pStyle w:val="25"/>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采购内容</w:t>
            </w:r>
          </w:p>
        </w:tc>
        <w:tc>
          <w:tcPr>
            <w:tcW w:w="3855" w:type="dxa"/>
            <w:vAlign w:val="center"/>
          </w:tcPr>
          <w:p>
            <w:pPr>
              <w:pStyle w:val="25"/>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投标报价</w:t>
            </w:r>
          </w:p>
        </w:tc>
        <w:tc>
          <w:tcPr>
            <w:tcW w:w="2430" w:type="dxa"/>
            <w:vAlign w:val="center"/>
          </w:tcPr>
          <w:p>
            <w:pPr>
              <w:pStyle w:val="25"/>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产地/品牌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674" w:type="dxa"/>
            <w:vAlign w:val="center"/>
          </w:tcPr>
          <w:p>
            <w:pPr>
              <w:pStyle w:val="25"/>
              <w:snapToGrid w:val="0"/>
              <w:spacing w:line="320" w:lineRule="exact"/>
              <w:ind w:firstLine="0" w:firstLineChars="0"/>
              <w:jc w:val="center"/>
              <w:rPr>
                <w:rFonts w:ascii="Arial" w:hAnsi="Arial"/>
                <w:color w:val="auto"/>
                <w:sz w:val="21"/>
                <w:szCs w:val="21"/>
                <w:highlight w:val="none"/>
              </w:rPr>
            </w:pPr>
            <w:r>
              <w:rPr>
                <w:rFonts w:hint="eastAsia" w:ascii="Arial" w:hAnsi="Arial"/>
                <w:color w:val="auto"/>
                <w:sz w:val="21"/>
                <w:szCs w:val="21"/>
                <w:highlight w:val="none"/>
              </w:rPr>
              <w:t>基站空调</w:t>
            </w:r>
          </w:p>
        </w:tc>
        <w:tc>
          <w:tcPr>
            <w:tcW w:w="3855" w:type="dxa"/>
            <w:vAlign w:val="center"/>
          </w:tcPr>
          <w:p>
            <w:pPr>
              <w:pStyle w:val="25"/>
              <w:snapToGrid w:val="0"/>
              <w:spacing w:line="320" w:lineRule="exact"/>
              <w:ind w:firstLine="0" w:firstLineChars="0"/>
              <w:jc w:val="left"/>
              <w:rPr>
                <w:rFonts w:ascii="Arial" w:hAnsi="Arial"/>
                <w:color w:val="auto"/>
                <w:sz w:val="21"/>
                <w:szCs w:val="21"/>
                <w:highlight w:val="none"/>
              </w:rPr>
            </w:pPr>
            <w:r>
              <w:rPr>
                <w:rFonts w:hint="eastAsia" w:ascii="Arial" w:hAnsi="Arial"/>
                <w:color w:val="auto"/>
                <w:sz w:val="21"/>
                <w:szCs w:val="21"/>
                <w:highlight w:val="none"/>
              </w:rPr>
              <w:t>小写：</w:t>
            </w:r>
          </w:p>
          <w:p>
            <w:pPr>
              <w:pStyle w:val="25"/>
              <w:snapToGrid w:val="0"/>
              <w:spacing w:line="320" w:lineRule="exact"/>
              <w:ind w:firstLine="0" w:firstLineChars="0"/>
              <w:jc w:val="left"/>
              <w:rPr>
                <w:rFonts w:ascii="Arial" w:hAnsi="Arial"/>
                <w:color w:val="auto"/>
                <w:sz w:val="21"/>
                <w:szCs w:val="21"/>
                <w:highlight w:val="none"/>
              </w:rPr>
            </w:pPr>
          </w:p>
          <w:p>
            <w:pPr>
              <w:pStyle w:val="25"/>
              <w:snapToGrid w:val="0"/>
              <w:spacing w:line="320" w:lineRule="exact"/>
              <w:ind w:firstLine="0" w:firstLineChars="0"/>
              <w:rPr>
                <w:rFonts w:ascii="Arial" w:hAnsi="Arial"/>
                <w:color w:val="auto"/>
                <w:sz w:val="21"/>
                <w:szCs w:val="21"/>
                <w:highlight w:val="none"/>
              </w:rPr>
            </w:pPr>
            <w:r>
              <w:rPr>
                <w:rFonts w:hint="eastAsia" w:ascii="Arial" w:hAnsi="Arial"/>
                <w:color w:val="auto"/>
                <w:sz w:val="21"/>
                <w:szCs w:val="21"/>
                <w:highlight w:val="none"/>
              </w:rPr>
              <w:t>大写：</w:t>
            </w:r>
          </w:p>
        </w:tc>
        <w:tc>
          <w:tcPr>
            <w:tcW w:w="2430" w:type="dxa"/>
            <w:vAlign w:val="center"/>
          </w:tcPr>
          <w:p>
            <w:pPr>
              <w:pStyle w:val="25"/>
              <w:snapToGrid w:val="0"/>
              <w:spacing w:line="320" w:lineRule="exact"/>
              <w:ind w:firstLine="0" w:firstLineChars="0"/>
              <w:rPr>
                <w:rFonts w:ascii="Arial" w:hAnsi="Arial"/>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674" w:type="dxa"/>
            <w:vAlign w:val="center"/>
          </w:tcPr>
          <w:p>
            <w:pPr>
              <w:pStyle w:val="25"/>
              <w:snapToGrid w:val="0"/>
              <w:spacing w:line="320" w:lineRule="exact"/>
              <w:ind w:firstLine="0" w:firstLineChars="0"/>
              <w:jc w:val="center"/>
              <w:rPr>
                <w:rFonts w:ascii="Arial" w:hAnsi="Arial"/>
                <w:color w:val="auto"/>
                <w:sz w:val="21"/>
                <w:szCs w:val="21"/>
                <w:highlight w:val="none"/>
              </w:rPr>
            </w:pPr>
            <w:r>
              <w:rPr>
                <w:rFonts w:hint="eastAsia" w:ascii="Arial" w:hAnsi="Arial"/>
                <w:color w:val="auto"/>
                <w:sz w:val="21"/>
                <w:szCs w:val="21"/>
                <w:highlight w:val="none"/>
              </w:rPr>
              <w:t>投标声明</w:t>
            </w:r>
          </w:p>
        </w:tc>
        <w:tc>
          <w:tcPr>
            <w:tcW w:w="6285" w:type="dxa"/>
            <w:gridSpan w:val="2"/>
            <w:vAlign w:val="center"/>
          </w:tcPr>
          <w:p>
            <w:pPr>
              <w:pStyle w:val="25"/>
              <w:snapToGrid w:val="0"/>
              <w:spacing w:line="320" w:lineRule="exact"/>
              <w:ind w:firstLine="0" w:firstLineChars="0"/>
              <w:jc w:val="center"/>
              <w:rPr>
                <w:rFonts w:ascii="Arial" w:hAnsi="Arial"/>
                <w:color w:val="auto"/>
                <w:sz w:val="21"/>
                <w:szCs w:val="21"/>
                <w:highlight w:val="none"/>
              </w:rPr>
            </w:pPr>
            <w:r>
              <w:rPr>
                <w:rFonts w:hint="eastAsia" w:ascii="Arial" w:hAnsi="Arial"/>
                <w:color w:val="auto"/>
                <w:sz w:val="21"/>
                <w:szCs w:val="21"/>
                <w:highlight w:val="none"/>
              </w:rPr>
              <w:t>若无，请打“/”号</w:t>
            </w:r>
          </w:p>
        </w:tc>
      </w:tr>
    </w:tbl>
    <w:p>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1、供应商需按本表格式填写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w:t>
      </w:r>
      <w:r>
        <w:rPr>
          <w:rFonts w:hint="eastAsia" w:ascii="宋体" w:hAnsi="宋体" w:cs="宋体"/>
          <w:color w:val="auto"/>
          <w:kern w:val="0"/>
          <w:szCs w:val="21"/>
          <w:highlight w:val="none"/>
          <w:lang w:val="zh-CN"/>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；采购内容未包含在《开标一览表（报价表）》名称栏中，供应商不能作出合理解释的，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br w:type="page"/>
      </w:r>
    </w:p>
    <w:p>
      <w:pPr>
        <w:pStyle w:val="25"/>
        <w:widowControl/>
        <w:spacing w:line="360" w:lineRule="auto"/>
        <w:ind w:firstLine="482"/>
        <w:jc w:val="center"/>
        <w:rPr>
          <w:rFonts w:ascii="Arial" w:hAnsi="Arial" w:cs="Arial"/>
          <w:b/>
          <w:color w:val="auto"/>
          <w:highlight w:val="none"/>
        </w:rPr>
      </w:pPr>
      <w:r>
        <w:rPr>
          <w:rFonts w:hint="eastAsia" w:ascii="Arial" w:hAnsi="Arial" w:cs="Arial"/>
          <w:b/>
          <w:color w:val="auto"/>
          <w:highlight w:val="none"/>
        </w:rPr>
        <w:t>二、</w:t>
      </w:r>
      <w:r>
        <w:rPr>
          <w:rFonts w:ascii="Arial" w:hAnsi="Arial" w:cs="Arial"/>
          <w:b/>
          <w:color w:val="auto"/>
          <w:highlight w:val="none"/>
        </w:rPr>
        <w:t>投标分项报价表</w:t>
      </w:r>
    </w:p>
    <w:p>
      <w:pPr>
        <w:pStyle w:val="25"/>
        <w:widowControl/>
        <w:tabs>
          <w:tab w:val="left" w:pos="4841"/>
        </w:tabs>
        <w:spacing w:line="360" w:lineRule="auto"/>
        <w:ind w:firstLine="482"/>
        <w:jc w:val="center"/>
        <w:rPr>
          <w:rFonts w:ascii="Arial" w:hAnsi="Arial" w:cs="Arial"/>
          <w:b/>
          <w:color w:val="auto"/>
          <w:highlight w:val="none"/>
        </w:rPr>
      </w:pPr>
    </w:p>
    <w:p>
      <w:pPr>
        <w:widowControl/>
        <w:spacing w:line="360" w:lineRule="auto"/>
        <w:jc w:val="left"/>
        <w:rPr>
          <w:rFonts w:ascii="Arial" w:hAnsi="Arial" w:cs="Arial"/>
          <w:color w:val="auto"/>
          <w:highlight w:val="none"/>
          <w:u w:val="single"/>
        </w:rPr>
      </w:pPr>
      <w:r>
        <w:rPr>
          <w:rFonts w:ascii="Arial" w:hAnsi="Arial" w:cs="Arial"/>
          <w:color w:val="auto"/>
          <w:highlight w:val="none"/>
        </w:rPr>
        <w:t>项目名称：</w:t>
      </w:r>
      <w:r>
        <w:rPr>
          <w:rFonts w:ascii="Arial" w:hAnsi="Arial" w:cs="Arial"/>
          <w:color w:val="auto"/>
          <w:highlight w:val="none"/>
          <w:u w:val="single"/>
        </w:rPr>
        <w:t xml:space="preserve">                                       </w:t>
      </w:r>
      <w:r>
        <w:rPr>
          <w:rFonts w:ascii="Arial" w:hAnsi="Arial" w:cs="Arial"/>
          <w:color w:val="auto"/>
          <w:highlight w:val="none"/>
        </w:rPr>
        <w:t xml:space="preserve"> 项目编号：</w:t>
      </w:r>
      <w:r>
        <w:rPr>
          <w:rFonts w:ascii="Arial" w:hAnsi="Arial" w:cs="Arial"/>
          <w:color w:val="auto"/>
          <w:highlight w:val="none"/>
          <w:u w:val="single"/>
        </w:rPr>
        <w:t xml:space="preserve">         </w:t>
      </w:r>
      <w:r>
        <w:rPr>
          <w:rFonts w:hint="eastAsia" w:ascii="Arial" w:hAnsi="Arial" w:cs="Arial"/>
          <w:bCs/>
          <w:color w:val="auto"/>
          <w:szCs w:val="21"/>
          <w:highlight w:val="none"/>
        </w:rPr>
        <w:t>标段号：</w:t>
      </w:r>
      <w:r>
        <w:rPr>
          <w:rFonts w:ascii="Arial" w:hAnsi="Arial" w:cs="Arial"/>
          <w:color w:val="auto"/>
          <w:highlight w:val="none"/>
          <w:u w:val="single"/>
        </w:rPr>
        <w:t xml:space="preserve">         </w:t>
      </w:r>
    </w:p>
    <w:tbl>
      <w:tblPr>
        <w:tblStyle w:val="63"/>
        <w:tblW w:w="88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63"/>
        <w:gridCol w:w="1333"/>
        <w:gridCol w:w="1080"/>
        <w:gridCol w:w="735"/>
        <w:gridCol w:w="1620"/>
        <w:gridCol w:w="1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765" w:type="dxa"/>
            <w:vAlign w:val="center"/>
          </w:tcPr>
          <w:p>
            <w:pPr>
              <w:spacing w:line="400" w:lineRule="exact"/>
              <w:jc w:val="center"/>
              <w:rPr>
                <w:rFonts w:ascii="Arial" w:hAnsi="Arial" w:cs="Arial"/>
                <w:color w:val="auto"/>
                <w:highlight w:val="none"/>
              </w:rPr>
            </w:pPr>
            <w:r>
              <w:rPr>
                <w:rFonts w:ascii="Arial" w:hAnsi="Arial" w:cs="Arial"/>
                <w:b/>
                <w:bCs/>
                <w:color w:val="auto"/>
                <w:highlight w:val="none"/>
              </w:rPr>
              <w:t>序号</w:t>
            </w:r>
          </w:p>
        </w:tc>
        <w:tc>
          <w:tcPr>
            <w:tcW w:w="1763" w:type="dxa"/>
            <w:vAlign w:val="center"/>
          </w:tcPr>
          <w:p>
            <w:pPr>
              <w:spacing w:line="400" w:lineRule="exact"/>
              <w:jc w:val="center"/>
              <w:rPr>
                <w:rFonts w:ascii="Arial" w:hAnsi="Arial" w:cs="Arial"/>
                <w:color w:val="auto"/>
                <w:highlight w:val="none"/>
              </w:rPr>
            </w:pPr>
            <w:r>
              <w:rPr>
                <w:rFonts w:ascii="Arial" w:hAnsi="Arial" w:cs="Arial"/>
                <w:b/>
                <w:bCs/>
                <w:color w:val="auto"/>
                <w:highlight w:val="none"/>
              </w:rPr>
              <w:t>产品/服务名称</w:t>
            </w:r>
          </w:p>
        </w:tc>
        <w:tc>
          <w:tcPr>
            <w:tcW w:w="1333" w:type="dxa"/>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产地及品牌</w:t>
            </w:r>
          </w:p>
        </w:tc>
        <w:tc>
          <w:tcPr>
            <w:tcW w:w="1080" w:type="dxa"/>
            <w:vAlign w:val="center"/>
          </w:tcPr>
          <w:p>
            <w:pPr>
              <w:spacing w:line="400" w:lineRule="exact"/>
              <w:jc w:val="center"/>
              <w:rPr>
                <w:rFonts w:ascii="Arial" w:hAnsi="Arial" w:cs="Arial"/>
                <w:color w:val="auto"/>
                <w:highlight w:val="none"/>
              </w:rPr>
            </w:pPr>
            <w:r>
              <w:rPr>
                <w:rFonts w:ascii="Arial" w:hAnsi="Arial" w:cs="Arial"/>
                <w:b/>
                <w:bCs/>
                <w:color w:val="auto"/>
                <w:highlight w:val="none"/>
              </w:rPr>
              <w:t>规格型号</w:t>
            </w:r>
          </w:p>
        </w:tc>
        <w:tc>
          <w:tcPr>
            <w:tcW w:w="735" w:type="dxa"/>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数量</w:t>
            </w:r>
          </w:p>
        </w:tc>
        <w:tc>
          <w:tcPr>
            <w:tcW w:w="1620" w:type="dxa"/>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单价</w:t>
            </w:r>
          </w:p>
          <w:p>
            <w:pPr>
              <w:spacing w:line="400" w:lineRule="exact"/>
              <w:jc w:val="center"/>
              <w:rPr>
                <w:rFonts w:ascii="Arial" w:hAnsi="Arial" w:cs="Arial"/>
                <w:color w:val="auto"/>
                <w:highlight w:val="none"/>
              </w:rPr>
            </w:pPr>
            <w:r>
              <w:rPr>
                <w:rFonts w:ascii="Arial" w:hAnsi="Arial" w:cs="Arial"/>
                <w:b/>
                <w:bCs/>
                <w:color w:val="auto"/>
                <w:highlight w:val="none"/>
              </w:rPr>
              <w:t>（元/人民币）</w:t>
            </w:r>
          </w:p>
        </w:tc>
        <w:tc>
          <w:tcPr>
            <w:tcW w:w="1530" w:type="dxa"/>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合价</w:t>
            </w:r>
          </w:p>
          <w:p>
            <w:pPr>
              <w:spacing w:line="400" w:lineRule="exact"/>
              <w:jc w:val="center"/>
              <w:rPr>
                <w:rFonts w:ascii="Arial" w:hAnsi="Arial" w:cs="Arial"/>
                <w:color w:val="auto"/>
                <w:highlight w:val="none"/>
              </w:rPr>
            </w:pPr>
            <w:r>
              <w:rPr>
                <w:rFonts w:ascii="Arial" w:hAnsi="Arial" w:cs="Arial"/>
                <w:b/>
                <w:bCs/>
                <w:color w:val="auto"/>
                <w:highlight w:val="none"/>
              </w:rPr>
              <w:t>（元/人民币）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pPr>
              <w:spacing w:line="400" w:lineRule="exact"/>
              <w:jc w:val="center"/>
              <w:rPr>
                <w:rFonts w:ascii="Arial" w:hAnsi="Arial" w:cs="Arial"/>
                <w:color w:val="auto"/>
                <w:highlight w:val="none"/>
              </w:rPr>
            </w:pPr>
            <w:r>
              <w:rPr>
                <w:rFonts w:ascii="Arial" w:hAnsi="Arial" w:cs="Arial"/>
                <w:color w:val="auto"/>
                <w:highlight w:val="none"/>
              </w:rPr>
              <w:t>1</w:t>
            </w: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pPr>
              <w:spacing w:line="400" w:lineRule="exact"/>
              <w:jc w:val="center"/>
              <w:rPr>
                <w:rFonts w:ascii="Arial" w:hAnsi="Arial" w:cs="Arial"/>
                <w:color w:val="auto"/>
                <w:highlight w:val="none"/>
              </w:rPr>
            </w:pPr>
            <w:r>
              <w:rPr>
                <w:rFonts w:ascii="Arial" w:hAnsi="Arial" w:cs="Arial"/>
                <w:color w:val="auto"/>
                <w:highlight w:val="none"/>
              </w:rPr>
              <w:t>2</w:t>
            </w: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r>
              <w:rPr>
                <w:rFonts w:ascii="Arial" w:hAnsi="Arial" w:cs="Arial"/>
                <w:color w:val="auto"/>
                <w:highlight w:val="none"/>
              </w:rPr>
              <w:t>3</w:t>
            </w: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r>
              <w:rPr>
                <w:rFonts w:ascii="Arial" w:hAnsi="Arial" w:cs="Arial"/>
                <w:color w:val="auto"/>
                <w:highlight w:val="none"/>
              </w:rPr>
              <w:t>4</w:t>
            </w: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r>
              <w:rPr>
                <w:rFonts w:ascii="Arial" w:hAnsi="Arial" w:cs="Arial"/>
                <w:color w:val="auto"/>
                <w:highlight w:val="none"/>
              </w:rPr>
              <w:t>…</w:t>
            </w: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spacing w:line="400" w:lineRule="exact"/>
              <w:jc w:val="center"/>
              <w:rPr>
                <w:rFonts w:ascii="Arial" w:hAnsi="Arial" w:cs="Arial"/>
                <w:color w:val="auto"/>
                <w:highlight w:val="none"/>
              </w:rPr>
            </w:pPr>
          </w:p>
        </w:tc>
        <w:tc>
          <w:tcPr>
            <w:tcW w:w="1763" w:type="dxa"/>
            <w:shd w:val="clear" w:color="000000" w:fill="FFFFFF"/>
            <w:vAlign w:val="center"/>
          </w:tcPr>
          <w:p>
            <w:pPr>
              <w:widowControl/>
              <w:spacing w:line="400" w:lineRule="exact"/>
              <w:jc w:val="center"/>
              <w:rPr>
                <w:rFonts w:ascii="Arial" w:hAnsi="Arial" w:cs="Arial"/>
                <w:color w:val="auto"/>
                <w:highlight w:val="none"/>
              </w:rPr>
            </w:pPr>
          </w:p>
        </w:tc>
        <w:tc>
          <w:tcPr>
            <w:tcW w:w="1333" w:type="dxa"/>
            <w:shd w:val="clear" w:color="000000" w:fill="FFFFFF"/>
            <w:vAlign w:val="center"/>
          </w:tcPr>
          <w:p>
            <w:pPr>
              <w:widowControl/>
              <w:spacing w:line="400" w:lineRule="exact"/>
              <w:jc w:val="center"/>
              <w:rPr>
                <w:rFonts w:ascii="Arial" w:hAnsi="Arial" w:cs="Arial"/>
                <w:color w:val="auto"/>
                <w:highlight w:val="none"/>
              </w:rPr>
            </w:pPr>
          </w:p>
        </w:tc>
        <w:tc>
          <w:tcPr>
            <w:tcW w:w="1080" w:type="dxa"/>
            <w:shd w:val="clear" w:color="000000" w:fill="FFFFFF"/>
            <w:vAlign w:val="center"/>
          </w:tcPr>
          <w:p>
            <w:pPr>
              <w:widowControl/>
              <w:spacing w:line="400" w:lineRule="exact"/>
              <w:jc w:val="center"/>
              <w:rPr>
                <w:rFonts w:ascii="Arial" w:hAnsi="Arial" w:cs="Arial"/>
                <w:color w:val="auto"/>
                <w:highlight w:val="none"/>
              </w:rPr>
            </w:pPr>
          </w:p>
        </w:tc>
        <w:tc>
          <w:tcPr>
            <w:tcW w:w="735" w:type="dxa"/>
            <w:shd w:val="clear" w:color="000000" w:fill="FFFFFF"/>
            <w:vAlign w:val="center"/>
          </w:tcPr>
          <w:p>
            <w:pPr>
              <w:widowControl/>
              <w:spacing w:line="400" w:lineRule="exact"/>
              <w:jc w:val="center"/>
              <w:rPr>
                <w:rFonts w:ascii="Arial" w:hAnsi="Arial" w:cs="Arial"/>
                <w:color w:val="auto"/>
                <w:highlight w:val="none"/>
              </w:rPr>
            </w:pPr>
          </w:p>
        </w:tc>
        <w:tc>
          <w:tcPr>
            <w:tcW w:w="1620" w:type="dxa"/>
          </w:tcPr>
          <w:p>
            <w:pPr>
              <w:spacing w:line="400" w:lineRule="exact"/>
              <w:jc w:val="left"/>
              <w:rPr>
                <w:rFonts w:ascii="Arial" w:hAnsi="Arial" w:cs="Arial"/>
                <w:color w:val="auto"/>
                <w:highlight w:val="none"/>
              </w:rPr>
            </w:pPr>
          </w:p>
        </w:tc>
        <w:tc>
          <w:tcPr>
            <w:tcW w:w="1530" w:type="dxa"/>
          </w:tcPr>
          <w:p>
            <w:pPr>
              <w:spacing w:line="400" w:lineRule="exact"/>
              <w:jc w:val="lef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528" w:type="dxa"/>
            <w:gridSpan w:val="2"/>
            <w:shd w:val="clear" w:color="auto" w:fill="auto"/>
            <w:vAlign w:val="center"/>
          </w:tcPr>
          <w:p>
            <w:pPr>
              <w:spacing w:line="400" w:lineRule="exact"/>
              <w:jc w:val="center"/>
              <w:rPr>
                <w:rFonts w:ascii="Arial" w:hAnsi="Arial" w:cs="Arial"/>
                <w:color w:val="auto"/>
                <w:highlight w:val="none"/>
              </w:rPr>
            </w:pPr>
            <w:r>
              <w:rPr>
                <w:rFonts w:ascii="Arial" w:hAnsi="Arial" w:cs="Arial"/>
                <w:b/>
                <w:bCs/>
                <w:color w:val="auto"/>
                <w:highlight w:val="none"/>
              </w:rPr>
              <w:t>投标报价</w:t>
            </w:r>
          </w:p>
        </w:tc>
        <w:tc>
          <w:tcPr>
            <w:tcW w:w="1333" w:type="dxa"/>
            <w:shd w:val="clear" w:color="000000" w:fill="FFFFFF"/>
            <w:vAlign w:val="center"/>
          </w:tcPr>
          <w:p>
            <w:pPr>
              <w:spacing w:line="400" w:lineRule="exact"/>
              <w:jc w:val="left"/>
              <w:rPr>
                <w:rFonts w:ascii="Arial" w:hAnsi="Arial" w:cs="Arial"/>
                <w:color w:val="auto"/>
                <w:highlight w:val="none"/>
              </w:rPr>
            </w:pPr>
          </w:p>
        </w:tc>
        <w:tc>
          <w:tcPr>
            <w:tcW w:w="4965" w:type="dxa"/>
            <w:gridSpan w:val="4"/>
            <w:shd w:val="clear" w:color="000000" w:fill="FFFFFF"/>
            <w:vAlign w:val="center"/>
          </w:tcPr>
          <w:p>
            <w:pPr>
              <w:spacing w:line="400" w:lineRule="exact"/>
              <w:jc w:val="left"/>
              <w:rPr>
                <w:rFonts w:ascii="Arial" w:hAnsi="Arial" w:cs="Arial"/>
                <w:color w:val="auto"/>
                <w:highlight w:val="none"/>
              </w:rPr>
            </w:pPr>
          </w:p>
        </w:tc>
      </w:tr>
    </w:tbl>
    <w:p>
      <w:pPr>
        <w:widowControl/>
        <w:spacing w:line="360" w:lineRule="auto"/>
        <w:jc w:val="left"/>
        <w:rPr>
          <w:rFonts w:ascii="Arial" w:hAnsi="Arial" w:cs="Arial"/>
          <w:color w:val="auto"/>
          <w:highlight w:val="none"/>
          <w:u w:val="single"/>
        </w:rPr>
      </w:pPr>
    </w:p>
    <w:p>
      <w:pPr>
        <w:widowControl/>
        <w:spacing w:line="360" w:lineRule="auto"/>
        <w:jc w:val="left"/>
        <w:rPr>
          <w:rFonts w:ascii="Arial" w:hAnsi="Arial" w:cs="Arial"/>
          <w:color w:val="auto"/>
          <w:highlight w:val="none"/>
          <w:u w:val="single"/>
        </w:rPr>
      </w:pPr>
    </w:p>
    <w:p>
      <w:pPr>
        <w:widowControl/>
        <w:spacing w:line="360" w:lineRule="auto"/>
        <w:jc w:val="left"/>
        <w:rPr>
          <w:rFonts w:ascii="Arial" w:hAnsi="Arial" w:cs="Arial"/>
          <w:color w:val="auto"/>
          <w:highlight w:val="none"/>
          <w:u w:val="single"/>
        </w:rPr>
      </w:pPr>
    </w:p>
    <w:p>
      <w:pPr>
        <w:widowControl/>
        <w:spacing w:line="360" w:lineRule="auto"/>
        <w:jc w:val="left"/>
        <w:rPr>
          <w:rFonts w:ascii="Arial" w:hAnsi="Arial" w:cs="Arial"/>
          <w:color w:val="auto"/>
          <w:highlight w:val="none"/>
        </w:rPr>
      </w:pPr>
      <w:r>
        <w:rPr>
          <w:rFonts w:ascii="Arial" w:hAnsi="Arial" w:cs="Arial"/>
          <w:color w:val="auto"/>
          <w:highlight w:val="none"/>
        </w:rPr>
        <w:t>供应商（盖章）：</w:t>
      </w:r>
    </w:p>
    <w:p>
      <w:pPr>
        <w:widowControl/>
        <w:spacing w:line="360" w:lineRule="auto"/>
        <w:jc w:val="left"/>
        <w:rPr>
          <w:rFonts w:ascii="Arial" w:hAnsi="Arial" w:cs="Arial"/>
          <w:color w:val="auto"/>
          <w:highlight w:val="none"/>
        </w:rPr>
      </w:pPr>
      <w:r>
        <w:rPr>
          <w:rFonts w:ascii="Arial" w:hAnsi="Arial" w:cs="Arial"/>
          <w:color w:val="auto"/>
          <w:highlight w:val="none"/>
        </w:rPr>
        <w:t xml:space="preserve">法定代表人或授权代表(签字或盖章)：                   </w:t>
      </w:r>
    </w:p>
    <w:p>
      <w:pPr>
        <w:widowControl/>
        <w:spacing w:line="360" w:lineRule="auto"/>
        <w:jc w:val="left"/>
        <w:rPr>
          <w:rFonts w:ascii="Arial" w:hAnsi="Arial" w:cs="Arial"/>
          <w:color w:val="auto"/>
          <w:highlight w:val="none"/>
        </w:rPr>
      </w:pPr>
      <w:r>
        <w:rPr>
          <w:rFonts w:ascii="Arial" w:hAnsi="Arial" w:cs="Arial"/>
          <w:color w:val="auto"/>
          <w:highlight w:val="none"/>
        </w:rPr>
        <w:t>日  期：</w:t>
      </w:r>
    </w:p>
    <w:p>
      <w:pPr>
        <w:pStyle w:val="23"/>
        <w:rPr>
          <w:color w:val="auto"/>
          <w:highlight w:val="none"/>
        </w:rPr>
      </w:pPr>
    </w:p>
    <w:p>
      <w:pPr>
        <w:spacing w:line="360" w:lineRule="auto"/>
        <w:ind w:firstLine="422" w:firstLineChars="200"/>
        <w:rPr>
          <w:rFonts w:ascii="宋体" w:hAnsi="宋体" w:cs="宋体"/>
          <w:b/>
          <w:color w:val="auto"/>
          <w:kern w:val="0"/>
          <w:szCs w:val="21"/>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76" w:right="1418" w:bottom="1247" w:left="1418" w:header="851" w:footer="992" w:gutter="0"/>
          <w:cols w:space="0" w:num="1"/>
          <w:titlePg/>
          <w:docGrid w:linePitch="312" w:charSpace="0"/>
        </w:sectPr>
      </w:pPr>
    </w:p>
    <w:p>
      <w:pPr>
        <w:pStyle w:val="693"/>
        <w:keepNext w:val="0"/>
        <w:pageBreakBefore w:val="0"/>
        <w:tabs>
          <w:tab w:val="clear" w:pos="720"/>
        </w:tabs>
        <w:snapToGrid w:val="0"/>
        <w:spacing w:before="120" w:after="120"/>
        <w:outlineLvl w:val="9"/>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z w:val="21"/>
          <w:szCs w:val="21"/>
          <w:highlight w:val="none"/>
        </w:rPr>
        <w:t>中小企业声明函（如果有）</w:t>
      </w:r>
    </w:p>
    <w:p>
      <w:pPr>
        <w:widowControl/>
        <w:spacing w:line="360" w:lineRule="auto"/>
        <w:ind w:firstLine="105" w:firstLineChars="50"/>
        <w:jc w:val="left"/>
        <w:rPr>
          <w:rFonts w:ascii="宋体" w:hAnsi="宋体" w:cs="宋体"/>
          <w:b/>
          <w:color w:val="auto"/>
          <w:szCs w:val="21"/>
          <w:highlight w:val="none"/>
        </w:rPr>
      </w:pPr>
      <w:r>
        <w:rPr>
          <w:rFonts w:hint="eastAsia" w:ascii="宋体" w:hAnsi="宋体" w:cs="宋体"/>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Cs w:val="21"/>
          <w:highlight w:val="none"/>
        </w:rPr>
        <w:t>7</w:t>
      </w:r>
      <w:r>
        <w:rPr>
          <w:rFonts w:hint="eastAsia" w:ascii="宋体" w:hAnsi="宋体" w:cs="宋体"/>
          <w:b/>
          <w:color w:val="auto"/>
          <w:szCs w:val="21"/>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8" w:name="OLE_LINK13"/>
      <w:bookmarkStart w:id="399" w:name="OLE_LINK14"/>
      <w:r>
        <w:rPr>
          <w:rFonts w:hint="eastAsia" w:ascii="宋体" w:hAnsi="宋体" w:cs="宋体"/>
          <w:b/>
          <w:color w:val="auto"/>
          <w:spacing w:val="6"/>
          <w:sz w:val="32"/>
          <w:szCs w:val="32"/>
          <w:highlight w:val="none"/>
        </w:rPr>
        <w:t>残疾人福利性单位声明函</w:t>
      </w:r>
    </w:p>
    <w:bookmarkEnd w:id="398"/>
    <w:bookmarkEnd w:id="39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浙江万里学院视频监控存储设备采购项目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浙江万里学院、浙江省成套招标代理有限公司：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你方组织的浙江万里学院视频监控存储设备采购项目【招标编号：</w:t>
      </w:r>
      <w:r>
        <w:rPr>
          <w:rFonts w:hint="eastAsia" w:ascii="宋体" w:hAnsi="宋体" w:cs="宋体"/>
          <w:color w:val="auto"/>
          <w:sz w:val="24"/>
          <w:highlight w:val="none"/>
        </w:rPr>
        <w:t>CTZB-2024040039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浙江万里学院视频监控存储设备采购项目</w:t>
      </w:r>
      <w:r>
        <w:rPr>
          <w:rFonts w:hint="eastAsia" w:ascii="宋体" w:hAnsi="宋体" w:cs="宋体"/>
          <w:color w:val="auto"/>
          <w:sz w:val="24"/>
          <w:highlight w:val="none"/>
        </w:rPr>
        <w:t>【招标编号：CTZB-2024040039】</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浙江万里学院视频监控存储设备采购项目</w:t>
      </w:r>
      <w:r>
        <w:rPr>
          <w:rFonts w:hint="eastAsia" w:ascii="宋体" w:hAnsi="宋体" w:cs="宋体"/>
          <w:color w:val="auto"/>
          <w:sz w:val="24"/>
          <w:highlight w:val="none"/>
        </w:rPr>
        <w:t>【招标编号：CTZB-2024040039】</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Arial" w:hAnsi="Arial"/>
          <w:b/>
          <w:color w:val="auto"/>
          <w:sz w:val="24"/>
          <w:highlight w:val="none"/>
        </w:rPr>
      </w:pPr>
      <w:r>
        <w:rPr>
          <w:rFonts w:hint="eastAsia" w:ascii="Arial" w:hAnsi="Arial"/>
          <w:b/>
          <w:color w:val="auto"/>
          <w:sz w:val="24"/>
          <w:highlight w:val="none"/>
        </w:rPr>
        <w:t>中小企业声明函（货物）</w:t>
      </w:r>
    </w:p>
    <w:p>
      <w:pPr>
        <w:spacing w:line="360" w:lineRule="auto"/>
        <w:jc w:val="center"/>
        <w:rPr>
          <w:rFonts w:ascii="Arial" w:hAnsi="Arial" w:cs="宋体"/>
          <w:color w:val="auto"/>
          <w:kern w:val="0"/>
          <w:sz w:val="24"/>
          <w:highlight w:val="none"/>
        </w:rPr>
      </w:pPr>
    </w:p>
    <w:p>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本公司郑重声明，根据《政府采购促进中小企业发展管理办法》（财库﹝2020﹞46 号）的规定，本公司参加</w:t>
      </w:r>
      <w:r>
        <w:rPr>
          <w:rFonts w:hint="eastAsia" w:ascii="Arial" w:hAnsi="Arial"/>
          <w:color w:val="auto"/>
          <w:sz w:val="24"/>
          <w:highlight w:val="none"/>
          <w:u w:val="single"/>
        </w:rPr>
        <w:t xml:space="preserve">  （采购人名称）  </w:t>
      </w:r>
      <w:r>
        <w:rPr>
          <w:rFonts w:hint="eastAsia" w:ascii="Arial" w:hAnsi="Arial"/>
          <w:color w:val="auto"/>
          <w:sz w:val="24"/>
          <w:highlight w:val="none"/>
        </w:rPr>
        <w:t>的</w:t>
      </w:r>
      <w:r>
        <w:rPr>
          <w:rFonts w:hint="eastAsia" w:ascii="Arial" w:hAnsi="Arial"/>
          <w:color w:val="auto"/>
          <w:sz w:val="24"/>
          <w:highlight w:val="none"/>
          <w:u w:val="single"/>
        </w:rPr>
        <w:t xml:space="preserve">  （项目名称）  </w:t>
      </w:r>
      <w:r>
        <w:rPr>
          <w:rFonts w:hint="eastAsia" w:ascii="Arial" w:hAnsi="Arial"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1、</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2、</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3、</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w:t>
      </w:r>
    </w:p>
    <w:p>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本企业对上述声明内容的真实性负责。如有虚假，将依法承担相应责任。</w:t>
      </w:r>
    </w:p>
    <w:p>
      <w:pPr>
        <w:spacing w:line="360" w:lineRule="auto"/>
        <w:jc w:val="left"/>
        <w:rPr>
          <w:rFonts w:ascii="Arial" w:hAnsi="Arial" w:cs="宋体"/>
          <w:color w:val="auto"/>
          <w:sz w:val="24"/>
          <w:highlight w:val="none"/>
        </w:rPr>
      </w:pPr>
    </w:p>
    <w:p>
      <w:pPr>
        <w:adjustRightInd/>
        <w:snapToGrid w:val="0"/>
        <w:spacing w:line="360" w:lineRule="auto"/>
        <w:rPr>
          <w:rFonts w:ascii="Arial" w:hAnsi="Arial"/>
          <w:color w:val="auto"/>
          <w:sz w:val="24"/>
          <w:highlight w:val="none"/>
        </w:rPr>
      </w:pPr>
      <w:r>
        <w:rPr>
          <w:rFonts w:hint="eastAsia" w:ascii="Arial" w:hAnsi="Arial"/>
          <w:color w:val="auto"/>
          <w:sz w:val="24"/>
          <w:highlight w:val="none"/>
        </w:rPr>
        <w:t>企业名称（盖章）：</w:t>
      </w:r>
    </w:p>
    <w:p>
      <w:pPr>
        <w:adjustRightInd/>
        <w:snapToGrid w:val="0"/>
        <w:spacing w:line="360" w:lineRule="auto"/>
        <w:rPr>
          <w:rFonts w:ascii="Arial" w:hAnsi="Arial"/>
          <w:color w:val="auto"/>
          <w:sz w:val="24"/>
          <w:highlight w:val="none"/>
        </w:rPr>
      </w:pPr>
      <w:r>
        <w:rPr>
          <w:rFonts w:hint="eastAsia" w:ascii="Arial" w:hAnsi="Arial"/>
          <w:color w:val="auto"/>
          <w:sz w:val="24"/>
          <w:highlight w:val="none"/>
        </w:rPr>
        <w:t>日期：</w:t>
      </w:r>
    </w:p>
    <w:p>
      <w:pPr>
        <w:adjustRightInd/>
        <w:snapToGrid w:val="0"/>
        <w:spacing w:line="360" w:lineRule="auto"/>
        <w:rPr>
          <w:rFonts w:ascii="Arial" w:hAnsi="Arial"/>
          <w:color w:val="auto"/>
          <w:sz w:val="24"/>
          <w:highlight w:val="none"/>
          <w:u w:val="single"/>
        </w:rPr>
      </w:pPr>
      <w:r>
        <w:rPr>
          <w:rFonts w:hint="eastAsia" w:ascii="Arial" w:hAnsi="Arial"/>
          <w:color w:val="auto"/>
          <w:sz w:val="24"/>
          <w:highlight w:val="none"/>
          <w:u w:val="single"/>
        </w:rPr>
        <w:t xml:space="preserve">                  </w:t>
      </w:r>
    </w:p>
    <w:p>
      <w:pPr>
        <w:spacing w:line="360" w:lineRule="auto"/>
        <w:rPr>
          <w:rFonts w:ascii="Arial" w:hAnsi="Arial" w:cs="宋体"/>
          <w:color w:val="auto"/>
          <w:kern w:val="0"/>
          <w:sz w:val="24"/>
          <w:highlight w:val="none"/>
        </w:rPr>
      </w:pPr>
      <w:r>
        <w:rPr>
          <w:rFonts w:hint="eastAsia" w:ascii="Arial" w:hAnsi="Arial" w:cs="宋体"/>
          <w:color w:val="auto"/>
          <w:kern w:val="0"/>
          <w:sz w:val="24"/>
          <w:highlight w:val="none"/>
          <w:vertAlign w:val="superscript"/>
        </w:rPr>
        <w:t>1</w:t>
      </w:r>
      <w:r>
        <w:rPr>
          <w:rFonts w:hint="eastAsia" w:ascii="Arial" w:hAnsi="Arial" w:cs="宋体"/>
          <w:color w:val="auto"/>
          <w:kern w:val="0"/>
          <w:sz w:val="24"/>
          <w:highlight w:val="none"/>
        </w:rPr>
        <w:t>从业人员、营业收入、资产总额填报上一年度数据，无上一年度数据的新成立企业可不填报。</w:t>
      </w:r>
    </w:p>
    <w:p>
      <w:pPr>
        <w:spacing w:line="360" w:lineRule="auto"/>
        <w:rPr>
          <w:rFonts w:ascii="Arial" w:hAnsi="Arial" w:cs="宋体"/>
          <w:b/>
          <w:bCs/>
          <w:color w:val="auto"/>
          <w:kern w:val="0"/>
          <w:sz w:val="24"/>
          <w:highlight w:val="none"/>
        </w:rPr>
      </w:pPr>
      <w:r>
        <w:rPr>
          <w:rFonts w:hint="eastAsia" w:ascii="Arial" w:hAnsi="Arial" w:cs="宋体"/>
          <w:b/>
          <w:bCs/>
          <w:color w:val="auto"/>
          <w:kern w:val="0"/>
          <w:sz w:val="24"/>
          <w:highlight w:val="none"/>
        </w:rPr>
        <w:t>注：</w:t>
      </w:r>
    </w:p>
    <w:p>
      <w:pPr>
        <w:numPr>
          <w:ilvl w:val="0"/>
          <w:numId w:val="5"/>
        </w:numPr>
        <w:adjustRightInd/>
        <w:snapToGrid w:val="0"/>
        <w:spacing w:line="360" w:lineRule="auto"/>
        <w:ind w:firstLine="480" w:firstLineChars="200"/>
        <w:rPr>
          <w:rFonts w:ascii="Arial" w:hAnsi="Arial" w:cs="宋体"/>
          <w:color w:val="auto"/>
          <w:kern w:val="0"/>
          <w:sz w:val="24"/>
          <w:highlight w:val="none"/>
        </w:rPr>
      </w:pPr>
      <w:r>
        <w:rPr>
          <w:rFonts w:hint="eastAsia" w:ascii="Arial" w:hAnsi="Arial" w:cs="宋体"/>
          <w:color w:val="auto"/>
          <w:kern w:val="0"/>
          <w:sz w:val="24"/>
          <w:highlight w:val="none"/>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numPr>
          <w:ilvl w:val="0"/>
          <w:numId w:val="5"/>
        </w:numPr>
        <w:adjustRightInd/>
        <w:snapToGrid w:val="0"/>
        <w:spacing w:line="360" w:lineRule="auto"/>
        <w:ind w:firstLine="482" w:firstLineChars="200"/>
        <w:rPr>
          <w:rFonts w:ascii="Arial" w:hAnsi="Arial"/>
          <w:b/>
          <w:color w:val="auto"/>
          <w:sz w:val="24"/>
          <w:highlight w:val="none"/>
        </w:rPr>
      </w:pPr>
      <w:r>
        <w:rPr>
          <w:rFonts w:hint="eastAsia" w:ascii="Arial" w:hAnsi="Arial" w:cs="宋体"/>
          <w:b/>
          <w:bCs/>
          <w:color w:val="auto"/>
          <w:kern w:val="0"/>
          <w:sz w:val="24"/>
          <w:highlight w:val="none"/>
        </w:rPr>
        <w:t>如接受联合体投标的项目，所有联合体参与方均需提供本表。</w:t>
      </w:r>
    </w:p>
    <w:p>
      <w:pPr>
        <w:tabs>
          <w:tab w:val="left" w:pos="0"/>
        </w:tabs>
        <w:adjustRightInd/>
        <w:snapToGrid w:val="0"/>
        <w:spacing w:line="360" w:lineRule="auto"/>
        <w:rPr>
          <w:rFonts w:ascii="Arial" w:hAnsi="Arial" w:cs="宋体"/>
          <w:b/>
          <w:bCs/>
          <w:color w:val="auto"/>
          <w:kern w:val="0"/>
          <w:sz w:val="24"/>
          <w:highlight w:val="none"/>
        </w:rPr>
      </w:pPr>
      <w:r>
        <w:rPr>
          <w:rFonts w:hint="eastAsia" w:ascii="Arial" w:hAnsi="Arial" w:cs="宋体"/>
          <w:b/>
          <w:bCs/>
          <w:color w:val="auto"/>
          <w:kern w:val="0"/>
          <w:sz w:val="24"/>
          <w:highlight w:val="none"/>
        </w:rPr>
        <w:t>风险提示：</w:t>
      </w:r>
    </w:p>
    <w:p>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对于非面向联合体的项目，在货物采购项目中，供应商提供的货物既有中型企业造，也有小微企业制造的，不享受办法规定的小微企业扶持政策。</w:t>
      </w:r>
    </w:p>
    <w:p>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如提供本函应将《采购清单》中的全部投标产品制造商相关企业的具体情况列明。</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403" w:name="_Toc36110187"/>
    <w:bookmarkStart w:id="404" w:name="_Toc91899912"/>
    <w:bookmarkStart w:id="405" w:name="_Toc164085800"/>
    <w:bookmarkStart w:id="406" w:name="_Toc131845147"/>
    <w:r>
      <w:rPr>
        <w:rFonts w:hint="eastAsia" w:ascii="仿宋_GB2312" w:eastAsia="仿宋_GB2312"/>
        <w:kern w:val="0"/>
        <w:szCs w:val="21"/>
      </w:rPr>
      <w:t xml:space="preserve"> 页</w:t>
    </w:r>
    <w:bookmarkEnd w:id="403"/>
    <w:bookmarkEnd w:id="404"/>
    <w:bookmarkEnd w:id="405"/>
    <w:bookmarkEnd w:id="406"/>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6429"/>
    <w:multiLevelType w:val="singleLevel"/>
    <w:tmpl w:val="8E826429"/>
    <w:lvl w:ilvl="0" w:tentative="0">
      <w:start w:val="1"/>
      <w:numFmt w:val="decimal"/>
      <w:suff w:val="nothing"/>
      <w:lvlText w:val="%1、"/>
      <w:lvlJc w:val="left"/>
      <w:pPr>
        <w:tabs>
          <w:tab w:val="left" w:pos="0"/>
        </w:tabs>
      </w:pPr>
      <w:rPr>
        <w:rFonts w:hint="default" w:ascii="Arial" w:hAnsi="Arial"/>
      </w:rPr>
    </w:lvl>
  </w:abstractNum>
  <w:abstractNum w:abstractNumId="1">
    <w:nsid w:val="00000021"/>
    <w:multiLevelType w:val="singleLevel"/>
    <w:tmpl w:val="00000021"/>
    <w:lvl w:ilvl="0" w:tentative="0">
      <w:start w:val="1"/>
      <w:numFmt w:val="decimal"/>
      <w:suff w:val="nothing"/>
      <w:lvlText w:val="（%1）"/>
      <w:lvlJc w:val="left"/>
    </w:lvl>
  </w:abstractNum>
  <w:abstractNum w:abstractNumId="2">
    <w:nsid w:val="00000031"/>
    <w:multiLevelType w:val="singleLevel"/>
    <w:tmpl w:val="00000031"/>
    <w:lvl w:ilvl="0" w:tentative="0">
      <w:start w:val="1"/>
      <w:numFmt w:val="chineseCounting"/>
      <w:suff w:val="nothing"/>
      <w:lvlText w:val="%1、"/>
      <w:lvlJc w:val="left"/>
      <w:pPr>
        <w:ind w:left="0" w:firstLine="420"/>
      </w:pPr>
      <w:rPr>
        <w:rFonts w:hint="eastAsia"/>
      </w:rPr>
    </w:lvl>
  </w:abstractNum>
  <w:abstractNum w:abstractNumId="3">
    <w:nsid w:val="3550DB49"/>
    <w:multiLevelType w:val="singleLevel"/>
    <w:tmpl w:val="3550DB49"/>
    <w:lvl w:ilvl="0" w:tentative="0">
      <w:start w:val="1"/>
      <w:numFmt w:val="decimal"/>
      <w:suff w:val="nothing"/>
      <w:lvlText w:val="%1、"/>
      <w:lvlJc w:val="left"/>
    </w:lvl>
  </w:abstractNum>
  <w:abstractNum w:abstractNumId="4">
    <w:nsid w:val="630099AF"/>
    <w:multiLevelType w:val="singleLevel"/>
    <w:tmpl w:val="630099AF"/>
    <w:lvl w:ilvl="0" w:tentative="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ODQ0MWVhYTk3NzhjZTE1NGViMDYyOTZlM2UyN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1DE"/>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5EED"/>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4FE9"/>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CE4"/>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40"/>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9E"/>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2ED"/>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0A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E"/>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1D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81D"/>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523"/>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776"/>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F2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2FFD"/>
    <w:rsid w:val="006C3581"/>
    <w:rsid w:val="006C39A0"/>
    <w:rsid w:val="006C3EFE"/>
    <w:rsid w:val="006C432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10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FB3"/>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63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622"/>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684"/>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532"/>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E16"/>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98"/>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7D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B58"/>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97F6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11"/>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BC1"/>
    <w:rsid w:val="00CA5D57"/>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D66"/>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D"/>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A1E"/>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F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41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D8"/>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8A6"/>
    <w:rsid w:val="00FF2A7B"/>
    <w:rsid w:val="00FF3D2B"/>
    <w:rsid w:val="00FF49B4"/>
    <w:rsid w:val="00FF49F4"/>
    <w:rsid w:val="00FF5C6A"/>
    <w:rsid w:val="00FF651D"/>
    <w:rsid w:val="00FF6843"/>
    <w:rsid w:val="00FF6C25"/>
    <w:rsid w:val="010651D9"/>
    <w:rsid w:val="011E7D23"/>
    <w:rsid w:val="011F6449"/>
    <w:rsid w:val="01236AFB"/>
    <w:rsid w:val="019F7441"/>
    <w:rsid w:val="01B37585"/>
    <w:rsid w:val="01D55165"/>
    <w:rsid w:val="01DF6BF8"/>
    <w:rsid w:val="01E97344"/>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50D4"/>
    <w:rsid w:val="048F763B"/>
    <w:rsid w:val="049F330E"/>
    <w:rsid w:val="04AA775C"/>
    <w:rsid w:val="04AF1889"/>
    <w:rsid w:val="04F66F48"/>
    <w:rsid w:val="05251E14"/>
    <w:rsid w:val="05281683"/>
    <w:rsid w:val="059F12CB"/>
    <w:rsid w:val="05A16594"/>
    <w:rsid w:val="05A7762D"/>
    <w:rsid w:val="05E6627F"/>
    <w:rsid w:val="05F11A75"/>
    <w:rsid w:val="060E5941"/>
    <w:rsid w:val="06110FAF"/>
    <w:rsid w:val="06493CA7"/>
    <w:rsid w:val="065A6178"/>
    <w:rsid w:val="066F1CF3"/>
    <w:rsid w:val="06930BB8"/>
    <w:rsid w:val="06943233"/>
    <w:rsid w:val="06F63BC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529BD"/>
    <w:rsid w:val="09772C16"/>
    <w:rsid w:val="098353B5"/>
    <w:rsid w:val="09A92330"/>
    <w:rsid w:val="09B06B87"/>
    <w:rsid w:val="09C13146"/>
    <w:rsid w:val="09E04166"/>
    <w:rsid w:val="0A1C0718"/>
    <w:rsid w:val="0A3E7710"/>
    <w:rsid w:val="0A5B7E63"/>
    <w:rsid w:val="0AA374A5"/>
    <w:rsid w:val="0AAB7649"/>
    <w:rsid w:val="0ABC5606"/>
    <w:rsid w:val="0AEB73DB"/>
    <w:rsid w:val="0B30404E"/>
    <w:rsid w:val="0B4C6C14"/>
    <w:rsid w:val="0B547599"/>
    <w:rsid w:val="0B631A88"/>
    <w:rsid w:val="0B683D45"/>
    <w:rsid w:val="0B7F3F11"/>
    <w:rsid w:val="0B884417"/>
    <w:rsid w:val="0BF235E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F7534"/>
    <w:rsid w:val="0D4A7419"/>
    <w:rsid w:val="0D784CA6"/>
    <w:rsid w:val="0D827401"/>
    <w:rsid w:val="0D84094E"/>
    <w:rsid w:val="0D875BAC"/>
    <w:rsid w:val="0D8A00E9"/>
    <w:rsid w:val="0D8D589E"/>
    <w:rsid w:val="0DA01C73"/>
    <w:rsid w:val="0DB4013F"/>
    <w:rsid w:val="0DD63300"/>
    <w:rsid w:val="0DDF73FD"/>
    <w:rsid w:val="0DF50604"/>
    <w:rsid w:val="0DF702FE"/>
    <w:rsid w:val="0E060E51"/>
    <w:rsid w:val="0E5604B2"/>
    <w:rsid w:val="0E6D5D79"/>
    <w:rsid w:val="0E9D0089"/>
    <w:rsid w:val="0EB803EE"/>
    <w:rsid w:val="0EF94D4B"/>
    <w:rsid w:val="0F3B6B7B"/>
    <w:rsid w:val="0F4958DC"/>
    <w:rsid w:val="0F515DF7"/>
    <w:rsid w:val="0F596BA8"/>
    <w:rsid w:val="0F6248D2"/>
    <w:rsid w:val="0F693536"/>
    <w:rsid w:val="0F7B0511"/>
    <w:rsid w:val="0F7B76D9"/>
    <w:rsid w:val="0F816ACD"/>
    <w:rsid w:val="0F9832DB"/>
    <w:rsid w:val="0FBF3FD2"/>
    <w:rsid w:val="0FBF7FF3"/>
    <w:rsid w:val="104A7C7A"/>
    <w:rsid w:val="10646583"/>
    <w:rsid w:val="107D4B15"/>
    <w:rsid w:val="108A3C80"/>
    <w:rsid w:val="10C26171"/>
    <w:rsid w:val="10F33360"/>
    <w:rsid w:val="10FC16EA"/>
    <w:rsid w:val="11034D52"/>
    <w:rsid w:val="110F1D40"/>
    <w:rsid w:val="11266F33"/>
    <w:rsid w:val="118963A1"/>
    <w:rsid w:val="11C6522A"/>
    <w:rsid w:val="11E104CC"/>
    <w:rsid w:val="11E20309"/>
    <w:rsid w:val="11F172D3"/>
    <w:rsid w:val="12121FAB"/>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40D5F"/>
    <w:rsid w:val="16A8729C"/>
    <w:rsid w:val="16B33777"/>
    <w:rsid w:val="16B90C51"/>
    <w:rsid w:val="16BC70A7"/>
    <w:rsid w:val="16C6339E"/>
    <w:rsid w:val="172F2D79"/>
    <w:rsid w:val="17557BEF"/>
    <w:rsid w:val="17944BDB"/>
    <w:rsid w:val="17D349C1"/>
    <w:rsid w:val="1830729E"/>
    <w:rsid w:val="1870062C"/>
    <w:rsid w:val="18765C25"/>
    <w:rsid w:val="18817102"/>
    <w:rsid w:val="18830A15"/>
    <w:rsid w:val="18852B28"/>
    <w:rsid w:val="188B5321"/>
    <w:rsid w:val="18AF21DF"/>
    <w:rsid w:val="19932372"/>
    <w:rsid w:val="19A20DD5"/>
    <w:rsid w:val="19AE03F1"/>
    <w:rsid w:val="1A071A03"/>
    <w:rsid w:val="1A1F16AE"/>
    <w:rsid w:val="1A3B5C77"/>
    <w:rsid w:val="1A984BAD"/>
    <w:rsid w:val="1AB8220E"/>
    <w:rsid w:val="1AC6545D"/>
    <w:rsid w:val="1AE4166C"/>
    <w:rsid w:val="1AF06CFB"/>
    <w:rsid w:val="1AF11B8D"/>
    <w:rsid w:val="1B11359C"/>
    <w:rsid w:val="1B2A271F"/>
    <w:rsid w:val="1B530544"/>
    <w:rsid w:val="1B713184"/>
    <w:rsid w:val="1BA209CF"/>
    <w:rsid w:val="1BB4777D"/>
    <w:rsid w:val="1BD75AB8"/>
    <w:rsid w:val="1BF87D6F"/>
    <w:rsid w:val="1C0459C2"/>
    <w:rsid w:val="1C1B3B4A"/>
    <w:rsid w:val="1C88086E"/>
    <w:rsid w:val="1D266CE1"/>
    <w:rsid w:val="1D3963AF"/>
    <w:rsid w:val="1D6A673C"/>
    <w:rsid w:val="1D9247AE"/>
    <w:rsid w:val="1DB567EC"/>
    <w:rsid w:val="1DB9461B"/>
    <w:rsid w:val="1DC51F84"/>
    <w:rsid w:val="1DE417EA"/>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238B8"/>
    <w:rsid w:val="216133FC"/>
    <w:rsid w:val="2193296F"/>
    <w:rsid w:val="21D56769"/>
    <w:rsid w:val="21E52EF3"/>
    <w:rsid w:val="21FB5D7B"/>
    <w:rsid w:val="22015E94"/>
    <w:rsid w:val="220B1C3D"/>
    <w:rsid w:val="221D1D20"/>
    <w:rsid w:val="22334A87"/>
    <w:rsid w:val="224C26A5"/>
    <w:rsid w:val="22BE6801"/>
    <w:rsid w:val="22F76B7B"/>
    <w:rsid w:val="233500BF"/>
    <w:rsid w:val="23377FF7"/>
    <w:rsid w:val="236B425F"/>
    <w:rsid w:val="23803555"/>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A7DB8"/>
    <w:rsid w:val="26871DC8"/>
    <w:rsid w:val="26A53EF9"/>
    <w:rsid w:val="26A94201"/>
    <w:rsid w:val="26AC274F"/>
    <w:rsid w:val="26BC386C"/>
    <w:rsid w:val="27044A29"/>
    <w:rsid w:val="27063507"/>
    <w:rsid w:val="270A70D1"/>
    <w:rsid w:val="271D34C8"/>
    <w:rsid w:val="275533BC"/>
    <w:rsid w:val="276142BF"/>
    <w:rsid w:val="27783712"/>
    <w:rsid w:val="27907362"/>
    <w:rsid w:val="27A27B40"/>
    <w:rsid w:val="27BA3F65"/>
    <w:rsid w:val="28333E1D"/>
    <w:rsid w:val="28454BD6"/>
    <w:rsid w:val="28455253"/>
    <w:rsid w:val="28551971"/>
    <w:rsid w:val="285B1C53"/>
    <w:rsid w:val="289F7086"/>
    <w:rsid w:val="28C32028"/>
    <w:rsid w:val="28CC490F"/>
    <w:rsid w:val="28DE40AA"/>
    <w:rsid w:val="29345E77"/>
    <w:rsid w:val="294C65AD"/>
    <w:rsid w:val="29806583"/>
    <w:rsid w:val="298B3C4C"/>
    <w:rsid w:val="29A529F3"/>
    <w:rsid w:val="29F26D24"/>
    <w:rsid w:val="2A15033F"/>
    <w:rsid w:val="2A1662C1"/>
    <w:rsid w:val="2A1C7367"/>
    <w:rsid w:val="2A2815FA"/>
    <w:rsid w:val="2A6B7251"/>
    <w:rsid w:val="2A6D6092"/>
    <w:rsid w:val="2A7D76B4"/>
    <w:rsid w:val="2A9229E9"/>
    <w:rsid w:val="2B437463"/>
    <w:rsid w:val="2B7807EE"/>
    <w:rsid w:val="2BA50BF7"/>
    <w:rsid w:val="2BBF00EC"/>
    <w:rsid w:val="2BC37CFD"/>
    <w:rsid w:val="2BD5237F"/>
    <w:rsid w:val="2BE536CE"/>
    <w:rsid w:val="2BE758D9"/>
    <w:rsid w:val="2C09049E"/>
    <w:rsid w:val="2C0A653C"/>
    <w:rsid w:val="2C191F85"/>
    <w:rsid w:val="2C851AC3"/>
    <w:rsid w:val="2CCB2770"/>
    <w:rsid w:val="2CE82D6F"/>
    <w:rsid w:val="2D343236"/>
    <w:rsid w:val="2D5C23F2"/>
    <w:rsid w:val="2DD15014"/>
    <w:rsid w:val="2DF72DE4"/>
    <w:rsid w:val="2E0220AF"/>
    <w:rsid w:val="2E4B082A"/>
    <w:rsid w:val="2E5504FD"/>
    <w:rsid w:val="2E5D4E86"/>
    <w:rsid w:val="2E5D790B"/>
    <w:rsid w:val="2E8C79A3"/>
    <w:rsid w:val="2E9A3C18"/>
    <w:rsid w:val="2EBB0FEE"/>
    <w:rsid w:val="2EC63002"/>
    <w:rsid w:val="2F0A6B38"/>
    <w:rsid w:val="2F946CCB"/>
    <w:rsid w:val="2FD25781"/>
    <w:rsid w:val="2FDC745C"/>
    <w:rsid w:val="2FFD7934"/>
    <w:rsid w:val="305D5DD5"/>
    <w:rsid w:val="30733ACD"/>
    <w:rsid w:val="308C3862"/>
    <w:rsid w:val="309379D8"/>
    <w:rsid w:val="30A270F7"/>
    <w:rsid w:val="30DF1478"/>
    <w:rsid w:val="30EC586F"/>
    <w:rsid w:val="314550B7"/>
    <w:rsid w:val="31501496"/>
    <w:rsid w:val="31701A99"/>
    <w:rsid w:val="319C6071"/>
    <w:rsid w:val="31AC537E"/>
    <w:rsid w:val="31E3679B"/>
    <w:rsid w:val="31E732FD"/>
    <w:rsid w:val="32131A00"/>
    <w:rsid w:val="324E17F5"/>
    <w:rsid w:val="32517576"/>
    <w:rsid w:val="32BE5C2C"/>
    <w:rsid w:val="32FB6478"/>
    <w:rsid w:val="33263B3F"/>
    <w:rsid w:val="336963EB"/>
    <w:rsid w:val="33816EEB"/>
    <w:rsid w:val="33EB55CD"/>
    <w:rsid w:val="33EC4C02"/>
    <w:rsid w:val="340D2360"/>
    <w:rsid w:val="3410665D"/>
    <w:rsid w:val="34211214"/>
    <w:rsid w:val="342D54AE"/>
    <w:rsid w:val="342E63AB"/>
    <w:rsid w:val="348712AF"/>
    <w:rsid w:val="34950E68"/>
    <w:rsid w:val="34986E94"/>
    <w:rsid w:val="34AF62C9"/>
    <w:rsid w:val="34BA212D"/>
    <w:rsid w:val="34CB4388"/>
    <w:rsid w:val="34FA6E12"/>
    <w:rsid w:val="35113DB1"/>
    <w:rsid w:val="354D7158"/>
    <w:rsid w:val="358D5588"/>
    <w:rsid w:val="35B64880"/>
    <w:rsid w:val="35E64C4C"/>
    <w:rsid w:val="362E51E7"/>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DA785F"/>
    <w:rsid w:val="39184F8F"/>
    <w:rsid w:val="39636459"/>
    <w:rsid w:val="396B7F6C"/>
    <w:rsid w:val="39A4659C"/>
    <w:rsid w:val="39B417A9"/>
    <w:rsid w:val="39FC5695"/>
    <w:rsid w:val="3A006D8E"/>
    <w:rsid w:val="3A3651E5"/>
    <w:rsid w:val="3A744481"/>
    <w:rsid w:val="3A8C7BEF"/>
    <w:rsid w:val="3A906246"/>
    <w:rsid w:val="3AC25EC7"/>
    <w:rsid w:val="3ADD0679"/>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7088B"/>
    <w:rsid w:val="3CF200C1"/>
    <w:rsid w:val="3D3C7F39"/>
    <w:rsid w:val="3D440F09"/>
    <w:rsid w:val="3D4504A0"/>
    <w:rsid w:val="3D8734BB"/>
    <w:rsid w:val="3D9A11D4"/>
    <w:rsid w:val="3DA16D89"/>
    <w:rsid w:val="3DA364BE"/>
    <w:rsid w:val="3DAA5B50"/>
    <w:rsid w:val="3DE041CB"/>
    <w:rsid w:val="3E0D48F6"/>
    <w:rsid w:val="3E1868B4"/>
    <w:rsid w:val="3E377251"/>
    <w:rsid w:val="3E42664B"/>
    <w:rsid w:val="3E5A7334"/>
    <w:rsid w:val="3E7B5D6B"/>
    <w:rsid w:val="3E843E66"/>
    <w:rsid w:val="3E8F51FE"/>
    <w:rsid w:val="3E926F87"/>
    <w:rsid w:val="3E9A59DE"/>
    <w:rsid w:val="3EAF4836"/>
    <w:rsid w:val="3EB43A28"/>
    <w:rsid w:val="3EC33DFA"/>
    <w:rsid w:val="3F060E16"/>
    <w:rsid w:val="3F1D1096"/>
    <w:rsid w:val="3F2F0234"/>
    <w:rsid w:val="3F6363FE"/>
    <w:rsid w:val="3F756B8F"/>
    <w:rsid w:val="3F842616"/>
    <w:rsid w:val="3F95482B"/>
    <w:rsid w:val="3FF85399"/>
    <w:rsid w:val="4019356B"/>
    <w:rsid w:val="40592157"/>
    <w:rsid w:val="406E1CAE"/>
    <w:rsid w:val="40A0133A"/>
    <w:rsid w:val="40C31A53"/>
    <w:rsid w:val="40FF545D"/>
    <w:rsid w:val="410067C8"/>
    <w:rsid w:val="4141683E"/>
    <w:rsid w:val="417740EE"/>
    <w:rsid w:val="418F0D2A"/>
    <w:rsid w:val="41D01505"/>
    <w:rsid w:val="421506B4"/>
    <w:rsid w:val="423B298F"/>
    <w:rsid w:val="42474939"/>
    <w:rsid w:val="424C3C57"/>
    <w:rsid w:val="42613FF3"/>
    <w:rsid w:val="42660D96"/>
    <w:rsid w:val="428667D2"/>
    <w:rsid w:val="429A76AC"/>
    <w:rsid w:val="42CC5472"/>
    <w:rsid w:val="42CD1CE0"/>
    <w:rsid w:val="42E1381E"/>
    <w:rsid w:val="42ED6459"/>
    <w:rsid w:val="42FE58DD"/>
    <w:rsid w:val="43174B3D"/>
    <w:rsid w:val="434B790E"/>
    <w:rsid w:val="435A7FDB"/>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76559"/>
    <w:rsid w:val="46893F2B"/>
    <w:rsid w:val="46C4686E"/>
    <w:rsid w:val="46E04819"/>
    <w:rsid w:val="46FF107D"/>
    <w:rsid w:val="470B6133"/>
    <w:rsid w:val="47734476"/>
    <w:rsid w:val="477B778F"/>
    <w:rsid w:val="478203EC"/>
    <w:rsid w:val="47A07396"/>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D6398F"/>
    <w:rsid w:val="4AEB7664"/>
    <w:rsid w:val="4AEC6C7C"/>
    <w:rsid w:val="4AF03209"/>
    <w:rsid w:val="4AFD7C19"/>
    <w:rsid w:val="4B0567D1"/>
    <w:rsid w:val="4B236AAE"/>
    <w:rsid w:val="4B707271"/>
    <w:rsid w:val="4B9739F7"/>
    <w:rsid w:val="4BA81261"/>
    <w:rsid w:val="4BEE2503"/>
    <w:rsid w:val="4C245A30"/>
    <w:rsid w:val="4CB6685F"/>
    <w:rsid w:val="4CC367FE"/>
    <w:rsid w:val="4D077F3C"/>
    <w:rsid w:val="4D123355"/>
    <w:rsid w:val="4D2A3B31"/>
    <w:rsid w:val="4D312C52"/>
    <w:rsid w:val="4D905305"/>
    <w:rsid w:val="4D964A72"/>
    <w:rsid w:val="4D9C1254"/>
    <w:rsid w:val="4DD202D7"/>
    <w:rsid w:val="4E3C4E24"/>
    <w:rsid w:val="4E5E3E4B"/>
    <w:rsid w:val="4E606D65"/>
    <w:rsid w:val="4E793892"/>
    <w:rsid w:val="4E800872"/>
    <w:rsid w:val="4EC569ED"/>
    <w:rsid w:val="4ED50EA1"/>
    <w:rsid w:val="4EEC050C"/>
    <w:rsid w:val="4F104EC3"/>
    <w:rsid w:val="4F47354A"/>
    <w:rsid w:val="4F820B32"/>
    <w:rsid w:val="4F911C54"/>
    <w:rsid w:val="4FE625E0"/>
    <w:rsid w:val="5021480F"/>
    <w:rsid w:val="504D7AC8"/>
    <w:rsid w:val="50551558"/>
    <w:rsid w:val="50962ECB"/>
    <w:rsid w:val="50A42E38"/>
    <w:rsid w:val="50A4577F"/>
    <w:rsid w:val="50B73D1F"/>
    <w:rsid w:val="50BD5BC9"/>
    <w:rsid w:val="50C11EEE"/>
    <w:rsid w:val="50E97CFC"/>
    <w:rsid w:val="50FA4028"/>
    <w:rsid w:val="510D65B7"/>
    <w:rsid w:val="511157AB"/>
    <w:rsid w:val="511B52B6"/>
    <w:rsid w:val="5142540C"/>
    <w:rsid w:val="515C2152"/>
    <w:rsid w:val="518832C8"/>
    <w:rsid w:val="519D3C50"/>
    <w:rsid w:val="51A0432A"/>
    <w:rsid w:val="51A86090"/>
    <w:rsid w:val="51B7396D"/>
    <w:rsid w:val="522E4CC3"/>
    <w:rsid w:val="5244713B"/>
    <w:rsid w:val="52615633"/>
    <w:rsid w:val="52635075"/>
    <w:rsid w:val="526F4DE4"/>
    <w:rsid w:val="52936DF7"/>
    <w:rsid w:val="52977FD4"/>
    <w:rsid w:val="52A25790"/>
    <w:rsid w:val="52A96B6F"/>
    <w:rsid w:val="52B45975"/>
    <w:rsid w:val="52D94AA4"/>
    <w:rsid w:val="52EA3A62"/>
    <w:rsid w:val="52F50BB8"/>
    <w:rsid w:val="53097272"/>
    <w:rsid w:val="53544462"/>
    <w:rsid w:val="5397158E"/>
    <w:rsid w:val="53E31D8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97871"/>
    <w:rsid w:val="569F06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10C81"/>
    <w:rsid w:val="5AD63A24"/>
    <w:rsid w:val="5B2E1A1D"/>
    <w:rsid w:val="5B843A1C"/>
    <w:rsid w:val="5B873E3F"/>
    <w:rsid w:val="5BA43FD2"/>
    <w:rsid w:val="5C02690E"/>
    <w:rsid w:val="5C0E7531"/>
    <w:rsid w:val="5C196DA7"/>
    <w:rsid w:val="5C2A048C"/>
    <w:rsid w:val="5C2F11CB"/>
    <w:rsid w:val="5C80234E"/>
    <w:rsid w:val="5C8A680C"/>
    <w:rsid w:val="5CA45D12"/>
    <w:rsid w:val="5D0C4701"/>
    <w:rsid w:val="5D0F0395"/>
    <w:rsid w:val="5D221076"/>
    <w:rsid w:val="5D397964"/>
    <w:rsid w:val="5D5A391C"/>
    <w:rsid w:val="5D5F10C0"/>
    <w:rsid w:val="5D61614D"/>
    <w:rsid w:val="5D6475EF"/>
    <w:rsid w:val="5D891B7B"/>
    <w:rsid w:val="5DAD38EE"/>
    <w:rsid w:val="5E006862"/>
    <w:rsid w:val="5E0207B9"/>
    <w:rsid w:val="5E1834A1"/>
    <w:rsid w:val="5E261785"/>
    <w:rsid w:val="5E4A7017"/>
    <w:rsid w:val="5E552BBA"/>
    <w:rsid w:val="5E611C10"/>
    <w:rsid w:val="5E7A0F3F"/>
    <w:rsid w:val="5E9B16F3"/>
    <w:rsid w:val="5EFC7377"/>
    <w:rsid w:val="5F06174D"/>
    <w:rsid w:val="5F3A3602"/>
    <w:rsid w:val="5F45733B"/>
    <w:rsid w:val="5F6277C6"/>
    <w:rsid w:val="5F6D0B1D"/>
    <w:rsid w:val="5F8D0B82"/>
    <w:rsid w:val="5FCC5339"/>
    <w:rsid w:val="5FE34A5B"/>
    <w:rsid w:val="5FFE1E36"/>
    <w:rsid w:val="600E0D6D"/>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523B1"/>
    <w:rsid w:val="62885958"/>
    <w:rsid w:val="62F40B65"/>
    <w:rsid w:val="62FC2CFE"/>
    <w:rsid w:val="63024505"/>
    <w:rsid w:val="635600A5"/>
    <w:rsid w:val="635B1DB5"/>
    <w:rsid w:val="63711FED"/>
    <w:rsid w:val="63880DDC"/>
    <w:rsid w:val="638D750D"/>
    <w:rsid w:val="63AC6CC0"/>
    <w:rsid w:val="64055776"/>
    <w:rsid w:val="64240056"/>
    <w:rsid w:val="64372446"/>
    <w:rsid w:val="643E143A"/>
    <w:rsid w:val="64491666"/>
    <w:rsid w:val="648B6EEF"/>
    <w:rsid w:val="648F1206"/>
    <w:rsid w:val="64C158BF"/>
    <w:rsid w:val="64CE2EAA"/>
    <w:rsid w:val="653C3090"/>
    <w:rsid w:val="655C29BA"/>
    <w:rsid w:val="65854376"/>
    <w:rsid w:val="658767BE"/>
    <w:rsid w:val="65892531"/>
    <w:rsid w:val="66195831"/>
    <w:rsid w:val="662B7800"/>
    <w:rsid w:val="662E75B1"/>
    <w:rsid w:val="66342C2E"/>
    <w:rsid w:val="663E784C"/>
    <w:rsid w:val="668B6A45"/>
    <w:rsid w:val="67011F07"/>
    <w:rsid w:val="672F3F24"/>
    <w:rsid w:val="67317098"/>
    <w:rsid w:val="673E055F"/>
    <w:rsid w:val="67551CE3"/>
    <w:rsid w:val="679D07CE"/>
    <w:rsid w:val="67A22552"/>
    <w:rsid w:val="67B22DCC"/>
    <w:rsid w:val="67BE0201"/>
    <w:rsid w:val="67BE71AA"/>
    <w:rsid w:val="67D90273"/>
    <w:rsid w:val="67DE5875"/>
    <w:rsid w:val="67E55852"/>
    <w:rsid w:val="67EB1AB4"/>
    <w:rsid w:val="67FA1285"/>
    <w:rsid w:val="6845482A"/>
    <w:rsid w:val="68551F4F"/>
    <w:rsid w:val="68670E46"/>
    <w:rsid w:val="687C10C9"/>
    <w:rsid w:val="68840C16"/>
    <w:rsid w:val="68872541"/>
    <w:rsid w:val="68876EFB"/>
    <w:rsid w:val="68884654"/>
    <w:rsid w:val="689F444F"/>
    <w:rsid w:val="68B96DBB"/>
    <w:rsid w:val="68CA2805"/>
    <w:rsid w:val="68E937A3"/>
    <w:rsid w:val="690670F7"/>
    <w:rsid w:val="691664E5"/>
    <w:rsid w:val="693E15D3"/>
    <w:rsid w:val="69627681"/>
    <w:rsid w:val="6977531D"/>
    <w:rsid w:val="69C339CC"/>
    <w:rsid w:val="69CC2BFF"/>
    <w:rsid w:val="69FD55B8"/>
    <w:rsid w:val="6A0B1C62"/>
    <w:rsid w:val="6A2406C8"/>
    <w:rsid w:val="6ADE0BD1"/>
    <w:rsid w:val="6ADF0BB9"/>
    <w:rsid w:val="6AE96859"/>
    <w:rsid w:val="6B147746"/>
    <w:rsid w:val="6B24787C"/>
    <w:rsid w:val="6B4A14C9"/>
    <w:rsid w:val="6B573233"/>
    <w:rsid w:val="6B5B6274"/>
    <w:rsid w:val="6B935D53"/>
    <w:rsid w:val="6C196F71"/>
    <w:rsid w:val="6C226FCB"/>
    <w:rsid w:val="6C31226F"/>
    <w:rsid w:val="6C4517B8"/>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967AC"/>
    <w:rsid w:val="70F0232B"/>
    <w:rsid w:val="70F5661B"/>
    <w:rsid w:val="71360107"/>
    <w:rsid w:val="713B688E"/>
    <w:rsid w:val="71D43752"/>
    <w:rsid w:val="71E22D85"/>
    <w:rsid w:val="71F1796A"/>
    <w:rsid w:val="72154626"/>
    <w:rsid w:val="72262B5D"/>
    <w:rsid w:val="72283FF7"/>
    <w:rsid w:val="722E7212"/>
    <w:rsid w:val="723A0474"/>
    <w:rsid w:val="723A047C"/>
    <w:rsid w:val="725923E4"/>
    <w:rsid w:val="72864BF7"/>
    <w:rsid w:val="729023FC"/>
    <w:rsid w:val="729D55E2"/>
    <w:rsid w:val="73B7146B"/>
    <w:rsid w:val="73C0646E"/>
    <w:rsid w:val="742222F5"/>
    <w:rsid w:val="74476126"/>
    <w:rsid w:val="74706664"/>
    <w:rsid w:val="747F3682"/>
    <w:rsid w:val="748C4324"/>
    <w:rsid w:val="749C4185"/>
    <w:rsid w:val="74C74B98"/>
    <w:rsid w:val="74F8282B"/>
    <w:rsid w:val="75067759"/>
    <w:rsid w:val="75067CEF"/>
    <w:rsid w:val="75083B63"/>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173F28"/>
    <w:rsid w:val="77253FE2"/>
    <w:rsid w:val="77340A39"/>
    <w:rsid w:val="77351FD0"/>
    <w:rsid w:val="77472422"/>
    <w:rsid w:val="775F779B"/>
    <w:rsid w:val="777F31F2"/>
    <w:rsid w:val="77D1700D"/>
    <w:rsid w:val="77EC04CC"/>
    <w:rsid w:val="780E3BDC"/>
    <w:rsid w:val="78775729"/>
    <w:rsid w:val="78A42DB0"/>
    <w:rsid w:val="78A656AB"/>
    <w:rsid w:val="78B2245C"/>
    <w:rsid w:val="78B45466"/>
    <w:rsid w:val="78E172CC"/>
    <w:rsid w:val="78EA1D1F"/>
    <w:rsid w:val="7904172F"/>
    <w:rsid w:val="790F7E27"/>
    <w:rsid w:val="792A231A"/>
    <w:rsid w:val="79316829"/>
    <w:rsid w:val="794855EC"/>
    <w:rsid w:val="797E66A9"/>
    <w:rsid w:val="798518A4"/>
    <w:rsid w:val="79A97383"/>
    <w:rsid w:val="79D05643"/>
    <w:rsid w:val="79E27E8B"/>
    <w:rsid w:val="79F850CE"/>
    <w:rsid w:val="79FD443C"/>
    <w:rsid w:val="7A1D1975"/>
    <w:rsid w:val="7A1F4DCB"/>
    <w:rsid w:val="7A3E113F"/>
    <w:rsid w:val="7A3E5150"/>
    <w:rsid w:val="7A4670D6"/>
    <w:rsid w:val="7A534B63"/>
    <w:rsid w:val="7A615382"/>
    <w:rsid w:val="7A67303B"/>
    <w:rsid w:val="7AAB1D04"/>
    <w:rsid w:val="7AB71AC6"/>
    <w:rsid w:val="7ABA4368"/>
    <w:rsid w:val="7AD05746"/>
    <w:rsid w:val="7AD240C8"/>
    <w:rsid w:val="7B257FFD"/>
    <w:rsid w:val="7B273D20"/>
    <w:rsid w:val="7B343476"/>
    <w:rsid w:val="7B5A2978"/>
    <w:rsid w:val="7B5A7E4C"/>
    <w:rsid w:val="7B667AF9"/>
    <w:rsid w:val="7B7468F8"/>
    <w:rsid w:val="7B89048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C1CEE"/>
    <w:rsid w:val="7F6F2C39"/>
    <w:rsid w:val="7F715AF2"/>
    <w:rsid w:val="7F886E69"/>
    <w:rsid w:val="7FAE370B"/>
    <w:rsid w:val="AFEF2161"/>
    <w:rsid w:val="BB7FA927"/>
    <w:rsid w:val="F5FFD31F"/>
    <w:rsid w:val="FFADD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autoRedefine/>
    <w:qFormat/>
    <w:uiPriority w:val="0"/>
    <w:pPr>
      <w:spacing w:line="260" w:lineRule="atLeast"/>
    </w:pPr>
    <w:rPr>
      <w:rFonts w:ascii="Calibri" w:hAnsi="Calibri" w:eastAsia="宋体" w:cs="Times New Roman"/>
      <w:sz w:val="22"/>
      <w:szCs w:val="22"/>
      <w:lang w:val="en-GB" w:eastAsia="en-US" w:bidi="ar-SA"/>
    </w:rPr>
  </w:style>
  <w:style w:type="paragraph" w:customStyle="1" w:styleId="81">
    <w:name w:val="首行缩进"/>
    <w:basedOn w:val="1"/>
    <w:autoRedefine/>
    <w:qFormat/>
    <w:uiPriority w:val="0"/>
    <w:pPr>
      <w:spacing w:line="360" w:lineRule="auto"/>
      <w:ind w:firstLine="480" w:firstLineChars="200"/>
    </w:pPr>
    <w:rPr>
      <w:rFonts w:ascii="宋体"/>
      <w:sz w:val="24"/>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2"/>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2"/>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2"/>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2"/>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2"/>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2"/>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2"/>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autoRedefine/>
    <w:qFormat/>
    <w:uiPriority w:val="0"/>
    <w:pPr>
      <w:spacing w:before="156" w:beforeLines="50" w:after="156" w:afterLines="50" w:line="400" w:lineRule="exact"/>
    </w:pPr>
    <w:rPr>
      <w:rFonts w:ascii="宋体" w:hAnsi="Courier New"/>
      <w:sz w:val="24"/>
    </w:rPr>
  </w:style>
  <w:style w:type="paragraph" w:customStyle="1" w:styleId="965">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966">
    <w:name w:val="_Style 2"/>
    <w:basedOn w:val="1"/>
    <w:autoRedefine/>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6220</Words>
  <Characters>35459</Characters>
  <Lines>295</Lines>
  <Paragraphs>83</Paragraphs>
  <TotalTime>145</TotalTime>
  <ScaleCrop>false</ScaleCrop>
  <LinksUpToDate>false</LinksUpToDate>
  <CharactersWithSpaces>41596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超级古力特</cp:lastModifiedBy>
  <cp:lastPrinted>2024-02-26T05:54:00Z</cp:lastPrinted>
  <dcterms:modified xsi:type="dcterms:W3CDTF">2024-04-07T06:36:49Z</dcterms:modified>
  <dc:title>杭州市市民卡扩大发卡工程</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A974C06F7A7F492D88C49B83D1C8C126_13</vt:lpwstr>
  </property>
</Properties>
</file>