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jc w:val="center"/>
        <w:rPr>
          <w:rFonts w:ascii="宋体" w:hAnsi="宋体" w:cs="Calibri"/>
          <w:b/>
          <w:color w:val="auto"/>
          <w:sz w:val="47"/>
          <w:szCs w:val="47"/>
        </w:rPr>
      </w:pPr>
      <w:bookmarkStart w:id="134" w:name="_GoBack"/>
      <w:bookmarkEnd w:id="134"/>
      <w:r>
        <w:rPr>
          <w:rFonts w:hint="eastAsia" w:ascii="宋体" w:hAnsi="宋体" w:cs="Calibri"/>
          <w:b/>
          <w:color w:val="auto"/>
          <w:sz w:val="48"/>
          <w:szCs w:val="48"/>
        </w:rPr>
        <w:t>行政一号楼、矛调中心</w:t>
      </w:r>
      <w:r>
        <w:rPr>
          <w:rFonts w:hint="eastAsia" w:cs="Calibri"/>
          <w:b/>
          <w:color w:val="auto"/>
          <w:sz w:val="48"/>
          <w:szCs w:val="48"/>
        </w:rPr>
        <w:t>2021-2022</w:t>
      </w:r>
      <w:r>
        <w:rPr>
          <w:rFonts w:hint="eastAsia" w:ascii="宋体" w:hAnsi="宋体" w:cs="Calibri"/>
          <w:b/>
          <w:color w:val="auto"/>
          <w:sz w:val="48"/>
          <w:szCs w:val="48"/>
        </w:rPr>
        <w:t>年保安服务项目</w:t>
      </w:r>
    </w:p>
    <w:p>
      <w:pPr>
        <w:spacing w:line="360" w:lineRule="auto"/>
        <w:jc w:val="center"/>
        <w:rPr>
          <w:rFonts w:hint="eastAsia" w:cs="Calibri"/>
          <w:b/>
          <w:color w:val="auto"/>
          <w:sz w:val="84"/>
          <w:szCs w:val="84"/>
        </w:rPr>
      </w:pPr>
      <w:r>
        <w:rPr>
          <w:rFonts w:cs="Calibri"/>
          <w:b/>
          <w:color w:val="auto"/>
          <w:sz w:val="84"/>
          <w:szCs w:val="84"/>
        </w:rPr>
        <w:t xml:space="preserve"> </w:t>
      </w:r>
    </w:p>
    <w:p>
      <w:pPr>
        <w:spacing w:line="360" w:lineRule="auto"/>
        <w:jc w:val="center"/>
        <w:rPr>
          <w:rFonts w:cs="Calibri"/>
          <w:color w:val="auto"/>
          <w:sz w:val="84"/>
          <w:szCs w:val="84"/>
        </w:rPr>
      </w:pPr>
      <w:r>
        <w:rPr>
          <w:rFonts w:ascii="宋体" w:hAnsi="宋体" w:cs="Calibri"/>
          <w:b/>
          <w:color w:val="auto"/>
          <w:sz w:val="84"/>
          <w:szCs w:val="84"/>
        </w:rPr>
        <w:t>招</w:t>
      </w:r>
      <w:r>
        <w:rPr>
          <w:rFonts w:cs="Calibri"/>
          <w:b/>
          <w:color w:val="auto"/>
          <w:sz w:val="84"/>
          <w:szCs w:val="84"/>
        </w:rPr>
        <w:t xml:space="preserve"> </w:t>
      </w:r>
      <w:r>
        <w:rPr>
          <w:rFonts w:ascii="宋体" w:hAnsi="宋体" w:cs="Calibri"/>
          <w:b/>
          <w:color w:val="auto"/>
          <w:sz w:val="84"/>
          <w:szCs w:val="84"/>
        </w:rPr>
        <w:t>标</w:t>
      </w:r>
      <w:r>
        <w:rPr>
          <w:rFonts w:cs="Calibri"/>
          <w:b/>
          <w:color w:val="auto"/>
          <w:sz w:val="84"/>
          <w:szCs w:val="84"/>
        </w:rPr>
        <w:t xml:space="preserve"> </w:t>
      </w:r>
      <w:r>
        <w:rPr>
          <w:rFonts w:ascii="宋体" w:hAnsi="宋体" w:cs="Calibri"/>
          <w:b/>
          <w:color w:val="auto"/>
          <w:sz w:val="84"/>
          <w:szCs w:val="84"/>
        </w:rPr>
        <w:t>文</w:t>
      </w:r>
      <w:r>
        <w:rPr>
          <w:rFonts w:cs="Calibri"/>
          <w:b/>
          <w:color w:val="auto"/>
          <w:sz w:val="84"/>
          <w:szCs w:val="84"/>
        </w:rPr>
        <w:t xml:space="preserve"> </w:t>
      </w:r>
      <w:r>
        <w:rPr>
          <w:rFonts w:ascii="宋体" w:hAnsi="宋体" w:cs="Calibri"/>
          <w:b/>
          <w:color w:val="auto"/>
          <w:sz w:val="84"/>
          <w:szCs w:val="84"/>
        </w:rPr>
        <w:t>件</w:t>
      </w:r>
    </w:p>
    <w:p>
      <w:pPr>
        <w:jc w:val="right"/>
        <w:rPr>
          <w:rFonts w:cs="Calibri"/>
          <w:b/>
          <w:color w:val="auto"/>
          <w:sz w:val="32"/>
          <w:szCs w:val="32"/>
        </w:rPr>
      </w:pPr>
      <w:r>
        <w:rPr>
          <w:rFonts w:cs="Calibri"/>
          <w:b/>
          <w:color w:val="auto"/>
          <w:sz w:val="32"/>
          <w:szCs w:val="32"/>
        </w:rPr>
        <w:t xml:space="preserve"> </w:t>
      </w:r>
    </w:p>
    <w:p>
      <w:pPr>
        <w:jc w:val="center"/>
        <w:rPr>
          <w:rFonts w:cs="Calibri"/>
          <w:b/>
          <w:color w:val="auto"/>
          <w:sz w:val="32"/>
          <w:szCs w:val="32"/>
        </w:rPr>
      </w:pPr>
      <w:r>
        <w:rPr>
          <w:rFonts w:cs="Calibri"/>
          <w:b/>
          <w:color w:val="auto"/>
          <w:sz w:val="32"/>
          <w:szCs w:val="32"/>
        </w:rPr>
        <w:t xml:space="preserve"> </w:t>
      </w:r>
    </w:p>
    <w:p>
      <w:pPr>
        <w:jc w:val="center"/>
        <w:rPr>
          <w:rFonts w:cs="Calibri"/>
          <w:b/>
          <w:color w:val="auto"/>
          <w:sz w:val="32"/>
          <w:szCs w:val="32"/>
        </w:rPr>
      </w:pPr>
      <w:r>
        <w:rPr>
          <w:rFonts w:cs="Calibri"/>
          <w:b/>
          <w:color w:val="auto"/>
          <w:sz w:val="32"/>
          <w:szCs w:val="32"/>
        </w:rPr>
        <w:t xml:space="preserve"> </w:t>
      </w:r>
    </w:p>
    <w:p>
      <w:pPr>
        <w:jc w:val="center"/>
        <w:rPr>
          <w:rFonts w:ascii="宋体" w:hAnsi="宋体" w:cs="Calibri"/>
          <w:b/>
          <w:color w:val="auto"/>
          <w:sz w:val="32"/>
          <w:szCs w:val="32"/>
        </w:rPr>
      </w:pPr>
      <w:r>
        <w:rPr>
          <w:rFonts w:ascii="宋体" w:hAnsi="宋体" w:cs="Calibri"/>
          <w:b/>
          <w:color w:val="auto"/>
          <w:sz w:val="32"/>
          <w:szCs w:val="32"/>
        </w:rPr>
        <w:t>采购编号：</w:t>
      </w:r>
      <w:r>
        <w:rPr>
          <w:rFonts w:hint="eastAsia" w:cs="Calibri"/>
          <w:b/>
          <w:color w:val="auto"/>
          <w:sz w:val="32"/>
          <w:szCs w:val="32"/>
        </w:rPr>
        <w:t>CTZB-2021040070</w:t>
      </w:r>
    </w:p>
    <w:p>
      <w:pPr>
        <w:jc w:val="center"/>
        <w:rPr>
          <w:rFonts w:hint="eastAsia" w:cs="Calibri"/>
          <w:b/>
          <w:color w:val="auto"/>
          <w:sz w:val="32"/>
          <w:szCs w:val="32"/>
        </w:rPr>
      </w:pPr>
      <w:r>
        <w:rPr>
          <w:rFonts w:cs="Calibri"/>
          <w:b/>
          <w:color w:val="auto"/>
          <w:sz w:val="32"/>
          <w:szCs w:val="32"/>
        </w:rPr>
        <w:t xml:space="preserve"> </w:t>
      </w:r>
    </w:p>
    <w:p>
      <w:pPr>
        <w:jc w:val="center"/>
        <w:rPr>
          <w:rFonts w:cs="Calibri"/>
          <w:b/>
          <w:color w:val="auto"/>
          <w:sz w:val="32"/>
          <w:szCs w:val="32"/>
        </w:rPr>
      </w:pPr>
      <w:r>
        <w:rPr>
          <w:rFonts w:cs="Calibri"/>
          <w:b/>
          <w:color w:val="auto"/>
          <w:sz w:val="32"/>
          <w:szCs w:val="32"/>
        </w:rPr>
        <w:t xml:space="preserve"> </w:t>
      </w:r>
    </w:p>
    <w:p>
      <w:pPr>
        <w:jc w:val="center"/>
        <w:rPr>
          <w:rFonts w:cs="Calibri"/>
          <w:b/>
          <w:color w:val="auto"/>
          <w:sz w:val="36"/>
          <w:szCs w:val="36"/>
        </w:rPr>
      </w:pPr>
      <w:r>
        <w:rPr>
          <w:rFonts w:cs="Calibri"/>
          <w:b/>
          <w:color w:val="auto"/>
          <w:sz w:val="36"/>
          <w:szCs w:val="36"/>
        </w:rPr>
        <w:t xml:space="preserve"> </w:t>
      </w:r>
    </w:p>
    <w:p>
      <w:pPr>
        <w:jc w:val="center"/>
        <w:rPr>
          <w:rFonts w:cs="Calibri"/>
          <w:b/>
          <w:color w:val="auto"/>
          <w:sz w:val="36"/>
          <w:szCs w:val="36"/>
        </w:rPr>
      </w:pPr>
      <w:r>
        <w:rPr>
          <w:rFonts w:cs="Calibri"/>
          <w:b/>
          <w:color w:val="auto"/>
          <w:sz w:val="36"/>
          <w:szCs w:val="36"/>
        </w:rPr>
        <w:t xml:space="preserve"> </w:t>
      </w:r>
    </w:p>
    <w:p>
      <w:pPr>
        <w:rPr>
          <w:rFonts w:cs="Calibri"/>
          <w:b/>
          <w:color w:val="auto"/>
          <w:sz w:val="36"/>
          <w:szCs w:val="36"/>
        </w:rPr>
      </w:pPr>
      <w:r>
        <w:rPr>
          <w:rFonts w:cs="Calibri"/>
          <w:b/>
          <w:color w:val="auto"/>
          <w:sz w:val="36"/>
          <w:szCs w:val="36"/>
        </w:rPr>
        <w:t xml:space="preserve"> </w:t>
      </w:r>
    </w:p>
    <w:p>
      <w:pPr>
        <w:jc w:val="center"/>
        <w:rPr>
          <w:rFonts w:cs="Calibri"/>
          <w:b/>
          <w:color w:val="auto"/>
          <w:sz w:val="36"/>
          <w:szCs w:val="36"/>
        </w:rPr>
      </w:pPr>
      <w:r>
        <w:rPr>
          <w:rFonts w:cs="Calibri"/>
          <w:b/>
          <w:color w:val="auto"/>
          <w:sz w:val="36"/>
          <w:szCs w:val="36"/>
        </w:rPr>
        <w:t xml:space="preserve"> </w:t>
      </w:r>
    </w:p>
    <w:p>
      <w:pPr>
        <w:jc w:val="center"/>
        <w:rPr>
          <w:rFonts w:cs="Calibri"/>
          <w:b/>
          <w:color w:val="auto"/>
          <w:sz w:val="36"/>
          <w:szCs w:val="36"/>
        </w:rPr>
      </w:pPr>
      <w:r>
        <w:rPr>
          <w:rFonts w:cs="Calibri"/>
          <w:b/>
          <w:color w:val="auto"/>
          <w:sz w:val="36"/>
          <w:szCs w:val="36"/>
        </w:rPr>
        <w:t xml:space="preserve"> </w:t>
      </w:r>
    </w:p>
    <w:p>
      <w:pPr>
        <w:widowControl/>
        <w:spacing w:before="120" w:after="120" w:line="480" w:lineRule="auto"/>
        <w:jc w:val="center"/>
        <w:rPr>
          <w:rFonts w:ascii="Times New Roman" w:hAnsi="Times New Roman" w:cs="宋体"/>
          <w:b/>
          <w:color w:val="auto"/>
          <w:kern w:val="0"/>
          <w:sz w:val="36"/>
          <w:szCs w:val="36"/>
        </w:rPr>
      </w:pPr>
      <w:r>
        <w:rPr>
          <w:rFonts w:ascii="宋体" w:hAnsi="宋体"/>
          <w:b/>
          <w:color w:val="auto"/>
          <w:kern w:val="0"/>
          <w:sz w:val="36"/>
          <w:szCs w:val="36"/>
        </w:rPr>
        <w:t>采</w:t>
      </w:r>
      <w:r>
        <w:rPr>
          <w:rFonts w:ascii="Times New Roman" w:hAnsi="Times New Roman"/>
          <w:b/>
          <w:color w:val="auto"/>
          <w:kern w:val="0"/>
          <w:sz w:val="36"/>
          <w:szCs w:val="36"/>
        </w:rPr>
        <w:t xml:space="preserve">  </w:t>
      </w:r>
      <w:r>
        <w:rPr>
          <w:rFonts w:hint="eastAsia" w:ascii="Times New Roman" w:hAnsi="Times New Roman" w:cs="宋体"/>
          <w:b/>
          <w:color w:val="auto"/>
          <w:kern w:val="0"/>
          <w:sz w:val="36"/>
          <w:szCs w:val="36"/>
        </w:rPr>
        <w:t xml:space="preserve"> </w:t>
      </w:r>
      <w:r>
        <w:rPr>
          <w:rFonts w:ascii="宋体" w:hAnsi="宋体"/>
          <w:b/>
          <w:color w:val="auto"/>
          <w:kern w:val="0"/>
          <w:sz w:val="36"/>
          <w:szCs w:val="36"/>
        </w:rPr>
        <w:t>购</w:t>
      </w:r>
      <w:r>
        <w:rPr>
          <w:rFonts w:hint="eastAsia" w:ascii="Times New Roman" w:hAnsi="Times New Roman" w:cs="宋体"/>
          <w:b/>
          <w:color w:val="auto"/>
          <w:kern w:val="0"/>
          <w:sz w:val="36"/>
          <w:szCs w:val="36"/>
        </w:rPr>
        <w:t xml:space="preserve">   </w:t>
      </w:r>
      <w:r>
        <w:rPr>
          <w:rFonts w:ascii="宋体" w:hAnsi="宋体"/>
          <w:b/>
          <w:color w:val="auto"/>
          <w:kern w:val="0"/>
          <w:sz w:val="36"/>
          <w:szCs w:val="36"/>
        </w:rPr>
        <w:t>人：</w:t>
      </w:r>
      <w:r>
        <w:rPr>
          <w:rFonts w:hint="eastAsia" w:ascii="宋体" w:hAnsi="宋体" w:cs="宋体"/>
          <w:b/>
          <w:color w:val="auto"/>
          <w:kern w:val="0"/>
          <w:sz w:val="36"/>
          <w:szCs w:val="36"/>
          <w:u w:val="single"/>
        </w:rPr>
        <w:t>义乌市机关事务管理局</w:t>
      </w:r>
    </w:p>
    <w:p>
      <w:pPr>
        <w:widowControl/>
        <w:spacing w:before="120" w:after="120" w:line="480" w:lineRule="auto"/>
        <w:jc w:val="center"/>
        <w:rPr>
          <w:rFonts w:hint="eastAsia" w:ascii="Times New Roman" w:hAnsi="Times New Roman"/>
          <w:b/>
          <w:color w:val="auto"/>
          <w:kern w:val="0"/>
          <w:sz w:val="36"/>
          <w:szCs w:val="36"/>
        </w:rPr>
      </w:pPr>
      <w:r>
        <w:rPr>
          <w:rFonts w:ascii="宋体" w:hAnsi="宋体"/>
          <w:b/>
          <w:color w:val="auto"/>
          <w:kern w:val="0"/>
          <w:sz w:val="36"/>
          <w:szCs w:val="36"/>
        </w:rPr>
        <w:t>采购代理机构：</w:t>
      </w:r>
      <w:r>
        <w:rPr>
          <w:rFonts w:ascii="宋体" w:hAnsi="宋体"/>
          <w:b/>
          <w:color w:val="auto"/>
          <w:kern w:val="0"/>
          <w:sz w:val="36"/>
          <w:szCs w:val="36"/>
          <w:u w:val="single"/>
        </w:rPr>
        <w:t>浙江省成套招标代理有限公司</w:t>
      </w:r>
    </w:p>
    <w:p>
      <w:pPr>
        <w:jc w:val="center"/>
        <w:rPr>
          <w:rFonts w:cs="Calibri"/>
          <w:b/>
          <w:color w:val="auto"/>
          <w:sz w:val="36"/>
          <w:szCs w:val="36"/>
        </w:rPr>
      </w:pPr>
      <w:r>
        <w:rPr>
          <w:rFonts w:cs="Calibri"/>
          <w:b/>
          <w:color w:val="auto"/>
          <w:sz w:val="36"/>
          <w:szCs w:val="36"/>
        </w:rPr>
        <w:t xml:space="preserve"> </w:t>
      </w:r>
    </w:p>
    <w:p>
      <w:pPr>
        <w:spacing w:line="600" w:lineRule="auto"/>
        <w:jc w:val="center"/>
        <w:rPr>
          <w:rFonts w:cs="Calibri"/>
          <w:color w:val="auto"/>
          <w:kern w:val="0"/>
          <w:szCs w:val="21"/>
        </w:rPr>
      </w:pPr>
      <w:r>
        <w:rPr>
          <w:rFonts w:ascii="宋体" w:hAnsi="宋体" w:cs="Calibri"/>
          <w:b/>
          <w:color w:val="auto"/>
          <w:sz w:val="32"/>
          <w:szCs w:val="32"/>
        </w:rPr>
        <w:t>二零二</w:t>
      </w:r>
      <w:r>
        <w:rPr>
          <w:rFonts w:hint="eastAsia" w:ascii="宋体" w:hAnsi="宋体" w:cs="Calibri"/>
          <w:b/>
          <w:color w:val="auto"/>
          <w:sz w:val="32"/>
          <w:szCs w:val="32"/>
        </w:rPr>
        <w:t>一年四</w:t>
      </w:r>
      <w:r>
        <w:rPr>
          <w:rFonts w:ascii="宋体" w:hAnsi="宋体" w:cs="Calibri"/>
          <w:b/>
          <w:color w:val="auto"/>
          <w:sz w:val="32"/>
          <w:szCs w:val="32"/>
        </w:rPr>
        <w:t>月</w:t>
      </w:r>
    </w:p>
    <w:p>
      <w:pPr>
        <w:widowControl/>
        <w:spacing w:line="600" w:lineRule="auto"/>
        <w:jc w:val="left"/>
        <w:rPr>
          <w:rFonts w:cs="Calibri"/>
          <w:b/>
          <w:color w:val="auto"/>
          <w:sz w:val="44"/>
          <w:szCs w:val="44"/>
        </w:rPr>
        <w:sectPr>
          <w:pgSz w:w="11906" w:h="16838"/>
          <w:pgMar w:top="1247" w:right="1134" w:bottom="1247" w:left="1134" w:header="851" w:footer="992" w:gutter="0"/>
          <w:cols w:space="720" w:num="1"/>
          <w:titlePg/>
          <w:docGrid w:type="lines" w:linePitch="286" w:charSpace="0"/>
        </w:sectPr>
      </w:pPr>
    </w:p>
    <w:p>
      <w:pPr>
        <w:spacing w:before="572" w:beforeLines="200" w:line="600" w:lineRule="auto"/>
        <w:jc w:val="center"/>
        <w:rPr>
          <w:rFonts w:cs="Calibri"/>
          <w:b/>
          <w:color w:val="auto"/>
          <w:sz w:val="44"/>
          <w:szCs w:val="44"/>
        </w:rPr>
      </w:pPr>
      <w:r>
        <w:rPr>
          <w:rFonts w:ascii="宋体" w:hAnsi="宋体" w:cs="Calibri"/>
          <w:b/>
          <w:color w:val="auto"/>
          <w:sz w:val="44"/>
          <w:szCs w:val="44"/>
        </w:rPr>
        <w:t>目</w:t>
      </w:r>
      <w:r>
        <w:rPr>
          <w:rFonts w:cs="Calibri"/>
          <w:b/>
          <w:color w:val="auto"/>
          <w:sz w:val="44"/>
          <w:szCs w:val="44"/>
        </w:rPr>
        <w:t xml:space="preserve">    </w:t>
      </w:r>
      <w:r>
        <w:rPr>
          <w:rFonts w:ascii="宋体" w:hAnsi="宋体" w:cs="Calibri"/>
          <w:b/>
          <w:color w:val="auto"/>
          <w:sz w:val="44"/>
          <w:szCs w:val="44"/>
        </w:rPr>
        <w:t>录</w:t>
      </w:r>
    </w:p>
    <w:p>
      <w:pPr>
        <w:widowControl/>
        <w:spacing w:line="480" w:lineRule="auto"/>
        <w:jc w:val="left"/>
        <w:rPr>
          <w:rFonts w:ascii="宋体" w:hAnsi="宋体" w:cs="Calibri"/>
          <w:color w:val="auto"/>
          <w:kern w:val="0"/>
          <w:sz w:val="24"/>
          <w:szCs w:val="24"/>
        </w:rPr>
      </w:pPr>
      <w:r>
        <w:rPr>
          <w:rFonts w:cs="Calibri"/>
          <w:color w:val="auto"/>
          <w:kern w:val="0"/>
          <w:sz w:val="24"/>
          <w:szCs w:val="24"/>
        </w:rPr>
        <w:fldChar w:fldCharType="begin"/>
      </w:r>
      <w:r>
        <w:rPr>
          <w:rFonts w:cs="Calibri"/>
          <w:color w:val="auto"/>
          <w:kern w:val="0"/>
          <w:sz w:val="24"/>
          <w:szCs w:val="24"/>
        </w:rPr>
        <w:instrText xml:space="preserve"> HYPERLINK "" \l "_Toc31258_" </w:instrText>
      </w:r>
      <w:r>
        <w:rPr>
          <w:rFonts w:cs="Calibri"/>
          <w:color w:val="auto"/>
          <w:kern w:val="0"/>
          <w:sz w:val="24"/>
          <w:szCs w:val="24"/>
        </w:rPr>
        <w:fldChar w:fldCharType="separate"/>
      </w:r>
      <w:r>
        <w:rPr>
          <w:rFonts w:hint="eastAsia" w:ascii="宋体" w:hAnsi="宋体" w:cs="Calibri"/>
          <w:color w:val="auto"/>
          <w:kern w:val="0"/>
          <w:sz w:val="24"/>
          <w:szCs w:val="24"/>
          <w:u w:val="single"/>
        </w:rPr>
        <w:t>第一章 采购公告</w:t>
      </w:r>
      <w:r>
        <w:rPr>
          <w:rFonts w:hint="eastAsia" w:ascii="宋体" w:hAnsi="宋体" w:cs="Calibri"/>
          <w:color w:val="auto"/>
          <w:kern w:val="0"/>
          <w:sz w:val="24"/>
          <w:szCs w:val="24"/>
          <w:u w:val="single"/>
        </w:rPr>
        <w:tab/>
      </w:r>
      <w:r>
        <w:rPr>
          <w:rFonts w:hint="eastAsia" w:ascii="宋体" w:hAnsi="宋体" w:cs="Calibri"/>
          <w:color w:val="auto"/>
          <w:kern w:val="0"/>
          <w:sz w:val="24"/>
          <w:szCs w:val="24"/>
          <w:u w:val="single"/>
        </w:rPr>
        <w:fldChar w:fldCharType="begin"/>
      </w:r>
      <w:r>
        <w:rPr>
          <w:rFonts w:hint="eastAsia" w:ascii="宋体" w:hAnsi="宋体" w:cs="Calibri"/>
          <w:color w:val="auto"/>
          <w:kern w:val="0"/>
          <w:sz w:val="24"/>
          <w:szCs w:val="24"/>
          <w:u w:val="single"/>
        </w:rPr>
        <w:instrText xml:space="preserve"> PAGEREF _Toc31258 </w:instrText>
      </w:r>
      <w:r>
        <w:rPr>
          <w:rFonts w:ascii="宋体" w:hAnsi="宋体" w:cs="Calibri"/>
          <w:color w:val="auto"/>
          <w:kern w:val="0"/>
          <w:sz w:val="24"/>
          <w:szCs w:val="24"/>
          <w:u w:val="single"/>
        </w:rPr>
        <w:fldChar w:fldCharType="separate"/>
      </w:r>
      <w:r>
        <w:rPr>
          <w:rFonts w:hint="eastAsia" w:ascii="宋体" w:hAnsi="宋体" w:cs="Calibri"/>
          <w:color w:val="auto"/>
          <w:kern w:val="0"/>
          <w:sz w:val="24"/>
          <w:szCs w:val="24"/>
          <w:u w:val="single"/>
        </w:rPr>
        <w:t>3</w:t>
      </w:r>
      <w:r>
        <w:rPr>
          <w:rFonts w:hint="eastAsia" w:ascii="宋体" w:hAnsi="宋体" w:cs="Calibri"/>
          <w:color w:val="auto"/>
          <w:kern w:val="0"/>
          <w:sz w:val="24"/>
          <w:szCs w:val="24"/>
          <w:u w:val="single"/>
        </w:rPr>
        <w:fldChar w:fldCharType="end"/>
      </w:r>
      <w:r>
        <w:rPr>
          <w:rFonts w:cs="Calibri"/>
          <w:color w:val="auto"/>
          <w:kern w:val="0"/>
          <w:sz w:val="24"/>
          <w:szCs w:val="24"/>
        </w:rPr>
        <w:fldChar w:fldCharType="end"/>
      </w:r>
    </w:p>
    <w:p>
      <w:pPr>
        <w:widowControl/>
        <w:spacing w:line="480" w:lineRule="auto"/>
        <w:jc w:val="left"/>
        <w:rPr>
          <w:rFonts w:hint="eastAsia" w:ascii="宋体" w:hAnsi="宋体" w:cs="Calibri"/>
          <w:color w:val="auto"/>
          <w:kern w:val="0"/>
          <w:sz w:val="24"/>
          <w:szCs w:val="24"/>
        </w:rPr>
      </w:pPr>
      <w:r>
        <w:rPr>
          <w:rFonts w:cs="Calibri"/>
          <w:color w:val="auto"/>
          <w:kern w:val="0"/>
          <w:sz w:val="24"/>
          <w:szCs w:val="24"/>
        </w:rPr>
        <w:fldChar w:fldCharType="begin"/>
      </w:r>
      <w:r>
        <w:rPr>
          <w:rFonts w:cs="Calibri"/>
          <w:color w:val="auto"/>
          <w:kern w:val="0"/>
          <w:sz w:val="24"/>
          <w:szCs w:val="24"/>
        </w:rPr>
        <w:instrText xml:space="preserve"> HYPERLINK "" \l "_Toc16787_" </w:instrText>
      </w:r>
      <w:r>
        <w:rPr>
          <w:rFonts w:cs="Calibri"/>
          <w:color w:val="auto"/>
          <w:kern w:val="0"/>
          <w:sz w:val="24"/>
          <w:szCs w:val="24"/>
        </w:rPr>
        <w:fldChar w:fldCharType="separate"/>
      </w:r>
      <w:r>
        <w:rPr>
          <w:rFonts w:hint="eastAsia" w:ascii="宋体" w:hAnsi="宋体" w:cs="Calibri"/>
          <w:color w:val="auto"/>
          <w:kern w:val="0"/>
          <w:sz w:val="24"/>
          <w:szCs w:val="24"/>
          <w:u w:val="single"/>
        </w:rPr>
        <w:t>第二章  投标须知和投标须知前附表</w:t>
      </w:r>
      <w:r>
        <w:rPr>
          <w:rFonts w:hint="eastAsia" w:ascii="宋体" w:hAnsi="宋体" w:cs="Calibri"/>
          <w:color w:val="auto"/>
          <w:kern w:val="0"/>
          <w:sz w:val="24"/>
          <w:szCs w:val="24"/>
          <w:u w:val="single"/>
        </w:rPr>
        <w:tab/>
      </w:r>
      <w:r>
        <w:rPr>
          <w:rFonts w:hint="eastAsia" w:ascii="宋体" w:hAnsi="宋体" w:cs="Calibri"/>
          <w:color w:val="auto"/>
          <w:kern w:val="0"/>
          <w:sz w:val="24"/>
          <w:szCs w:val="24"/>
          <w:u w:val="single"/>
        </w:rPr>
        <w:fldChar w:fldCharType="begin"/>
      </w:r>
      <w:r>
        <w:rPr>
          <w:rFonts w:hint="eastAsia" w:ascii="宋体" w:hAnsi="宋体" w:cs="Calibri"/>
          <w:color w:val="auto"/>
          <w:kern w:val="0"/>
          <w:sz w:val="24"/>
          <w:szCs w:val="24"/>
          <w:u w:val="single"/>
        </w:rPr>
        <w:instrText xml:space="preserve"> PAGEREF _Toc16787 </w:instrText>
      </w:r>
      <w:r>
        <w:rPr>
          <w:rFonts w:ascii="宋体" w:hAnsi="宋体" w:cs="Calibri"/>
          <w:color w:val="auto"/>
          <w:kern w:val="0"/>
          <w:sz w:val="24"/>
          <w:szCs w:val="24"/>
          <w:u w:val="single"/>
        </w:rPr>
        <w:fldChar w:fldCharType="separate"/>
      </w:r>
      <w:r>
        <w:rPr>
          <w:rFonts w:hint="eastAsia" w:ascii="宋体" w:hAnsi="宋体" w:cs="Calibri"/>
          <w:color w:val="auto"/>
          <w:kern w:val="0"/>
          <w:sz w:val="24"/>
          <w:szCs w:val="24"/>
          <w:u w:val="single"/>
        </w:rPr>
        <w:t>7</w:t>
      </w:r>
      <w:r>
        <w:rPr>
          <w:rFonts w:hint="eastAsia" w:ascii="宋体" w:hAnsi="宋体" w:cs="Calibri"/>
          <w:color w:val="auto"/>
          <w:kern w:val="0"/>
          <w:sz w:val="24"/>
          <w:szCs w:val="24"/>
          <w:u w:val="single"/>
        </w:rPr>
        <w:fldChar w:fldCharType="end"/>
      </w:r>
      <w:r>
        <w:rPr>
          <w:rFonts w:cs="Calibri"/>
          <w:color w:val="auto"/>
          <w:kern w:val="0"/>
          <w:sz w:val="24"/>
          <w:szCs w:val="24"/>
        </w:rPr>
        <w:fldChar w:fldCharType="end"/>
      </w:r>
    </w:p>
    <w:p>
      <w:pPr>
        <w:widowControl/>
        <w:spacing w:line="480" w:lineRule="auto"/>
        <w:jc w:val="left"/>
        <w:rPr>
          <w:rFonts w:hint="eastAsia" w:ascii="宋体" w:hAnsi="宋体" w:cs="Calibri"/>
          <w:color w:val="auto"/>
          <w:kern w:val="0"/>
          <w:sz w:val="24"/>
          <w:szCs w:val="24"/>
        </w:rPr>
      </w:pPr>
      <w:r>
        <w:rPr>
          <w:rFonts w:cs="Calibri"/>
          <w:color w:val="auto"/>
          <w:kern w:val="0"/>
          <w:sz w:val="24"/>
          <w:szCs w:val="24"/>
        </w:rPr>
        <w:fldChar w:fldCharType="begin"/>
      </w:r>
      <w:r>
        <w:rPr>
          <w:rFonts w:cs="Calibri"/>
          <w:color w:val="auto"/>
          <w:kern w:val="0"/>
          <w:sz w:val="24"/>
          <w:szCs w:val="24"/>
        </w:rPr>
        <w:instrText xml:space="preserve"> HYPERLINK "" \l "_Toc18391_" </w:instrText>
      </w:r>
      <w:r>
        <w:rPr>
          <w:rFonts w:cs="Calibri"/>
          <w:color w:val="auto"/>
          <w:kern w:val="0"/>
          <w:sz w:val="24"/>
          <w:szCs w:val="24"/>
        </w:rPr>
        <w:fldChar w:fldCharType="separate"/>
      </w:r>
      <w:r>
        <w:rPr>
          <w:rFonts w:hint="eastAsia" w:ascii="宋体" w:hAnsi="宋体" w:cs="Calibri"/>
          <w:color w:val="auto"/>
          <w:kern w:val="0"/>
          <w:sz w:val="24"/>
          <w:szCs w:val="24"/>
          <w:u w:val="single"/>
        </w:rPr>
        <w:t>投标须知</w:t>
      </w:r>
      <w:r>
        <w:rPr>
          <w:rFonts w:hint="eastAsia" w:ascii="宋体" w:hAnsi="宋体" w:cs="Calibri"/>
          <w:color w:val="auto"/>
          <w:kern w:val="0"/>
          <w:sz w:val="24"/>
          <w:szCs w:val="24"/>
          <w:u w:val="single"/>
        </w:rPr>
        <w:tab/>
      </w:r>
      <w:r>
        <w:rPr>
          <w:rFonts w:hint="eastAsia" w:ascii="宋体" w:hAnsi="宋体" w:cs="Calibri"/>
          <w:color w:val="auto"/>
          <w:kern w:val="0"/>
          <w:sz w:val="24"/>
          <w:szCs w:val="24"/>
          <w:u w:val="single"/>
        </w:rPr>
        <w:fldChar w:fldCharType="begin"/>
      </w:r>
      <w:r>
        <w:rPr>
          <w:rFonts w:hint="eastAsia" w:ascii="宋体" w:hAnsi="宋体" w:cs="Calibri"/>
          <w:color w:val="auto"/>
          <w:kern w:val="0"/>
          <w:sz w:val="24"/>
          <w:szCs w:val="24"/>
          <w:u w:val="single"/>
        </w:rPr>
        <w:instrText xml:space="preserve"> PAGEREF _Toc18391 </w:instrText>
      </w:r>
      <w:r>
        <w:rPr>
          <w:rFonts w:ascii="宋体" w:hAnsi="宋体" w:cs="Calibri"/>
          <w:color w:val="auto"/>
          <w:kern w:val="0"/>
          <w:sz w:val="24"/>
          <w:szCs w:val="24"/>
          <w:u w:val="single"/>
        </w:rPr>
        <w:fldChar w:fldCharType="separate"/>
      </w:r>
      <w:r>
        <w:rPr>
          <w:rFonts w:hint="eastAsia" w:ascii="宋体" w:hAnsi="宋体" w:cs="Calibri"/>
          <w:color w:val="auto"/>
          <w:kern w:val="0"/>
          <w:sz w:val="24"/>
          <w:szCs w:val="24"/>
          <w:u w:val="single"/>
        </w:rPr>
        <w:t>10</w:t>
      </w:r>
      <w:r>
        <w:rPr>
          <w:rFonts w:hint="eastAsia" w:ascii="宋体" w:hAnsi="宋体" w:cs="Calibri"/>
          <w:color w:val="auto"/>
          <w:kern w:val="0"/>
          <w:sz w:val="24"/>
          <w:szCs w:val="24"/>
          <w:u w:val="single"/>
        </w:rPr>
        <w:fldChar w:fldCharType="end"/>
      </w:r>
      <w:r>
        <w:rPr>
          <w:rFonts w:cs="Calibri"/>
          <w:color w:val="auto"/>
          <w:kern w:val="0"/>
          <w:sz w:val="24"/>
          <w:szCs w:val="24"/>
        </w:rPr>
        <w:fldChar w:fldCharType="end"/>
      </w:r>
    </w:p>
    <w:p>
      <w:pPr>
        <w:widowControl/>
        <w:spacing w:line="480" w:lineRule="auto"/>
        <w:jc w:val="left"/>
        <w:rPr>
          <w:rFonts w:hint="eastAsia" w:ascii="宋体" w:hAnsi="宋体" w:cs="Calibri"/>
          <w:color w:val="auto"/>
          <w:kern w:val="0"/>
          <w:sz w:val="24"/>
          <w:szCs w:val="24"/>
        </w:rPr>
      </w:pPr>
      <w:r>
        <w:rPr>
          <w:rFonts w:cs="Calibri"/>
          <w:color w:val="auto"/>
          <w:kern w:val="0"/>
          <w:sz w:val="24"/>
          <w:szCs w:val="24"/>
        </w:rPr>
        <w:fldChar w:fldCharType="begin"/>
      </w:r>
      <w:r>
        <w:rPr>
          <w:rFonts w:cs="Calibri"/>
          <w:color w:val="auto"/>
          <w:kern w:val="0"/>
          <w:sz w:val="24"/>
          <w:szCs w:val="24"/>
        </w:rPr>
        <w:instrText xml:space="preserve"> HYPERLINK "" \l "_Toc21615_" </w:instrText>
      </w:r>
      <w:r>
        <w:rPr>
          <w:rFonts w:cs="Calibri"/>
          <w:color w:val="auto"/>
          <w:kern w:val="0"/>
          <w:sz w:val="24"/>
          <w:szCs w:val="24"/>
        </w:rPr>
        <w:fldChar w:fldCharType="separate"/>
      </w:r>
      <w:r>
        <w:rPr>
          <w:rFonts w:hint="eastAsia" w:ascii="宋体" w:hAnsi="宋体" w:cs="Calibri"/>
          <w:color w:val="auto"/>
          <w:kern w:val="0"/>
          <w:sz w:val="24"/>
          <w:szCs w:val="24"/>
          <w:u w:val="single"/>
        </w:rPr>
        <w:t>第三章 招标项目要求</w:t>
      </w:r>
      <w:r>
        <w:rPr>
          <w:rFonts w:hint="eastAsia" w:ascii="宋体" w:hAnsi="宋体" w:cs="Calibri"/>
          <w:color w:val="auto"/>
          <w:kern w:val="0"/>
          <w:sz w:val="24"/>
          <w:szCs w:val="24"/>
          <w:u w:val="single"/>
        </w:rPr>
        <w:tab/>
      </w:r>
      <w:r>
        <w:rPr>
          <w:rFonts w:hint="eastAsia" w:ascii="宋体" w:hAnsi="宋体" w:cs="Calibri"/>
          <w:color w:val="auto"/>
          <w:kern w:val="0"/>
          <w:sz w:val="24"/>
          <w:szCs w:val="24"/>
          <w:u w:val="single"/>
        </w:rPr>
        <w:fldChar w:fldCharType="begin"/>
      </w:r>
      <w:r>
        <w:rPr>
          <w:rFonts w:hint="eastAsia" w:ascii="宋体" w:hAnsi="宋体" w:cs="Calibri"/>
          <w:color w:val="auto"/>
          <w:kern w:val="0"/>
          <w:sz w:val="24"/>
          <w:szCs w:val="24"/>
          <w:u w:val="single"/>
        </w:rPr>
        <w:instrText xml:space="preserve"> PAGEREF _Toc21615 </w:instrText>
      </w:r>
      <w:r>
        <w:rPr>
          <w:rFonts w:ascii="宋体" w:hAnsi="宋体" w:cs="Calibri"/>
          <w:color w:val="auto"/>
          <w:kern w:val="0"/>
          <w:sz w:val="24"/>
          <w:szCs w:val="24"/>
          <w:u w:val="single"/>
        </w:rPr>
        <w:fldChar w:fldCharType="separate"/>
      </w:r>
      <w:r>
        <w:rPr>
          <w:rFonts w:hint="eastAsia" w:ascii="宋体" w:hAnsi="宋体" w:cs="Calibri"/>
          <w:color w:val="auto"/>
          <w:kern w:val="0"/>
          <w:sz w:val="24"/>
          <w:szCs w:val="24"/>
          <w:u w:val="single"/>
        </w:rPr>
        <w:t>16</w:t>
      </w:r>
      <w:r>
        <w:rPr>
          <w:rFonts w:hint="eastAsia" w:ascii="宋体" w:hAnsi="宋体" w:cs="Calibri"/>
          <w:color w:val="auto"/>
          <w:kern w:val="0"/>
          <w:sz w:val="24"/>
          <w:szCs w:val="24"/>
          <w:u w:val="single"/>
        </w:rPr>
        <w:fldChar w:fldCharType="end"/>
      </w:r>
      <w:r>
        <w:rPr>
          <w:rFonts w:cs="Calibri"/>
          <w:color w:val="auto"/>
          <w:kern w:val="0"/>
          <w:sz w:val="24"/>
          <w:szCs w:val="24"/>
        </w:rPr>
        <w:fldChar w:fldCharType="end"/>
      </w:r>
    </w:p>
    <w:p>
      <w:pPr>
        <w:widowControl/>
        <w:spacing w:line="480" w:lineRule="auto"/>
        <w:jc w:val="left"/>
        <w:rPr>
          <w:rFonts w:hint="eastAsia" w:ascii="宋体" w:hAnsi="宋体" w:cs="Calibri"/>
          <w:color w:val="auto"/>
          <w:kern w:val="0"/>
          <w:sz w:val="24"/>
          <w:szCs w:val="24"/>
        </w:rPr>
      </w:pPr>
      <w:r>
        <w:rPr>
          <w:rFonts w:cs="Calibri"/>
          <w:color w:val="auto"/>
          <w:kern w:val="0"/>
          <w:sz w:val="24"/>
          <w:szCs w:val="24"/>
        </w:rPr>
        <w:fldChar w:fldCharType="begin"/>
      </w:r>
      <w:r>
        <w:rPr>
          <w:rFonts w:cs="Calibri"/>
          <w:color w:val="auto"/>
          <w:kern w:val="0"/>
          <w:sz w:val="24"/>
          <w:szCs w:val="24"/>
        </w:rPr>
        <w:instrText xml:space="preserve"> HYPERLINK "" \l "_Toc28717_" </w:instrText>
      </w:r>
      <w:r>
        <w:rPr>
          <w:rFonts w:cs="Calibri"/>
          <w:color w:val="auto"/>
          <w:kern w:val="0"/>
          <w:sz w:val="24"/>
          <w:szCs w:val="24"/>
        </w:rPr>
        <w:fldChar w:fldCharType="separate"/>
      </w:r>
      <w:r>
        <w:rPr>
          <w:rFonts w:hint="eastAsia" w:ascii="宋体" w:hAnsi="宋体" w:cs="Calibri"/>
          <w:color w:val="auto"/>
          <w:kern w:val="0"/>
          <w:sz w:val="24"/>
          <w:szCs w:val="24"/>
          <w:u w:val="single"/>
        </w:rPr>
        <w:t>第四章 开标、评标和定标须知</w:t>
      </w:r>
      <w:r>
        <w:rPr>
          <w:rFonts w:hint="eastAsia" w:ascii="宋体" w:hAnsi="宋体" w:cs="Calibri"/>
          <w:color w:val="auto"/>
          <w:kern w:val="0"/>
          <w:sz w:val="24"/>
          <w:szCs w:val="24"/>
          <w:u w:val="single"/>
        </w:rPr>
        <w:tab/>
      </w:r>
      <w:r>
        <w:rPr>
          <w:rFonts w:hint="eastAsia" w:ascii="宋体" w:hAnsi="宋体" w:cs="Calibri"/>
          <w:color w:val="auto"/>
          <w:kern w:val="0"/>
          <w:sz w:val="24"/>
          <w:szCs w:val="24"/>
          <w:u w:val="single"/>
        </w:rPr>
        <w:fldChar w:fldCharType="begin"/>
      </w:r>
      <w:r>
        <w:rPr>
          <w:rFonts w:hint="eastAsia" w:ascii="宋体" w:hAnsi="宋体" w:cs="Calibri"/>
          <w:color w:val="auto"/>
          <w:kern w:val="0"/>
          <w:sz w:val="24"/>
          <w:szCs w:val="24"/>
          <w:u w:val="single"/>
        </w:rPr>
        <w:instrText xml:space="preserve"> PAGEREF _Toc28717 </w:instrText>
      </w:r>
      <w:r>
        <w:rPr>
          <w:rFonts w:ascii="宋体" w:hAnsi="宋体" w:cs="Calibri"/>
          <w:color w:val="auto"/>
          <w:kern w:val="0"/>
          <w:sz w:val="24"/>
          <w:szCs w:val="24"/>
          <w:u w:val="single"/>
        </w:rPr>
        <w:fldChar w:fldCharType="separate"/>
      </w:r>
      <w:r>
        <w:rPr>
          <w:rFonts w:hint="eastAsia" w:ascii="宋体" w:hAnsi="宋体" w:cs="Calibri"/>
          <w:color w:val="auto"/>
          <w:kern w:val="0"/>
          <w:sz w:val="24"/>
          <w:szCs w:val="24"/>
          <w:u w:val="single"/>
        </w:rPr>
        <w:t>16</w:t>
      </w:r>
      <w:r>
        <w:rPr>
          <w:rFonts w:hint="eastAsia" w:ascii="宋体" w:hAnsi="宋体" w:cs="Calibri"/>
          <w:color w:val="auto"/>
          <w:kern w:val="0"/>
          <w:sz w:val="24"/>
          <w:szCs w:val="24"/>
          <w:u w:val="single"/>
        </w:rPr>
        <w:fldChar w:fldCharType="end"/>
      </w:r>
      <w:r>
        <w:rPr>
          <w:rFonts w:cs="Calibri"/>
          <w:color w:val="auto"/>
          <w:kern w:val="0"/>
          <w:sz w:val="24"/>
          <w:szCs w:val="24"/>
        </w:rPr>
        <w:fldChar w:fldCharType="end"/>
      </w:r>
    </w:p>
    <w:p>
      <w:pPr>
        <w:widowControl/>
        <w:spacing w:line="480" w:lineRule="auto"/>
        <w:jc w:val="left"/>
        <w:rPr>
          <w:rFonts w:hint="eastAsia" w:ascii="宋体" w:hAnsi="宋体" w:cs="Calibri"/>
          <w:color w:val="auto"/>
          <w:kern w:val="0"/>
          <w:sz w:val="24"/>
          <w:szCs w:val="24"/>
        </w:rPr>
      </w:pPr>
      <w:r>
        <w:rPr>
          <w:rFonts w:cs="Calibri"/>
          <w:color w:val="auto"/>
          <w:kern w:val="0"/>
          <w:sz w:val="24"/>
          <w:szCs w:val="24"/>
        </w:rPr>
        <w:fldChar w:fldCharType="begin"/>
      </w:r>
      <w:r>
        <w:rPr>
          <w:rFonts w:cs="Calibri"/>
          <w:color w:val="auto"/>
          <w:kern w:val="0"/>
          <w:sz w:val="24"/>
          <w:szCs w:val="24"/>
        </w:rPr>
        <w:instrText xml:space="preserve"> HYPERLINK "" \l "_Toc14680_" </w:instrText>
      </w:r>
      <w:r>
        <w:rPr>
          <w:rFonts w:cs="Calibri"/>
          <w:color w:val="auto"/>
          <w:kern w:val="0"/>
          <w:sz w:val="24"/>
          <w:szCs w:val="24"/>
        </w:rPr>
        <w:fldChar w:fldCharType="separate"/>
      </w:r>
      <w:r>
        <w:rPr>
          <w:rFonts w:hint="eastAsia" w:ascii="宋体" w:hAnsi="宋体" w:cs="Calibri"/>
          <w:color w:val="auto"/>
          <w:kern w:val="0"/>
          <w:sz w:val="24"/>
          <w:szCs w:val="24"/>
          <w:u w:val="single"/>
        </w:rPr>
        <w:t>第五章  投标文件的有效性</w:t>
      </w:r>
      <w:r>
        <w:rPr>
          <w:rFonts w:hint="eastAsia" w:ascii="宋体" w:hAnsi="宋体" w:cs="Calibri"/>
          <w:color w:val="auto"/>
          <w:kern w:val="0"/>
          <w:sz w:val="24"/>
          <w:szCs w:val="24"/>
          <w:u w:val="single"/>
        </w:rPr>
        <w:tab/>
      </w:r>
      <w:r>
        <w:rPr>
          <w:rFonts w:hint="eastAsia" w:ascii="宋体" w:hAnsi="宋体" w:cs="Calibri"/>
          <w:color w:val="auto"/>
          <w:kern w:val="0"/>
          <w:sz w:val="24"/>
          <w:szCs w:val="24"/>
          <w:u w:val="single"/>
        </w:rPr>
        <w:fldChar w:fldCharType="begin"/>
      </w:r>
      <w:r>
        <w:rPr>
          <w:rFonts w:hint="eastAsia" w:ascii="宋体" w:hAnsi="宋体" w:cs="Calibri"/>
          <w:color w:val="auto"/>
          <w:kern w:val="0"/>
          <w:sz w:val="24"/>
          <w:szCs w:val="24"/>
          <w:u w:val="single"/>
        </w:rPr>
        <w:instrText xml:space="preserve"> PAGEREF _Toc14680 </w:instrText>
      </w:r>
      <w:r>
        <w:rPr>
          <w:rFonts w:ascii="宋体" w:hAnsi="宋体" w:cs="Calibri"/>
          <w:color w:val="auto"/>
          <w:kern w:val="0"/>
          <w:sz w:val="24"/>
          <w:szCs w:val="24"/>
          <w:u w:val="single"/>
        </w:rPr>
        <w:fldChar w:fldCharType="separate"/>
      </w:r>
      <w:r>
        <w:rPr>
          <w:rFonts w:hint="eastAsia" w:ascii="宋体" w:hAnsi="宋体" w:cs="Calibri"/>
          <w:color w:val="auto"/>
          <w:kern w:val="0"/>
          <w:sz w:val="24"/>
          <w:szCs w:val="24"/>
          <w:u w:val="single"/>
        </w:rPr>
        <w:t>26</w:t>
      </w:r>
      <w:r>
        <w:rPr>
          <w:rFonts w:hint="eastAsia" w:ascii="宋体" w:hAnsi="宋体" w:cs="Calibri"/>
          <w:color w:val="auto"/>
          <w:kern w:val="0"/>
          <w:sz w:val="24"/>
          <w:szCs w:val="24"/>
          <w:u w:val="single"/>
        </w:rPr>
        <w:fldChar w:fldCharType="end"/>
      </w:r>
      <w:r>
        <w:rPr>
          <w:rFonts w:cs="Calibri"/>
          <w:color w:val="auto"/>
          <w:kern w:val="0"/>
          <w:sz w:val="24"/>
          <w:szCs w:val="24"/>
        </w:rPr>
        <w:fldChar w:fldCharType="end"/>
      </w:r>
    </w:p>
    <w:p>
      <w:pPr>
        <w:widowControl/>
        <w:spacing w:line="480" w:lineRule="auto"/>
        <w:jc w:val="left"/>
        <w:rPr>
          <w:rFonts w:hint="eastAsia" w:ascii="宋体" w:hAnsi="宋体" w:cs="Calibri"/>
          <w:color w:val="auto"/>
          <w:kern w:val="0"/>
          <w:sz w:val="24"/>
          <w:szCs w:val="24"/>
        </w:rPr>
      </w:pPr>
      <w:r>
        <w:rPr>
          <w:rFonts w:cs="Calibri"/>
          <w:color w:val="auto"/>
          <w:kern w:val="0"/>
          <w:sz w:val="24"/>
          <w:szCs w:val="24"/>
        </w:rPr>
        <w:fldChar w:fldCharType="begin"/>
      </w:r>
      <w:r>
        <w:rPr>
          <w:rFonts w:cs="Calibri"/>
          <w:color w:val="auto"/>
          <w:kern w:val="0"/>
          <w:sz w:val="24"/>
          <w:szCs w:val="24"/>
        </w:rPr>
        <w:instrText xml:space="preserve"> HYPERLINK "" \l "_Toc9684_" </w:instrText>
      </w:r>
      <w:r>
        <w:rPr>
          <w:rFonts w:cs="Calibri"/>
          <w:color w:val="auto"/>
          <w:kern w:val="0"/>
          <w:sz w:val="24"/>
          <w:szCs w:val="24"/>
        </w:rPr>
        <w:fldChar w:fldCharType="separate"/>
      </w:r>
      <w:r>
        <w:rPr>
          <w:rFonts w:hint="eastAsia" w:ascii="宋体" w:hAnsi="宋体" w:cs="Calibri"/>
          <w:color w:val="auto"/>
          <w:kern w:val="0"/>
          <w:sz w:val="24"/>
          <w:szCs w:val="24"/>
          <w:u w:val="single"/>
        </w:rPr>
        <w:t>第六章 评标办法</w:t>
      </w:r>
      <w:r>
        <w:rPr>
          <w:rFonts w:hint="eastAsia" w:ascii="宋体" w:hAnsi="宋体" w:cs="Calibri"/>
          <w:color w:val="auto"/>
          <w:kern w:val="0"/>
          <w:sz w:val="24"/>
          <w:szCs w:val="24"/>
          <w:u w:val="single"/>
        </w:rPr>
        <w:tab/>
      </w:r>
      <w:r>
        <w:rPr>
          <w:rFonts w:hint="eastAsia" w:ascii="宋体" w:hAnsi="宋体" w:cs="Calibri"/>
          <w:color w:val="auto"/>
          <w:kern w:val="0"/>
          <w:sz w:val="24"/>
          <w:szCs w:val="24"/>
          <w:u w:val="single"/>
        </w:rPr>
        <w:fldChar w:fldCharType="begin"/>
      </w:r>
      <w:r>
        <w:rPr>
          <w:rFonts w:hint="eastAsia" w:ascii="宋体" w:hAnsi="宋体" w:cs="Calibri"/>
          <w:color w:val="auto"/>
          <w:kern w:val="0"/>
          <w:sz w:val="24"/>
          <w:szCs w:val="24"/>
          <w:u w:val="single"/>
        </w:rPr>
        <w:instrText xml:space="preserve"> PAGEREF _Toc9684 </w:instrText>
      </w:r>
      <w:r>
        <w:rPr>
          <w:rFonts w:ascii="宋体" w:hAnsi="宋体" w:cs="Calibri"/>
          <w:color w:val="auto"/>
          <w:kern w:val="0"/>
          <w:sz w:val="24"/>
          <w:szCs w:val="24"/>
          <w:u w:val="single"/>
        </w:rPr>
        <w:fldChar w:fldCharType="separate"/>
      </w:r>
      <w:r>
        <w:rPr>
          <w:rFonts w:hint="eastAsia" w:ascii="宋体" w:hAnsi="宋体" w:cs="Calibri"/>
          <w:color w:val="auto"/>
          <w:kern w:val="0"/>
          <w:sz w:val="24"/>
          <w:szCs w:val="24"/>
          <w:u w:val="single"/>
        </w:rPr>
        <w:t>28</w:t>
      </w:r>
      <w:r>
        <w:rPr>
          <w:rFonts w:hint="eastAsia" w:ascii="宋体" w:hAnsi="宋体" w:cs="Calibri"/>
          <w:color w:val="auto"/>
          <w:kern w:val="0"/>
          <w:sz w:val="24"/>
          <w:szCs w:val="24"/>
          <w:u w:val="single"/>
        </w:rPr>
        <w:fldChar w:fldCharType="end"/>
      </w:r>
      <w:r>
        <w:rPr>
          <w:rFonts w:cs="Calibri"/>
          <w:color w:val="auto"/>
          <w:kern w:val="0"/>
          <w:sz w:val="24"/>
          <w:szCs w:val="24"/>
        </w:rPr>
        <w:fldChar w:fldCharType="end"/>
      </w:r>
    </w:p>
    <w:p>
      <w:pPr>
        <w:widowControl/>
        <w:spacing w:line="480" w:lineRule="auto"/>
        <w:jc w:val="left"/>
        <w:rPr>
          <w:rFonts w:hint="eastAsia" w:ascii="宋体" w:hAnsi="宋体" w:cs="Calibri"/>
          <w:color w:val="auto"/>
          <w:kern w:val="0"/>
          <w:sz w:val="24"/>
          <w:szCs w:val="24"/>
        </w:rPr>
      </w:pPr>
      <w:r>
        <w:rPr>
          <w:rFonts w:cs="Calibri"/>
          <w:color w:val="auto"/>
          <w:kern w:val="0"/>
          <w:sz w:val="24"/>
          <w:szCs w:val="24"/>
        </w:rPr>
        <w:fldChar w:fldCharType="begin"/>
      </w:r>
      <w:r>
        <w:rPr>
          <w:rFonts w:cs="Calibri"/>
          <w:color w:val="auto"/>
          <w:kern w:val="0"/>
          <w:sz w:val="24"/>
          <w:szCs w:val="24"/>
        </w:rPr>
        <w:instrText xml:space="preserve"> HYPERLINK "" \l "_Toc28883_" </w:instrText>
      </w:r>
      <w:r>
        <w:rPr>
          <w:rFonts w:cs="Calibri"/>
          <w:color w:val="auto"/>
          <w:kern w:val="0"/>
          <w:sz w:val="24"/>
          <w:szCs w:val="24"/>
        </w:rPr>
        <w:fldChar w:fldCharType="separate"/>
      </w:r>
      <w:r>
        <w:rPr>
          <w:rFonts w:hint="eastAsia" w:ascii="宋体" w:hAnsi="宋体" w:cs="Calibri"/>
          <w:color w:val="auto"/>
          <w:kern w:val="0"/>
          <w:sz w:val="24"/>
          <w:szCs w:val="24"/>
          <w:u w:val="single"/>
        </w:rPr>
        <w:t>第七章 合同主要条款</w:t>
      </w:r>
      <w:r>
        <w:rPr>
          <w:rFonts w:hint="eastAsia" w:ascii="宋体" w:hAnsi="宋体" w:cs="Calibri"/>
          <w:color w:val="auto"/>
          <w:kern w:val="0"/>
          <w:sz w:val="24"/>
          <w:szCs w:val="24"/>
          <w:u w:val="single"/>
        </w:rPr>
        <w:tab/>
      </w:r>
      <w:r>
        <w:rPr>
          <w:rFonts w:hint="eastAsia" w:ascii="宋体" w:hAnsi="宋体" w:cs="Calibri"/>
          <w:color w:val="auto"/>
          <w:kern w:val="0"/>
          <w:sz w:val="24"/>
          <w:szCs w:val="24"/>
          <w:u w:val="single"/>
        </w:rPr>
        <w:fldChar w:fldCharType="begin"/>
      </w:r>
      <w:r>
        <w:rPr>
          <w:rFonts w:hint="eastAsia" w:ascii="宋体" w:hAnsi="宋体" w:cs="Calibri"/>
          <w:color w:val="auto"/>
          <w:kern w:val="0"/>
          <w:sz w:val="24"/>
          <w:szCs w:val="24"/>
          <w:u w:val="single"/>
        </w:rPr>
        <w:instrText xml:space="preserve"> PAGEREF _Toc28883 </w:instrText>
      </w:r>
      <w:r>
        <w:rPr>
          <w:rFonts w:ascii="宋体" w:hAnsi="宋体" w:cs="Calibri"/>
          <w:color w:val="auto"/>
          <w:kern w:val="0"/>
          <w:sz w:val="24"/>
          <w:szCs w:val="24"/>
          <w:u w:val="single"/>
        </w:rPr>
        <w:fldChar w:fldCharType="separate"/>
      </w:r>
      <w:r>
        <w:rPr>
          <w:rFonts w:hint="eastAsia" w:ascii="宋体" w:hAnsi="宋体" w:cs="Calibri"/>
          <w:color w:val="auto"/>
          <w:kern w:val="0"/>
          <w:sz w:val="24"/>
          <w:szCs w:val="24"/>
          <w:u w:val="single"/>
        </w:rPr>
        <w:t>32</w:t>
      </w:r>
      <w:r>
        <w:rPr>
          <w:rFonts w:hint="eastAsia" w:ascii="宋体" w:hAnsi="宋体" w:cs="Calibri"/>
          <w:color w:val="auto"/>
          <w:kern w:val="0"/>
          <w:sz w:val="24"/>
          <w:szCs w:val="24"/>
          <w:u w:val="single"/>
        </w:rPr>
        <w:fldChar w:fldCharType="end"/>
      </w:r>
      <w:r>
        <w:rPr>
          <w:rFonts w:cs="Calibri"/>
          <w:color w:val="auto"/>
          <w:kern w:val="0"/>
          <w:sz w:val="24"/>
          <w:szCs w:val="24"/>
        </w:rPr>
        <w:fldChar w:fldCharType="end"/>
      </w:r>
    </w:p>
    <w:p>
      <w:pPr>
        <w:widowControl/>
        <w:spacing w:line="480" w:lineRule="auto"/>
        <w:jc w:val="left"/>
        <w:rPr>
          <w:rFonts w:hint="eastAsia" w:ascii="宋体" w:hAnsi="宋体" w:cs="Calibri"/>
          <w:color w:val="auto"/>
          <w:kern w:val="0"/>
          <w:sz w:val="24"/>
          <w:szCs w:val="24"/>
        </w:rPr>
      </w:pPr>
      <w:r>
        <w:rPr>
          <w:rFonts w:cs="Calibri"/>
          <w:color w:val="auto"/>
          <w:kern w:val="0"/>
          <w:sz w:val="24"/>
          <w:szCs w:val="24"/>
        </w:rPr>
        <w:fldChar w:fldCharType="begin"/>
      </w:r>
      <w:r>
        <w:rPr>
          <w:rFonts w:cs="Calibri"/>
          <w:color w:val="auto"/>
          <w:kern w:val="0"/>
          <w:sz w:val="24"/>
          <w:szCs w:val="24"/>
        </w:rPr>
        <w:instrText xml:space="preserve"> HYPERLINK "" \l "_Toc25905_" </w:instrText>
      </w:r>
      <w:r>
        <w:rPr>
          <w:rFonts w:cs="Calibri"/>
          <w:color w:val="auto"/>
          <w:kern w:val="0"/>
          <w:sz w:val="24"/>
          <w:szCs w:val="24"/>
        </w:rPr>
        <w:fldChar w:fldCharType="separate"/>
      </w:r>
      <w:r>
        <w:rPr>
          <w:rFonts w:hint="eastAsia" w:ascii="宋体" w:hAnsi="宋体" w:cs="Calibri"/>
          <w:color w:val="auto"/>
          <w:kern w:val="0"/>
          <w:sz w:val="24"/>
          <w:szCs w:val="24"/>
          <w:u w:val="single"/>
        </w:rPr>
        <w:t>义乌市政府采购合同（样本）</w:t>
      </w:r>
      <w:r>
        <w:rPr>
          <w:rFonts w:hint="eastAsia" w:ascii="宋体" w:hAnsi="宋体" w:cs="Calibri"/>
          <w:color w:val="auto"/>
          <w:kern w:val="0"/>
          <w:sz w:val="24"/>
          <w:szCs w:val="24"/>
          <w:u w:val="single"/>
        </w:rPr>
        <w:tab/>
      </w:r>
      <w:r>
        <w:rPr>
          <w:rFonts w:hint="eastAsia" w:ascii="宋体" w:hAnsi="宋体" w:cs="Calibri"/>
          <w:color w:val="auto"/>
          <w:kern w:val="0"/>
          <w:sz w:val="24"/>
          <w:szCs w:val="24"/>
          <w:u w:val="single"/>
        </w:rPr>
        <w:fldChar w:fldCharType="begin"/>
      </w:r>
      <w:r>
        <w:rPr>
          <w:rFonts w:hint="eastAsia" w:ascii="宋体" w:hAnsi="宋体" w:cs="Calibri"/>
          <w:color w:val="auto"/>
          <w:kern w:val="0"/>
          <w:sz w:val="24"/>
          <w:szCs w:val="24"/>
          <w:u w:val="single"/>
        </w:rPr>
        <w:instrText xml:space="preserve"> PAGEREF _Toc25905 </w:instrText>
      </w:r>
      <w:r>
        <w:rPr>
          <w:rFonts w:ascii="宋体" w:hAnsi="宋体" w:cs="Calibri"/>
          <w:color w:val="auto"/>
          <w:kern w:val="0"/>
          <w:sz w:val="24"/>
          <w:szCs w:val="24"/>
          <w:u w:val="single"/>
        </w:rPr>
        <w:fldChar w:fldCharType="separate"/>
      </w:r>
      <w:r>
        <w:rPr>
          <w:rFonts w:hint="eastAsia" w:ascii="宋体" w:hAnsi="宋体" w:cs="Calibri"/>
          <w:color w:val="auto"/>
          <w:kern w:val="0"/>
          <w:sz w:val="24"/>
          <w:szCs w:val="24"/>
          <w:u w:val="single"/>
        </w:rPr>
        <w:t>32</w:t>
      </w:r>
      <w:r>
        <w:rPr>
          <w:rFonts w:hint="eastAsia" w:ascii="宋体" w:hAnsi="宋体" w:cs="Calibri"/>
          <w:color w:val="auto"/>
          <w:kern w:val="0"/>
          <w:sz w:val="24"/>
          <w:szCs w:val="24"/>
          <w:u w:val="single"/>
        </w:rPr>
        <w:fldChar w:fldCharType="end"/>
      </w:r>
      <w:r>
        <w:rPr>
          <w:rFonts w:cs="Calibri"/>
          <w:color w:val="auto"/>
          <w:kern w:val="0"/>
          <w:sz w:val="24"/>
          <w:szCs w:val="24"/>
        </w:rPr>
        <w:fldChar w:fldCharType="end"/>
      </w:r>
    </w:p>
    <w:p>
      <w:pPr>
        <w:widowControl/>
        <w:spacing w:line="480" w:lineRule="auto"/>
        <w:jc w:val="left"/>
        <w:rPr>
          <w:rFonts w:hint="eastAsia" w:ascii="宋体" w:hAnsi="宋体" w:cs="Calibri"/>
          <w:color w:val="auto"/>
          <w:kern w:val="0"/>
          <w:sz w:val="24"/>
          <w:szCs w:val="24"/>
        </w:rPr>
      </w:pPr>
      <w:r>
        <w:rPr>
          <w:rFonts w:cs="Calibri"/>
          <w:color w:val="auto"/>
          <w:kern w:val="0"/>
          <w:sz w:val="24"/>
          <w:szCs w:val="24"/>
        </w:rPr>
        <w:fldChar w:fldCharType="begin"/>
      </w:r>
      <w:r>
        <w:rPr>
          <w:rFonts w:cs="Calibri"/>
          <w:color w:val="auto"/>
          <w:kern w:val="0"/>
          <w:sz w:val="24"/>
          <w:szCs w:val="24"/>
        </w:rPr>
        <w:instrText xml:space="preserve"> HYPERLINK "" \l "_Toc13304_" </w:instrText>
      </w:r>
      <w:r>
        <w:rPr>
          <w:rFonts w:cs="Calibri"/>
          <w:color w:val="auto"/>
          <w:kern w:val="0"/>
          <w:sz w:val="24"/>
          <w:szCs w:val="24"/>
        </w:rPr>
        <w:fldChar w:fldCharType="separate"/>
      </w:r>
      <w:r>
        <w:rPr>
          <w:rFonts w:hint="eastAsia" w:ascii="宋体" w:hAnsi="宋体" w:cs="Calibri"/>
          <w:color w:val="auto"/>
          <w:kern w:val="0"/>
          <w:sz w:val="24"/>
          <w:szCs w:val="24"/>
          <w:u w:val="single"/>
        </w:rPr>
        <w:t>第八章 投标文件部分格式</w:t>
      </w:r>
      <w:r>
        <w:rPr>
          <w:rFonts w:hint="eastAsia" w:ascii="宋体" w:hAnsi="宋体" w:cs="Calibri"/>
          <w:color w:val="auto"/>
          <w:kern w:val="0"/>
          <w:sz w:val="24"/>
          <w:szCs w:val="24"/>
          <w:u w:val="single"/>
        </w:rPr>
        <w:tab/>
      </w:r>
      <w:r>
        <w:rPr>
          <w:rFonts w:hint="eastAsia" w:ascii="宋体" w:hAnsi="宋体" w:cs="Calibri"/>
          <w:color w:val="auto"/>
          <w:kern w:val="0"/>
          <w:sz w:val="24"/>
          <w:szCs w:val="24"/>
          <w:u w:val="single"/>
        </w:rPr>
        <w:fldChar w:fldCharType="begin"/>
      </w:r>
      <w:r>
        <w:rPr>
          <w:rFonts w:hint="eastAsia" w:ascii="宋体" w:hAnsi="宋体" w:cs="Calibri"/>
          <w:color w:val="auto"/>
          <w:kern w:val="0"/>
          <w:sz w:val="24"/>
          <w:szCs w:val="24"/>
          <w:u w:val="single"/>
        </w:rPr>
        <w:instrText xml:space="preserve"> PAGEREF _Toc13304 </w:instrText>
      </w:r>
      <w:r>
        <w:rPr>
          <w:rFonts w:ascii="宋体" w:hAnsi="宋体" w:cs="Calibri"/>
          <w:color w:val="auto"/>
          <w:kern w:val="0"/>
          <w:sz w:val="24"/>
          <w:szCs w:val="24"/>
          <w:u w:val="single"/>
        </w:rPr>
        <w:fldChar w:fldCharType="separate"/>
      </w:r>
      <w:r>
        <w:rPr>
          <w:rFonts w:hint="eastAsia" w:ascii="宋体" w:hAnsi="宋体" w:cs="Calibri"/>
          <w:color w:val="auto"/>
          <w:kern w:val="0"/>
          <w:sz w:val="24"/>
          <w:szCs w:val="24"/>
          <w:u w:val="single"/>
        </w:rPr>
        <w:t>36</w:t>
      </w:r>
      <w:r>
        <w:rPr>
          <w:rFonts w:hint="eastAsia" w:ascii="宋体" w:hAnsi="宋体" w:cs="Calibri"/>
          <w:color w:val="auto"/>
          <w:kern w:val="0"/>
          <w:sz w:val="24"/>
          <w:szCs w:val="24"/>
          <w:u w:val="single"/>
        </w:rPr>
        <w:fldChar w:fldCharType="end"/>
      </w:r>
      <w:r>
        <w:rPr>
          <w:rFonts w:cs="Calibri"/>
          <w:color w:val="auto"/>
          <w:kern w:val="0"/>
          <w:sz w:val="24"/>
          <w:szCs w:val="24"/>
        </w:rPr>
        <w:fldChar w:fldCharType="end"/>
      </w:r>
    </w:p>
    <w:p>
      <w:pPr>
        <w:spacing w:line="480" w:lineRule="auto"/>
        <w:rPr>
          <w:rFonts w:hint="eastAsia" w:cs="Calibri"/>
          <w:color w:val="auto"/>
          <w:kern w:val="0"/>
          <w:szCs w:val="21"/>
        </w:rPr>
      </w:pPr>
      <w:r>
        <w:rPr>
          <w:rFonts w:cs="Calibri"/>
          <w:color w:val="auto"/>
          <w:kern w:val="0"/>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widowControl/>
        <w:jc w:val="left"/>
        <w:rPr>
          <w:rFonts w:cs="Calibri"/>
          <w:b/>
          <w:color w:val="auto"/>
          <w:sz w:val="32"/>
          <w:szCs w:val="32"/>
        </w:rPr>
        <w:sectPr>
          <w:pgSz w:w="11906" w:h="16838"/>
          <w:pgMar w:top="1417" w:right="1134" w:bottom="1417" w:left="1134" w:header="851" w:footer="992" w:gutter="0"/>
          <w:cols w:space="720" w:num="1"/>
          <w:titlePg/>
          <w:docGrid w:type="lines" w:linePitch="286" w:charSpace="0"/>
        </w:sectPr>
      </w:pPr>
    </w:p>
    <w:p>
      <w:pPr>
        <w:keepNext/>
        <w:keepLines/>
        <w:spacing w:line="576" w:lineRule="auto"/>
        <w:jc w:val="center"/>
        <w:outlineLvl w:val="0"/>
        <w:rPr>
          <w:rFonts w:cs="Calibri"/>
          <w:b/>
          <w:color w:val="auto"/>
          <w:sz w:val="36"/>
          <w:szCs w:val="36"/>
        </w:rPr>
      </w:pPr>
      <w:bookmarkStart w:id="0" w:name="_Toc31258"/>
      <w:bookmarkEnd w:id="0"/>
      <w:bookmarkStart w:id="1" w:name="_Toc12607"/>
      <w:r>
        <w:rPr>
          <w:rFonts w:ascii="宋体" w:hAnsi="宋体" w:cs="Calibri"/>
          <w:b/>
          <w:color w:val="auto"/>
          <w:sz w:val="32"/>
          <w:szCs w:val="32"/>
        </w:rPr>
        <w:t>第一章</w:t>
      </w:r>
      <w:bookmarkEnd w:id="1"/>
      <w:r>
        <w:rPr>
          <w:rFonts w:hint="eastAsia" w:ascii="宋体" w:hAnsi="宋体" w:cs="Calibri"/>
          <w:b/>
          <w:color w:val="auto"/>
          <w:sz w:val="32"/>
          <w:szCs w:val="32"/>
        </w:rPr>
        <w:t xml:space="preserve"> </w:t>
      </w:r>
      <w:r>
        <w:rPr>
          <w:rFonts w:ascii="宋体" w:hAnsi="宋体" w:cs="Calibri"/>
          <w:b/>
          <w:color w:val="auto"/>
          <w:sz w:val="32"/>
          <w:szCs w:val="32"/>
        </w:rPr>
        <w:t>采购公告</w:t>
      </w:r>
    </w:p>
    <w:p>
      <w:pPr>
        <w:spacing w:line="460" w:lineRule="exact"/>
        <w:ind w:firstLine="420"/>
        <w:rPr>
          <w:rFonts w:cs="Calibri"/>
          <w:color w:val="auto"/>
          <w:szCs w:val="21"/>
        </w:rPr>
      </w:pPr>
      <w:r>
        <w:rPr>
          <w:rFonts w:ascii="宋体" w:hAnsi="宋体" w:cs="Calibri"/>
          <w:color w:val="auto"/>
          <w:szCs w:val="21"/>
        </w:rPr>
        <w:t>根据《中华人民共和国政府采购法》等有关规定，</w:t>
      </w:r>
      <w:r>
        <w:rPr>
          <w:rFonts w:ascii="宋体" w:hAnsi="宋体" w:cs="Calibri"/>
          <w:color w:val="auto"/>
          <w:szCs w:val="21"/>
          <w:u w:val="single"/>
        </w:rPr>
        <w:t>浙江省成套招标代理有限公司</w:t>
      </w:r>
      <w:r>
        <w:rPr>
          <w:rFonts w:ascii="宋体" w:hAnsi="宋体" w:cs="Calibri"/>
          <w:color w:val="auto"/>
          <w:szCs w:val="21"/>
        </w:rPr>
        <w:t>受</w:t>
      </w:r>
      <w:r>
        <w:rPr>
          <w:rFonts w:hint="eastAsia" w:ascii="宋体" w:hAnsi="宋体" w:cs="Calibri"/>
          <w:color w:val="auto"/>
          <w:szCs w:val="21"/>
          <w:u w:val="single"/>
        </w:rPr>
        <w:t>义乌市机关事务管理局</w:t>
      </w:r>
      <w:r>
        <w:rPr>
          <w:rFonts w:ascii="宋体" w:hAnsi="宋体" w:cs="Calibri"/>
          <w:color w:val="auto"/>
          <w:szCs w:val="21"/>
        </w:rPr>
        <w:t>委托，就</w:t>
      </w:r>
      <w:r>
        <w:rPr>
          <w:rFonts w:hint="eastAsia" w:ascii="宋体" w:hAnsi="宋体" w:cs="Calibri"/>
          <w:color w:val="auto"/>
          <w:szCs w:val="21"/>
          <w:u w:val="single"/>
        </w:rPr>
        <w:t>行政一号楼、矛调中心</w:t>
      </w:r>
      <w:r>
        <w:rPr>
          <w:rFonts w:hint="eastAsia" w:cs="Calibri"/>
          <w:color w:val="auto"/>
          <w:szCs w:val="21"/>
          <w:u w:val="single"/>
        </w:rPr>
        <w:t>2021-2022</w:t>
      </w:r>
      <w:r>
        <w:rPr>
          <w:rFonts w:hint="eastAsia" w:ascii="宋体" w:hAnsi="宋体" w:cs="Calibri"/>
          <w:color w:val="auto"/>
          <w:szCs w:val="21"/>
          <w:u w:val="single"/>
        </w:rPr>
        <w:t>年保安服务项目</w:t>
      </w:r>
      <w:r>
        <w:rPr>
          <w:rFonts w:ascii="宋体" w:hAnsi="宋体" w:cs="Calibri"/>
          <w:color w:val="auto"/>
          <w:szCs w:val="21"/>
        </w:rPr>
        <w:t>进行</w:t>
      </w:r>
      <w:r>
        <w:rPr>
          <w:rFonts w:ascii="宋体" w:hAnsi="宋体" w:cs="Calibri"/>
          <w:color w:val="auto"/>
          <w:szCs w:val="21"/>
          <w:u w:val="single"/>
        </w:rPr>
        <w:t>公开招标</w:t>
      </w:r>
      <w:r>
        <w:rPr>
          <w:rFonts w:ascii="宋体" w:hAnsi="宋体" w:cs="Calibri"/>
          <w:color w:val="auto"/>
          <w:szCs w:val="21"/>
        </w:rPr>
        <w:t>采购，欢迎国内合格的供应商参加投标。</w:t>
      </w:r>
    </w:p>
    <w:p>
      <w:pPr>
        <w:spacing w:line="460" w:lineRule="exact"/>
        <w:ind w:firstLine="435"/>
        <w:rPr>
          <w:rFonts w:ascii="宋体" w:hAnsi="宋体" w:cs="Calibri"/>
          <w:b/>
          <w:color w:val="auto"/>
          <w:szCs w:val="21"/>
        </w:rPr>
      </w:pPr>
      <w:r>
        <w:rPr>
          <w:rFonts w:hint="eastAsia" w:ascii="宋体" w:hAnsi="宋体" w:cs="Calibri"/>
          <w:b/>
          <w:color w:val="auto"/>
          <w:szCs w:val="21"/>
        </w:rPr>
        <w:t>一、项目基本情况</w:t>
      </w:r>
    </w:p>
    <w:p>
      <w:pPr>
        <w:spacing w:line="460" w:lineRule="exact"/>
        <w:ind w:firstLine="435"/>
        <w:rPr>
          <w:rFonts w:hint="eastAsia" w:ascii="宋体" w:hAnsi="宋体" w:cs="Calibri"/>
          <w:bCs/>
          <w:color w:val="auto"/>
          <w:szCs w:val="21"/>
        </w:rPr>
      </w:pPr>
      <w:r>
        <w:rPr>
          <w:rFonts w:hint="eastAsia" w:cs="Calibri"/>
          <w:bCs/>
          <w:color w:val="auto"/>
          <w:szCs w:val="21"/>
        </w:rPr>
        <w:t>1</w:t>
      </w:r>
      <w:r>
        <w:rPr>
          <w:rFonts w:hint="eastAsia" w:ascii="宋体" w:hAnsi="宋体" w:cs="Calibri"/>
          <w:bCs/>
          <w:color w:val="auto"/>
          <w:szCs w:val="21"/>
        </w:rPr>
        <w:t>、采购项目编号：</w:t>
      </w:r>
      <w:r>
        <w:rPr>
          <w:rFonts w:hint="eastAsia" w:cs="Calibri"/>
          <w:bCs/>
          <w:color w:val="auto"/>
          <w:szCs w:val="21"/>
        </w:rPr>
        <w:t>CTZB-2021040070</w:t>
      </w:r>
    </w:p>
    <w:p>
      <w:pPr>
        <w:spacing w:line="460" w:lineRule="exact"/>
        <w:ind w:firstLine="435"/>
        <w:rPr>
          <w:rFonts w:hint="eastAsia" w:ascii="宋体" w:hAnsi="宋体" w:cs="Calibri"/>
          <w:bCs/>
          <w:color w:val="auto"/>
          <w:szCs w:val="21"/>
        </w:rPr>
      </w:pPr>
      <w:r>
        <w:rPr>
          <w:rFonts w:hint="eastAsia" w:cs="Calibri"/>
          <w:bCs/>
          <w:color w:val="auto"/>
          <w:szCs w:val="21"/>
        </w:rPr>
        <w:t>2</w:t>
      </w:r>
      <w:r>
        <w:rPr>
          <w:rFonts w:hint="eastAsia" w:ascii="宋体" w:hAnsi="宋体" w:cs="Calibri"/>
          <w:bCs/>
          <w:color w:val="auto"/>
          <w:szCs w:val="21"/>
        </w:rPr>
        <w:t>、项目名称：行政一号楼、矛调中心</w:t>
      </w:r>
      <w:r>
        <w:rPr>
          <w:rFonts w:hint="eastAsia" w:cs="Calibri"/>
          <w:bCs/>
          <w:color w:val="auto"/>
          <w:szCs w:val="21"/>
        </w:rPr>
        <w:t>2021-2022</w:t>
      </w:r>
      <w:r>
        <w:rPr>
          <w:rFonts w:hint="eastAsia" w:ascii="宋体" w:hAnsi="宋体" w:cs="Calibri"/>
          <w:bCs/>
          <w:color w:val="auto"/>
          <w:szCs w:val="21"/>
        </w:rPr>
        <w:t>年保安服务项目</w:t>
      </w:r>
    </w:p>
    <w:p>
      <w:pPr>
        <w:spacing w:line="460" w:lineRule="exact"/>
        <w:ind w:firstLine="435"/>
        <w:rPr>
          <w:rFonts w:hint="eastAsia" w:ascii="宋体" w:hAnsi="宋体" w:cs="Calibri"/>
          <w:bCs/>
          <w:color w:val="auto"/>
          <w:szCs w:val="21"/>
        </w:rPr>
      </w:pPr>
      <w:r>
        <w:rPr>
          <w:rFonts w:hint="eastAsia" w:cs="Calibri"/>
          <w:bCs/>
          <w:color w:val="auto"/>
          <w:szCs w:val="21"/>
        </w:rPr>
        <w:t>3</w:t>
      </w:r>
      <w:r>
        <w:rPr>
          <w:rFonts w:hint="eastAsia" w:ascii="宋体" w:hAnsi="宋体" w:cs="Calibri"/>
          <w:bCs/>
          <w:color w:val="auto"/>
          <w:szCs w:val="21"/>
        </w:rPr>
        <w:t>、项目预算：</w:t>
      </w:r>
      <w:r>
        <w:rPr>
          <w:rFonts w:hint="eastAsia" w:cs="Calibri"/>
          <w:bCs/>
          <w:color w:val="auto"/>
          <w:szCs w:val="21"/>
        </w:rPr>
        <w:t>530</w:t>
      </w:r>
      <w:r>
        <w:rPr>
          <w:rFonts w:hint="eastAsia" w:ascii="宋体" w:hAnsi="宋体" w:cs="Calibri"/>
          <w:bCs/>
          <w:color w:val="auto"/>
          <w:szCs w:val="21"/>
        </w:rPr>
        <w:t>万元</w:t>
      </w:r>
    </w:p>
    <w:p>
      <w:pPr>
        <w:spacing w:line="460" w:lineRule="exact"/>
        <w:ind w:firstLine="435"/>
        <w:rPr>
          <w:rFonts w:hint="eastAsia" w:ascii="宋体" w:hAnsi="宋体" w:cs="Calibri"/>
          <w:bCs/>
          <w:color w:val="auto"/>
          <w:szCs w:val="21"/>
        </w:rPr>
      </w:pPr>
      <w:r>
        <w:rPr>
          <w:rFonts w:hint="eastAsia" w:cs="Calibri"/>
          <w:bCs/>
          <w:color w:val="auto"/>
          <w:szCs w:val="21"/>
        </w:rPr>
        <w:t>4</w:t>
      </w:r>
      <w:r>
        <w:rPr>
          <w:rFonts w:hint="eastAsia" w:ascii="宋体" w:hAnsi="宋体" w:cs="Calibri"/>
          <w:bCs/>
          <w:color w:val="auto"/>
          <w:szCs w:val="21"/>
        </w:rPr>
        <w:t>、最高限价：</w:t>
      </w:r>
      <w:r>
        <w:rPr>
          <w:rFonts w:hint="eastAsia" w:cs="Calibri"/>
          <w:bCs/>
          <w:color w:val="auto"/>
          <w:szCs w:val="21"/>
        </w:rPr>
        <w:t>530</w:t>
      </w:r>
      <w:r>
        <w:rPr>
          <w:rFonts w:hint="eastAsia" w:ascii="宋体" w:hAnsi="宋体" w:cs="Calibri"/>
          <w:bCs/>
          <w:color w:val="auto"/>
          <w:szCs w:val="21"/>
        </w:rPr>
        <w:t>万元</w:t>
      </w:r>
    </w:p>
    <w:p>
      <w:pPr>
        <w:spacing w:line="460" w:lineRule="exact"/>
        <w:rPr>
          <w:rFonts w:hint="eastAsia" w:ascii="宋体" w:hAnsi="宋体" w:cs="Calibri"/>
          <w:bCs/>
          <w:color w:val="auto"/>
          <w:szCs w:val="21"/>
        </w:rPr>
      </w:pPr>
      <w:r>
        <w:rPr>
          <w:rFonts w:cs="Calibri"/>
          <w:b/>
          <w:color w:val="auto"/>
          <w:szCs w:val="21"/>
        </w:rPr>
        <w:t xml:space="preserve">    </w:t>
      </w:r>
      <w:r>
        <w:rPr>
          <w:rFonts w:hint="eastAsia" w:cs="Calibri"/>
          <w:bCs/>
          <w:color w:val="auto"/>
          <w:szCs w:val="21"/>
        </w:rPr>
        <w:t>5</w:t>
      </w:r>
      <w:r>
        <w:rPr>
          <w:rFonts w:hint="eastAsia" w:ascii="宋体" w:hAnsi="宋体" w:cs="Calibri"/>
          <w:bCs/>
          <w:color w:val="auto"/>
          <w:szCs w:val="21"/>
        </w:rPr>
        <w:t>、采购需求：</w:t>
      </w:r>
    </w:p>
    <w:tbl>
      <w:tblPr>
        <w:tblStyle w:val="15"/>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991"/>
        <w:gridCol w:w="2033"/>
        <w:gridCol w:w="850"/>
        <w:gridCol w:w="1600"/>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785"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cs="Calibri"/>
                <w:color w:val="auto"/>
                <w:kern w:val="0"/>
                <w:szCs w:val="21"/>
              </w:rPr>
            </w:pPr>
            <w:r>
              <w:rPr>
                <w:rFonts w:hint="eastAsia" w:ascii="宋体" w:hAnsi="宋体" w:cs="Calibri"/>
                <w:color w:val="auto"/>
                <w:kern w:val="0"/>
                <w:szCs w:val="21"/>
              </w:rPr>
              <w:t>序号</w:t>
            </w:r>
          </w:p>
        </w:tc>
        <w:tc>
          <w:tcPr>
            <w:tcW w:w="1991" w:type="dxa"/>
            <w:tcBorders>
              <w:top w:val="single" w:color="auto" w:sz="4" w:space="0"/>
              <w:left w:val="nil"/>
              <w:bottom w:val="single" w:color="auto" w:sz="4" w:space="0"/>
              <w:right w:val="single" w:color="auto" w:sz="4" w:space="0"/>
            </w:tcBorders>
            <w:noWrap w:val="0"/>
            <w:vAlign w:val="center"/>
          </w:tcPr>
          <w:p>
            <w:pPr>
              <w:jc w:val="center"/>
              <w:rPr>
                <w:rFonts w:cs="Calibri"/>
                <w:color w:val="auto"/>
                <w:kern w:val="0"/>
                <w:szCs w:val="21"/>
              </w:rPr>
            </w:pPr>
            <w:r>
              <w:rPr>
                <w:rFonts w:cs="Calibri"/>
                <w:color w:val="auto"/>
                <w:kern w:val="0"/>
                <w:szCs w:val="21"/>
              </w:rPr>
              <w:t>项目内容</w:t>
            </w:r>
          </w:p>
        </w:tc>
        <w:tc>
          <w:tcPr>
            <w:tcW w:w="2033" w:type="dxa"/>
            <w:tcBorders>
              <w:top w:val="single" w:color="auto" w:sz="4" w:space="0"/>
              <w:left w:val="nil"/>
              <w:bottom w:val="single" w:color="auto" w:sz="4" w:space="0"/>
              <w:right w:val="single" w:color="auto" w:sz="4" w:space="0"/>
            </w:tcBorders>
            <w:noWrap w:val="0"/>
            <w:vAlign w:val="center"/>
          </w:tcPr>
          <w:p>
            <w:pPr>
              <w:jc w:val="center"/>
              <w:rPr>
                <w:rFonts w:cs="Calibri"/>
                <w:color w:val="auto"/>
                <w:kern w:val="0"/>
                <w:szCs w:val="21"/>
              </w:rPr>
            </w:pPr>
            <w:r>
              <w:rPr>
                <w:rFonts w:cs="Calibri"/>
                <w:color w:val="auto"/>
                <w:kern w:val="0"/>
                <w:szCs w:val="21"/>
              </w:rPr>
              <w:t>技术要求</w:t>
            </w:r>
          </w:p>
        </w:tc>
        <w:tc>
          <w:tcPr>
            <w:tcW w:w="850" w:type="dxa"/>
            <w:tcBorders>
              <w:top w:val="single" w:color="auto" w:sz="4" w:space="0"/>
              <w:left w:val="nil"/>
              <w:bottom w:val="single" w:color="auto" w:sz="4" w:space="0"/>
              <w:right w:val="single" w:color="auto" w:sz="4" w:space="0"/>
            </w:tcBorders>
            <w:noWrap w:val="0"/>
            <w:vAlign w:val="center"/>
          </w:tcPr>
          <w:p>
            <w:pPr>
              <w:jc w:val="center"/>
              <w:rPr>
                <w:rFonts w:cs="Calibri"/>
                <w:color w:val="auto"/>
                <w:kern w:val="0"/>
                <w:szCs w:val="21"/>
              </w:rPr>
            </w:pPr>
            <w:r>
              <w:rPr>
                <w:rFonts w:hint="eastAsia" w:ascii="宋体" w:hAnsi="宋体" w:cs="Calibri"/>
                <w:color w:val="auto"/>
                <w:kern w:val="0"/>
                <w:szCs w:val="21"/>
              </w:rPr>
              <w:t>数量</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ascii="宋体" w:hAnsi="宋体" w:cs="Calibri"/>
                <w:color w:val="auto"/>
                <w:kern w:val="0"/>
                <w:szCs w:val="21"/>
              </w:rPr>
            </w:pPr>
            <w:r>
              <w:rPr>
                <w:rFonts w:cs="Calibri"/>
                <w:color w:val="auto"/>
                <w:kern w:val="0"/>
                <w:szCs w:val="21"/>
              </w:rPr>
              <w:t>项目预算</w:t>
            </w:r>
            <w:r>
              <w:rPr>
                <w:rFonts w:hint="eastAsia" w:ascii="宋体" w:hAnsi="宋体" w:cs="Calibri"/>
                <w:color w:val="auto"/>
                <w:kern w:val="0"/>
                <w:szCs w:val="21"/>
              </w:rPr>
              <w:t>及</w:t>
            </w:r>
            <w:r>
              <w:rPr>
                <w:rFonts w:cs="Calibri"/>
                <w:color w:val="auto"/>
                <w:kern w:val="0"/>
                <w:szCs w:val="21"/>
              </w:rPr>
              <w:t>最高限价</w:t>
            </w:r>
          </w:p>
        </w:tc>
        <w:tc>
          <w:tcPr>
            <w:tcW w:w="2032" w:type="dxa"/>
            <w:tcBorders>
              <w:top w:val="single" w:color="auto" w:sz="4" w:space="0"/>
              <w:left w:val="nil"/>
              <w:bottom w:val="single" w:color="auto" w:sz="4" w:space="0"/>
              <w:right w:val="single" w:color="auto" w:sz="4" w:space="0"/>
            </w:tcBorders>
            <w:noWrap w:val="0"/>
            <w:vAlign w:val="center"/>
          </w:tcPr>
          <w:p>
            <w:pPr>
              <w:jc w:val="center"/>
              <w:rPr>
                <w:rFonts w:ascii="宋体" w:hAnsi="宋体" w:cs="Calibri"/>
                <w:color w:val="auto"/>
                <w:kern w:val="0"/>
                <w:szCs w:val="21"/>
              </w:rPr>
            </w:pPr>
            <w:r>
              <w:rPr>
                <w:rFonts w:hint="eastAsia" w:ascii="宋体" w:hAnsi="宋体" w:cs="Calibri"/>
                <w:color w:val="auto"/>
                <w:kern w:val="0"/>
                <w:szCs w:val="21"/>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39"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Calibri"/>
                <w:color w:val="auto"/>
                <w:kern w:val="0"/>
                <w:szCs w:val="21"/>
              </w:rPr>
            </w:pPr>
            <w:r>
              <w:rPr>
                <w:rFonts w:hint="eastAsia" w:cs="Calibri"/>
                <w:color w:val="auto"/>
                <w:kern w:val="0"/>
                <w:szCs w:val="21"/>
              </w:rPr>
              <w:t>1</w:t>
            </w:r>
          </w:p>
        </w:tc>
        <w:tc>
          <w:tcPr>
            <w:tcW w:w="1991" w:type="dxa"/>
            <w:tcBorders>
              <w:top w:val="single" w:color="auto" w:sz="4" w:space="0"/>
              <w:left w:val="nil"/>
              <w:bottom w:val="single" w:color="auto" w:sz="4" w:space="0"/>
              <w:right w:val="single" w:color="auto" w:sz="4" w:space="0"/>
            </w:tcBorders>
            <w:noWrap w:val="0"/>
            <w:vAlign w:val="center"/>
          </w:tcPr>
          <w:p>
            <w:pPr>
              <w:jc w:val="center"/>
              <w:rPr>
                <w:rFonts w:ascii="宋体" w:hAnsi="宋体" w:cs="Calibri"/>
                <w:color w:val="auto"/>
                <w:kern w:val="0"/>
                <w:szCs w:val="21"/>
              </w:rPr>
            </w:pPr>
            <w:r>
              <w:rPr>
                <w:rFonts w:hint="eastAsia" w:ascii="宋体" w:hAnsi="宋体" w:cs="Calibri"/>
                <w:color w:val="auto"/>
                <w:kern w:val="0"/>
                <w:szCs w:val="21"/>
              </w:rPr>
              <w:t>保安服务采购</w:t>
            </w:r>
          </w:p>
        </w:tc>
        <w:tc>
          <w:tcPr>
            <w:tcW w:w="2033" w:type="dxa"/>
            <w:tcBorders>
              <w:top w:val="single" w:color="auto" w:sz="4" w:space="0"/>
              <w:left w:val="nil"/>
              <w:bottom w:val="single" w:color="auto" w:sz="4" w:space="0"/>
              <w:right w:val="single" w:color="auto" w:sz="4" w:space="0"/>
            </w:tcBorders>
            <w:noWrap w:val="0"/>
            <w:vAlign w:val="center"/>
          </w:tcPr>
          <w:p>
            <w:pPr>
              <w:jc w:val="center"/>
              <w:rPr>
                <w:rFonts w:cs="Calibri"/>
                <w:color w:val="auto"/>
                <w:kern w:val="0"/>
                <w:szCs w:val="21"/>
              </w:rPr>
            </w:pPr>
            <w:r>
              <w:rPr>
                <w:rFonts w:cs="Calibri"/>
                <w:color w:val="auto"/>
                <w:kern w:val="0"/>
                <w:szCs w:val="21"/>
              </w:rPr>
              <w:t>详见招标项目要求</w:t>
            </w:r>
          </w:p>
        </w:tc>
        <w:tc>
          <w:tcPr>
            <w:tcW w:w="850" w:type="dxa"/>
            <w:tcBorders>
              <w:top w:val="single" w:color="auto" w:sz="4" w:space="0"/>
              <w:left w:val="nil"/>
              <w:bottom w:val="single" w:color="auto" w:sz="4" w:space="0"/>
              <w:right w:val="single" w:color="auto" w:sz="4" w:space="0"/>
            </w:tcBorders>
            <w:noWrap w:val="0"/>
            <w:vAlign w:val="center"/>
          </w:tcPr>
          <w:p>
            <w:pPr>
              <w:jc w:val="center"/>
              <w:rPr>
                <w:rFonts w:ascii="宋体" w:hAnsi="宋体" w:cs="Calibri"/>
                <w:color w:val="auto"/>
                <w:kern w:val="0"/>
                <w:szCs w:val="21"/>
              </w:rPr>
            </w:pPr>
            <w:r>
              <w:rPr>
                <w:rFonts w:hint="eastAsia" w:ascii="宋体" w:hAnsi="宋体" w:cs="Calibri"/>
                <w:color w:val="auto"/>
                <w:kern w:val="0"/>
                <w:szCs w:val="21"/>
              </w:rPr>
              <w:t>两年</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cs="Calibri"/>
                <w:bCs/>
                <w:color w:val="auto"/>
                <w:szCs w:val="21"/>
              </w:rPr>
            </w:pPr>
            <w:r>
              <w:rPr>
                <w:rFonts w:hint="eastAsia" w:cs="Calibri"/>
                <w:bCs/>
                <w:color w:val="auto"/>
                <w:szCs w:val="21"/>
              </w:rPr>
              <w:t>530</w:t>
            </w:r>
            <w:r>
              <w:rPr>
                <w:rFonts w:hint="eastAsia" w:ascii="宋体" w:hAnsi="宋体" w:cs="Calibri"/>
                <w:bCs/>
                <w:color w:val="auto"/>
                <w:szCs w:val="21"/>
              </w:rPr>
              <w:t>万元</w:t>
            </w:r>
          </w:p>
        </w:tc>
        <w:tc>
          <w:tcPr>
            <w:tcW w:w="2032" w:type="dxa"/>
            <w:tcBorders>
              <w:top w:val="single" w:color="auto" w:sz="4" w:space="0"/>
              <w:left w:val="nil"/>
              <w:bottom w:val="single" w:color="auto" w:sz="4" w:space="0"/>
              <w:right w:val="single" w:color="auto" w:sz="4" w:space="0"/>
            </w:tcBorders>
            <w:noWrap w:val="0"/>
            <w:vAlign w:val="center"/>
          </w:tcPr>
          <w:p>
            <w:pPr>
              <w:jc w:val="center"/>
              <w:rPr>
                <w:rFonts w:ascii="宋体" w:hAnsi="宋体" w:cs="Calibri"/>
                <w:bCs/>
                <w:color w:val="auto"/>
                <w:szCs w:val="21"/>
              </w:rPr>
            </w:pPr>
            <w:r>
              <w:rPr>
                <w:rFonts w:hint="eastAsia" w:ascii="宋体" w:hAnsi="宋体" w:cs="Calibri"/>
                <w:bCs/>
                <w:color w:val="auto"/>
                <w:szCs w:val="21"/>
              </w:rPr>
              <w:t>安全保护服务</w:t>
            </w:r>
          </w:p>
        </w:tc>
      </w:tr>
    </w:tbl>
    <w:p>
      <w:pPr>
        <w:widowControl/>
        <w:spacing w:line="360" w:lineRule="auto"/>
        <w:ind w:firstLine="422"/>
        <w:jc w:val="left"/>
        <w:rPr>
          <w:rFonts w:hint="eastAsia" w:ascii="Times New Roman" w:hAnsi="Times New Roman" w:cs="宋体"/>
          <w:b/>
          <w:color w:val="auto"/>
          <w:szCs w:val="21"/>
        </w:rPr>
      </w:pPr>
      <w:r>
        <w:rPr>
          <w:rFonts w:hint="eastAsia" w:ascii="Times New Roman" w:hAnsi="Times New Roman" w:cs="宋体"/>
          <w:b/>
          <w:color w:val="auto"/>
          <w:szCs w:val="21"/>
        </w:rPr>
        <w:t xml:space="preserve"> </w:t>
      </w:r>
    </w:p>
    <w:p>
      <w:pPr>
        <w:widowControl/>
        <w:spacing w:line="360" w:lineRule="auto"/>
        <w:ind w:firstLine="422"/>
        <w:jc w:val="left"/>
        <w:rPr>
          <w:rFonts w:hint="eastAsia" w:ascii="Times New Roman" w:hAnsi="Times New Roman"/>
          <w:b/>
          <w:color w:val="auto"/>
          <w:kern w:val="0"/>
          <w:szCs w:val="21"/>
        </w:rPr>
      </w:pPr>
      <w:r>
        <w:rPr>
          <w:rFonts w:hint="eastAsia" w:ascii="宋体" w:hAnsi="宋体" w:cs="宋体"/>
          <w:b/>
          <w:color w:val="auto"/>
          <w:szCs w:val="21"/>
        </w:rPr>
        <w:t>二、</w:t>
      </w:r>
      <w:r>
        <w:rPr>
          <w:rFonts w:ascii="宋体" w:hAnsi="宋体"/>
          <w:b/>
          <w:color w:val="auto"/>
          <w:kern w:val="0"/>
          <w:szCs w:val="21"/>
        </w:rPr>
        <w:t>供应商的资格要求：</w:t>
      </w:r>
    </w:p>
    <w:p>
      <w:pPr>
        <w:spacing w:line="360" w:lineRule="auto"/>
        <w:ind w:firstLine="420"/>
        <w:rPr>
          <w:rFonts w:cs="Calibri"/>
          <w:color w:val="auto"/>
          <w:szCs w:val="21"/>
        </w:rPr>
      </w:pPr>
      <w:r>
        <w:rPr>
          <w:rFonts w:cs="Calibri"/>
          <w:color w:val="auto"/>
          <w:szCs w:val="21"/>
        </w:rPr>
        <w:t>①</w:t>
      </w:r>
      <w:r>
        <w:rPr>
          <w:rFonts w:ascii="宋体" w:hAnsi="宋体" w:cs="Calibri"/>
          <w:color w:val="auto"/>
          <w:szCs w:val="21"/>
        </w:rPr>
        <w:t>符合《中华人民共和国政府采购法》第二十二条要求，具有独立法人资格；</w:t>
      </w:r>
      <w:r>
        <w:rPr>
          <w:rFonts w:cs="Calibri"/>
          <w:color w:val="auto"/>
          <w:szCs w:val="21"/>
        </w:rPr>
        <w:t xml:space="preserve"> </w:t>
      </w:r>
    </w:p>
    <w:p>
      <w:pPr>
        <w:spacing w:line="360" w:lineRule="auto"/>
        <w:ind w:firstLine="420"/>
        <w:rPr>
          <w:rFonts w:ascii="宋体" w:hAnsi="宋体" w:cs="Calibri"/>
          <w:color w:val="auto"/>
          <w:szCs w:val="21"/>
        </w:rPr>
      </w:pPr>
      <w:r>
        <w:rPr>
          <w:rFonts w:hint="eastAsia" w:ascii="宋体" w:hAnsi="宋体" w:cs="Calibri"/>
          <w:color w:val="auto"/>
          <w:szCs w:val="21"/>
        </w:rPr>
        <w:t>②具有省级公安行政机关颁发的保安服务许可证；具有二级（含）以上保安公司等级证书（人力防范）证书；</w:t>
      </w:r>
    </w:p>
    <w:p>
      <w:pPr>
        <w:spacing w:line="360" w:lineRule="auto"/>
        <w:ind w:firstLine="420"/>
        <w:rPr>
          <w:rFonts w:hint="eastAsia" w:cs="Calibri"/>
          <w:color w:val="auto"/>
          <w:szCs w:val="21"/>
        </w:rPr>
      </w:pPr>
      <w:r>
        <w:rPr>
          <w:rFonts w:hint="eastAsia" w:ascii="宋体" w:hAnsi="宋体" w:cs="Calibri"/>
          <w:color w:val="auto"/>
          <w:szCs w:val="21"/>
        </w:rPr>
        <w:t>③</w:t>
      </w:r>
      <w:r>
        <w:rPr>
          <w:rFonts w:ascii="宋体" w:hAnsi="宋体" w:cs="Calibri"/>
          <w:color w:val="auto"/>
          <w:szCs w:val="21"/>
        </w:rPr>
        <w:t>参加政府采购活动前三年内，在经营活动中没有重大违法记录。投标人无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义乌市政府采购监管部门列入不良行为还在公告期内的或者处于暂停政府采购资格期的；或被</w:t>
      </w:r>
      <w:r>
        <w:rPr>
          <w:rFonts w:cs="Calibri"/>
          <w:color w:val="auto"/>
          <w:szCs w:val="21"/>
        </w:rPr>
        <w:t>“</w:t>
      </w:r>
      <w:r>
        <w:rPr>
          <w:rFonts w:ascii="宋体" w:hAnsi="宋体" w:cs="Calibri"/>
          <w:color w:val="auto"/>
          <w:szCs w:val="21"/>
        </w:rPr>
        <w:t>信用中国</w:t>
      </w:r>
      <w:r>
        <w:rPr>
          <w:rFonts w:cs="Calibri"/>
          <w:color w:val="auto"/>
          <w:szCs w:val="21"/>
        </w:rPr>
        <w:t>”</w:t>
      </w:r>
      <w:r>
        <w:rPr>
          <w:rFonts w:ascii="宋体" w:hAnsi="宋体" w:cs="Calibri"/>
          <w:color w:val="auto"/>
          <w:szCs w:val="21"/>
        </w:rPr>
        <w:t>（</w:t>
      </w:r>
      <w:r>
        <w:rPr>
          <w:rFonts w:cs="Calibri"/>
          <w:color w:val="auto"/>
          <w:szCs w:val="21"/>
        </w:rPr>
        <w:t>www.creditchina.gov.cn</w:t>
      </w:r>
      <w:r>
        <w:rPr>
          <w:rFonts w:ascii="宋体" w:hAnsi="宋体" w:cs="Calibri"/>
          <w:color w:val="auto"/>
          <w:szCs w:val="21"/>
        </w:rPr>
        <w:t>）、中国政府采购网（</w:t>
      </w:r>
      <w:r>
        <w:rPr>
          <w:rFonts w:cs="Calibri"/>
          <w:color w:val="auto"/>
          <w:szCs w:val="21"/>
        </w:rPr>
        <w:t>www.ccgp.gov.cn</w:t>
      </w:r>
      <w:r>
        <w:rPr>
          <w:rFonts w:ascii="宋体" w:hAnsi="宋体" w:cs="Calibri"/>
          <w:color w:val="auto"/>
          <w:szCs w:val="21"/>
        </w:rPr>
        <w:t>）列入失信被执行人、重大税收违法案件当事人名单、政府采购严重违法失信行为记录名单的</w:t>
      </w:r>
      <w:r>
        <w:rPr>
          <w:rFonts w:hint="eastAsia" w:ascii="宋体" w:hAnsi="宋体" w:cs="Calibri"/>
          <w:color w:val="auto"/>
          <w:szCs w:val="21"/>
        </w:rPr>
        <w:t>；</w:t>
      </w:r>
    </w:p>
    <w:p>
      <w:pPr>
        <w:spacing w:line="360" w:lineRule="auto"/>
        <w:ind w:firstLine="420"/>
        <w:rPr>
          <w:rFonts w:ascii="宋体" w:hAnsi="宋体" w:cs="Calibri"/>
          <w:color w:val="auto"/>
          <w:szCs w:val="21"/>
        </w:rPr>
      </w:pPr>
      <w:r>
        <w:rPr>
          <w:rFonts w:hint="eastAsia" w:ascii="宋体" w:hAnsi="宋体" w:cs="Calibri"/>
          <w:color w:val="auto"/>
          <w:szCs w:val="21"/>
        </w:rPr>
        <w:t>④</w:t>
      </w:r>
      <w:r>
        <w:rPr>
          <w:rFonts w:ascii="宋体" w:hAnsi="宋体" w:cs="Calibri"/>
          <w:color w:val="auto"/>
          <w:szCs w:val="21"/>
        </w:rPr>
        <w:t>根据《关于在全市公共资源交易活动中应用信用报告的通知》（义行服管</w:t>
      </w:r>
      <w:r>
        <w:rPr>
          <w:rFonts w:cs="Calibri"/>
          <w:color w:val="auto"/>
          <w:szCs w:val="21"/>
        </w:rPr>
        <w:t>[2017]17</w:t>
      </w:r>
      <w:r>
        <w:rPr>
          <w:rFonts w:ascii="宋体" w:hAnsi="宋体" w:cs="Calibri"/>
          <w:color w:val="auto"/>
          <w:szCs w:val="21"/>
        </w:rPr>
        <w:t>号）规定，信用等级为</w:t>
      </w:r>
      <w:r>
        <w:rPr>
          <w:rFonts w:cs="Calibri"/>
          <w:color w:val="auto"/>
          <w:szCs w:val="21"/>
        </w:rPr>
        <w:t>D</w:t>
      </w:r>
      <w:r>
        <w:rPr>
          <w:rFonts w:ascii="宋体" w:hAnsi="宋体" w:cs="Calibri"/>
          <w:color w:val="auto"/>
          <w:szCs w:val="21"/>
        </w:rPr>
        <w:t>、</w:t>
      </w:r>
      <w:r>
        <w:rPr>
          <w:rFonts w:cs="Calibri"/>
          <w:color w:val="auto"/>
          <w:szCs w:val="21"/>
        </w:rPr>
        <w:t>E</w:t>
      </w:r>
      <w:r>
        <w:rPr>
          <w:rFonts w:ascii="宋体" w:hAnsi="宋体" w:cs="Calibri"/>
          <w:color w:val="auto"/>
          <w:szCs w:val="21"/>
        </w:rPr>
        <w:t>类的投标人，不得参与本项目投标（无信用评价供应商不受此项条件限制），查询结果以投标截止时间为准；</w:t>
      </w:r>
    </w:p>
    <w:p>
      <w:pPr>
        <w:spacing w:line="360" w:lineRule="auto"/>
        <w:ind w:firstLine="420"/>
        <w:rPr>
          <w:rFonts w:hint="eastAsia" w:cs="Calibri"/>
          <w:color w:val="auto"/>
          <w:szCs w:val="21"/>
        </w:rPr>
      </w:pPr>
      <w:r>
        <w:rPr>
          <w:rFonts w:hint="eastAsia" w:ascii="宋体" w:hAnsi="宋体" w:cs="Calibri"/>
          <w:color w:val="auto"/>
          <w:szCs w:val="21"/>
        </w:rPr>
        <w:t>⑤</w:t>
      </w:r>
      <w:r>
        <w:rPr>
          <w:rFonts w:ascii="宋体" w:hAnsi="宋体" w:cs="Calibri"/>
          <w:color w:val="auto"/>
          <w:szCs w:val="21"/>
        </w:rPr>
        <w:t>投标人自</w:t>
      </w:r>
      <w:r>
        <w:rPr>
          <w:rFonts w:cs="Calibri"/>
          <w:color w:val="auto"/>
          <w:szCs w:val="21"/>
        </w:rPr>
        <w:t>201</w:t>
      </w:r>
      <w:r>
        <w:rPr>
          <w:rFonts w:hint="eastAsia" w:cs="Calibri"/>
          <w:color w:val="auto"/>
          <w:szCs w:val="21"/>
        </w:rPr>
        <w:t>8</w:t>
      </w:r>
      <w:r>
        <w:rPr>
          <w:rFonts w:ascii="宋体" w:hAnsi="宋体" w:cs="Calibri"/>
          <w:color w:val="auto"/>
          <w:szCs w:val="21"/>
        </w:rPr>
        <w:t>年</w:t>
      </w:r>
      <w:r>
        <w:rPr>
          <w:rFonts w:cs="Calibri"/>
          <w:color w:val="auto"/>
          <w:szCs w:val="21"/>
        </w:rPr>
        <w:t>1</w:t>
      </w:r>
      <w:r>
        <w:rPr>
          <w:rFonts w:ascii="宋体" w:hAnsi="宋体" w:cs="Calibri"/>
          <w:color w:val="auto"/>
          <w:szCs w:val="21"/>
        </w:rPr>
        <w:t>月</w:t>
      </w:r>
      <w:r>
        <w:rPr>
          <w:rFonts w:cs="Calibri"/>
          <w:color w:val="auto"/>
          <w:szCs w:val="21"/>
        </w:rPr>
        <w:t>1</w:t>
      </w:r>
      <w:r>
        <w:rPr>
          <w:rFonts w:ascii="宋体" w:hAnsi="宋体" w:cs="Calibri"/>
          <w:color w:val="auto"/>
          <w:szCs w:val="21"/>
        </w:rPr>
        <w:t>日起到中标公告期结束前无行贿犯罪记录（</w:t>
      </w:r>
      <w:r>
        <w:rPr>
          <w:rFonts w:hint="eastAsia" w:ascii="宋体" w:hAnsi="宋体" w:cs="Calibri"/>
          <w:color w:val="auto"/>
          <w:szCs w:val="21"/>
        </w:rPr>
        <w:t>评标结束后，发放中标通知书前由采购人通过中国裁判文书网（</w:t>
      </w:r>
      <w:r>
        <w:rPr>
          <w:rFonts w:hint="eastAsia" w:cs="Calibri"/>
          <w:color w:val="auto"/>
          <w:szCs w:val="21"/>
        </w:rPr>
        <w:t>http://wenshu.court.gov.cn/</w:t>
      </w:r>
      <w:r>
        <w:rPr>
          <w:rFonts w:hint="eastAsia" w:ascii="宋体" w:hAnsi="宋体" w:cs="Calibri"/>
          <w:color w:val="auto"/>
          <w:szCs w:val="21"/>
        </w:rPr>
        <w:t>）按照招标文件约定对拟中标单位的行贿犯罪记录进行查询，查询结果以网站页面显示内容为准</w:t>
      </w:r>
      <w:r>
        <w:rPr>
          <w:rFonts w:ascii="宋体" w:hAnsi="宋体" w:cs="Calibri"/>
          <w:color w:val="auto"/>
          <w:szCs w:val="21"/>
        </w:rPr>
        <w:t>）；</w:t>
      </w:r>
    </w:p>
    <w:p>
      <w:pPr>
        <w:spacing w:line="360" w:lineRule="auto"/>
        <w:ind w:firstLine="420"/>
        <w:rPr>
          <w:rFonts w:ascii="宋体" w:hAnsi="宋体" w:cs="Calibri"/>
          <w:color w:val="auto"/>
          <w:kern w:val="0"/>
          <w:szCs w:val="21"/>
        </w:rPr>
      </w:pPr>
      <w:r>
        <w:rPr>
          <w:rFonts w:hint="eastAsia" w:ascii="宋体" w:hAnsi="宋体" w:cs="Calibri"/>
          <w:color w:val="auto"/>
          <w:szCs w:val="21"/>
        </w:rPr>
        <w:t>⑥</w:t>
      </w:r>
      <w:r>
        <w:rPr>
          <w:rFonts w:ascii="宋体" w:hAnsi="宋体" w:cs="Calibri"/>
          <w:color w:val="auto"/>
          <w:kern w:val="0"/>
          <w:szCs w:val="21"/>
        </w:rPr>
        <w:t>本项目不接受联合体投标，不允许转包和分包</w:t>
      </w:r>
      <w:r>
        <w:rPr>
          <w:rFonts w:hint="eastAsia" w:ascii="宋体" w:hAnsi="宋体" w:cs="Calibri"/>
          <w:color w:val="auto"/>
          <w:kern w:val="0"/>
          <w:szCs w:val="21"/>
        </w:rPr>
        <w:t>。</w:t>
      </w:r>
    </w:p>
    <w:p>
      <w:pPr>
        <w:spacing w:line="360" w:lineRule="auto"/>
        <w:ind w:firstLine="420"/>
        <w:rPr>
          <w:rFonts w:hint="eastAsia" w:ascii="宋体" w:hAnsi="宋体" w:cs="Calibri"/>
          <w:color w:val="auto"/>
          <w:kern w:val="0"/>
          <w:szCs w:val="21"/>
        </w:rPr>
      </w:pPr>
      <w:r>
        <w:rPr>
          <w:rFonts w:hint="eastAsia" w:ascii="宋体" w:hAnsi="宋体" w:cs="Calibri"/>
          <w:color w:val="auto"/>
          <w:kern w:val="0"/>
          <w:szCs w:val="21"/>
        </w:rPr>
        <w:t>⑦公益一类事业单位不属于政府购买服务的承接主体，不得参与承接购买服务。</w:t>
      </w:r>
    </w:p>
    <w:p>
      <w:pPr>
        <w:spacing w:line="360" w:lineRule="auto"/>
        <w:ind w:firstLine="420"/>
        <w:rPr>
          <w:rFonts w:hint="eastAsia" w:ascii="宋体" w:hAnsi="宋体" w:cs="Calibri"/>
          <w:color w:val="auto"/>
          <w:kern w:val="0"/>
          <w:szCs w:val="21"/>
        </w:rPr>
      </w:pPr>
      <w:r>
        <w:rPr>
          <w:rFonts w:hint="eastAsia" w:ascii="宋体" w:hAnsi="宋体" w:cs="Calibri"/>
          <w:color w:val="auto"/>
          <w:kern w:val="0"/>
          <w:szCs w:val="21"/>
        </w:rPr>
        <w:t>⑧落实政府采购政策需满足的资格要求：小微企业有关政策。</w:t>
      </w:r>
    </w:p>
    <w:p>
      <w:pPr>
        <w:snapToGrid w:val="0"/>
        <w:spacing w:line="360" w:lineRule="auto"/>
        <w:ind w:firstLine="422" w:firstLineChars="200"/>
        <w:rPr>
          <w:rFonts w:hint="eastAsia" w:ascii="宋体" w:hAnsi="宋体" w:cs="Calibri"/>
          <w:b/>
          <w:color w:val="auto"/>
          <w:kern w:val="0"/>
          <w:szCs w:val="21"/>
        </w:rPr>
      </w:pPr>
      <w:r>
        <w:rPr>
          <w:rFonts w:hint="eastAsia" w:ascii="宋体" w:hAnsi="宋体" w:cs="Calibri"/>
          <w:b/>
          <w:color w:val="auto"/>
          <w:kern w:val="0"/>
          <w:szCs w:val="21"/>
        </w:rPr>
        <w:t>三、招标文件获取时间和方式：</w:t>
      </w:r>
    </w:p>
    <w:p>
      <w:pPr>
        <w:snapToGrid w:val="0"/>
        <w:spacing w:line="360" w:lineRule="auto"/>
        <w:ind w:firstLine="420" w:firstLineChars="200"/>
        <w:rPr>
          <w:rFonts w:hint="eastAsia" w:ascii="宋体" w:hAnsi="宋体" w:cs="Calibri"/>
          <w:bCs/>
          <w:color w:val="auto"/>
          <w:kern w:val="0"/>
          <w:szCs w:val="21"/>
        </w:rPr>
      </w:pPr>
      <w:r>
        <w:rPr>
          <w:rFonts w:hint="eastAsia" w:ascii="宋体" w:hAnsi="宋体" w:cs="Calibri"/>
          <w:bCs/>
          <w:color w:val="auto"/>
          <w:kern w:val="0"/>
          <w:szCs w:val="21"/>
        </w:rPr>
        <w:t>（</w:t>
      </w:r>
      <w:r>
        <w:rPr>
          <w:rFonts w:hint="eastAsia" w:cs="Calibri"/>
          <w:bCs/>
          <w:color w:val="auto"/>
          <w:kern w:val="0"/>
          <w:szCs w:val="21"/>
        </w:rPr>
        <w:t>1</w:t>
      </w:r>
      <w:r>
        <w:rPr>
          <w:rFonts w:hint="eastAsia" w:ascii="宋体" w:hAnsi="宋体" w:cs="Calibri"/>
          <w:bCs/>
          <w:color w:val="auto"/>
          <w:kern w:val="0"/>
          <w:szCs w:val="21"/>
        </w:rPr>
        <w:t>）时间：投标方可在采购文件公告期内获取采购文件，采购文件获取截止时间之后至投标截止前潜在供应商仍可获取招标文件，如对招标文件有疑问的，答疑时间按招标文件规定执行。获取招标文件：免费）。</w:t>
      </w:r>
    </w:p>
    <w:p>
      <w:pPr>
        <w:snapToGrid w:val="0"/>
        <w:spacing w:line="360" w:lineRule="auto"/>
        <w:ind w:firstLine="420" w:firstLineChars="200"/>
        <w:rPr>
          <w:rFonts w:hint="eastAsia" w:ascii="宋体" w:hAnsi="宋体" w:cs="Calibri"/>
          <w:bCs/>
          <w:color w:val="auto"/>
          <w:kern w:val="0"/>
          <w:szCs w:val="21"/>
        </w:rPr>
      </w:pPr>
      <w:r>
        <w:rPr>
          <w:rFonts w:hint="eastAsia" w:ascii="宋体" w:hAnsi="宋体" w:cs="Calibri"/>
          <w:bCs/>
          <w:color w:val="auto"/>
          <w:kern w:val="0"/>
          <w:szCs w:val="21"/>
        </w:rPr>
        <w:t>（</w:t>
      </w:r>
      <w:r>
        <w:rPr>
          <w:rFonts w:hint="eastAsia" w:cs="Calibri"/>
          <w:bCs/>
          <w:color w:val="auto"/>
          <w:kern w:val="0"/>
          <w:szCs w:val="21"/>
        </w:rPr>
        <w:t>2</w:t>
      </w:r>
      <w:r>
        <w:rPr>
          <w:rFonts w:hint="eastAsia" w:ascii="宋体" w:hAnsi="宋体" w:cs="Calibri"/>
          <w:bCs/>
          <w:color w:val="auto"/>
          <w:kern w:val="0"/>
          <w:szCs w:val="21"/>
        </w:rPr>
        <w:t>）注册：潜在供应商在获取招标文件前应在浙江省政府采购网上先行注册，注册流程详见浙江政府采购网</w:t>
      </w:r>
      <w:r>
        <w:rPr>
          <w:rFonts w:hint="eastAsia" w:cs="Calibri"/>
          <w:bCs/>
          <w:color w:val="auto"/>
          <w:kern w:val="0"/>
          <w:szCs w:val="21"/>
        </w:rPr>
        <w:t>-</w:t>
      </w:r>
      <w:r>
        <w:rPr>
          <w:rFonts w:hint="eastAsia" w:ascii="宋体" w:hAnsi="宋体" w:cs="Calibri"/>
          <w:bCs/>
          <w:color w:val="auto"/>
          <w:kern w:val="0"/>
          <w:szCs w:val="21"/>
        </w:rPr>
        <w:t>网上办事指南</w:t>
      </w:r>
      <w:r>
        <w:rPr>
          <w:rFonts w:hint="eastAsia" w:cs="Calibri"/>
          <w:bCs/>
          <w:color w:val="auto"/>
          <w:kern w:val="0"/>
          <w:szCs w:val="21"/>
        </w:rPr>
        <w:t>-</w:t>
      </w:r>
      <w:r>
        <w:rPr>
          <w:rFonts w:hint="eastAsia" w:ascii="宋体" w:hAnsi="宋体" w:cs="Calibri"/>
          <w:bCs/>
          <w:color w:val="auto"/>
          <w:kern w:val="0"/>
          <w:szCs w:val="21"/>
        </w:rPr>
        <w:t>供应商注册申请。</w:t>
      </w:r>
    </w:p>
    <w:p>
      <w:pPr>
        <w:snapToGrid w:val="0"/>
        <w:spacing w:line="360" w:lineRule="auto"/>
        <w:ind w:firstLine="420" w:firstLineChars="200"/>
        <w:rPr>
          <w:rFonts w:hint="eastAsia" w:ascii="宋体" w:hAnsi="宋体" w:cs="Calibri"/>
          <w:bCs/>
          <w:color w:val="auto"/>
          <w:kern w:val="0"/>
          <w:szCs w:val="21"/>
        </w:rPr>
      </w:pPr>
      <w:r>
        <w:rPr>
          <w:rFonts w:hint="eastAsia" w:ascii="宋体" w:hAnsi="宋体" w:cs="Calibri"/>
          <w:bCs/>
          <w:color w:val="auto"/>
          <w:kern w:val="0"/>
          <w:szCs w:val="21"/>
        </w:rPr>
        <w:t>（</w:t>
      </w:r>
      <w:r>
        <w:rPr>
          <w:rFonts w:hint="eastAsia" w:cs="Calibri"/>
          <w:bCs/>
          <w:color w:val="auto"/>
          <w:kern w:val="0"/>
          <w:szCs w:val="21"/>
        </w:rPr>
        <w:t>3</w:t>
      </w:r>
      <w:r>
        <w:rPr>
          <w:rFonts w:hint="eastAsia" w:ascii="宋体" w:hAnsi="宋体" w:cs="Calibri"/>
          <w:bCs/>
          <w:color w:val="auto"/>
          <w:kern w:val="0"/>
          <w:szCs w:val="21"/>
        </w:rPr>
        <w:t>）地点及方式：潜在供应商请自行登录浙江政府采购网</w:t>
      </w:r>
      <w:r>
        <w:rPr>
          <w:rFonts w:hint="eastAsia" w:cs="Calibri"/>
          <w:bCs/>
          <w:color w:val="auto"/>
          <w:kern w:val="0"/>
          <w:szCs w:val="21"/>
        </w:rPr>
        <w:t>(http://zfcg.czt.zj.gov.cn/)</w:t>
      </w:r>
      <w:r>
        <w:rPr>
          <w:rFonts w:hint="eastAsia" w:ascii="宋体" w:hAnsi="宋体" w:cs="Calibri"/>
          <w:bCs/>
          <w:color w:val="auto"/>
          <w:kern w:val="0"/>
          <w:szCs w:val="21"/>
        </w:rPr>
        <w:t>免费下载且无需报名【在谷歌或</w:t>
      </w:r>
      <w:r>
        <w:rPr>
          <w:rFonts w:hint="eastAsia" w:cs="Calibri"/>
          <w:bCs/>
          <w:color w:val="auto"/>
          <w:kern w:val="0"/>
          <w:szCs w:val="21"/>
        </w:rPr>
        <w:t>360</w:t>
      </w:r>
      <w:r>
        <w:rPr>
          <w:rFonts w:hint="eastAsia" w:ascii="宋体" w:hAnsi="宋体" w:cs="Calibri"/>
          <w:bCs/>
          <w:color w:val="auto"/>
          <w:kern w:val="0"/>
          <w:szCs w:val="21"/>
        </w:rPr>
        <w:t>浏览器上，用政采云注册的帐号、密码登录系统后，点击（申请获取采购文件）按钮，填写获取采购文件的申请信息】。</w:t>
      </w:r>
    </w:p>
    <w:p>
      <w:pPr>
        <w:snapToGrid w:val="0"/>
        <w:spacing w:line="360" w:lineRule="auto"/>
        <w:ind w:firstLine="422" w:firstLineChars="200"/>
        <w:rPr>
          <w:rFonts w:hint="eastAsia" w:ascii="宋体" w:hAnsi="宋体" w:cs="Calibri"/>
          <w:b/>
          <w:color w:val="auto"/>
          <w:kern w:val="0"/>
          <w:szCs w:val="21"/>
        </w:rPr>
      </w:pPr>
      <w:r>
        <w:rPr>
          <w:rFonts w:hint="eastAsia" w:ascii="宋体" w:hAnsi="宋体" w:cs="Calibri"/>
          <w:b/>
          <w:color w:val="auto"/>
          <w:kern w:val="0"/>
          <w:szCs w:val="21"/>
        </w:rPr>
        <w:t>四、投标截止时间及地点：</w:t>
      </w:r>
    </w:p>
    <w:p>
      <w:pPr>
        <w:snapToGrid w:val="0"/>
        <w:spacing w:line="360" w:lineRule="auto"/>
        <w:ind w:firstLine="420" w:firstLineChars="200"/>
        <w:rPr>
          <w:rFonts w:hint="eastAsia" w:ascii="宋体" w:hAnsi="宋体" w:cs="Calibri"/>
          <w:bCs/>
          <w:color w:val="auto"/>
          <w:kern w:val="0"/>
          <w:szCs w:val="21"/>
        </w:rPr>
      </w:pPr>
      <w:r>
        <w:rPr>
          <w:rFonts w:hint="eastAsia" w:cs="Calibri"/>
          <w:bCs/>
          <w:color w:val="auto"/>
          <w:kern w:val="0"/>
          <w:szCs w:val="21"/>
        </w:rPr>
        <w:t>1.</w:t>
      </w:r>
      <w:r>
        <w:rPr>
          <w:rFonts w:hint="eastAsia" w:ascii="宋体" w:hAnsi="宋体" w:cs="Calibri"/>
          <w:bCs/>
          <w:color w:val="auto"/>
          <w:kern w:val="0"/>
          <w:szCs w:val="21"/>
        </w:rPr>
        <w:t>提交投标文件截止时间：</w:t>
      </w:r>
      <w:r>
        <w:rPr>
          <w:rFonts w:hint="eastAsia" w:cs="Calibri"/>
          <w:bCs/>
          <w:color w:val="auto"/>
          <w:kern w:val="0"/>
          <w:szCs w:val="21"/>
          <w:lang w:eastAsia="zh-CN"/>
        </w:rPr>
        <w:t>2021年05月19日</w:t>
      </w:r>
      <w:r>
        <w:rPr>
          <w:rFonts w:hint="eastAsia" w:ascii="宋体" w:hAnsi="宋体" w:cs="Calibri"/>
          <w:bCs/>
          <w:color w:val="auto"/>
          <w:kern w:val="0"/>
          <w:szCs w:val="21"/>
        </w:rPr>
        <w:t>上午</w:t>
      </w:r>
      <w:r>
        <w:rPr>
          <w:rFonts w:hint="eastAsia" w:cs="Calibri"/>
          <w:bCs/>
          <w:color w:val="auto"/>
          <w:kern w:val="0"/>
          <w:szCs w:val="21"/>
        </w:rPr>
        <w:t>09:30</w:t>
      </w:r>
      <w:r>
        <w:rPr>
          <w:rFonts w:hint="eastAsia" w:ascii="宋体" w:hAnsi="宋体" w:cs="Calibri"/>
          <w:bCs/>
          <w:color w:val="auto"/>
          <w:kern w:val="0"/>
          <w:szCs w:val="21"/>
        </w:rPr>
        <w:t>（北京时间）</w:t>
      </w:r>
    </w:p>
    <w:p>
      <w:pPr>
        <w:snapToGrid w:val="0"/>
        <w:spacing w:line="360" w:lineRule="auto"/>
        <w:ind w:firstLine="420" w:firstLineChars="200"/>
        <w:rPr>
          <w:rFonts w:hint="eastAsia" w:ascii="宋体" w:hAnsi="宋体" w:cs="Calibri"/>
          <w:bCs/>
          <w:color w:val="auto"/>
          <w:kern w:val="0"/>
          <w:szCs w:val="21"/>
        </w:rPr>
      </w:pPr>
      <w:r>
        <w:rPr>
          <w:rFonts w:hint="eastAsia" w:cs="Calibri"/>
          <w:bCs/>
          <w:color w:val="auto"/>
          <w:kern w:val="0"/>
          <w:szCs w:val="21"/>
        </w:rPr>
        <w:t>2.</w:t>
      </w:r>
      <w:r>
        <w:rPr>
          <w:rFonts w:hint="eastAsia" w:ascii="宋体" w:hAnsi="宋体" w:cs="Calibri"/>
          <w:bCs/>
          <w:color w:val="auto"/>
          <w:kern w:val="0"/>
          <w:szCs w:val="21"/>
        </w:rPr>
        <w:t>投标地点：登陆政采云账号，并上传电子加密标书至“政采云”平台，逾期或未上传成功的将导致无法投标或投标无效。</w:t>
      </w:r>
    </w:p>
    <w:p>
      <w:pPr>
        <w:snapToGrid w:val="0"/>
        <w:spacing w:line="360" w:lineRule="auto"/>
        <w:ind w:firstLine="420" w:firstLineChars="200"/>
        <w:rPr>
          <w:rFonts w:hint="eastAsia" w:ascii="宋体" w:hAnsi="宋体" w:cs="Calibri"/>
          <w:bCs/>
          <w:color w:val="auto"/>
          <w:kern w:val="0"/>
          <w:szCs w:val="21"/>
        </w:rPr>
      </w:pPr>
      <w:r>
        <w:rPr>
          <w:rFonts w:hint="eastAsia" w:cs="Calibri"/>
          <w:bCs/>
          <w:color w:val="auto"/>
          <w:kern w:val="0"/>
          <w:szCs w:val="21"/>
        </w:rPr>
        <w:t>3.</w:t>
      </w:r>
      <w:r>
        <w:rPr>
          <w:rFonts w:hint="eastAsia" w:ascii="宋体" w:hAnsi="宋体" w:cs="Calibri"/>
          <w:bCs/>
          <w:color w:val="auto"/>
          <w:kern w:val="0"/>
          <w:szCs w:val="21"/>
        </w:rPr>
        <w:t>开标时间：</w:t>
      </w:r>
      <w:r>
        <w:rPr>
          <w:rFonts w:hint="eastAsia" w:cs="Calibri"/>
          <w:bCs/>
          <w:color w:val="auto"/>
          <w:kern w:val="0"/>
          <w:szCs w:val="21"/>
          <w:lang w:eastAsia="zh-CN"/>
        </w:rPr>
        <w:t>2021年05月19日</w:t>
      </w:r>
      <w:r>
        <w:rPr>
          <w:rFonts w:hint="eastAsia" w:ascii="宋体" w:hAnsi="宋体" w:cs="Calibri"/>
          <w:bCs/>
          <w:color w:val="auto"/>
          <w:kern w:val="0"/>
          <w:szCs w:val="21"/>
        </w:rPr>
        <w:t>上午</w:t>
      </w:r>
      <w:r>
        <w:rPr>
          <w:rFonts w:hint="eastAsia" w:cs="Calibri"/>
          <w:bCs/>
          <w:color w:val="auto"/>
          <w:kern w:val="0"/>
          <w:szCs w:val="21"/>
        </w:rPr>
        <w:t>09:30</w:t>
      </w:r>
      <w:r>
        <w:rPr>
          <w:rFonts w:hint="eastAsia" w:ascii="宋体" w:hAnsi="宋体" w:cs="Calibri"/>
          <w:bCs/>
          <w:color w:val="auto"/>
          <w:kern w:val="0"/>
          <w:szCs w:val="21"/>
        </w:rPr>
        <w:t>；</w:t>
      </w:r>
    </w:p>
    <w:p>
      <w:pPr>
        <w:snapToGrid w:val="0"/>
        <w:spacing w:line="360" w:lineRule="auto"/>
        <w:ind w:firstLine="420" w:firstLineChars="200"/>
        <w:rPr>
          <w:rFonts w:hint="eastAsia" w:ascii="宋体" w:hAnsi="宋体" w:cs="Calibri"/>
          <w:bCs/>
          <w:color w:val="auto"/>
          <w:kern w:val="0"/>
          <w:szCs w:val="21"/>
        </w:rPr>
      </w:pPr>
      <w:r>
        <w:rPr>
          <w:rFonts w:hint="eastAsia" w:cs="Calibri"/>
          <w:bCs/>
          <w:color w:val="auto"/>
          <w:kern w:val="0"/>
          <w:szCs w:val="21"/>
        </w:rPr>
        <w:t>4.</w:t>
      </w:r>
      <w:r>
        <w:rPr>
          <w:rFonts w:hint="eastAsia" w:ascii="宋体" w:hAnsi="宋体" w:cs="Calibri"/>
          <w:bCs/>
          <w:color w:val="auto"/>
          <w:kern w:val="0"/>
          <w:szCs w:val="21"/>
        </w:rPr>
        <w:t>开标地点：义乌市望道路</w:t>
      </w:r>
      <w:r>
        <w:rPr>
          <w:rFonts w:hint="eastAsia" w:cs="Calibri"/>
          <w:bCs/>
          <w:color w:val="auto"/>
          <w:kern w:val="0"/>
          <w:szCs w:val="21"/>
        </w:rPr>
        <w:t>300</w:t>
      </w:r>
      <w:r>
        <w:rPr>
          <w:rFonts w:hint="eastAsia" w:ascii="宋体" w:hAnsi="宋体" w:cs="Calibri"/>
          <w:bCs/>
          <w:color w:val="auto"/>
          <w:kern w:val="0"/>
          <w:szCs w:val="21"/>
        </w:rPr>
        <w:t>号行政服务中心四楼电子开标室。</w:t>
      </w:r>
    </w:p>
    <w:p>
      <w:pPr>
        <w:snapToGrid w:val="0"/>
        <w:spacing w:line="360" w:lineRule="auto"/>
        <w:ind w:firstLine="420" w:firstLineChars="200"/>
        <w:rPr>
          <w:rFonts w:hint="eastAsia" w:ascii="宋体" w:hAnsi="宋体" w:cs="Calibri"/>
          <w:bCs/>
          <w:color w:val="auto"/>
          <w:kern w:val="0"/>
          <w:szCs w:val="21"/>
        </w:rPr>
      </w:pPr>
      <w:r>
        <w:rPr>
          <w:rFonts w:hint="eastAsia" w:cs="Calibri"/>
          <w:bCs/>
          <w:color w:val="auto"/>
          <w:kern w:val="0"/>
          <w:szCs w:val="21"/>
        </w:rPr>
        <w:t>5.</w:t>
      </w:r>
      <w:r>
        <w:rPr>
          <w:rFonts w:hint="eastAsia" w:ascii="宋体" w:hAnsi="宋体" w:cs="Calibri"/>
          <w:bCs/>
          <w:color w:val="auto"/>
          <w:kern w:val="0"/>
          <w:szCs w:val="21"/>
        </w:rPr>
        <w:t>开标时间后</w:t>
      </w:r>
      <w:r>
        <w:rPr>
          <w:rFonts w:hint="eastAsia" w:cs="Calibri"/>
          <w:bCs/>
          <w:color w:val="auto"/>
          <w:kern w:val="0"/>
          <w:szCs w:val="21"/>
        </w:rPr>
        <w:t>1</w:t>
      </w:r>
      <w:r>
        <w:rPr>
          <w:rFonts w:hint="eastAsia" w:ascii="宋体" w:hAnsi="宋体" w:cs="Calibri"/>
          <w:bCs/>
          <w:color w:val="auto"/>
          <w:kern w:val="0"/>
          <w:szCs w:val="21"/>
        </w:rPr>
        <w:t>小时内（</w:t>
      </w:r>
      <w:r>
        <w:rPr>
          <w:rFonts w:hint="eastAsia" w:cs="Calibri"/>
          <w:bCs/>
          <w:color w:val="auto"/>
          <w:kern w:val="0"/>
          <w:szCs w:val="21"/>
          <w:lang w:eastAsia="zh-CN"/>
        </w:rPr>
        <w:t>2021年05月19日</w:t>
      </w:r>
      <w:r>
        <w:rPr>
          <w:rFonts w:hint="eastAsia" w:ascii="宋体" w:hAnsi="宋体" w:cs="Calibri"/>
          <w:bCs/>
          <w:color w:val="auto"/>
          <w:kern w:val="0"/>
          <w:szCs w:val="21"/>
        </w:rPr>
        <w:t>上午</w:t>
      </w:r>
      <w:r>
        <w:rPr>
          <w:rFonts w:hint="eastAsia" w:cs="Calibri"/>
          <w:bCs/>
          <w:color w:val="auto"/>
          <w:kern w:val="0"/>
          <w:szCs w:val="21"/>
        </w:rPr>
        <w:t>10:30</w:t>
      </w:r>
      <w:r>
        <w:rPr>
          <w:rFonts w:hint="eastAsia" w:ascii="宋体" w:hAnsi="宋体" w:cs="Calibri"/>
          <w:bCs/>
          <w:color w:val="auto"/>
          <w:kern w:val="0"/>
          <w:szCs w:val="21"/>
        </w:rPr>
        <w:t>前）供应商可以登录“政采云”平台，用“项目采购</w:t>
      </w:r>
      <w:r>
        <w:rPr>
          <w:rFonts w:hint="eastAsia" w:cs="Calibri"/>
          <w:bCs/>
          <w:color w:val="auto"/>
          <w:kern w:val="0"/>
          <w:szCs w:val="21"/>
        </w:rPr>
        <w:t>-</w:t>
      </w:r>
      <w:r>
        <w:rPr>
          <w:rFonts w:hint="eastAsia" w:ascii="宋体" w:hAnsi="宋体" w:cs="Calibri"/>
          <w:bCs/>
          <w:color w:val="auto"/>
          <w:kern w:val="0"/>
          <w:szCs w:val="21"/>
        </w:rPr>
        <w:t>开标评标”功能进行解密投标文件。</w:t>
      </w:r>
    </w:p>
    <w:p>
      <w:pPr>
        <w:snapToGrid w:val="0"/>
        <w:spacing w:line="360" w:lineRule="auto"/>
        <w:ind w:firstLine="420" w:firstLineChars="200"/>
        <w:rPr>
          <w:rFonts w:hint="eastAsia" w:ascii="宋体" w:hAnsi="宋体" w:cs="Calibri"/>
          <w:bCs/>
          <w:color w:val="auto"/>
          <w:kern w:val="0"/>
          <w:szCs w:val="21"/>
        </w:rPr>
      </w:pPr>
      <w:r>
        <w:rPr>
          <w:rFonts w:hint="eastAsia" w:ascii="宋体" w:hAnsi="宋体" w:cs="Calibri"/>
          <w:bCs/>
          <w:color w:val="auto"/>
          <w:kern w:val="0"/>
          <w:szCs w:val="21"/>
        </w:rPr>
        <w:t>备注：为确保采购项目顺利实施，避免因政采云上电子投标文件解密失败导致投标方投标无效，投标方可在</w:t>
      </w:r>
      <w:r>
        <w:rPr>
          <w:rFonts w:hint="eastAsia" w:cs="Calibri"/>
          <w:bCs/>
          <w:color w:val="auto"/>
          <w:kern w:val="0"/>
          <w:szCs w:val="21"/>
          <w:lang w:eastAsia="zh-CN"/>
        </w:rPr>
        <w:t>2021年05月19日</w:t>
      </w:r>
      <w:r>
        <w:rPr>
          <w:rFonts w:hint="eastAsia" w:ascii="宋体" w:hAnsi="宋体" w:cs="Calibri"/>
          <w:bCs/>
          <w:color w:val="auto"/>
          <w:kern w:val="0"/>
          <w:szCs w:val="21"/>
        </w:rPr>
        <w:t>上午</w:t>
      </w:r>
      <w:r>
        <w:rPr>
          <w:rFonts w:hint="eastAsia" w:cs="Calibri"/>
          <w:bCs/>
          <w:color w:val="auto"/>
          <w:kern w:val="0"/>
          <w:szCs w:val="21"/>
        </w:rPr>
        <w:t>09:30</w:t>
      </w:r>
      <w:r>
        <w:rPr>
          <w:rFonts w:hint="eastAsia" w:ascii="宋体" w:hAnsi="宋体" w:cs="Calibri"/>
          <w:bCs/>
          <w:color w:val="auto"/>
          <w:kern w:val="0"/>
          <w:szCs w:val="21"/>
        </w:rPr>
        <w:t>前将在政采云平台上最后生成的具备电子签章的备份加密投标文件（文件名后缀为备份文件四字的首字母）以电子邮件方式传送至</w:t>
      </w:r>
      <w:r>
        <w:rPr>
          <w:rFonts w:ascii="宋体" w:hAnsi="宋体" w:cs="Calibri"/>
          <w:color w:val="auto"/>
          <w:kern w:val="0"/>
          <w:szCs w:val="21"/>
        </w:rPr>
        <w:t>浙江省成套招标代理有限公司指定邮箱（</w:t>
      </w:r>
      <w:r>
        <w:rPr>
          <w:rFonts w:hint="eastAsia" w:cs="Calibri"/>
          <w:color w:val="auto"/>
          <w:kern w:val="0"/>
          <w:szCs w:val="21"/>
        </w:rPr>
        <w:t>1830912141@qq.com</w:t>
      </w:r>
      <w:r>
        <w:rPr>
          <w:rFonts w:ascii="宋体" w:hAnsi="宋体" w:cs="Calibri"/>
          <w:color w:val="auto"/>
          <w:kern w:val="0"/>
          <w:szCs w:val="21"/>
        </w:rPr>
        <w:t>）</w:t>
      </w:r>
      <w:r>
        <w:rPr>
          <w:rFonts w:hint="eastAsia" w:ascii="宋体" w:hAnsi="宋体" w:cs="Calibri"/>
          <w:bCs/>
          <w:color w:val="auto"/>
          <w:kern w:val="0"/>
          <w:szCs w:val="21"/>
        </w:rPr>
        <w:t>，传送的备份电子投标文件需打包压缩并加密，加密密码由投标方自行保管，如政采云上电子投标文件出现解密失败情况（开标当日</w:t>
      </w:r>
      <w:r>
        <w:rPr>
          <w:rFonts w:hint="eastAsia" w:cs="Calibri"/>
          <w:bCs/>
          <w:color w:val="auto"/>
          <w:kern w:val="0"/>
          <w:szCs w:val="21"/>
        </w:rPr>
        <w:t>09:30-10:30</w:t>
      </w:r>
      <w:r>
        <w:rPr>
          <w:rFonts w:hint="eastAsia" w:ascii="宋体" w:hAnsi="宋体" w:cs="Calibri"/>
          <w:bCs/>
          <w:color w:val="auto"/>
          <w:kern w:val="0"/>
          <w:szCs w:val="21"/>
        </w:rPr>
        <w:t>期间进行解密），投标方可按照自身意愿确认是否同意提供加密密码解密传送至</w:t>
      </w:r>
      <w:r>
        <w:rPr>
          <w:rFonts w:ascii="宋体" w:hAnsi="宋体" w:cs="Calibri"/>
          <w:color w:val="auto"/>
          <w:kern w:val="0"/>
          <w:szCs w:val="21"/>
        </w:rPr>
        <w:t>浙江省成套招标代理有限公司指定邮箱（</w:t>
      </w:r>
      <w:r>
        <w:rPr>
          <w:rFonts w:hint="eastAsia" w:cs="Calibri"/>
          <w:color w:val="auto"/>
          <w:kern w:val="0"/>
          <w:szCs w:val="21"/>
        </w:rPr>
        <w:t>1830912141@qq.com</w:t>
      </w:r>
      <w:r>
        <w:rPr>
          <w:rFonts w:ascii="宋体" w:hAnsi="宋体" w:cs="Calibri"/>
          <w:color w:val="auto"/>
          <w:kern w:val="0"/>
          <w:szCs w:val="21"/>
        </w:rPr>
        <w:t>）</w:t>
      </w:r>
      <w:r>
        <w:rPr>
          <w:rFonts w:hint="eastAsia" w:ascii="宋体" w:hAnsi="宋体" w:cs="Calibri"/>
          <w:bCs/>
          <w:color w:val="auto"/>
          <w:kern w:val="0"/>
          <w:szCs w:val="21"/>
        </w:rPr>
        <w:t>的备份文件，并以备份文件作为替代电子投标文件，如投标方未按照规定时间（</w:t>
      </w:r>
      <w:r>
        <w:rPr>
          <w:rFonts w:hint="eastAsia" w:cs="Calibri"/>
          <w:bCs/>
          <w:color w:val="auto"/>
          <w:kern w:val="0"/>
          <w:szCs w:val="21"/>
        </w:rPr>
        <w:t>2020</w:t>
      </w:r>
      <w:r>
        <w:rPr>
          <w:rFonts w:hint="eastAsia" w:ascii="宋体" w:hAnsi="宋体" w:cs="Calibri"/>
          <w:bCs/>
          <w:color w:val="auto"/>
          <w:kern w:val="0"/>
          <w:szCs w:val="21"/>
        </w:rPr>
        <w:t>年</w:t>
      </w:r>
      <w:r>
        <w:rPr>
          <w:rFonts w:hint="eastAsia" w:cs="Calibri"/>
          <w:bCs/>
          <w:color w:val="auto"/>
          <w:kern w:val="0"/>
          <w:szCs w:val="21"/>
          <w:lang w:eastAsia="zh-CN"/>
        </w:rPr>
        <w:t>05月18日</w:t>
      </w:r>
      <w:r>
        <w:rPr>
          <w:rFonts w:hint="eastAsia" w:ascii="宋体" w:hAnsi="宋体" w:cs="Calibri"/>
          <w:bCs/>
          <w:color w:val="auto"/>
          <w:kern w:val="0"/>
          <w:szCs w:val="21"/>
        </w:rPr>
        <w:t>上午</w:t>
      </w:r>
      <w:r>
        <w:rPr>
          <w:rFonts w:hint="eastAsia" w:cs="Calibri"/>
          <w:bCs/>
          <w:color w:val="auto"/>
          <w:kern w:val="0"/>
          <w:szCs w:val="21"/>
        </w:rPr>
        <w:t>09:30</w:t>
      </w:r>
      <w:r>
        <w:rPr>
          <w:rFonts w:hint="eastAsia" w:ascii="宋体" w:hAnsi="宋体" w:cs="Calibri"/>
          <w:bCs/>
          <w:color w:val="auto"/>
          <w:kern w:val="0"/>
          <w:szCs w:val="21"/>
        </w:rPr>
        <w:t>前）及要求提供有效备份文件，同时政采云上投标文件解密失败的，将导致投标无效。</w:t>
      </w:r>
    </w:p>
    <w:p>
      <w:pPr>
        <w:snapToGrid w:val="0"/>
        <w:spacing w:line="360" w:lineRule="auto"/>
        <w:ind w:firstLine="420" w:firstLineChars="200"/>
        <w:rPr>
          <w:rFonts w:hint="eastAsia" w:ascii="宋体" w:hAnsi="宋体" w:cs="Calibri"/>
          <w:bCs/>
          <w:color w:val="auto"/>
          <w:kern w:val="0"/>
          <w:szCs w:val="21"/>
        </w:rPr>
      </w:pPr>
      <w:r>
        <w:rPr>
          <w:rFonts w:hint="eastAsia" w:ascii="宋体" w:hAnsi="宋体" w:cs="Calibri"/>
          <w:bCs/>
          <w:color w:val="auto"/>
          <w:kern w:val="0"/>
          <w:szCs w:val="21"/>
        </w:rPr>
        <w:t>投标方无需在开标当天到达开标现场，只需在规定时间内在投标方自己的办公场地，对电子投标文件进行解密。</w:t>
      </w:r>
    </w:p>
    <w:p>
      <w:pPr>
        <w:snapToGrid w:val="0"/>
        <w:spacing w:line="360" w:lineRule="auto"/>
        <w:ind w:firstLine="422" w:firstLineChars="200"/>
        <w:rPr>
          <w:rFonts w:hint="eastAsia" w:cs="Calibri"/>
          <w:bCs/>
          <w:color w:val="auto"/>
          <w:kern w:val="0"/>
          <w:szCs w:val="21"/>
        </w:rPr>
      </w:pPr>
      <w:r>
        <w:rPr>
          <w:rFonts w:hint="eastAsia" w:ascii="宋体" w:hAnsi="宋体" w:cs="Calibri"/>
          <w:b/>
          <w:color w:val="auto"/>
          <w:kern w:val="0"/>
          <w:szCs w:val="21"/>
        </w:rPr>
        <w:t>五、公告期限：</w:t>
      </w:r>
      <w:r>
        <w:rPr>
          <w:rFonts w:hint="eastAsia" w:ascii="宋体" w:hAnsi="宋体" w:cs="Calibri"/>
          <w:bCs/>
          <w:color w:val="auto"/>
          <w:kern w:val="0"/>
          <w:szCs w:val="21"/>
        </w:rPr>
        <w:t>自本公告发布之日起至第</w:t>
      </w:r>
      <w:r>
        <w:rPr>
          <w:rFonts w:hint="eastAsia" w:cs="Calibri"/>
          <w:bCs/>
          <w:color w:val="auto"/>
          <w:kern w:val="0"/>
          <w:szCs w:val="21"/>
        </w:rPr>
        <w:t>6</w:t>
      </w:r>
      <w:r>
        <w:rPr>
          <w:rFonts w:hint="eastAsia" w:ascii="宋体" w:hAnsi="宋体" w:cs="Calibri"/>
          <w:bCs/>
          <w:color w:val="auto"/>
          <w:kern w:val="0"/>
          <w:szCs w:val="21"/>
        </w:rPr>
        <w:t>个工作日</w:t>
      </w:r>
      <w:r>
        <w:rPr>
          <w:rFonts w:hint="eastAsia" w:cs="Calibri"/>
          <w:bCs/>
          <w:color w:val="auto"/>
          <w:kern w:val="0"/>
          <w:szCs w:val="21"/>
        </w:rPr>
        <w:t>24</w:t>
      </w:r>
      <w:r>
        <w:rPr>
          <w:rFonts w:hint="eastAsia" w:ascii="宋体" w:hAnsi="宋体" w:cs="Calibri"/>
          <w:bCs/>
          <w:color w:val="auto"/>
          <w:kern w:val="0"/>
          <w:szCs w:val="21"/>
        </w:rPr>
        <w:t>时</w:t>
      </w:r>
      <w:r>
        <w:rPr>
          <w:rFonts w:ascii="宋体" w:hAnsi="宋体" w:cs="Calibri"/>
          <w:bCs/>
          <w:color w:val="auto"/>
          <w:kern w:val="0"/>
          <w:szCs w:val="21"/>
        </w:rPr>
        <w:t>。</w:t>
      </w:r>
    </w:p>
    <w:p>
      <w:pPr>
        <w:widowControl/>
        <w:adjustRightInd w:val="0"/>
        <w:snapToGrid w:val="0"/>
        <w:spacing w:line="360" w:lineRule="exact"/>
        <w:ind w:firstLine="422" w:firstLineChars="200"/>
        <w:jc w:val="left"/>
        <w:rPr>
          <w:rFonts w:ascii="Times New Roman" w:hAnsi="Times New Roman" w:cs="宋体"/>
          <w:b/>
          <w:color w:val="auto"/>
          <w:kern w:val="0"/>
          <w:szCs w:val="21"/>
        </w:rPr>
      </w:pPr>
      <w:r>
        <w:rPr>
          <w:rFonts w:hint="eastAsia" w:ascii="宋体" w:hAnsi="宋体" w:cs="宋体"/>
          <w:b/>
          <w:color w:val="auto"/>
          <w:kern w:val="0"/>
          <w:szCs w:val="21"/>
        </w:rPr>
        <w:t>六、其他补充事宜</w:t>
      </w:r>
    </w:p>
    <w:p>
      <w:pPr>
        <w:widowControl/>
        <w:adjustRightInd w:val="0"/>
        <w:snapToGrid w:val="0"/>
        <w:spacing w:line="360" w:lineRule="exact"/>
        <w:ind w:firstLine="420" w:firstLineChars="200"/>
        <w:jc w:val="left"/>
        <w:rPr>
          <w:rFonts w:hint="eastAsia" w:ascii="Times New Roman" w:hAnsi="Times New Roman" w:cs="宋体"/>
          <w:bCs/>
          <w:color w:val="auto"/>
          <w:kern w:val="0"/>
          <w:szCs w:val="21"/>
        </w:rPr>
      </w:pPr>
      <w:r>
        <w:rPr>
          <w:rFonts w:hint="eastAsia" w:ascii="Times New Roman" w:hAnsi="Times New Roman"/>
          <w:bCs/>
          <w:color w:val="auto"/>
          <w:kern w:val="0"/>
          <w:szCs w:val="21"/>
        </w:rPr>
        <w:t>1.</w:t>
      </w:r>
      <w:r>
        <w:rPr>
          <w:rFonts w:hint="eastAsia" w:ascii="宋体" w:hAnsi="宋体" w:cs="宋体"/>
          <w:bCs/>
          <w:color w:val="auto"/>
          <w:kern w:val="0"/>
          <w:szCs w:val="21"/>
        </w:rPr>
        <w:t>答疑与澄清：潜在供应商如认为招标文件表述不清晰、存在歧视性、排他性或者其他违法内容的，可以自收到采购文件之日或者采购文件公告期限届满之日（自本公告发布之日起至第</w:t>
      </w:r>
      <w:r>
        <w:rPr>
          <w:rFonts w:hint="eastAsia" w:ascii="Times New Roman" w:hAnsi="Times New Roman"/>
          <w:bCs/>
          <w:color w:val="auto"/>
          <w:kern w:val="0"/>
          <w:szCs w:val="21"/>
        </w:rPr>
        <w:t>6</w:t>
      </w:r>
      <w:r>
        <w:rPr>
          <w:rFonts w:hint="eastAsia" w:ascii="宋体" w:hAnsi="宋体" w:cs="宋体"/>
          <w:bCs/>
          <w:color w:val="auto"/>
          <w:kern w:val="0"/>
          <w:szCs w:val="21"/>
        </w:rPr>
        <w:t>个工作日</w:t>
      </w:r>
      <w:r>
        <w:rPr>
          <w:rFonts w:hint="eastAsia" w:ascii="Times New Roman" w:hAnsi="Times New Roman"/>
          <w:bCs/>
          <w:color w:val="auto"/>
          <w:kern w:val="0"/>
          <w:szCs w:val="21"/>
        </w:rPr>
        <w:t>24</w:t>
      </w:r>
      <w:r>
        <w:rPr>
          <w:rFonts w:hint="eastAsia" w:ascii="宋体" w:hAnsi="宋体" w:cs="宋体"/>
          <w:bCs/>
          <w:color w:val="auto"/>
          <w:kern w:val="0"/>
          <w:szCs w:val="21"/>
        </w:rPr>
        <w:t>时止）起</w:t>
      </w:r>
      <w:r>
        <w:rPr>
          <w:rFonts w:hint="eastAsia" w:ascii="Times New Roman" w:hAnsi="Times New Roman"/>
          <w:bCs/>
          <w:color w:val="auto"/>
          <w:kern w:val="0"/>
          <w:szCs w:val="21"/>
        </w:rPr>
        <w:t>7</w:t>
      </w:r>
      <w:r>
        <w:rPr>
          <w:rFonts w:hint="eastAsia" w:ascii="宋体" w:hAnsi="宋体" w:cs="宋体"/>
          <w:bCs/>
          <w:color w:val="auto"/>
          <w:kern w:val="0"/>
          <w:szCs w:val="21"/>
        </w:rPr>
        <w:t>个工作日内，以书面递交或传真形式要求招标方作出书面解释、澄清或者向招标方提出书面质疑；本项目不组织答疑会；招标方的答疑内容和书面澄清文件是招标文件的组成部份，招标方的书面澄清（更正）文件会在浙江政府采购网上发布公告，同时政采云系统会向所有已按招标文件规定方式获取招标文件的潜在供应商发送澄清（更正）提醒信息，潜在供应商请自行到浙江政府采购网上下载澄清（更正）文件，潜在供应商在收到该澄清（更正）文件后应于</w:t>
      </w:r>
      <w:r>
        <w:rPr>
          <w:rFonts w:hint="eastAsia" w:ascii="Times New Roman" w:hAnsi="Times New Roman"/>
          <w:bCs/>
          <w:color w:val="auto"/>
          <w:kern w:val="0"/>
          <w:szCs w:val="21"/>
        </w:rPr>
        <w:t>1</w:t>
      </w:r>
      <w:r>
        <w:rPr>
          <w:rFonts w:hint="eastAsia" w:ascii="宋体" w:hAnsi="宋体" w:cs="宋体"/>
          <w:bCs/>
          <w:color w:val="auto"/>
          <w:kern w:val="0"/>
          <w:szCs w:val="21"/>
        </w:rPr>
        <w:t>日内，以书面或传真形式（签署意见并加电子签章）向招标代理机构回函给予确认。过期未回复的，视为默认接受。</w:t>
      </w:r>
    </w:p>
    <w:p>
      <w:pPr>
        <w:widowControl/>
        <w:adjustRightInd w:val="0"/>
        <w:snapToGrid w:val="0"/>
        <w:spacing w:line="360" w:lineRule="exact"/>
        <w:ind w:firstLine="420" w:firstLineChars="200"/>
        <w:jc w:val="left"/>
        <w:rPr>
          <w:rFonts w:hint="eastAsia" w:ascii="Times New Roman" w:hAnsi="Times New Roman" w:cs="宋体"/>
          <w:bCs/>
          <w:color w:val="auto"/>
          <w:kern w:val="0"/>
          <w:szCs w:val="21"/>
        </w:rPr>
      </w:pPr>
      <w:r>
        <w:rPr>
          <w:rFonts w:hint="eastAsia" w:ascii="Times New Roman" w:hAnsi="Times New Roman"/>
          <w:bCs/>
          <w:color w:val="auto"/>
          <w:kern w:val="0"/>
          <w:szCs w:val="21"/>
        </w:rPr>
        <w:t>2.</w:t>
      </w:r>
      <w:r>
        <w:rPr>
          <w:rFonts w:hint="eastAsia" w:ascii="宋体" w:hAnsi="宋体" w:cs="宋体"/>
          <w:bCs/>
          <w:color w:val="auto"/>
          <w:kern w:val="0"/>
          <w:szCs w:val="21"/>
        </w:rPr>
        <w:t>投标保证金：无</w:t>
      </w:r>
    </w:p>
    <w:p>
      <w:pPr>
        <w:widowControl/>
        <w:adjustRightInd w:val="0"/>
        <w:snapToGrid w:val="0"/>
        <w:spacing w:line="360" w:lineRule="exact"/>
        <w:ind w:firstLine="420" w:firstLineChars="200"/>
        <w:jc w:val="left"/>
        <w:rPr>
          <w:rFonts w:hint="eastAsia" w:ascii="Times New Roman" w:hAnsi="Times New Roman" w:cs="宋体"/>
          <w:bCs/>
          <w:color w:val="auto"/>
          <w:kern w:val="0"/>
          <w:szCs w:val="21"/>
        </w:rPr>
      </w:pPr>
      <w:r>
        <w:rPr>
          <w:rFonts w:hint="eastAsia" w:ascii="Times New Roman" w:hAnsi="Times New Roman"/>
          <w:bCs/>
          <w:color w:val="auto"/>
          <w:kern w:val="0"/>
          <w:szCs w:val="21"/>
        </w:rPr>
        <w:t>3.</w:t>
      </w:r>
      <w:r>
        <w:rPr>
          <w:rFonts w:hint="eastAsia" w:ascii="宋体" w:hAnsi="宋体" w:cs="宋体"/>
          <w:bCs/>
          <w:color w:val="auto"/>
          <w:kern w:val="0"/>
          <w:szCs w:val="21"/>
        </w:rPr>
        <w:t>投标与开标注意事项：</w:t>
      </w:r>
    </w:p>
    <w:p>
      <w:pPr>
        <w:widowControl/>
        <w:adjustRightInd w:val="0"/>
        <w:snapToGrid w:val="0"/>
        <w:spacing w:line="360" w:lineRule="exact"/>
        <w:ind w:firstLine="420" w:firstLineChars="200"/>
        <w:jc w:val="left"/>
        <w:rPr>
          <w:rFonts w:hint="eastAsia" w:ascii="Times New Roman" w:hAnsi="Times New Roman" w:cs="宋体"/>
          <w:bCs/>
          <w:color w:val="auto"/>
          <w:kern w:val="0"/>
          <w:szCs w:val="21"/>
        </w:rPr>
      </w:pPr>
      <w:r>
        <w:rPr>
          <w:rFonts w:hint="eastAsia" w:ascii="宋体" w:hAnsi="宋体" w:cs="宋体"/>
          <w:bCs/>
          <w:color w:val="auto"/>
          <w:kern w:val="0"/>
          <w:szCs w:val="21"/>
        </w:rPr>
        <w:t>①本项目实行网上投标，获取文件后供应商即可参投，投标方在投标截止时间之前上传电子投标文件。供应商参与投标，需自行承担投标一切费用。</w:t>
      </w:r>
    </w:p>
    <w:p>
      <w:pPr>
        <w:widowControl/>
        <w:adjustRightInd w:val="0"/>
        <w:snapToGrid w:val="0"/>
        <w:spacing w:line="360" w:lineRule="exact"/>
        <w:ind w:firstLine="420" w:firstLineChars="200"/>
        <w:jc w:val="left"/>
        <w:rPr>
          <w:rFonts w:hint="eastAsia" w:ascii="Times New Roman" w:hAnsi="Times New Roman" w:cs="宋体"/>
          <w:bCs/>
          <w:color w:val="auto"/>
          <w:kern w:val="0"/>
          <w:szCs w:val="21"/>
        </w:rPr>
      </w:pPr>
      <w:r>
        <w:rPr>
          <w:rFonts w:hint="eastAsia" w:ascii="宋体" w:hAnsi="宋体" w:cs="宋体"/>
          <w:bCs/>
          <w:color w:val="auto"/>
          <w:kern w:val="0"/>
          <w:szCs w:val="21"/>
        </w:rPr>
        <w:t>②标前准备：各供应商应在开标前确保成为浙江省政府采购网正式注册入库供应商，并完成</w:t>
      </w:r>
      <w:r>
        <w:rPr>
          <w:rFonts w:hint="eastAsia" w:ascii="Times New Roman" w:hAnsi="Times New Roman"/>
          <w:bCs/>
          <w:color w:val="auto"/>
          <w:kern w:val="0"/>
          <w:szCs w:val="21"/>
        </w:rPr>
        <w:t>CA</w:t>
      </w:r>
      <w:r>
        <w:rPr>
          <w:rFonts w:hint="eastAsia" w:ascii="宋体" w:hAnsi="宋体" w:cs="宋体"/>
          <w:bCs/>
          <w:color w:val="auto"/>
          <w:kern w:val="0"/>
          <w:szCs w:val="21"/>
        </w:rPr>
        <w:t>数字证书办理。【办理流程详见电子投标工具链接，（目前“政采云”平台仅支持浙江汇信或天谷</w:t>
      </w:r>
      <w:r>
        <w:rPr>
          <w:rFonts w:hint="eastAsia" w:ascii="Times New Roman" w:hAnsi="Times New Roman"/>
          <w:bCs/>
          <w:color w:val="auto"/>
          <w:kern w:val="0"/>
          <w:szCs w:val="21"/>
        </w:rPr>
        <w:t>CA</w:t>
      </w:r>
      <w:r>
        <w:rPr>
          <w:rFonts w:hint="eastAsia" w:ascii="宋体" w:hAnsi="宋体" w:cs="宋体"/>
          <w:bCs/>
          <w:color w:val="auto"/>
          <w:kern w:val="0"/>
          <w:szCs w:val="21"/>
        </w:rPr>
        <w:t>锁，个体工商户投标仅支持浙江汇信</w:t>
      </w:r>
      <w:r>
        <w:rPr>
          <w:rFonts w:hint="eastAsia" w:ascii="Times New Roman" w:hAnsi="Times New Roman"/>
          <w:bCs/>
          <w:color w:val="auto"/>
          <w:kern w:val="0"/>
          <w:szCs w:val="21"/>
        </w:rPr>
        <w:t>CA</w:t>
      </w:r>
      <w:r>
        <w:rPr>
          <w:rFonts w:hint="eastAsia" w:ascii="宋体" w:hAnsi="宋体" w:cs="宋体"/>
          <w:bCs/>
          <w:color w:val="auto"/>
          <w:kern w:val="0"/>
          <w:szCs w:val="21"/>
        </w:rPr>
        <w:t>锁），申领操作流程】。因未注册入库、未办理</w:t>
      </w:r>
      <w:r>
        <w:rPr>
          <w:rFonts w:hint="eastAsia" w:ascii="Times New Roman" w:hAnsi="Times New Roman"/>
          <w:bCs/>
          <w:color w:val="auto"/>
          <w:kern w:val="0"/>
          <w:szCs w:val="21"/>
        </w:rPr>
        <w:t>CA</w:t>
      </w:r>
      <w:r>
        <w:rPr>
          <w:rFonts w:hint="eastAsia" w:ascii="宋体" w:hAnsi="宋体" w:cs="宋体"/>
          <w:bCs/>
          <w:color w:val="auto"/>
          <w:kern w:val="0"/>
          <w:szCs w:val="21"/>
        </w:rPr>
        <w:t>数字证书等原因造成无法投标或投标失败等后果由供应商自行承担。</w:t>
      </w:r>
    </w:p>
    <w:p>
      <w:pPr>
        <w:widowControl/>
        <w:adjustRightInd w:val="0"/>
        <w:snapToGrid w:val="0"/>
        <w:spacing w:line="360" w:lineRule="exact"/>
        <w:ind w:firstLine="420" w:firstLineChars="200"/>
        <w:jc w:val="left"/>
        <w:rPr>
          <w:rFonts w:hint="eastAsia" w:ascii="Times New Roman" w:hAnsi="Times New Roman" w:cs="宋体"/>
          <w:bCs/>
          <w:color w:val="auto"/>
          <w:kern w:val="0"/>
          <w:szCs w:val="21"/>
        </w:rPr>
      </w:pPr>
      <w:r>
        <w:rPr>
          <w:rFonts w:hint="eastAsia" w:ascii="宋体" w:hAnsi="宋体" w:cs="宋体"/>
          <w:bCs/>
          <w:color w:val="auto"/>
          <w:kern w:val="0"/>
          <w:szCs w:val="21"/>
        </w:rPr>
        <w:t>③投标文件制作：投标人通过“政采云”平台电子投标工具制作投标文件，电子投标工具请供应商自行前往浙江省政府采购网下载并安装，投标文件制作具体流程详见“政采云供应商项目采购</w:t>
      </w:r>
      <w:r>
        <w:rPr>
          <w:rFonts w:hint="eastAsia" w:ascii="Times New Roman" w:hAnsi="Times New Roman"/>
          <w:bCs/>
          <w:color w:val="auto"/>
          <w:kern w:val="0"/>
          <w:szCs w:val="21"/>
        </w:rPr>
        <w:t>-</w:t>
      </w:r>
      <w:r>
        <w:rPr>
          <w:rFonts w:hint="eastAsia" w:ascii="宋体" w:hAnsi="宋体" w:cs="宋体"/>
          <w:bCs/>
          <w:color w:val="auto"/>
          <w:kern w:val="0"/>
          <w:szCs w:val="21"/>
        </w:rPr>
        <w:t>电子招投标操作指南”（请投标供应商登陆政采云平台政府采购电子卖场后，点击链接</w:t>
      </w:r>
      <w:r>
        <w:rPr>
          <w:rFonts w:hint="eastAsia" w:ascii="Times New Roman" w:hAnsi="Times New Roman"/>
          <w:bCs/>
          <w:color w:val="auto"/>
          <w:kern w:val="0"/>
          <w:szCs w:val="21"/>
        </w:rPr>
        <w:t>https://service.zcygov.cn/#/knowledges/CW1EtGwBFdiHxlNd6I3m/6IMVAG0BFdiHxlNdQ8Na</w:t>
      </w:r>
      <w:r>
        <w:rPr>
          <w:rFonts w:hint="eastAsia" w:ascii="宋体" w:hAnsi="宋体" w:cs="宋体"/>
          <w:bCs/>
          <w:color w:val="auto"/>
          <w:kern w:val="0"/>
          <w:szCs w:val="21"/>
        </w:rPr>
        <w:t>）以获取最新操作指南。</w:t>
      </w:r>
    </w:p>
    <w:p>
      <w:pPr>
        <w:widowControl/>
        <w:adjustRightInd w:val="0"/>
        <w:snapToGrid w:val="0"/>
        <w:spacing w:line="360" w:lineRule="exact"/>
        <w:ind w:firstLine="420" w:firstLineChars="200"/>
        <w:jc w:val="left"/>
        <w:rPr>
          <w:rFonts w:hint="eastAsia" w:ascii="Times New Roman" w:hAnsi="Times New Roman" w:cs="宋体"/>
          <w:bCs/>
          <w:color w:val="auto"/>
          <w:kern w:val="0"/>
          <w:szCs w:val="21"/>
        </w:rPr>
      </w:pPr>
      <w:r>
        <w:rPr>
          <w:rFonts w:hint="eastAsia" w:ascii="Times New Roman" w:hAnsi="Times New Roman"/>
          <w:bCs/>
          <w:color w:val="auto"/>
          <w:kern w:val="0"/>
          <w:szCs w:val="21"/>
        </w:rPr>
        <w:t>4.</w:t>
      </w:r>
      <w:r>
        <w:rPr>
          <w:rFonts w:hint="eastAsia" w:ascii="宋体" w:hAnsi="宋体" w:cs="宋体"/>
          <w:bCs/>
          <w:color w:val="auto"/>
          <w:kern w:val="0"/>
          <w:szCs w:val="21"/>
        </w:rPr>
        <w:t>资格审查：本项目无需报名，供应商可直接参投。供应商资格采用资格后审方式由评标委员会进行审查。</w:t>
      </w:r>
    </w:p>
    <w:p>
      <w:pPr>
        <w:snapToGrid w:val="0"/>
        <w:spacing w:line="360" w:lineRule="auto"/>
        <w:ind w:firstLine="422" w:firstLineChars="200"/>
        <w:rPr>
          <w:rFonts w:hint="eastAsia" w:cs="Calibri"/>
          <w:b/>
          <w:color w:val="auto"/>
          <w:kern w:val="0"/>
          <w:szCs w:val="21"/>
        </w:rPr>
      </w:pPr>
      <w:r>
        <w:rPr>
          <w:rFonts w:ascii="宋体" w:hAnsi="宋体" w:cs="Calibri"/>
          <w:b/>
          <w:color w:val="auto"/>
          <w:kern w:val="0"/>
          <w:szCs w:val="21"/>
        </w:rPr>
        <w:t>七、对本次招标提出询问、质疑、投诉，请按以下方式联系：</w:t>
      </w:r>
    </w:p>
    <w:p>
      <w:pPr>
        <w:snapToGrid w:val="0"/>
        <w:spacing w:line="360" w:lineRule="auto"/>
        <w:ind w:firstLine="422" w:firstLineChars="200"/>
        <w:rPr>
          <w:rFonts w:cs="Calibri"/>
          <w:b/>
          <w:color w:val="auto"/>
          <w:kern w:val="0"/>
          <w:szCs w:val="21"/>
        </w:rPr>
      </w:pPr>
      <w:r>
        <w:rPr>
          <w:rFonts w:cs="Calibri"/>
          <w:b/>
          <w:color w:val="auto"/>
          <w:kern w:val="0"/>
          <w:szCs w:val="21"/>
        </w:rPr>
        <w:t>1.</w:t>
      </w:r>
      <w:r>
        <w:rPr>
          <w:rFonts w:ascii="宋体" w:hAnsi="宋体" w:cs="Calibri"/>
          <w:b/>
          <w:color w:val="auto"/>
          <w:kern w:val="0"/>
          <w:szCs w:val="21"/>
        </w:rPr>
        <w:t>采购人信息</w:t>
      </w:r>
    </w:p>
    <w:p>
      <w:pPr>
        <w:spacing w:line="360" w:lineRule="auto"/>
        <w:ind w:firstLine="420" w:firstLineChars="200"/>
        <w:rPr>
          <w:rFonts w:ascii="宋体" w:hAnsi="宋体" w:cs="Calibri"/>
          <w:bCs/>
          <w:color w:val="auto"/>
          <w:kern w:val="0"/>
          <w:szCs w:val="21"/>
        </w:rPr>
      </w:pPr>
      <w:r>
        <w:rPr>
          <w:rFonts w:ascii="宋体" w:hAnsi="宋体" w:cs="Calibri"/>
          <w:color w:val="auto"/>
          <w:kern w:val="0"/>
          <w:szCs w:val="21"/>
        </w:rPr>
        <w:t>名</w:t>
      </w:r>
      <w:r>
        <w:rPr>
          <w:rFonts w:cs="Calibri"/>
          <w:color w:val="auto"/>
          <w:kern w:val="0"/>
          <w:szCs w:val="21"/>
        </w:rPr>
        <w:t xml:space="preserve">    </w:t>
      </w:r>
      <w:r>
        <w:rPr>
          <w:rFonts w:ascii="宋体" w:hAnsi="宋体" w:cs="Calibri"/>
          <w:color w:val="auto"/>
          <w:kern w:val="0"/>
          <w:szCs w:val="21"/>
        </w:rPr>
        <w:t>称：</w:t>
      </w:r>
      <w:r>
        <w:rPr>
          <w:rFonts w:hint="eastAsia" w:ascii="宋体" w:hAnsi="宋体" w:cs="Calibri"/>
          <w:color w:val="auto"/>
          <w:kern w:val="0"/>
          <w:szCs w:val="21"/>
        </w:rPr>
        <w:t>义乌市机关事务管理局</w:t>
      </w:r>
    </w:p>
    <w:p>
      <w:pPr>
        <w:widowControl/>
        <w:adjustRightInd w:val="0"/>
        <w:snapToGrid w:val="0"/>
        <w:spacing w:line="360" w:lineRule="auto"/>
        <w:ind w:firstLine="420" w:firstLineChars="200"/>
        <w:jc w:val="left"/>
        <w:rPr>
          <w:rFonts w:hint="eastAsia" w:ascii="Times New Roman" w:hAnsi="Times New Roman" w:cs="宋体"/>
          <w:color w:val="auto"/>
          <w:kern w:val="0"/>
          <w:szCs w:val="21"/>
        </w:rPr>
      </w:pPr>
      <w:r>
        <w:rPr>
          <w:rFonts w:hint="eastAsia" w:ascii="宋体" w:hAnsi="宋体" w:cs="宋体"/>
          <w:color w:val="auto"/>
          <w:kern w:val="0"/>
          <w:szCs w:val="21"/>
        </w:rPr>
        <w:t>地</w:t>
      </w:r>
      <w:r>
        <w:rPr>
          <w:rFonts w:hint="eastAsia" w:ascii="Times New Roman" w:hAnsi="Times New Roman" w:cs="宋体"/>
          <w:color w:val="auto"/>
          <w:kern w:val="0"/>
          <w:szCs w:val="21"/>
        </w:rPr>
        <w:t xml:space="preserve">    </w:t>
      </w:r>
      <w:r>
        <w:rPr>
          <w:rFonts w:hint="eastAsia" w:ascii="宋体" w:hAnsi="宋体" w:cs="宋体"/>
          <w:color w:val="auto"/>
          <w:kern w:val="0"/>
          <w:szCs w:val="21"/>
        </w:rPr>
        <w:t>址：义乌市县前街</w:t>
      </w:r>
      <w:r>
        <w:rPr>
          <w:rFonts w:hint="eastAsia" w:ascii="Times New Roman" w:hAnsi="Times New Roman"/>
          <w:color w:val="auto"/>
          <w:kern w:val="0"/>
          <w:szCs w:val="21"/>
        </w:rPr>
        <w:t>21</w:t>
      </w:r>
      <w:r>
        <w:rPr>
          <w:rFonts w:hint="eastAsia" w:ascii="宋体" w:hAnsi="宋体" w:cs="宋体"/>
          <w:color w:val="auto"/>
          <w:kern w:val="0"/>
          <w:szCs w:val="21"/>
        </w:rPr>
        <w:t xml:space="preserve">号 </w:t>
      </w:r>
    </w:p>
    <w:p>
      <w:pPr>
        <w:widowControl/>
        <w:adjustRightInd w:val="0"/>
        <w:snapToGrid w:val="0"/>
        <w:spacing w:line="360" w:lineRule="auto"/>
        <w:ind w:firstLine="420" w:firstLineChars="200"/>
        <w:jc w:val="left"/>
        <w:rPr>
          <w:rFonts w:hint="eastAsia" w:ascii="Times New Roman" w:hAnsi="Times New Roman" w:cs="宋体"/>
          <w:color w:val="auto"/>
          <w:kern w:val="0"/>
          <w:szCs w:val="21"/>
        </w:rPr>
      </w:pPr>
      <w:r>
        <w:rPr>
          <w:rFonts w:hint="eastAsia" w:ascii="宋体" w:hAnsi="宋体" w:cs="宋体"/>
          <w:color w:val="auto"/>
          <w:kern w:val="0"/>
          <w:szCs w:val="21"/>
        </w:rPr>
        <w:t>项目联系人：陈先生</w:t>
      </w:r>
    </w:p>
    <w:p>
      <w:pPr>
        <w:widowControl/>
        <w:adjustRightInd w:val="0"/>
        <w:snapToGrid w:val="0"/>
        <w:spacing w:line="360" w:lineRule="auto"/>
        <w:ind w:firstLine="420" w:firstLineChars="200"/>
        <w:jc w:val="left"/>
        <w:rPr>
          <w:rFonts w:hint="eastAsia" w:ascii="Times New Roman" w:hAnsi="Times New Roman"/>
          <w:color w:val="auto"/>
          <w:kern w:val="0"/>
          <w:szCs w:val="21"/>
        </w:rPr>
      </w:pPr>
      <w:r>
        <w:rPr>
          <w:rFonts w:hint="eastAsia" w:ascii="宋体" w:hAnsi="宋体" w:cs="宋体"/>
          <w:color w:val="auto"/>
          <w:kern w:val="0"/>
          <w:szCs w:val="21"/>
        </w:rPr>
        <w:t>项目联系方式：</w:t>
      </w:r>
      <w:r>
        <w:rPr>
          <w:rFonts w:hint="eastAsia" w:ascii="Times New Roman" w:hAnsi="Times New Roman"/>
          <w:color w:val="auto"/>
          <w:kern w:val="0"/>
          <w:szCs w:val="21"/>
        </w:rPr>
        <w:t>13957929951</w:t>
      </w:r>
    </w:p>
    <w:p>
      <w:pPr>
        <w:widowControl/>
        <w:adjustRightInd w:val="0"/>
        <w:snapToGrid w:val="0"/>
        <w:spacing w:line="360" w:lineRule="auto"/>
        <w:ind w:firstLine="420" w:firstLineChars="200"/>
        <w:jc w:val="left"/>
        <w:rPr>
          <w:rFonts w:ascii="Times New Roman" w:hAnsi="Times New Roman" w:cs="宋体"/>
          <w:color w:val="auto"/>
          <w:kern w:val="0"/>
          <w:szCs w:val="21"/>
        </w:rPr>
      </w:pPr>
      <w:r>
        <w:rPr>
          <w:rFonts w:hint="eastAsia" w:ascii="宋体" w:hAnsi="宋体" w:cs="宋体"/>
          <w:color w:val="auto"/>
          <w:kern w:val="0"/>
          <w:szCs w:val="21"/>
        </w:rPr>
        <w:t>质疑联系人：</w:t>
      </w:r>
      <w:r>
        <w:rPr>
          <w:rFonts w:hint="eastAsia" w:ascii="宋体" w:hAnsi="宋体" w:cs="宋体"/>
          <w:color w:val="auto"/>
          <w:kern w:val="0"/>
          <w:sz w:val="22"/>
        </w:rPr>
        <w:t>陈</w:t>
      </w:r>
      <w:r>
        <w:rPr>
          <w:rFonts w:hint="eastAsia" w:ascii="宋体" w:hAnsi="宋体" w:cs="宋体"/>
          <w:color w:val="auto"/>
          <w:kern w:val="0"/>
          <w:szCs w:val="21"/>
        </w:rPr>
        <w:t>先生</w:t>
      </w:r>
    </w:p>
    <w:p>
      <w:pPr>
        <w:widowControl/>
        <w:adjustRightInd w:val="0"/>
        <w:snapToGrid w:val="0"/>
        <w:spacing w:line="360" w:lineRule="auto"/>
        <w:ind w:firstLine="420" w:firstLineChars="200"/>
        <w:jc w:val="left"/>
        <w:rPr>
          <w:rFonts w:hint="eastAsia" w:ascii="Times New Roman" w:hAnsi="Times New Roman" w:cs="宋体"/>
          <w:color w:val="auto"/>
          <w:kern w:val="0"/>
          <w:szCs w:val="21"/>
        </w:rPr>
      </w:pPr>
      <w:r>
        <w:rPr>
          <w:rFonts w:hint="eastAsia" w:ascii="宋体" w:hAnsi="宋体" w:cs="宋体"/>
          <w:color w:val="auto"/>
          <w:kern w:val="0"/>
          <w:szCs w:val="21"/>
        </w:rPr>
        <w:t>质疑联系方式：</w:t>
      </w:r>
      <w:r>
        <w:rPr>
          <w:rFonts w:hint="eastAsia" w:ascii="Times New Roman" w:hAnsi="Times New Roman"/>
          <w:color w:val="auto"/>
          <w:kern w:val="0"/>
          <w:szCs w:val="21"/>
        </w:rPr>
        <w:t>13957929951</w:t>
      </w:r>
    </w:p>
    <w:p>
      <w:pPr>
        <w:spacing w:line="360" w:lineRule="auto"/>
        <w:rPr>
          <w:rFonts w:hint="eastAsia" w:cs="Calibri"/>
          <w:color w:val="auto"/>
          <w:kern w:val="0"/>
          <w:szCs w:val="21"/>
          <w:u w:val="single"/>
        </w:rPr>
      </w:pPr>
      <w:r>
        <w:rPr>
          <w:rFonts w:cs="Calibri"/>
          <w:color w:val="auto"/>
          <w:kern w:val="0"/>
          <w:szCs w:val="21"/>
          <w:u w:val="single"/>
        </w:rPr>
        <w:t xml:space="preserve"> </w:t>
      </w:r>
    </w:p>
    <w:p>
      <w:pPr>
        <w:spacing w:line="360" w:lineRule="auto"/>
        <w:ind w:firstLine="422" w:firstLineChars="200"/>
        <w:rPr>
          <w:rFonts w:cs="Calibri"/>
          <w:color w:val="auto"/>
          <w:kern w:val="0"/>
          <w:szCs w:val="21"/>
        </w:rPr>
      </w:pPr>
      <w:r>
        <w:rPr>
          <w:rFonts w:cs="Calibri"/>
          <w:b/>
          <w:color w:val="auto"/>
          <w:kern w:val="0"/>
          <w:szCs w:val="21"/>
        </w:rPr>
        <w:t>2.</w:t>
      </w:r>
      <w:r>
        <w:rPr>
          <w:rFonts w:ascii="宋体" w:hAnsi="宋体" w:cs="Calibri"/>
          <w:b/>
          <w:color w:val="auto"/>
          <w:kern w:val="0"/>
          <w:szCs w:val="21"/>
        </w:rPr>
        <w:t>采购代理机构信息</w:t>
      </w:r>
    </w:p>
    <w:p>
      <w:pPr>
        <w:widowControl/>
        <w:adjustRightInd w:val="0"/>
        <w:snapToGrid w:val="0"/>
        <w:spacing w:line="360" w:lineRule="auto"/>
        <w:ind w:firstLine="420" w:firstLineChars="200"/>
        <w:jc w:val="left"/>
        <w:rPr>
          <w:rFonts w:ascii="Times New Roman" w:hAnsi="Times New Roman" w:cs="宋体"/>
          <w:color w:val="auto"/>
          <w:kern w:val="0"/>
          <w:szCs w:val="21"/>
        </w:rPr>
      </w:pPr>
      <w:r>
        <w:rPr>
          <w:rFonts w:ascii="宋体" w:hAnsi="宋体"/>
          <w:color w:val="auto"/>
          <w:kern w:val="0"/>
          <w:szCs w:val="21"/>
        </w:rPr>
        <w:t>名</w:t>
      </w:r>
      <w:r>
        <w:rPr>
          <w:rFonts w:ascii="Times New Roman" w:hAnsi="Times New Roman"/>
          <w:color w:val="auto"/>
          <w:kern w:val="0"/>
          <w:szCs w:val="21"/>
        </w:rPr>
        <w:t xml:space="preserve">    </w:t>
      </w:r>
      <w:r>
        <w:rPr>
          <w:rFonts w:ascii="宋体" w:hAnsi="宋体"/>
          <w:color w:val="auto"/>
          <w:kern w:val="0"/>
          <w:szCs w:val="21"/>
        </w:rPr>
        <w:t>称：</w:t>
      </w:r>
      <w:r>
        <w:rPr>
          <w:rFonts w:ascii="Times New Roman" w:hAnsi="Times New Roman"/>
          <w:color w:val="auto"/>
          <w:kern w:val="0"/>
          <w:szCs w:val="21"/>
        </w:rPr>
        <w:t xml:space="preserve"> </w:t>
      </w:r>
      <w:r>
        <w:rPr>
          <w:rFonts w:ascii="宋体" w:hAnsi="宋体"/>
          <w:color w:val="auto"/>
          <w:kern w:val="0"/>
          <w:szCs w:val="21"/>
        </w:rPr>
        <w:t>浙江省成套招标代理有限公司</w:t>
      </w:r>
      <w:r>
        <w:rPr>
          <w:rFonts w:ascii="Times New Roman" w:hAnsi="Times New Roman"/>
          <w:color w:val="auto"/>
          <w:kern w:val="0"/>
          <w:szCs w:val="21"/>
        </w:rPr>
        <w:t xml:space="preserve"> </w:t>
      </w:r>
    </w:p>
    <w:p>
      <w:pPr>
        <w:widowControl/>
        <w:adjustRightInd w:val="0"/>
        <w:snapToGrid w:val="0"/>
        <w:spacing w:line="360" w:lineRule="auto"/>
        <w:ind w:firstLine="420" w:firstLineChars="200"/>
        <w:jc w:val="left"/>
        <w:rPr>
          <w:rFonts w:hint="eastAsia" w:ascii="Times New Roman" w:hAnsi="Times New Roman"/>
          <w:color w:val="auto"/>
          <w:kern w:val="0"/>
          <w:szCs w:val="21"/>
        </w:rPr>
      </w:pPr>
      <w:r>
        <w:rPr>
          <w:rFonts w:ascii="宋体" w:hAnsi="宋体"/>
          <w:color w:val="auto"/>
          <w:kern w:val="0"/>
          <w:szCs w:val="21"/>
        </w:rPr>
        <w:t>地</w:t>
      </w:r>
      <w:r>
        <w:rPr>
          <w:rFonts w:ascii="Times New Roman" w:hAnsi="Times New Roman"/>
          <w:color w:val="auto"/>
          <w:kern w:val="0"/>
          <w:szCs w:val="21"/>
        </w:rPr>
        <w:t xml:space="preserve">    </w:t>
      </w:r>
      <w:r>
        <w:rPr>
          <w:rFonts w:ascii="宋体" w:hAnsi="宋体"/>
          <w:color w:val="auto"/>
          <w:kern w:val="0"/>
          <w:szCs w:val="21"/>
        </w:rPr>
        <w:t>址：</w:t>
      </w:r>
      <w:r>
        <w:rPr>
          <w:rFonts w:ascii="Times New Roman" w:hAnsi="Times New Roman"/>
          <w:color w:val="auto"/>
          <w:kern w:val="0"/>
          <w:szCs w:val="21"/>
        </w:rPr>
        <w:t xml:space="preserve"> </w:t>
      </w:r>
      <w:r>
        <w:rPr>
          <w:rFonts w:ascii="宋体" w:hAnsi="宋体"/>
          <w:color w:val="auto"/>
          <w:kern w:val="0"/>
          <w:szCs w:val="21"/>
        </w:rPr>
        <w:t>义乌市丹阳街</w:t>
      </w:r>
      <w:r>
        <w:rPr>
          <w:rFonts w:ascii="Times New Roman" w:hAnsi="Times New Roman"/>
          <w:color w:val="auto"/>
          <w:kern w:val="0"/>
          <w:szCs w:val="21"/>
        </w:rPr>
        <w:t>100</w:t>
      </w:r>
      <w:r>
        <w:rPr>
          <w:rFonts w:ascii="宋体" w:hAnsi="宋体"/>
          <w:color w:val="auto"/>
          <w:kern w:val="0"/>
          <w:szCs w:val="21"/>
        </w:rPr>
        <w:t xml:space="preserve">号三楼  </w:t>
      </w:r>
    </w:p>
    <w:p>
      <w:pPr>
        <w:widowControl/>
        <w:adjustRightInd w:val="0"/>
        <w:snapToGrid w:val="0"/>
        <w:spacing w:line="360" w:lineRule="auto"/>
        <w:ind w:firstLine="420" w:firstLineChars="200"/>
        <w:jc w:val="left"/>
        <w:rPr>
          <w:rFonts w:ascii="Times New Roman" w:hAnsi="Times New Roman" w:cs="宋体"/>
          <w:color w:val="auto"/>
          <w:kern w:val="0"/>
          <w:szCs w:val="21"/>
        </w:rPr>
      </w:pPr>
      <w:r>
        <w:rPr>
          <w:rFonts w:ascii="宋体" w:hAnsi="宋体"/>
          <w:color w:val="auto"/>
          <w:kern w:val="0"/>
          <w:szCs w:val="21"/>
        </w:rPr>
        <w:t>传</w:t>
      </w:r>
      <w:r>
        <w:rPr>
          <w:rFonts w:ascii="Times New Roman" w:hAnsi="Times New Roman"/>
          <w:color w:val="auto"/>
          <w:kern w:val="0"/>
          <w:szCs w:val="21"/>
        </w:rPr>
        <w:t xml:space="preserve">    </w:t>
      </w:r>
      <w:r>
        <w:rPr>
          <w:rFonts w:ascii="宋体" w:hAnsi="宋体"/>
          <w:color w:val="auto"/>
          <w:kern w:val="0"/>
          <w:szCs w:val="21"/>
        </w:rPr>
        <w:t>真：</w:t>
      </w:r>
      <w:r>
        <w:rPr>
          <w:rFonts w:ascii="Times New Roman" w:hAnsi="Times New Roman"/>
          <w:color w:val="auto"/>
          <w:kern w:val="0"/>
          <w:szCs w:val="21"/>
        </w:rPr>
        <w:t xml:space="preserve"> 0579-85321521 </w:t>
      </w:r>
      <w:r>
        <w:rPr>
          <w:rFonts w:hint="eastAsia" w:ascii="Times New Roman" w:hAnsi="Times New Roman" w:cs="宋体"/>
          <w:color w:val="auto"/>
          <w:kern w:val="0"/>
          <w:szCs w:val="21"/>
        </w:rPr>
        <w:t xml:space="preserve"> </w:t>
      </w:r>
    </w:p>
    <w:p>
      <w:pPr>
        <w:widowControl/>
        <w:adjustRightInd w:val="0"/>
        <w:snapToGrid w:val="0"/>
        <w:spacing w:line="360" w:lineRule="auto"/>
        <w:ind w:firstLine="420" w:firstLineChars="200"/>
        <w:jc w:val="left"/>
        <w:rPr>
          <w:rFonts w:hint="eastAsia" w:ascii="Times New Roman" w:hAnsi="Times New Roman" w:cs="宋体"/>
          <w:color w:val="auto"/>
          <w:kern w:val="0"/>
          <w:szCs w:val="21"/>
        </w:rPr>
      </w:pPr>
      <w:r>
        <w:rPr>
          <w:rFonts w:ascii="宋体" w:hAnsi="宋体"/>
          <w:color w:val="auto"/>
          <w:kern w:val="0"/>
          <w:szCs w:val="21"/>
        </w:rPr>
        <w:t>项目联系人（询问）：</w:t>
      </w:r>
      <w:r>
        <w:rPr>
          <w:rFonts w:hint="eastAsia" w:ascii="宋体" w:hAnsi="宋体" w:cs="宋体"/>
          <w:color w:val="auto"/>
          <w:kern w:val="0"/>
          <w:szCs w:val="21"/>
        </w:rPr>
        <w:t>徐李元</w:t>
      </w:r>
      <w:r>
        <w:rPr>
          <w:rFonts w:ascii="Times New Roman" w:hAnsi="Times New Roman"/>
          <w:color w:val="auto"/>
          <w:kern w:val="0"/>
          <w:szCs w:val="21"/>
        </w:rPr>
        <w:t xml:space="preserve"> </w:t>
      </w:r>
      <w:r>
        <w:rPr>
          <w:rFonts w:hint="eastAsia" w:ascii="Times New Roman" w:hAnsi="Times New Roman" w:cs="宋体"/>
          <w:color w:val="auto"/>
          <w:kern w:val="0"/>
          <w:szCs w:val="21"/>
        </w:rPr>
        <w:t xml:space="preserve"> </w:t>
      </w:r>
    </w:p>
    <w:p>
      <w:pPr>
        <w:widowControl/>
        <w:adjustRightInd w:val="0"/>
        <w:snapToGrid w:val="0"/>
        <w:spacing w:line="360" w:lineRule="auto"/>
        <w:ind w:firstLine="420" w:firstLineChars="200"/>
        <w:jc w:val="left"/>
        <w:rPr>
          <w:rFonts w:hint="eastAsia" w:ascii="Times New Roman" w:hAnsi="Times New Roman"/>
          <w:color w:val="auto"/>
          <w:kern w:val="0"/>
          <w:szCs w:val="21"/>
        </w:rPr>
      </w:pPr>
      <w:r>
        <w:rPr>
          <w:rFonts w:ascii="宋体" w:hAnsi="宋体"/>
          <w:color w:val="auto"/>
          <w:kern w:val="0"/>
          <w:szCs w:val="21"/>
        </w:rPr>
        <w:t>项目联系方式（询问）：</w:t>
      </w:r>
      <w:r>
        <w:rPr>
          <w:rFonts w:ascii="Times New Roman" w:hAnsi="Times New Roman"/>
          <w:color w:val="auto"/>
          <w:kern w:val="0"/>
          <w:szCs w:val="21"/>
        </w:rPr>
        <w:t xml:space="preserve"> 0579—</w:t>
      </w:r>
      <w:r>
        <w:rPr>
          <w:rFonts w:hint="eastAsia" w:ascii="Times New Roman" w:hAnsi="Times New Roman"/>
          <w:color w:val="auto"/>
          <w:kern w:val="0"/>
          <w:szCs w:val="21"/>
        </w:rPr>
        <w:t>85116979</w:t>
      </w:r>
      <w:r>
        <w:rPr>
          <w:rFonts w:ascii="宋体" w:hAnsi="宋体"/>
          <w:color w:val="auto"/>
          <w:kern w:val="0"/>
          <w:szCs w:val="21"/>
        </w:rPr>
        <w:t>、</w:t>
      </w:r>
      <w:r>
        <w:rPr>
          <w:rFonts w:hint="eastAsia" w:ascii="Times New Roman" w:hAnsi="Times New Roman"/>
          <w:color w:val="auto"/>
          <w:kern w:val="0"/>
          <w:szCs w:val="21"/>
        </w:rPr>
        <w:t>13958408993</w:t>
      </w:r>
      <w:r>
        <w:rPr>
          <w:rFonts w:ascii="Times New Roman" w:hAnsi="Times New Roman"/>
          <w:color w:val="auto"/>
          <w:kern w:val="0"/>
          <w:szCs w:val="21"/>
        </w:rPr>
        <w:t xml:space="preserve"> </w:t>
      </w:r>
    </w:p>
    <w:p>
      <w:pPr>
        <w:widowControl/>
        <w:adjustRightInd w:val="0"/>
        <w:snapToGrid w:val="0"/>
        <w:spacing w:line="360" w:lineRule="auto"/>
        <w:ind w:firstLine="420" w:firstLineChars="200"/>
        <w:jc w:val="left"/>
        <w:rPr>
          <w:rFonts w:ascii="Times New Roman" w:hAnsi="Times New Roman"/>
          <w:color w:val="auto"/>
          <w:kern w:val="0"/>
          <w:szCs w:val="21"/>
        </w:rPr>
      </w:pPr>
      <w:r>
        <w:rPr>
          <w:rFonts w:hint="eastAsia" w:ascii="宋体" w:hAnsi="宋体" w:cs="宋体"/>
          <w:color w:val="auto"/>
          <w:kern w:val="0"/>
          <w:szCs w:val="21"/>
        </w:rPr>
        <w:t>质疑</w:t>
      </w:r>
      <w:r>
        <w:rPr>
          <w:rFonts w:ascii="宋体" w:hAnsi="宋体"/>
          <w:color w:val="auto"/>
          <w:kern w:val="0"/>
          <w:szCs w:val="21"/>
        </w:rPr>
        <w:t>联系人：</w:t>
      </w:r>
      <w:r>
        <w:rPr>
          <w:rFonts w:hint="eastAsia" w:ascii="宋体" w:hAnsi="宋体" w:cs="宋体"/>
          <w:color w:val="auto"/>
          <w:kern w:val="0"/>
          <w:szCs w:val="21"/>
        </w:rPr>
        <w:t>陈健飞</w:t>
      </w:r>
    </w:p>
    <w:p>
      <w:pPr>
        <w:widowControl/>
        <w:adjustRightInd w:val="0"/>
        <w:snapToGrid w:val="0"/>
        <w:spacing w:line="360" w:lineRule="auto"/>
        <w:ind w:firstLine="420" w:firstLineChars="200"/>
        <w:jc w:val="left"/>
        <w:rPr>
          <w:rFonts w:ascii="Times New Roman" w:hAnsi="Times New Roman"/>
          <w:color w:val="auto"/>
          <w:kern w:val="0"/>
          <w:szCs w:val="21"/>
        </w:rPr>
      </w:pPr>
      <w:r>
        <w:rPr>
          <w:rFonts w:hint="eastAsia" w:ascii="宋体" w:hAnsi="宋体" w:cs="宋体"/>
          <w:color w:val="auto"/>
          <w:kern w:val="0"/>
          <w:szCs w:val="21"/>
        </w:rPr>
        <w:t>质疑</w:t>
      </w:r>
      <w:r>
        <w:rPr>
          <w:rFonts w:ascii="宋体" w:hAnsi="宋体"/>
          <w:color w:val="auto"/>
          <w:kern w:val="0"/>
          <w:szCs w:val="21"/>
        </w:rPr>
        <w:t>联系方式：</w:t>
      </w:r>
      <w:r>
        <w:rPr>
          <w:rFonts w:ascii="Times New Roman" w:hAnsi="Times New Roman"/>
          <w:color w:val="auto"/>
          <w:kern w:val="0"/>
          <w:szCs w:val="21"/>
        </w:rPr>
        <w:t xml:space="preserve"> 0579—</w:t>
      </w:r>
      <w:r>
        <w:rPr>
          <w:rFonts w:hint="eastAsia" w:ascii="Times New Roman" w:hAnsi="Times New Roman"/>
          <w:color w:val="auto"/>
          <w:kern w:val="0"/>
          <w:szCs w:val="21"/>
        </w:rPr>
        <w:t>85116979</w:t>
      </w:r>
    </w:p>
    <w:p>
      <w:pPr>
        <w:snapToGrid w:val="0"/>
        <w:spacing w:line="360" w:lineRule="auto"/>
        <w:ind w:firstLine="422" w:firstLineChars="200"/>
        <w:rPr>
          <w:rFonts w:cs="Calibri"/>
          <w:b/>
          <w:color w:val="auto"/>
          <w:kern w:val="0"/>
          <w:szCs w:val="21"/>
        </w:rPr>
      </w:pPr>
      <w:r>
        <w:rPr>
          <w:rFonts w:cs="Calibri"/>
          <w:b/>
          <w:color w:val="auto"/>
          <w:kern w:val="0"/>
          <w:szCs w:val="21"/>
        </w:rPr>
        <w:t xml:space="preserve"> </w:t>
      </w:r>
    </w:p>
    <w:p>
      <w:pPr>
        <w:snapToGrid w:val="0"/>
        <w:spacing w:line="360" w:lineRule="auto"/>
        <w:ind w:firstLine="422" w:firstLineChars="200"/>
        <w:rPr>
          <w:rFonts w:cs="Calibri"/>
          <w:b/>
          <w:color w:val="auto"/>
          <w:kern w:val="0"/>
          <w:szCs w:val="21"/>
        </w:rPr>
      </w:pPr>
      <w:r>
        <w:rPr>
          <w:rFonts w:cs="Calibri"/>
          <w:b/>
          <w:color w:val="auto"/>
          <w:kern w:val="0"/>
          <w:szCs w:val="21"/>
        </w:rPr>
        <w:t>3.</w:t>
      </w:r>
      <w:r>
        <w:rPr>
          <w:rFonts w:ascii="宋体" w:hAnsi="宋体" w:cs="Calibri"/>
          <w:b/>
          <w:color w:val="auto"/>
          <w:kern w:val="0"/>
          <w:szCs w:val="21"/>
        </w:rPr>
        <w:t>同级政府采购监督管理部门</w:t>
      </w:r>
    </w:p>
    <w:p>
      <w:pPr>
        <w:widowControl/>
        <w:adjustRightInd w:val="0"/>
        <w:snapToGrid w:val="0"/>
        <w:spacing w:line="360" w:lineRule="auto"/>
        <w:ind w:firstLine="420" w:firstLineChars="200"/>
        <w:jc w:val="left"/>
        <w:rPr>
          <w:rFonts w:ascii="Times New Roman" w:hAnsi="Times New Roman"/>
          <w:color w:val="auto"/>
          <w:kern w:val="0"/>
          <w:szCs w:val="21"/>
        </w:rPr>
      </w:pPr>
      <w:r>
        <w:rPr>
          <w:rFonts w:ascii="宋体" w:hAnsi="宋体"/>
          <w:color w:val="auto"/>
          <w:kern w:val="0"/>
          <w:szCs w:val="21"/>
        </w:rPr>
        <w:t>名</w:t>
      </w:r>
      <w:r>
        <w:rPr>
          <w:rFonts w:hint="eastAsia" w:ascii="Times New Roman" w:hAnsi="Times New Roman" w:cs="宋体"/>
          <w:color w:val="auto"/>
          <w:kern w:val="0"/>
          <w:szCs w:val="21"/>
        </w:rPr>
        <w:t xml:space="preserve"> </w:t>
      </w:r>
      <w:r>
        <w:rPr>
          <w:rFonts w:ascii="宋体" w:hAnsi="宋体"/>
          <w:color w:val="auto"/>
          <w:kern w:val="0"/>
          <w:szCs w:val="21"/>
        </w:rPr>
        <w:t>称：义乌市财政局</w:t>
      </w:r>
    </w:p>
    <w:p>
      <w:pPr>
        <w:widowControl/>
        <w:adjustRightInd w:val="0"/>
        <w:snapToGrid w:val="0"/>
        <w:spacing w:line="360" w:lineRule="auto"/>
        <w:ind w:firstLine="420" w:firstLineChars="200"/>
        <w:jc w:val="left"/>
        <w:rPr>
          <w:rFonts w:ascii="Times New Roman" w:hAnsi="Times New Roman"/>
          <w:color w:val="auto"/>
          <w:kern w:val="0"/>
          <w:szCs w:val="21"/>
        </w:rPr>
      </w:pPr>
      <w:r>
        <w:rPr>
          <w:rFonts w:ascii="宋体" w:hAnsi="宋体"/>
          <w:color w:val="auto"/>
          <w:kern w:val="0"/>
          <w:szCs w:val="21"/>
        </w:rPr>
        <w:t>地</w:t>
      </w:r>
      <w:r>
        <w:rPr>
          <w:rFonts w:hint="eastAsia" w:ascii="Times New Roman" w:hAnsi="Times New Roman" w:cs="宋体"/>
          <w:color w:val="auto"/>
          <w:kern w:val="0"/>
          <w:szCs w:val="21"/>
        </w:rPr>
        <w:t xml:space="preserve"> </w:t>
      </w:r>
      <w:r>
        <w:rPr>
          <w:rFonts w:ascii="宋体" w:hAnsi="宋体"/>
          <w:color w:val="auto"/>
          <w:kern w:val="0"/>
          <w:szCs w:val="21"/>
        </w:rPr>
        <w:t>址：义乌市望道路</w:t>
      </w:r>
      <w:r>
        <w:rPr>
          <w:rFonts w:ascii="Times New Roman" w:hAnsi="Times New Roman"/>
          <w:color w:val="auto"/>
          <w:kern w:val="0"/>
          <w:szCs w:val="21"/>
        </w:rPr>
        <w:t>300</w:t>
      </w:r>
      <w:r>
        <w:rPr>
          <w:rFonts w:ascii="宋体" w:hAnsi="宋体"/>
          <w:color w:val="auto"/>
          <w:kern w:val="0"/>
          <w:szCs w:val="21"/>
        </w:rPr>
        <w:t>号</w:t>
      </w:r>
      <w:r>
        <w:rPr>
          <w:rFonts w:ascii="Times New Roman" w:hAnsi="Times New Roman"/>
          <w:color w:val="auto"/>
          <w:kern w:val="0"/>
          <w:szCs w:val="21"/>
        </w:rPr>
        <w:t>5</w:t>
      </w:r>
      <w:r>
        <w:rPr>
          <w:rFonts w:ascii="宋体" w:hAnsi="宋体"/>
          <w:color w:val="auto"/>
          <w:kern w:val="0"/>
          <w:szCs w:val="21"/>
        </w:rPr>
        <w:t>楼</w:t>
      </w:r>
    </w:p>
    <w:p>
      <w:pPr>
        <w:widowControl/>
        <w:adjustRightInd w:val="0"/>
        <w:snapToGrid w:val="0"/>
        <w:spacing w:line="360" w:lineRule="auto"/>
        <w:ind w:firstLine="420" w:firstLineChars="200"/>
        <w:jc w:val="left"/>
        <w:rPr>
          <w:rFonts w:ascii="Times New Roman" w:hAnsi="Times New Roman" w:cs="宋体"/>
          <w:color w:val="auto"/>
          <w:kern w:val="0"/>
          <w:szCs w:val="21"/>
        </w:rPr>
      </w:pPr>
      <w:r>
        <w:rPr>
          <w:rFonts w:ascii="宋体" w:hAnsi="宋体"/>
          <w:color w:val="auto"/>
          <w:kern w:val="0"/>
          <w:szCs w:val="21"/>
        </w:rPr>
        <w:t>联系人</w:t>
      </w:r>
      <w:r>
        <w:rPr>
          <w:rFonts w:ascii="Times New Roman" w:hAnsi="Times New Roman"/>
          <w:color w:val="auto"/>
          <w:kern w:val="0"/>
          <w:szCs w:val="21"/>
        </w:rPr>
        <w:t xml:space="preserve"> </w:t>
      </w:r>
      <w:r>
        <w:rPr>
          <w:rFonts w:ascii="宋体" w:hAnsi="宋体"/>
          <w:color w:val="auto"/>
          <w:kern w:val="0"/>
          <w:szCs w:val="21"/>
        </w:rPr>
        <w:t>：</w:t>
      </w:r>
      <w:r>
        <w:rPr>
          <w:rFonts w:hint="eastAsia" w:ascii="宋体" w:hAnsi="宋体" w:cs="宋体"/>
          <w:color w:val="auto"/>
          <w:kern w:val="0"/>
          <w:szCs w:val="21"/>
        </w:rPr>
        <w:t>骆女士</w:t>
      </w:r>
    </w:p>
    <w:p>
      <w:pPr>
        <w:widowControl/>
        <w:spacing w:line="360" w:lineRule="auto"/>
        <w:ind w:firstLine="420" w:firstLineChars="200"/>
        <w:jc w:val="left"/>
        <w:rPr>
          <w:rFonts w:hint="eastAsia" w:ascii="Times New Roman" w:hAnsi="Times New Roman"/>
          <w:color w:val="auto"/>
          <w:kern w:val="0"/>
          <w:szCs w:val="21"/>
        </w:rPr>
      </w:pPr>
      <w:r>
        <w:rPr>
          <w:rFonts w:ascii="宋体" w:hAnsi="宋体"/>
          <w:color w:val="auto"/>
          <w:kern w:val="0"/>
          <w:szCs w:val="21"/>
        </w:rPr>
        <w:t>监督投诉电话：</w:t>
      </w:r>
      <w:r>
        <w:rPr>
          <w:rFonts w:hint="eastAsia" w:ascii="Times New Roman" w:hAnsi="Times New Roman"/>
          <w:color w:val="auto"/>
          <w:kern w:val="0"/>
          <w:szCs w:val="21"/>
        </w:rPr>
        <w:t>0579-89915066</w:t>
      </w:r>
    </w:p>
    <w:p>
      <w:pPr>
        <w:rPr>
          <w:rFonts w:ascii="宋体" w:hAnsi="宋体" w:cs="Calibri"/>
          <w:color w:val="auto"/>
          <w:kern w:val="0"/>
          <w:szCs w:val="21"/>
        </w:rPr>
      </w:pPr>
      <w:r>
        <w:rPr>
          <w:rFonts w:hint="eastAsia" w:ascii="宋体" w:hAnsi="宋体" w:cs="Calibri"/>
          <w:color w:val="auto"/>
          <w:kern w:val="0"/>
          <w:szCs w:val="21"/>
        </w:rPr>
        <w:t xml:space="preserve"> </w:t>
      </w:r>
    </w:p>
    <w:p>
      <w:pPr>
        <w:widowControl/>
        <w:jc w:val="left"/>
        <w:rPr>
          <w:rFonts w:ascii="宋体" w:hAnsi="宋体" w:cs="宋体"/>
          <w:b/>
          <w:color w:val="auto"/>
          <w:sz w:val="32"/>
          <w:szCs w:val="32"/>
        </w:rPr>
        <w:sectPr>
          <w:pgSz w:w="11906" w:h="16838"/>
          <w:pgMar w:top="1417" w:right="1134" w:bottom="1417" w:left="1134" w:header="851" w:footer="992" w:gutter="0"/>
          <w:cols w:space="720" w:num="1"/>
          <w:titlePg/>
          <w:docGrid w:type="lines" w:linePitch="286" w:charSpace="0"/>
        </w:sectPr>
      </w:pPr>
    </w:p>
    <w:p>
      <w:pPr>
        <w:keepNext/>
        <w:keepLines/>
        <w:spacing w:line="576" w:lineRule="auto"/>
        <w:jc w:val="center"/>
        <w:outlineLvl w:val="0"/>
        <w:rPr>
          <w:rFonts w:hint="eastAsia" w:ascii="宋体" w:hAnsi="宋体" w:cs="Calibri"/>
          <w:b/>
          <w:color w:val="auto"/>
          <w:sz w:val="32"/>
          <w:szCs w:val="32"/>
        </w:rPr>
      </w:pPr>
      <w:bookmarkStart w:id="2" w:name="_Toc16787"/>
      <w:bookmarkEnd w:id="2"/>
      <w:bookmarkStart w:id="3" w:name="_Toc4819"/>
      <w:r>
        <w:rPr>
          <w:rFonts w:hint="eastAsia" w:ascii="宋体" w:hAnsi="宋体" w:cs="Calibri"/>
          <w:b/>
          <w:color w:val="auto"/>
          <w:sz w:val="32"/>
          <w:szCs w:val="32"/>
        </w:rPr>
        <w:t>第二章  投标须知和投标须知前附表</w:t>
      </w:r>
      <w:bookmarkEnd w:id="3"/>
    </w:p>
    <w:p>
      <w:pPr>
        <w:spacing w:line="360" w:lineRule="auto"/>
        <w:ind w:firstLine="562"/>
        <w:jc w:val="center"/>
        <w:rPr>
          <w:rFonts w:hint="eastAsia" w:cs="Calibri"/>
          <w:b/>
          <w:color w:val="auto"/>
          <w:sz w:val="28"/>
          <w:szCs w:val="28"/>
        </w:rPr>
      </w:pPr>
      <w:r>
        <w:rPr>
          <w:rFonts w:ascii="宋体" w:hAnsi="宋体" w:cs="Calibri"/>
          <w:b/>
          <w:color w:val="auto"/>
          <w:sz w:val="28"/>
          <w:szCs w:val="28"/>
        </w:rPr>
        <w:t>投标须知前附表</w:t>
      </w:r>
    </w:p>
    <w:tbl>
      <w:tblPr>
        <w:tblStyle w:val="15"/>
        <w:tblW w:w="0" w:type="auto"/>
        <w:jc w:val="center"/>
        <w:tblLayout w:type="fixed"/>
        <w:tblCellMar>
          <w:top w:w="0" w:type="dxa"/>
          <w:left w:w="108" w:type="dxa"/>
          <w:bottom w:w="0" w:type="dxa"/>
          <w:right w:w="108" w:type="dxa"/>
        </w:tblCellMar>
      </w:tblPr>
      <w:tblGrid>
        <w:gridCol w:w="797"/>
        <w:gridCol w:w="1504"/>
        <w:gridCol w:w="7226"/>
      </w:tblGrid>
      <w:tr>
        <w:tblPrEx>
          <w:tblCellMar>
            <w:top w:w="0" w:type="dxa"/>
            <w:left w:w="108" w:type="dxa"/>
            <w:bottom w:w="0" w:type="dxa"/>
            <w:right w:w="108" w:type="dxa"/>
          </w:tblCellMar>
        </w:tblPrEx>
        <w:trPr>
          <w:wBefore w:w="0" w:type="auto"/>
          <w:trHeight w:val="583"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b/>
                <w:color w:val="auto"/>
                <w:szCs w:val="21"/>
              </w:rPr>
            </w:pPr>
            <w:r>
              <w:rPr>
                <w:rFonts w:cs="Calibri"/>
                <w:b/>
                <w:color w:val="auto"/>
                <w:szCs w:val="21"/>
              </w:rPr>
              <w:t>序号</w:t>
            </w:r>
          </w:p>
        </w:tc>
        <w:tc>
          <w:tcPr>
            <w:tcW w:w="8730" w:type="dxa"/>
            <w:gridSpan w:val="2"/>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b/>
                <w:color w:val="auto"/>
                <w:szCs w:val="21"/>
              </w:rPr>
            </w:pPr>
            <w:r>
              <w:rPr>
                <w:rFonts w:cs="Calibri"/>
                <w:b/>
                <w:color w:val="auto"/>
                <w:szCs w:val="21"/>
              </w:rPr>
              <w:t>内容规定</w:t>
            </w:r>
          </w:p>
        </w:tc>
      </w:tr>
      <w:tr>
        <w:tblPrEx>
          <w:tblCellMar>
            <w:top w:w="0" w:type="dxa"/>
            <w:left w:w="108" w:type="dxa"/>
            <w:bottom w:w="0" w:type="dxa"/>
            <w:right w:w="108" w:type="dxa"/>
          </w:tblCellMar>
        </w:tblPrEx>
        <w:trPr>
          <w:wBefore w:w="0" w:type="auto"/>
          <w:trHeight w:val="885"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ind w:firstLine="210"/>
              <w:rPr>
                <w:rFonts w:cs="Calibri"/>
                <w:color w:val="auto"/>
                <w:szCs w:val="21"/>
              </w:rPr>
            </w:pPr>
            <w:r>
              <w:rPr>
                <w:rFonts w:cs="Calibri"/>
                <w:color w:val="auto"/>
                <w:szCs w:val="21"/>
              </w:rPr>
              <w:t>1</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项目综合</w:t>
            </w:r>
          </w:p>
          <w:p>
            <w:pPr>
              <w:spacing w:line="264" w:lineRule="auto"/>
              <w:jc w:val="center"/>
              <w:rPr>
                <w:rFonts w:cs="Calibri"/>
                <w:color w:val="auto"/>
                <w:szCs w:val="21"/>
              </w:rPr>
            </w:pPr>
            <w:r>
              <w:rPr>
                <w:rFonts w:cs="Calibri"/>
                <w:color w:val="auto"/>
                <w:szCs w:val="21"/>
              </w:rPr>
              <w:t>说明</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ascii="宋体" w:hAnsi="宋体" w:cs="Calibri"/>
                <w:bCs/>
                <w:color w:val="auto"/>
                <w:szCs w:val="21"/>
              </w:rPr>
            </w:pPr>
            <w:r>
              <w:rPr>
                <w:rFonts w:cs="Calibri"/>
                <w:bCs/>
                <w:color w:val="auto"/>
                <w:szCs w:val="21"/>
              </w:rPr>
              <w:t>项目名称：</w:t>
            </w:r>
            <w:r>
              <w:rPr>
                <w:rFonts w:hint="eastAsia" w:ascii="宋体" w:hAnsi="宋体" w:cs="Calibri"/>
                <w:bCs/>
                <w:color w:val="auto"/>
                <w:szCs w:val="21"/>
              </w:rPr>
              <w:t>行政一号楼、矛调中心</w:t>
            </w:r>
            <w:r>
              <w:rPr>
                <w:rFonts w:hint="eastAsia" w:cs="Calibri"/>
                <w:bCs/>
                <w:color w:val="auto"/>
                <w:szCs w:val="21"/>
              </w:rPr>
              <w:t>2021-2022</w:t>
            </w:r>
            <w:r>
              <w:rPr>
                <w:rFonts w:hint="eastAsia" w:ascii="宋体" w:hAnsi="宋体" w:cs="Calibri"/>
                <w:bCs/>
                <w:color w:val="auto"/>
                <w:szCs w:val="21"/>
              </w:rPr>
              <w:t>年保安服务项目</w:t>
            </w:r>
          </w:p>
          <w:p>
            <w:pPr>
              <w:spacing w:line="264" w:lineRule="auto"/>
              <w:rPr>
                <w:rFonts w:cs="Calibri"/>
                <w:b/>
                <w:color w:val="auto"/>
                <w:szCs w:val="21"/>
              </w:rPr>
            </w:pPr>
            <w:r>
              <w:rPr>
                <w:rFonts w:cs="Calibri"/>
                <w:bCs/>
                <w:color w:val="auto"/>
                <w:szCs w:val="21"/>
              </w:rPr>
              <w:t>采购内容及数量：具体见《第三章招标项目要求》。</w:t>
            </w:r>
          </w:p>
        </w:tc>
      </w:tr>
      <w:tr>
        <w:tblPrEx>
          <w:tblCellMar>
            <w:top w:w="0" w:type="dxa"/>
            <w:left w:w="108" w:type="dxa"/>
            <w:bottom w:w="0" w:type="dxa"/>
            <w:right w:w="108" w:type="dxa"/>
          </w:tblCellMar>
        </w:tblPrEx>
        <w:trPr>
          <w:wBefore w:w="0" w:type="auto"/>
          <w:trHeight w:val="436"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2</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招标方式</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cs="Calibri"/>
                <w:color w:val="auto"/>
                <w:szCs w:val="21"/>
              </w:rPr>
              <w:t>公开招标</w:t>
            </w:r>
          </w:p>
        </w:tc>
      </w:tr>
      <w:tr>
        <w:tblPrEx>
          <w:tblCellMar>
            <w:top w:w="0" w:type="dxa"/>
            <w:left w:w="108" w:type="dxa"/>
            <w:bottom w:w="0" w:type="dxa"/>
            <w:right w:w="108" w:type="dxa"/>
          </w:tblCellMar>
        </w:tblPrEx>
        <w:trPr>
          <w:wBefore w:w="0" w:type="auto"/>
          <w:trHeight w:val="519"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3</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hint="eastAsia" w:ascii="宋体" w:hAnsi="宋体" w:cs="Calibri"/>
                <w:color w:val="auto"/>
                <w:szCs w:val="21"/>
              </w:rPr>
              <w:t>投标人</w:t>
            </w:r>
            <w:r>
              <w:rPr>
                <w:rFonts w:cs="Calibri"/>
                <w:color w:val="auto"/>
                <w:szCs w:val="21"/>
              </w:rPr>
              <w:t>资格要求</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cs="Calibri"/>
                <w:color w:val="auto"/>
                <w:kern w:val="0"/>
                <w:szCs w:val="21"/>
              </w:rPr>
              <w:t>详见招标公告</w:t>
            </w:r>
          </w:p>
        </w:tc>
      </w:tr>
      <w:tr>
        <w:tblPrEx>
          <w:tblCellMar>
            <w:top w:w="0" w:type="dxa"/>
            <w:left w:w="108" w:type="dxa"/>
            <w:bottom w:w="0" w:type="dxa"/>
            <w:right w:w="108" w:type="dxa"/>
          </w:tblCellMar>
        </w:tblPrEx>
        <w:trPr>
          <w:wBefore w:w="0" w:type="auto"/>
          <w:trHeight w:val="335"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4</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hint="eastAsia" w:ascii="宋体" w:hAnsi="宋体" w:cs="Calibri"/>
                <w:color w:val="auto"/>
                <w:szCs w:val="21"/>
              </w:rPr>
              <w:t>服务期限</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eastAsia="新宋体" w:cs="Calibri"/>
                <w:color w:val="auto"/>
                <w:kern w:val="0"/>
                <w:szCs w:val="21"/>
              </w:rPr>
              <w:t>详见第三章招标项目具体要求</w:t>
            </w:r>
          </w:p>
        </w:tc>
      </w:tr>
      <w:tr>
        <w:tblPrEx>
          <w:tblCellMar>
            <w:top w:w="0" w:type="dxa"/>
            <w:left w:w="108" w:type="dxa"/>
            <w:bottom w:w="0" w:type="dxa"/>
            <w:right w:w="108" w:type="dxa"/>
          </w:tblCellMar>
        </w:tblPrEx>
        <w:trPr>
          <w:wBefore w:w="0" w:type="auto"/>
          <w:trHeight w:val="581"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5</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招标文件发售时间和地点</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cs="Calibri"/>
                <w:color w:val="auto"/>
                <w:szCs w:val="21"/>
              </w:rPr>
              <w:t>详见招标公告</w:t>
            </w:r>
          </w:p>
        </w:tc>
      </w:tr>
      <w:tr>
        <w:tblPrEx>
          <w:tblCellMar>
            <w:top w:w="0" w:type="dxa"/>
            <w:left w:w="108" w:type="dxa"/>
            <w:bottom w:w="0" w:type="dxa"/>
            <w:right w:w="108" w:type="dxa"/>
          </w:tblCellMar>
        </w:tblPrEx>
        <w:trPr>
          <w:wBefore w:w="0" w:type="auto"/>
          <w:trHeight w:val="1294"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6</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现场踏勘时间</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hint="eastAsia" w:ascii="宋体" w:hAnsi="宋体" w:cs="Calibri"/>
                <w:color w:val="auto"/>
                <w:szCs w:val="21"/>
              </w:rPr>
              <w:t>本项目采购人不组织现场踏勘，</w:t>
            </w:r>
            <w:r>
              <w:rPr>
                <w:rFonts w:cs="Calibri"/>
                <w:color w:val="auto"/>
                <w:szCs w:val="21"/>
              </w:rPr>
              <w:t>投标前，投标人须自行到项目所在地予以踏勘，对项目实施现场及周边环境等进行勘察，以获取编制投标文件和签署合同所需的所有资料，踏勘期间，采购人不得留下供应商名称、联系方式等信息。否则，由此所造成的一切后果由投标人自行承担。</w:t>
            </w:r>
          </w:p>
        </w:tc>
      </w:tr>
      <w:tr>
        <w:tblPrEx>
          <w:tblCellMar>
            <w:top w:w="0" w:type="dxa"/>
            <w:left w:w="108" w:type="dxa"/>
            <w:bottom w:w="0" w:type="dxa"/>
            <w:right w:w="108" w:type="dxa"/>
          </w:tblCellMar>
        </w:tblPrEx>
        <w:trPr>
          <w:wBefore w:w="0" w:type="auto"/>
          <w:trHeight w:val="1573"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7</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招标答疑截止时间</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cs="Calibri"/>
                <w:color w:val="auto"/>
                <w:kern w:val="0"/>
                <w:szCs w:val="21"/>
              </w:rPr>
              <w:t>答疑与澄清：</w:t>
            </w:r>
            <w:r>
              <w:rPr>
                <w:rFonts w:hint="eastAsia" w:ascii="宋体" w:hAnsi="宋体" w:cs="Calibri"/>
                <w:color w:val="auto"/>
                <w:kern w:val="0"/>
                <w:szCs w:val="21"/>
              </w:rPr>
              <w:t>潜在供应商</w:t>
            </w:r>
            <w:r>
              <w:rPr>
                <w:rFonts w:cs="Calibri"/>
                <w:color w:val="auto"/>
                <w:kern w:val="0"/>
                <w:szCs w:val="21"/>
              </w:rPr>
              <w:t>如认为招标文件表述不清晰、存在歧视性、排他性或者其他违法内容的，可以自收到采购文件之日或者采购文件公告期限届满之日（自本公告发布之日起至第6</w:t>
            </w:r>
            <w:r>
              <w:rPr>
                <w:rFonts w:ascii="宋体" w:hAnsi="宋体" w:cs="Calibri"/>
                <w:color w:val="auto"/>
                <w:kern w:val="0"/>
                <w:szCs w:val="21"/>
              </w:rPr>
              <w:t>个工作日</w:t>
            </w:r>
            <w:r>
              <w:rPr>
                <w:rFonts w:cs="Calibri"/>
                <w:color w:val="auto"/>
                <w:kern w:val="0"/>
                <w:szCs w:val="21"/>
              </w:rPr>
              <w:t>24</w:t>
            </w:r>
            <w:r>
              <w:rPr>
                <w:rFonts w:ascii="宋体" w:hAnsi="宋体" w:cs="Calibri"/>
                <w:color w:val="auto"/>
                <w:kern w:val="0"/>
                <w:szCs w:val="21"/>
              </w:rPr>
              <w:t>时止）起</w:t>
            </w:r>
            <w:r>
              <w:rPr>
                <w:rFonts w:cs="Calibri"/>
                <w:color w:val="auto"/>
                <w:kern w:val="0"/>
                <w:szCs w:val="21"/>
              </w:rPr>
              <w:t>7</w:t>
            </w:r>
            <w:r>
              <w:rPr>
                <w:rFonts w:ascii="宋体" w:hAnsi="宋体" w:cs="Calibri"/>
                <w:color w:val="auto"/>
                <w:kern w:val="0"/>
                <w:szCs w:val="21"/>
              </w:rPr>
              <w:t>个工作日内，以书面递交或传真形式要求招标方作出书面解释、澄清或者向招标方提出书面质疑；本项目不组织答疑会；招标方的答疑内容和书面澄清文件是招标文件的组成部份，</w:t>
            </w:r>
            <w:r>
              <w:rPr>
                <w:rFonts w:hint="eastAsia" w:ascii="宋体" w:hAnsi="宋体" w:cs="Calibri"/>
                <w:b/>
                <w:color w:val="auto"/>
                <w:kern w:val="0"/>
                <w:szCs w:val="21"/>
                <w:u w:val="single"/>
              </w:rPr>
              <w:t>招标方的</w:t>
            </w:r>
            <w:r>
              <w:rPr>
                <w:rFonts w:cs="Calibri"/>
                <w:b/>
                <w:color w:val="auto"/>
                <w:kern w:val="0"/>
                <w:szCs w:val="21"/>
                <w:u w:val="single"/>
              </w:rPr>
              <w:t>书面澄清</w:t>
            </w:r>
            <w:r>
              <w:rPr>
                <w:rFonts w:hint="eastAsia" w:ascii="宋体" w:hAnsi="宋体" w:cs="Calibri"/>
                <w:b/>
                <w:color w:val="auto"/>
                <w:kern w:val="0"/>
                <w:szCs w:val="21"/>
                <w:u w:val="single"/>
              </w:rPr>
              <w:t>（更正）</w:t>
            </w:r>
            <w:r>
              <w:rPr>
                <w:rFonts w:cs="Calibri"/>
                <w:b/>
                <w:color w:val="auto"/>
                <w:kern w:val="0"/>
                <w:szCs w:val="21"/>
                <w:u w:val="single"/>
              </w:rPr>
              <w:t>文件</w:t>
            </w:r>
            <w:r>
              <w:rPr>
                <w:rFonts w:hint="eastAsia" w:ascii="宋体" w:hAnsi="宋体" w:cs="Calibri"/>
                <w:b/>
                <w:color w:val="auto"/>
                <w:kern w:val="0"/>
                <w:szCs w:val="21"/>
                <w:u w:val="single"/>
              </w:rPr>
              <w:t>会在浙江省政府网上发布公告，</w:t>
            </w:r>
            <w:r>
              <w:rPr>
                <w:rFonts w:cs="Calibri"/>
                <w:b/>
                <w:color w:val="auto"/>
                <w:kern w:val="0"/>
                <w:szCs w:val="21"/>
                <w:u w:val="single"/>
              </w:rPr>
              <w:t>同时</w:t>
            </w:r>
            <w:r>
              <w:rPr>
                <w:rFonts w:hint="eastAsia" w:ascii="宋体" w:hAnsi="宋体" w:cs="Calibri"/>
                <w:b/>
                <w:color w:val="auto"/>
                <w:kern w:val="0"/>
                <w:szCs w:val="21"/>
                <w:u w:val="single"/>
              </w:rPr>
              <w:t>政采云系统会</w:t>
            </w:r>
            <w:r>
              <w:rPr>
                <w:rFonts w:cs="Calibri"/>
                <w:b/>
                <w:color w:val="auto"/>
                <w:kern w:val="0"/>
                <w:szCs w:val="21"/>
                <w:u w:val="single"/>
              </w:rPr>
              <w:t>向所有</w:t>
            </w:r>
            <w:r>
              <w:rPr>
                <w:rFonts w:hint="eastAsia" w:ascii="宋体" w:hAnsi="宋体" w:cs="Calibri"/>
                <w:b/>
                <w:color w:val="auto"/>
                <w:kern w:val="0"/>
                <w:szCs w:val="21"/>
                <w:u w:val="single"/>
              </w:rPr>
              <w:t>已按招标文件规定方式获取招标文件的潜在供应商</w:t>
            </w:r>
            <w:r>
              <w:rPr>
                <w:rFonts w:cs="Calibri"/>
                <w:b/>
                <w:color w:val="auto"/>
                <w:kern w:val="0"/>
                <w:szCs w:val="21"/>
                <w:u w:val="single"/>
              </w:rPr>
              <w:t>发送</w:t>
            </w:r>
            <w:r>
              <w:rPr>
                <w:rFonts w:hint="eastAsia" w:ascii="宋体" w:hAnsi="宋体" w:cs="Calibri"/>
                <w:b/>
                <w:color w:val="auto"/>
                <w:kern w:val="0"/>
                <w:szCs w:val="21"/>
                <w:u w:val="single"/>
              </w:rPr>
              <w:t>更正提醒信息，潜在供应商请自行到浙江省政府采网上下载</w:t>
            </w:r>
            <w:r>
              <w:rPr>
                <w:rFonts w:cs="Calibri"/>
                <w:b/>
                <w:color w:val="auto"/>
                <w:kern w:val="0"/>
                <w:szCs w:val="21"/>
                <w:u w:val="single"/>
              </w:rPr>
              <w:t>澄清</w:t>
            </w:r>
            <w:r>
              <w:rPr>
                <w:rFonts w:hint="eastAsia" w:ascii="宋体" w:hAnsi="宋体" w:cs="Calibri"/>
                <w:b/>
                <w:color w:val="auto"/>
                <w:kern w:val="0"/>
                <w:szCs w:val="21"/>
                <w:u w:val="single"/>
              </w:rPr>
              <w:t>（更正）</w:t>
            </w:r>
            <w:r>
              <w:rPr>
                <w:rFonts w:cs="Calibri"/>
                <w:b/>
                <w:color w:val="auto"/>
                <w:kern w:val="0"/>
                <w:szCs w:val="21"/>
                <w:u w:val="single"/>
              </w:rPr>
              <w:t>文件</w:t>
            </w:r>
            <w:r>
              <w:rPr>
                <w:rFonts w:hint="eastAsia" w:ascii="宋体" w:hAnsi="宋体" w:cs="Calibri"/>
                <w:b/>
                <w:color w:val="auto"/>
                <w:kern w:val="0"/>
                <w:szCs w:val="21"/>
                <w:u w:val="single"/>
              </w:rPr>
              <w:t>，潜在供应商</w:t>
            </w:r>
            <w:r>
              <w:rPr>
                <w:rFonts w:cs="Calibri"/>
                <w:b/>
                <w:color w:val="auto"/>
                <w:kern w:val="0"/>
                <w:szCs w:val="21"/>
                <w:u w:val="single"/>
              </w:rPr>
              <w:t>在收到该澄清</w:t>
            </w:r>
            <w:r>
              <w:rPr>
                <w:rFonts w:hint="eastAsia" w:ascii="宋体" w:hAnsi="宋体" w:cs="Calibri"/>
                <w:b/>
                <w:color w:val="auto"/>
                <w:kern w:val="0"/>
                <w:szCs w:val="21"/>
                <w:u w:val="single"/>
              </w:rPr>
              <w:t>（更正）</w:t>
            </w:r>
            <w:r>
              <w:rPr>
                <w:rFonts w:cs="Calibri"/>
                <w:b/>
                <w:color w:val="auto"/>
                <w:kern w:val="0"/>
                <w:szCs w:val="21"/>
                <w:u w:val="single"/>
              </w:rPr>
              <w:t>文件后应于1</w:t>
            </w:r>
            <w:r>
              <w:rPr>
                <w:rFonts w:ascii="宋体" w:hAnsi="宋体" w:cs="Calibri"/>
                <w:b/>
                <w:color w:val="auto"/>
                <w:kern w:val="0"/>
                <w:szCs w:val="21"/>
                <w:u w:val="single"/>
              </w:rPr>
              <w:t>日内，以书面或传真形式（签署意见并加盖公章）向招标代理机构回函给予确认。过期未回复的，视为默认接受。</w:t>
            </w:r>
          </w:p>
        </w:tc>
      </w:tr>
      <w:tr>
        <w:tblPrEx>
          <w:tblCellMar>
            <w:top w:w="0" w:type="dxa"/>
            <w:left w:w="108" w:type="dxa"/>
            <w:bottom w:w="0" w:type="dxa"/>
            <w:right w:w="108" w:type="dxa"/>
          </w:tblCellMar>
        </w:tblPrEx>
        <w:trPr>
          <w:wBefore w:w="0" w:type="auto"/>
          <w:trHeight w:val="565"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8</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投标有效期</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cs="Calibri"/>
                <w:color w:val="auto"/>
                <w:szCs w:val="21"/>
              </w:rPr>
              <w:t>自开标之日起</w:t>
            </w:r>
            <w:r>
              <w:rPr>
                <w:rFonts w:hint="eastAsia" w:cs="Calibri"/>
                <w:color w:val="auto"/>
                <w:szCs w:val="21"/>
              </w:rPr>
              <w:t>60</w:t>
            </w:r>
            <w:r>
              <w:rPr>
                <w:rFonts w:cs="Calibri"/>
                <w:color w:val="auto"/>
                <w:szCs w:val="21"/>
              </w:rPr>
              <w:t>天（日历天）</w:t>
            </w:r>
          </w:p>
        </w:tc>
      </w:tr>
      <w:tr>
        <w:tblPrEx>
          <w:tblCellMar>
            <w:top w:w="0" w:type="dxa"/>
            <w:left w:w="108" w:type="dxa"/>
            <w:bottom w:w="0" w:type="dxa"/>
            <w:right w:w="108" w:type="dxa"/>
          </w:tblCellMar>
        </w:tblPrEx>
        <w:trPr>
          <w:wBefore w:w="0" w:type="auto"/>
          <w:trHeight w:val="3773"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9</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ascii="宋体" w:hAnsi="宋体" w:cs="Calibri"/>
                <w:color w:val="auto"/>
                <w:szCs w:val="21"/>
              </w:rPr>
            </w:pPr>
            <w:r>
              <w:rPr>
                <w:rFonts w:cs="Calibri"/>
                <w:color w:val="auto"/>
                <w:szCs w:val="21"/>
              </w:rPr>
              <w:t>投标文件递交</w:t>
            </w:r>
            <w:r>
              <w:rPr>
                <w:rFonts w:hint="eastAsia" w:ascii="宋体" w:hAnsi="宋体" w:cs="Calibri"/>
                <w:color w:val="auto"/>
                <w:szCs w:val="21"/>
              </w:rPr>
              <w:t>时间及方式</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b/>
                <w:color w:val="auto"/>
                <w:kern w:val="0"/>
                <w:szCs w:val="21"/>
                <w:u w:val="single"/>
              </w:rPr>
            </w:pPr>
            <w:r>
              <w:rPr>
                <w:rFonts w:hint="eastAsia" w:ascii="宋体" w:hAnsi="宋体" w:cs="Calibri"/>
                <w:b/>
                <w:color w:val="auto"/>
                <w:kern w:val="0"/>
                <w:szCs w:val="21"/>
                <w:u w:val="single"/>
              </w:rPr>
              <w:t>投标人应于</w:t>
            </w:r>
            <w:r>
              <w:rPr>
                <w:rFonts w:hint="eastAsia" w:cs="Calibri"/>
                <w:b/>
                <w:color w:val="auto"/>
                <w:kern w:val="0"/>
                <w:szCs w:val="21"/>
                <w:u w:val="single"/>
                <w:lang w:eastAsia="zh-CN"/>
              </w:rPr>
              <w:t>2021年05月19日</w:t>
            </w:r>
            <w:r>
              <w:rPr>
                <w:rFonts w:hint="eastAsia" w:ascii="宋体" w:hAnsi="宋体" w:cs="Calibri"/>
                <w:b/>
                <w:color w:val="auto"/>
                <w:kern w:val="0"/>
                <w:szCs w:val="21"/>
                <w:u w:val="single"/>
              </w:rPr>
              <w:t>上午</w:t>
            </w:r>
            <w:r>
              <w:rPr>
                <w:rFonts w:hint="eastAsia" w:cs="Calibri"/>
                <w:b/>
                <w:color w:val="auto"/>
                <w:kern w:val="0"/>
                <w:szCs w:val="21"/>
                <w:u w:val="single"/>
              </w:rPr>
              <w:t>9:30</w:t>
            </w:r>
            <w:r>
              <w:rPr>
                <w:rFonts w:hint="eastAsia" w:ascii="宋体" w:hAnsi="宋体" w:cs="Calibri"/>
                <w:b/>
                <w:color w:val="auto"/>
                <w:kern w:val="0"/>
                <w:szCs w:val="21"/>
                <w:u w:val="single"/>
              </w:rPr>
              <w:t>前按照电子投标要求将电子加密标书上传到“政采云”平台，逾期或未上传成功的将导致无法投标或投标无效。</w:t>
            </w:r>
          </w:p>
          <w:p>
            <w:pPr>
              <w:autoSpaceDE w:val="0"/>
              <w:autoSpaceDN w:val="0"/>
              <w:adjustRightInd w:val="0"/>
              <w:jc w:val="left"/>
              <w:rPr>
                <w:rFonts w:hAnsi="宋体"/>
                <w:b/>
                <w:color w:val="auto"/>
                <w:kern w:val="0"/>
                <w:szCs w:val="21"/>
                <w:u w:val="single"/>
              </w:rPr>
            </w:pPr>
            <w:r>
              <w:rPr>
                <w:rFonts w:hint="eastAsia" w:hAnsi="宋体"/>
                <w:b/>
                <w:color w:val="auto"/>
                <w:kern w:val="0"/>
                <w:szCs w:val="21"/>
                <w:u w:val="single"/>
              </w:rPr>
              <w:t>备注：为确保采购项目顺利实施，避免因政采云上电子投标文件解密失败导致投标方投标无效，投标方可在</w:t>
            </w:r>
            <w:r>
              <w:rPr>
                <w:rFonts w:hint="eastAsia" w:cs="Calibri"/>
                <w:b/>
                <w:color w:val="auto"/>
                <w:kern w:val="0"/>
                <w:szCs w:val="21"/>
                <w:u w:val="single"/>
                <w:lang w:eastAsia="zh-CN"/>
              </w:rPr>
              <w:t>2021年05月19日</w:t>
            </w:r>
            <w:r>
              <w:rPr>
                <w:rFonts w:hint="eastAsia" w:ascii="宋体" w:hAnsi="宋体"/>
                <w:b/>
                <w:color w:val="auto"/>
                <w:kern w:val="0"/>
                <w:szCs w:val="21"/>
                <w:u w:val="single"/>
              </w:rPr>
              <w:t>上午</w:t>
            </w:r>
            <w:r>
              <w:rPr>
                <w:rFonts w:hint="eastAsia" w:cs="Calibri"/>
                <w:b/>
                <w:color w:val="auto"/>
                <w:kern w:val="0"/>
                <w:szCs w:val="21"/>
                <w:u w:val="single"/>
              </w:rPr>
              <w:t>09</w:t>
            </w:r>
            <w:r>
              <w:rPr>
                <w:rFonts w:hint="eastAsia" w:ascii="宋体" w:hAnsi="宋体"/>
                <w:b/>
                <w:color w:val="auto"/>
                <w:kern w:val="0"/>
                <w:szCs w:val="21"/>
                <w:u w:val="single"/>
              </w:rPr>
              <w:t>时</w:t>
            </w:r>
            <w:r>
              <w:rPr>
                <w:rFonts w:hint="eastAsia" w:cs="Calibri"/>
                <w:b/>
                <w:color w:val="auto"/>
                <w:kern w:val="0"/>
                <w:szCs w:val="21"/>
                <w:u w:val="single"/>
              </w:rPr>
              <w:t>30</w:t>
            </w:r>
            <w:r>
              <w:rPr>
                <w:rFonts w:hint="eastAsia" w:ascii="宋体" w:hAnsi="宋体"/>
                <w:b/>
                <w:color w:val="auto"/>
                <w:kern w:val="0"/>
                <w:szCs w:val="21"/>
                <w:u w:val="single"/>
              </w:rPr>
              <w:t>分前将在政采云平台上最后生成的具备电子签章的备份加密投标文件（文件名后缀为备份文件四字的首字母）以电子邮件方式传送至浙江省成套招标代理有限公司指定邮箱（</w:t>
            </w:r>
            <w:r>
              <w:rPr>
                <w:rFonts w:hint="eastAsia" w:cs="Calibri"/>
                <w:b/>
                <w:color w:val="auto"/>
                <w:kern w:val="0"/>
                <w:szCs w:val="21"/>
                <w:u w:val="single"/>
              </w:rPr>
              <w:t>1830912141@qq.com</w:t>
            </w:r>
            <w:r>
              <w:rPr>
                <w:rFonts w:hint="eastAsia" w:ascii="宋体" w:hAnsi="宋体"/>
                <w:b/>
                <w:color w:val="auto"/>
                <w:kern w:val="0"/>
                <w:szCs w:val="21"/>
                <w:u w:val="single"/>
              </w:rPr>
              <w:t>），传送的备份电子投标文件需打包压缩并加密，加密密码由投标方自行保管，如政采云上电子投标文件出现解密失败情况（开标当日</w:t>
            </w:r>
            <w:r>
              <w:rPr>
                <w:rFonts w:hint="eastAsia" w:cs="Calibri"/>
                <w:b/>
                <w:color w:val="auto"/>
                <w:kern w:val="0"/>
                <w:szCs w:val="21"/>
                <w:u w:val="single"/>
              </w:rPr>
              <w:t>09:30-10:30</w:t>
            </w:r>
            <w:r>
              <w:rPr>
                <w:rFonts w:hint="eastAsia" w:ascii="宋体" w:hAnsi="宋体"/>
                <w:b/>
                <w:color w:val="auto"/>
                <w:kern w:val="0"/>
                <w:szCs w:val="21"/>
                <w:u w:val="single"/>
              </w:rPr>
              <w:t>期间进行解密），投标方可按照自身意愿确认是否同意提供加密密码解密传送至浙江省成套招标代理有限公司指定邮箱（</w:t>
            </w:r>
            <w:r>
              <w:rPr>
                <w:rFonts w:hint="eastAsia" w:cs="Calibri"/>
                <w:b/>
                <w:color w:val="auto"/>
                <w:kern w:val="0"/>
                <w:szCs w:val="21"/>
                <w:u w:val="single"/>
              </w:rPr>
              <w:t>1830912141@qq.com</w:t>
            </w:r>
            <w:r>
              <w:rPr>
                <w:rFonts w:hint="eastAsia" w:ascii="宋体" w:hAnsi="宋体"/>
                <w:b/>
                <w:color w:val="auto"/>
                <w:kern w:val="0"/>
                <w:szCs w:val="21"/>
                <w:u w:val="single"/>
              </w:rPr>
              <w:t>）的备份文件，并以备份文件作为替代电子投标文件，如投标方未按照规定时间及要求提供有效备份文件，同时政采云上投标文件解密失败的，将导致投标无效。</w:t>
            </w:r>
          </w:p>
        </w:tc>
      </w:tr>
      <w:tr>
        <w:tblPrEx>
          <w:tblCellMar>
            <w:top w:w="0" w:type="dxa"/>
            <w:left w:w="108" w:type="dxa"/>
            <w:bottom w:w="0" w:type="dxa"/>
            <w:right w:w="108" w:type="dxa"/>
          </w:tblCellMar>
        </w:tblPrEx>
        <w:trPr>
          <w:wBefore w:w="0" w:type="auto"/>
          <w:trHeight w:val="473"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10</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投标保证金</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cs="Calibri"/>
                <w:b/>
                <w:color w:val="auto"/>
                <w:kern w:val="0"/>
                <w:szCs w:val="21"/>
              </w:rPr>
              <w:t>无。</w:t>
            </w:r>
          </w:p>
        </w:tc>
      </w:tr>
      <w:tr>
        <w:tblPrEx>
          <w:tblCellMar>
            <w:top w:w="0" w:type="dxa"/>
            <w:left w:w="108" w:type="dxa"/>
            <w:bottom w:w="0" w:type="dxa"/>
            <w:right w:w="108" w:type="dxa"/>
          </w:tblCellMar>
        </w:tblPrEx>
        <w:trPr>
          <w:wBefore w:w="0" w:type="auto"/>
          <w:trHeight w:val="948"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11</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开标时间和地点</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cs="Calibri"/>
                <w:color w:val="auto"/>
                <w:szCs w:val="21"/>
              </w:rPr>
              <w:t>开标时间：</w:t>
            </w:r>
            <w:r>
              <w:rPr>
                <w:rFonts w:hint="eastAsia" w:cs="Calibri"/>
                <w:color w:val="auto"/>
                <w:szCs w:val="21"/>
                <w:lang w:eastAsia="zh-CN"/>
              </w:rPr>
              <w:t>2021年05月19日</w:t>
            </w:r>
            <w:r>
              <w:rPr>
                <w:rFonts w:hint="eastAsia" w:cs="Calibri"/>
                <w:color w:val="auto"/>
                <w:szCs w:val="21"/>
              </w:rPr>
              <w:t>09</w:t>
            </w:r>
            <w:r>
              <w:rPr>
                <w:rFonts w:cs="Calibri"/>
                <w:color w:val="auto"/>
                <w:szCs w:val="21"/>
              </w:rPr>
              <w:t>时</w:t>
            </w:r>
            <w:r>
              <w:rPr>
                <w:rFonts w:hint="eastAsia" w:cs="Calibri"/>
                <w:color w:val="auto"/>
                <w:szCs w:val="21"/>
              </w:rPr>
              <w:t>3</w:t>
            </w:r>
            <w:r>
              <w:rPr>
                <w:rFonts w:cs="Calibri"/>
                <w:color w:val="auto"/>
                <w:szCs w:val="21"/>
              </w:rPr>
              <w:t>0</w:t>
            </w:r>
            <w:r>
              <w:rPr>
                <w:rFonts w:ascii="宋体" w:hAnsi="宋体" w:cs="Calibri"/>
                <w:color w:val="auto"/>
                <w:szCs w:val="21"/>
              </w:rPr>
              <w:t>分</w:t>
            </w:r>
          </w:p>
          <w:p>
            <w:pPr>
              <w:spacing w:line="264" w:lineRule="auto"/>
              <w:rPr>
                <w:rFonts w:cs="Calibri"/>
                <w:color w:val="auto"/>
                <w:szCs w:val="21"/>
              </w:rPr>
            </w:pPr>
            <w:r>
              <w:rPr>
                <w:rFonts w:cs="Calibri"/>
                <w:color w:val="auto"/>
                <w:szCs w:val="21"/>
              </w:rPr>
              <w:t>开标地点：</w:t>
            </w:r>
            <w:r>
              <w:rPr>
                <w:rFonts w:hint="eastAsia" w:ascii="宋体" w:hAnsi="宋体" w:cs="Calibri"/>
                <w:color w:val="auto"/>
                <w:szCs w:val="21"/>
              </w:rPr>
              <w:t>义乌市望道路</w:t>
            </w:r>
            <w:r>
              <w:rPr>
                <w:rFonts w:hint="eastAsia" w:cs="Calibri"/>
                <w:color w:val="auto"/>
                <w:szCs w:val="21"/>
              </w:rPr>
              <w:t>300</w:t>
            </w:r>
            <w:r>
              <w:rPr>
                <w:rFonts w:hint="eastAsia" w:ascii="宋体" w:hAnsi="宋体" w:cs="Calibri"/>
                <w:color w:val="auto"/>
                <w:szCs w:val="21"/>
              </w:rPr>
              <w:t>号行政服务中心四楼电子开标室</w:t>
            </w:r>
            <w:r>
              <w:rPr>
                <w:rFonts w:cs="Calibri"/>
                <w:color w:val="auto"/>
                <w:szCs w:val="21"/>
              </w:rPr>
              <w:t>。</w:t>
            </w:r>
          </w:p>
          <w:p>
            <w:pPr>
              <w:spacing w:line="264" w:lineRule="auto"/>
              <w:rPr>
                <w:rFonts w:cs="Calibri"/>
                <w:color w:val="auto"/>
                <w:szCs w:val="21"/>
              </w:rPr>
            </w:pPr>
            <w:r>
              <w:rPr>
                <w:rFonts w:hint="eastAsia" w:ascii="宋体" w:hAnsi="宋体" w:cs="Calibri"/>
                <w:b/>
                <w:color w:val="auto"/>
                <w:kern w:val="0"/>
                <w:szCs w:val="21"/>
                <w:u w:val="single"/>
              </w:rPr>
              <w:t>投标方无需在开标当天到达开标现场对电子投标进行解密，可在公司办公场地登录“政采云”平台，用“项目采购</w:t>
            </w:r>
            <w:r>
              <w:rPr>
                <w:rFonts w:hint="eastAsia" w:cs="Calibri"/>
                <w:b/>
                <w:color w:val="auto"/>
                <w:kern w:val="0"/>
                <w:szCs w:val="21"/>
                <w:u w:val="single"/>
              </w:rPr>
              <w:t>-</w:t>
            </w:r>
            <w:r>
              <w:rPr>
                <w:rFonts w:hint="eastAsia" w:ascii="宋体" w:hAnsi="宋体" w:cs="Calibri"/>
                <w:b/>
                <w:color w:val="auto"/>
                <w:kern w:val="0"/>
                <w:szCs w:val="21"/>
                <w:u w:val="single"/>
              </w:rPr>
              <w:t>开标评标”功能进行解密投标文件，解密时限为开标时间后</w:t>
            </w:r>
            <w:r>
              <w:rPr>
                <w:rFonts w:hint="eastAsia" w:cs="Calibri"/>
                <w:b/>
                <w:color w:val="auto"/>
                <w:kern w:val="0"/>
                <w:szCs w:val="21"/>
                <w:u w:val="single"/>
              </w:rPr>
              <w:t>1</w:t>
            </w:r>
            <w:r>
              <w:rPr>
                <w:rFonts w:hint="eastAsia" w:ascii="宋体" w:hAnsi="宋体" w:cs="Calibri"/>
                <w:b/>
                <w:color w:val="auto"/>
                <w:kern w:val="0"/>
                <w:szCs w:val="21"/>
                <w:u w:val="single"/>
              </w:rPr>
              <w:t>小时内。</w:t>
            </w:r>
          </w:p>
        </w:tc>
      </w:tr>
      <w:tr>
        <w:tblPrEx>
          <w:tblCellMar>
            <w:top w:w="0" w:type="dxa"/>
            <w:left w:w="108" w:type="dxa"/>
            <w:bottom w:w="0" w:type="dxa"/>
            <w:right w:w="108" w:type="dxa"/>
          </w:tblCellMar>
        </w:tblPrEx>
        <w:trPr>
          <w:wBefore w:w="0" w:type="auto"/>
          <w:trHeight w:val="467"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12</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履约保证金</w:t>
            </w:r>
          </w:p>
        </w:tc>
        <w:tc>
          <w:tcPr>
            <w:tcW w:w="7226" w:type="dxa"/>
            <w:tcBorders>
              <w:top w:val="single" w:color="000000" w:sz="4" w:space="0"/>
              <w:left w:val="nil"/>
              <w:bottom w:val="single" w:color="000000" w:sz="4" w:space="0"/>
              <w:right w:val="single" w:color="000000" w:sz="4" w:space="0"/>
            </w:tcBorders>
            <w:noWrap w:val="0"/>
            <w:vAlign w:val="center"/>
          </w:tcPr>
          <w:p>
            <w:pPr>
              <w:spacing w:line="288" w:lineRule="auto"/>
              <w:rPr>
                <w:rFonts w:cs="Calibri"/>
                <w:color w:val="auto"/>
                <w:szCs w:val="21"/>
              </w:rPr>
            </w:pPr>
            <w:r>
              <w:rPr>
                <w:rFonts w:cs="Calibri"/>
                <w:color w:val="auto"/>
                <w:szCs w:val="21"/>
              </w:rPr>
              <w:t>无。</w:t>
            </w:r>
          </w:p>
        </w:tc>
      </w:tr>
      <w:tr>
        <w:tblPrEx>
          <w:tblCellMar>
            <w:top w:w="0" w:type="dxa"/>
            <w:left w:w="108" w:type="dxa"/>
            <w:bottom w:w="0" w:type="dxa"/>
            <w:right w:w="108" w:type="dxa"/>
          </w:tblCellMar>
        </w:tblPrEx>
        <w:trPr>
          <w:wBefore w:w="0" w:type="auto"/>
          <w:trHeight w:val="470"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13</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评标办法</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hint="eastAsia" w:ascii="宋体" w:hAnsi="宋体" w:cs="Calibri"/>
                <w:color w:val="auto"/>
                <w:szCs w:val="21"/>
              </w:rPr>
              <w:t>综合评分法</w:t>
            </w:r>
            <w:r>
              <w:rPr>
                <w:rFonts w:cs="Calibri"/>
                <w:color w:val="auto"/>
                <w:szCs w:val="21"/>
              </w:rPr>
              <w:t>。</w:t>
            </w:r>
          </w:p>
        </w:tc>
      </w:tr>
      <w:tr>
        <w:tblPrEx>
          <w:tblCellMar>
            <w:top w:w="0" w:type="dxa"/>
            <w:left w:w="108" w:type="dxa"/>
            <w:bottom w:w="0" w:type="dxa"/>
            <w:right w:w="108" w:type="dxa"/>
          </w:tblCellMar>
        </w:tblPrEx>
        <w:trPr>
          <w:wBefore w:w="0" w:type="auto"/>
          <w:trHeight w:val="493"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14</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 w:val="20"/>
                <w:szCs w:val="20"/>
              </w:rPr>
            </w:pPr>
            <w:r>
              <w:rPr>
                <w:rFonts w:cs="Calibri"/>
                <w:color w:val="auto"/>
                <w:szCs w:val="21"/>
              </w:rPr>
              <w:t>付款方式</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 w:val="20"/>
                <w:szCs w:val="20"/>
              </w:rPr>
            </w:pPr>
            <w:r>
              <w:rPr>
                <w:rFonts w:eastAsia="新宋体" w:cs="Calibri"/>
                <w:color w:val="auto"/>
                <w:spacing w:val="-8"/>
                <w:kern w:val="0"/>
                <w:sz w:val="22"/>
              </w:rPr>
              <w:t>详见第三章招标项目具体要求。</w:t>
            </w:r>
          </w:p>
        </w:tc>
      </w:tr>
      <w:tr>
        <w:tblPrEx>
          <w:tblCellMar>
            <w:top w:w="0" w:type="dxa"/>
            <w:left w:w="108" w:type="dxa"/>
            <w:bottom w:w="0" w:type="dxa"/>
            <w:right w:w="108" w:type="dxa"/>
          </w:tblCellMar>
        </w:tblPrEx>
        <w:trPr>
          <w:wBefore w:w="0" w:type="auto"/>
          <w:trHeight w:val="1344"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15</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b/>
                <w:color w:val="auto"/>
                <w:spacing w:val="-8"/>
                <w:szCs w:val="21"/>
              </w:rPr>
            </w:pPr>
            <w:r>
              <w:rPr>
                <w:rFonts w:cs="Calibri"/>
                <w:color w:val="auto"/>
                <w:szCs w:val="21"/>
              </w:rPr>
              <w:t>小微企业有关政策</w:t>
            </w:r>
          </w:p>
        </w:tc>
        <w:tc>
          <w:tcPr>
            <w:tcW w:w="7226" w:type="dxa"/>
            <w:tcBorders>
              <w:top w:val="single" w:color="000000" w:sz="4" w:space="0"/>
              <w:left w:val="nil"/>
              <w:bottom w:val="single" w:color="000000" w:sz="4" w:space="0"/>
              <w:right w:val="single" w:color="000000" w:sz="4" w:space="0"/>
            </w:tcBorders>
            <w:noWrap w:val="0"/>
            <w:vAlign w:val="center"/>
          </w:tcPr>
          <w:p>
            <w:pPr>
              <w:rPr>
                <w:rFonts w:ascii="宋体" w:hAnsi="宋体" w:cs="Calibri"/>
                <w:bCs/>
                <w:color w:val="auto"/>
                <w:spacing w:val="-8"/>
                <w:szCs w:val="21"/>
              </w:rPr>
            </w:pPr>
            <w:r>
              <w:rPr>
                <w:rFonts w:hint="eastAsia" w:cs="Calibri"/>
                <w:bCs/>
                <w:color w:val="auto"/>
                <w:spacing w:val="-8"/>
                <w:szCs w:val="21"/>
              </w:rPr>
              <w:t>1.</w:t>
            </w:r>
            <w:r>
              <w:rPr>
                <w:rFonts w:hint="eastAsia" w:ascii="宋体" w:hAnsi="宋体" w:cs="Calibri"/>
                <w:bCs/>
                <w:color w:val="auto"/>
                <w:spacing w:val="-8"/>
                <w:szCs w:val="21"/>
              </w:rPr>
              <w:t>根据财库</w:t>
            </w:r>
            <w:r>
              <w:rPr>
                <w:rFonts w:hint="eastAsia" w:cs="Calibri"/>
                <w:bCs/>
                <w:color w:val="auto"/>
                <w:spacing w:val="-8"/>
                <w:szCs w:val="21"/>
              </w:rPr>
              <w:t>[2020]46</w:t>
            </w:r>
            <w:r>
              <w:rPr>
                <w:rFonts w:hint="eastAsia" w:ascii="宋体" w:hAnsi="宋体" w:cs="Calibri"/>
                <w:bCs/>
                <w:color w:val="auto"/>
                <w:spacing w:val="-8"/>
                <w:szCs w:val="21"/>
              </w:rPr>
              <w:t>号《政府采购促进中小企业发展管理办法》的相关规定，在评审时对符合该办法规定的小微企业的投标报价给予</w:t>
            </w:r>
            <w:r>
              <w:rPr>
                <w:rFonts w:hint="eastAsia" w:cs="Calibri"/>
                <w:bCs/>
                <w:color w:val="auto"/>
                <w:spacing w:val="-8"/>
                <w:szCs w:val="21"/>
              </w:rPr>
              <w:t>6%</w:t>
            </w:r>
            <w:r>
              <w:rPr>
                <w:rFonts w:hint="eastAsia" w:ascii="宋体" w:hAnsi="宋体" w:cs="Calibri"/>
                <w:bCs/>
                <w:color w:val="auto"/>
                <w:spacing w:val="-8"/>
                <w:szCs w:val="21"/>
              </w:rPr>
              <w:t>的扣除，取扣除后的价格作为评审投标报价（此评审投标报价仅在评标时使用）。享受相关中小企业扶持政策的投标人，必须在投标文件中提供《中小企业声明函》。</w:t>
            </w:r>
          </w:p>
          <w:p>
            <w:pPr>
              <w:rPr>
                <w:rFonts w:hint="eastAsia" w:ascii="宋体" w:hAnsi="宋体" w:cs="Calibri"/>
                <w:bCs/>
                <w:color w:val="auto"/>
                <w:spacing w:val="-8"/>
                <w:szCs w:val="21"/>
              </w:rPr>
            </w:pPr>
            <w:r>
              <w:rPr>
                <w:rFonts w:hint="eastAsia" w:cs="Calibri"/>
                <w:bCs/>
                <w:color w:val="auto"/>
                <w:spacing w:val="-8"/>
                <w:szCs w:val="21"/>
              </w:rPr>
              <w:t>2.</w:t>
            </w:r>
            <w:r>
              <w:rPr>
                <w:rFonts w:hint="eastAsia" w:ascii="宋体" w:hAnsi="宋体" w:cs="Calibri"/>
                <w:bCs/>
                <w:color w:val="auto"/>
                <w:spacing w:val="-8"/>
                <w:szCs w:val="21"/>
              </w:rPr>
              <w:t>根据财库</w:t>
            </w:r>
            <w:r>
              <w:rPr>
                <w:rFonts w:hint="eastAsia" w:cs="Calibri"/>
                <w:bCs/>
                <w:color w:val="auto"/>
                <w:spacing w:val="-8"/>
                <w:szCs w:val="21"/>
              </w:rPr>
              <w:t>[2017]141</w:t>
            </w:r>
            <w:r>
              <w:rPr>
                <w:rFonts w:hint="eastAsia" w:ascii="宋体" w:hAnsi="宋体" w:cs="Calibri"/>
                <w:bCs/>
                <w:color w:val="auto"/>
                <w:spacing w:val="-8"/>
                <w:szCs w:val="21"/>
              </w:rPr>
              <w:t>号的相关规定，在政府采购活动中，残疾人福利性单位视同小型、微型企业，享受评审中价格扣除政策。属于享受政府采购支持政策的残疾人福利性单位，应满足财库</w:t>
            </w:r>
            <w:r>
              <w:rPr>
                <w:rFonts w:hint="eastAsia" w:cs="Calibri"/>
                <w:bCs/>
                <w:color w:val="auto"/>
                <w:spacing w:val="-8"/>
                <w:szCs w:val="21"/>
              </w:rPr>
              <w:t>[2017]141</w:t>
            </w:r>
            <w:r>
              <w:rPr>
                <w:rFonts w:hint="eastAsia" w:ascii="宋体" w:hAnsi="宋体" w:cs="Calibri"/>
                <w:bCs/>
                <w:color w:val="auto"/>
                <w:spacing w:val="-8"/>
                <w:szCs w:val="21"/>
              </w:rPr>
              <w:t>号文件第一条的规定，并在投标文件中提供残疾人福利性单位声明函。</w:t>
            </w:r>
          </w:p>
          <w:p>
            <w:pPr>
              <w:rPr>
                <w:rFonts w:hint="eastAsia" w:ascii="宋体" w:hAnsi="宋体" w:cs="Calibri"/>
                <w:bCs/>
                <w:color w:val="auto"/>
                <w:spacing w:val="-8"/>
                <w:szCs w:val="21"/>
              </w:rPr>
            </w:pPr>
            <w:r>
              <w:rPr>
                <w:rFonts w:hint="eastAsia" w:cs="Calibri"/>
                <w:bCs/>
                <w:color w:val="auto"/>
                <w:spacing w:val="-8"/>
                <w:szCs w:val="21"/>
              </w:rPr>
              <w:t>3.</w:t>
            </w:r>
            <w:r>
              <w:rPr>
                <w:rFonts w:hint="eastAsia" w:ascii="宋体" w:hAnsi="宋体" w:cs="Calibri"/>
                <w:bCs/>
                <w:color w:val="auto"/>
                <w:spacing w:val="-8"/>
                <w:szCs w:val="21"/>
              </w:rPr>
              <w:t>根据财库</w:t>
            </w:r>
            <w:r>
              <w:rPr>
                <w:rFonts w:hint="eastAsia" w:cs="Calibri"/>
                <w:bCs/>
                <w:color w:val="auto"/>
                <w:spacing w:val="-8"/>
                <w:szCs w:val="21"/>
              </w:rPr>
              <w:t>[2014]68</w:t>
            </w:r>
            <w:r>
              <w:rPr>
                <w:rFonts w:hint="eastAsia" w:ascii="宋体" w:hAnsi="宋体" w:cs="Calibri"/>
                <w:bCs/>
                <w:color w:val="auto"/>
                <w:spacing w:val="-8"/>
                <w:szCs w:val="21"/>
              </w:rPr>
              <w:t>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rPr>
                <w:rFonts w:hint="eastAsia" w:ascii="宋体" w:hAnsi="宋体" w:cs="Calibri"/>
                <w:bCs/>
                <w:color w:val="auto"/>
                <w:spacing w:val="-8"/>
                <w:szCs w:val="21"/>
              </w:rPr>
            </w:pPr>
            <w:r>
              <w:rPr>
                <w:rFonts w:hint="eastAsia" w:cs="Calibri"/>
                <w:bCs/>
                <w:color w:val="auto"/>
                <w:spacing w:val="-8"/>
                <w:szCs w:val="21"/>
              </w:rPr>
              <w:t>4.</w:t>
            </w:r>
            <w:r>
              <w:rPr>
                <w:rFonts w:hint="eastAsia" w:ascii="宋体" w:hAnsi="宋体" w:cs="Calibri"/>
                <w:bCs/>
                <w:color w:val="auto"/>
                <w:spacing w:val="-8"/>
                <w:szCs w:val="21"/>
              </w:rPr>
              <w:t>同一投标人，小微企业、监狱企业、残疾人福利性单位价格扣除优惠只享受一次，不得重复享受。</w:t>
            </w:r>
          </w:p>
          <w:p>
            <w:pPr>
              <w:rPr>
                <w:rFonts w:hint="eastAsia" w:ascii="宋体" w:hAnsi="宋体" w:cs="Calibri"/>
                <w:color w:val="auto"/>
                <w:kern w:val="0"/>
                <w:szCs w:val="21"/>
              </w:rPr>
            </w:pPr>
            <w:r>
              <w:rPr>
                <w:rFonts w:hint="eastAsia" w:cs="Calibri"/>
                <w:bCs/>
                <w:color w:val="auto"/>
                <w:spacing w:val="-8"/>
                <w:szCs w:val="21"/>
              </w:rPr>
              <w:t>5</w:t>
            </w:r>
            <w:r>
              <w:rPr>
                <w:rFonts w:hint="eastAsia" w:ascii="宋体" w:hAnsi="宋体" w:cs="Calibri"/>
                <w:bCs/>
                <w:color w:val="auto"/>
                <w:spacing w:val="-8"/>
                <w:szCs w:val="21"/>
              </w:rPr>
              <w:t>、小型企业、微型企业提供中型企业制造的货物，视同为中型企业</w:t>
            </w:r>
          </w:p>
          <w:p>
            <w:pPr>
              <w:rPr>
                <w:rFonts w:cs="Calibri"/>
                <w:bCs/>
                <w:color w:val="auto"/>
                <w:spacing w:val="-8"/>
                <w:szCs w:val="21"/>
              </w:rPr>
            </w:pPr>
            <w:r>
              <w:rPr>
                <w:rFonts w:hint="eastAsia" w:cs="Calibri"/>
                <w:bCs/>
                <w:color w:val="auto"/>
                <w:spacing w:val="-8"/>
                <w:szCs w:val="21"/>
              </w:rPr>
              <w:t>(</w:t>
            </w:r>
            <w:r>
              <w:rPr>
                <w:rFonts w:hint="eastAsia" w:ascii="宋体" w:hAnsi="宋体" w:cs="Calibri"/>
                <w:bCs/>
                <w:color w:val="auto"/>
                <w:spacing w:val="-8"/>
                <w:szCs w:val="21"/>
              </w:rPr>
              <w:t>注：未提供以上材料的，均不给予价格扣除）。</w:t>
            </w:r>
          </w:p>
        </w:tc>
      </w:tr>
      <w:tr>
        <w:tblPrEx>
          <w:tblCellMar>
            <w:top w:w="0" w:type="dxa"/>
            <w:left w:w="108" w:type="dxa"/>
            <w:bottom w:w="0" w:type="dxa"/>
            <w:right w:w="108" w:type="dxa"/>
          </w:tblCellMar>
        </w:tblPrEx>
        <w:trPr>
          <w:wBefore w:w="0" w:type="auto"/>
          <w:trHeight w:val="1307"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16</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hint="eastAsia" w:ascii="宋体" w:hAnsi="宋体" w:cs="Calibri"/>
                <w:color w:val="auto"/>
                <w:szCs w:val="21"/>
              </w:rPr>
              <w:t>政采贷</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jc w:val="left"/>
              <w:rPr>
                <w:rFonts w:cs="Calibri"/>
                <w:color w:val="auto"/>
                <w:szCs w:val="21"/>
              </w:rPr>
            </w:pPr>
            <w:r>
              <w:rPr>
                <w:rFonts w:hint="eastAsia" w:ascii="宋体" w:hAnsi="宋体" w:cs="Calibri"/>
                <w:color w:val="auto"/>
                <w:szCs w:val="21"/>
              </w:rPr>
              <w:t>为支持和促进中小企业发展，进一步发挥政府采购政策功能，根据《义乌市政府采购支持中小企业信用融资暂行办法》，供应商若有融资意向，登陆义乌市公共资源交易平台（</w:t>
            </w:r>
            <w:r>
              <w:rPr>
                <w:rFonts w:hint="eastAsia" w:cs="Calibri"/>
                <w:color w:val="auto"/>
                <w:szCs w:val="21"/>
              </w:rPr>
              <w:t>http://ywjypt.yw.gov.cn/</w:t>
            </w:r>
            <w:r>
              <w:rPr>
                <w:rFonts w:hint="eastAsia" w:ascii="宋体" w:hAnsi="宋体" w:cs="Calibri"/>
                <w:color w:val="auto"/>
                <w:szCs w:val="21"/>
              </w:rPr>
              <w:t>）“政采贷”专栏进行查询，查看信用融资政策文件及各相关银行服务方案。</w:t>
            </w:r>
          </w:p>
        </w:tc>
      </w:tr>
      <w:tr>
        <w:tblPrEx>
          <w:tblCellMar>
            <w:top w:w="0" w:type="dxa"/>
            <w:left w:w="108" w:type="dxa"/>
            <w:bottom w:w="0" w:type="dxa"/>
            <w:right w:w="108" w:type="dxa"/>
          </w:tblCellMar>
        </w:tblPrEx>
        <w:trPr>
          <w:wBefore w:w="0" w:type="auto"/>
          <w:trHeight w:val="237"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17</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b/>
                <w:color w:val="auto"/>
                <w:spacing w:val="-8"/>
                <w:szCs w:val="21"/>
              </w:rPr>
            </w:pPr>
            <w:r>
              <w:rPr>
                <w:rFonts w:cs="Calibri"/>
                <w:color w:val="auto"/>
                <w:szCs w:val="21"/>
              </w:rPr>
              <w:t>失信行为处理</w:t>
            </w:r>
          </w:p>
        </w:tc>
        <w:tc>
          <w:tcPr>
            <w:tcW w:w="7226" w:type="dxa"/>
            <w:tcBorders>
              <w:top w:val="single" w:color="000000" w:sz="4" w:space="0"/>
              <w:left w:val="nil"/>
              <w:bottom w:val="single" w:color="000000" w:sz="4" w:space="0"/>
              <w:right w:val="single" w:color="000000" w:sz="4" w:space="0"/>
            </w:tcBorders>
            <w:noWrap w:val="0"/>
            <w:vAlign w:val="center"/>
          </w:tcPr>
          <w:p>
            <w:pPr>
              <w:rPr>
                <w:rFonts w:cs="Calibri"/>
                <w:color w:val="auto"/>
                <w:kern w:val="0"/>
                <w:szCs w:val="21"/>
              </w:rPr>
            </w:pPr>
            <w:r>
              <w:rPr>
                <w:rFonts w:cs="Calibri"/>
                <w:color w:val="auto"/>
                <w:kern w:val="0"/>
                <w:szCs w:val="21"/>
              </w:rPr>
              <w:t>投标人发生下列情况之一时，将按严重失信行为上报信用办记入政府采购严重失信行为记录名单：</w:t>
            </w:r>
          </w:p>
          <w:p>
            <w:pPr>
              <w:rPr>
                <w:rFonts w:cs="Calibri"/>
                <w:color w:val="auto"/>
                <w:kern w:val="0"/>
                <w:szCs w:val="21"/>
              </w:rPr>
            </w:pPr>
            <w:r>
              <w:rPr>
                <w:rFonts w:cs="Calibri"/>
                <w:color w:val="auto"/>
                <w:kern w:val="0"/>
                <w:szCs w:val="21"/>
              </w:rPr>
              <w:t>（1</w:t>
            </w:r>
            <w:r>
              <w:rPr>
                <w:rFonts w:ascii="宋体" w:hAnsi="宋体" w:cs="Calibri"/>
                <w:color w:val="auto"/>
                <w:kern w:val="0"/>
                <w:szCs w:val="21"/>
              </w:rPr>
              <w:t>）投标人在规定的投标有效期内撤回投标或放弃中标的；</w:t>
            </w:r>
          </w:p>
          <w:p>
            <w:pPr>
              <w:rPr>
                <w:rFonts w:cs="Calibri"/>
                <w:color w:val="auto"/>
                <w:kern w:val="0"/>
                <w:szCs w:val="21"/>
              </w:rPr>
            </w:pPr>
            <w:r>
              <w:rPr>
                <w:rFonts w:cs="Calibri"/>
                <w:color w:val="auto"/>
                <w:kern w:val="0"/>
                <w:szCs w:val="21"/>
              </w:rPr>
              <w:t>（2</w:t>
            </w:r>
            <w:r>
              <w:rPr>
                <w:rFonts w:ascii="宋体" w:hAnsi="宋体" w:cs="Calibri"/>
                <w:color w:val="auto"/>
                <w:kern w:val="0"/>
                <w:szCs w:val="21"/>
              </w:rPr>
              <w:t>）有意串标或提供虚假材料的；</w:t>
            </w:r>
          </w:p>
          <w:p>
            <w:pPr>
              <w:rPr>
                <w:rFonts w:cs="Calibri"/>
                <w:color w:val="auto"/>
                <w:kern w:val="0"/>
                <w:szCs w:val="21"/>
              </w:rPr>
            </w:pPr>
            <w:r>
              <w:rPr>
                <w:rFonts w:cs="Calibri"/>
                <w:color w:val="auto"/>
                <w:kern w:val="0"/>
                <w:szCs w:val="21"/>
              </w:rPr>
              <w:t>（3</w:t>
            </w:r>
            <w:r>
              <w:rPr>
                <w:rFonts w:ascii="宋体" w:hAnsi="宋体" w:cs="Calibri"/>
                <w:color w:val="auto"/>
                <w:kern w:val="0"/>
                <w:szCs w:val="21"/>
              </w:rPr>
              <w:t>）中标人在收到中标通知书后，因自身原因不能在投标有效期内和采购人签订合同；</w:t>
            </w:r>
          </w:p>
          <w:p>
            <w:pPr>
              <w:rPr>
                <w:rFonts w:cs="Calibri"/>
                <w:color w:val="auto"/>
                <w:kern w:val="0"/>
                <w:szCs w:val="21"/>
              </w:rPr>
            </w:pPr>
            <w:r>
              <w:rPr>
                <w:rFonts w:cs="Calibri"/>
                <w:color w:val="auto"/>
                <w:kern w:val="0"/>
                <w:szCs w:val="21"/>
              </w:rPr>
              <w:t>（4</w:t>
            </w:r>
            <w:r>
              <w:rPr>
                <w:rFonts w:ascii="宋体" w:hAnsi="宋体" w:cs="Calibri"/>
                <w:color w:val="auto"/>
                <w:kern w:val="0"/>
                <w:szCs w:val="21"/>
              </w:rPr>
              <w:t>）中标供应商在标后履约过程中未按合同约定的期限和要求履约的；</w:t>
            </w:r>
          </w:p>
          <w:p>
            <w:pPr>
              <w:rPr>
                <w:rFonts w:cs="Calibri"/>
                <w:color w:val="auto"/>
                <w:kern w:val="0"/>
                <w:szCs w:val="21"/>
              </w:rPr>
            </w:pPr>
            <w:r>
              <w:rPr>
                <w:rFonts w:cs="Calibri"/>
                <w:color w:val="auto"/>
                <w:kern w:val="0"/>
                <w:szCs w:val="21"/>
              </w:rPr>
              <w:t>（5</w:t>
            </w:r>
            <w:r>
              <w:rPr>
                <w:rFonts w:ascii="宋体" w:hAnsi="宋体" w:cs="Calibri"/>
                <w:color w:val="auto"/>
                <w:kern w:val="0"/>
                <w:szCs w:val="21"/>
              </w:rPr>
              <w:t>）因中标供应商原因在标后履约过程中擅自终止合同的；</w:t>
            </w:r>
          </w:p>
          <w:p>
            <w:pPr>
              <w:rPr>
                <w:rFonts w:cs="Calibri"/>
                <w:color w:val="auto"/>
                <w:kern w:val="0"/>
                <w:szCs w:val="21"/>
              </w:rPr>
            </w:pPr>
            <w:r>
              <w:rPr>
                <w:rFonts w:cs="Calibri"/>
                <w:color w:val="auto"/>
                <w:kern w:val="0"/>
                <w:szCs w:val="21"/>
              </w:rPr>
              <w:t>（6</w:t>
            </w:r>
            <w:r>
              <w:rPr>
                <w:rFonts w:ascii="宋体" w:hAnsi="宋体" w:cs="Calibri"/>
                <w:color w:val="auto"/>
                <w:kern w:val="0"/>
                <w:szCs w:val="21"/>
              </w:rPr>
              <w:t>）不符合招标文件要求的其他失信行为；</w:t>
            </w:r>
          </w:p>
          <w:p>
            <w:pPr>
              <w:rPr>
                <w:rFonts w:cs="Calibri"/>
                <w:color w:val="auto"/>
                <w:kern w:val="0"/>
                <w:szCs w:val="21"/>
              </w:rPr>
            </w:pPr>
            <w:r>
              <w:rPr>
                <w:rFonts w:cs="Calibri"/>
                <w:color w:val="auto"/>
                <w:kern w:val="0"/>
                <w:szCs w:val="21"/>
              </w:rPr>
              <w:t>（7</w:t>
            </w:r>
            <w:r>
              <w:rPr>
                <w:rFonts w:ascii="宋体" w:hAnsi="宋体" w:cs="Calibri"/>
                <w:color w:val="auto"/>
                <w:kern w:val="0"/>
                <w:szCs w:val="21"/>
              </w:rPr>
              <w:t>）中标人未按招标文件规定缴纳招标代理费的。</w:t>
            </w:r>
          </w:p>
        </w:tc>
      </w:tr>
      <w:tr>
        <w:tblPrEx>
          <w:tblCellMar>
            <w:top w:w="0" w:type="dxa"/>
            <w:left w:w="108" w:type="dxa"/>
            <w:bottom w:w="0" w:type="dxa"/>
            <w:right w:w="108" w:type="dxa"/>
          </w:tblCellMar>
        </w:tblPrEx>
        <w:trPr>
          <w:wBefore w:w="0" w:type="auto"/>
          <w:trHeight w:val="278"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18</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b/>
                <w:color w:val="auto"/>
                <w:spacing w:val="-8"/>
                <w:szCs w:val="21"/>
              </w:rPr>
            </w:pPr>
            <w:r>
              <w:rPr>
                <w:rFonts w:cs="Calibri"/>
                <w:color w:val="auto"/>
                <w:szCs w:val="21"/>
              </w:rPr>
              <w:t>政府采购节能环保产品</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kern w:val="0"/>
                <w:szCs w:val="21"/>
              </w:rPr>
            </w:pPr>
            <w:r>
              <w:rPr>
                <w:rFonts w:hint="eastAsia" w:cs="Calibri"/>
                <w:color w:val="auto"/>
                <w:kern w:val="0"/>
                <w:szCs w:val="21"/>
              </w:rPr>
              <w:t>1</w:t>
            </w:r>
            <w:r>
              <w:rPr>
                <w:rFonts w:hint="eastAsia" w:ascii="宋体" w:hAnsi="宋体" w:cs="Calibri"/>
                <w:color w:val="auto"/>
                <w:kern w:val="0"/>
                <w:szCs w:val="21"/>
              </w:rPr>
              <w:t>、</w:t>
            </w:r>
            <w:r>
              <w:rPr>
                <w:rFonts w:cs="Calibri"/>
                <w:color w:val="auto"/>
                <w:kern w:val="0"/>
                <w:szCs w:val="21"/>
              </w:rPr>
              <w:t xml:space="preserve">根据财政部 </w:t>
            </w:r>
            <w:r>
              <w:rPr>
                <w:rFonts w:ascii="宋体" w:hAnsi="宋体" w:cs="Calibri"/>
                <w:color w:val="auto"/>
                <w:kern w:val="0"/>
                <w:szCs w:val="21"/>
              </w:rPr>
              <w:t>发展改革委</w:t>
            </w:r>
            <w:r>
              <w:rPr>
                <w:rFonts w:cs="Calibri"/>
                <w:color w:val="auto"/>
                <w:kern w:val="0"/>
                <w:szCs w:val="21"/>
              </w:rPr>
              <w:t xml:space="preserve"> </w:t>
            </w:r>
            <w:r>
              <w:rPr>
                <w:rFonts w:ascii="宋体" w:hAnsi="宋体" w:cs="Calibri"/>
                <w:color w:val="auto"/>
                <w:kern w:val="0"/>
                <w:szCs w:val="21"/>
              </w:rPr>
              <w:t>生态环境部</w:t>
            </w:r>
            <w:r>
              <w:rPr>
                <w:rFonts w:cs="Calibri"/>
                <w:color w:val="auto"/>
                <w:kern w:val="0"/>
                <w:szCs w:val="21"/>
              </w:rPr>
              <w:t xml:space="preserve"> </w:t>
            </w:r>
            <w:r>
              <w:rPr>
                <w:rFonts w:ascii="宋体" w:hAnsi="宋体" w:cs="Calibri"/>
                <w:color w:val="auto"/>
                <w:kern w:val="0"/>
                <w:szCs w:val="21"/>
              </w:rPr>
              <w:t>市场监管总局关于调整优化节能产品、环境标志产品政府采购执行机制的通知财库〔</w:t>
            </w:r>
            <w:r>
              <w:rPr>
                <w:rFonts w:cs="Calibri"/>
                <w:color w:val="auto"/>
                <w:kern w:val="0"/>
                <w:szCs w:val="21"/>
              </w:rPr>
              <w:t>2019</w:t>
            </w:r>
            <w:r>
              <w:rPr>
                <w:rFonts w:ascii="宋体" w:hAnsi="宋体" w:cs="Calibri"/>
                <w:color w:val="auto"/>
                <w:kern w:val="0"/>
                <w:szCs w:val="21"/>
              </w:rPr>
              <w:t>〕</w:t>
            </w:r>
            <w:r>
              <w:rPr>
                <w:rFonts w:cs="Calibri"/>
                <w:color w:val="auto"/>
                <w:kern w:val="0"/>
                <w:szCs w:val="21"/>
              </w:rPr>
              <w:t>9</w:t>
            </w:r>
            <w:r>
              <w:rPr>
                <w:rFonts w:ascii="宋体" w:hAnsi="宋体" w:cs="Calibri"/>
                <w:color w:val="auto"/>
                <w:kern w:val="0"/>
                <w:szCs w:val="21"/>
              </w:rPr>
              <w:t>号文件要求，投标方所投产品如属于节能产品政府采购品目清单或环境标志产品政府从采购品目清单内的，投标人所投的相应产品须在中国政府采购网节能清单查询目录（</w:t>
            </w:r>
            <w:r>
              <w:rPr>
                <w:rFonts w:cs="Calibri"/>
                <w:color w:val="auto"/>
                <w:kern w:val="0"/>
                <w:szCs w:val="21"/>
              </w:rPr>
              <w:t>http://www.ccgp.gov.cn/search/jnqdchaxun.htm</w:t>
            </w:r>
            <w:r>
              <w:rPr>
                <w:rFonts w:ascii="宋体" w:hAnsi="宋体" w:cs="Calibri"/>
                <w:color w:val="auto"/>
                <w:kern w:val="0"/>
                <w:szCs w:val="21"/>
              </w:rPr>
              <w:t>）或环保清单查询目录（</w:t>
            </w:r>
            <w:r>
              <w:rPr>
                <w:rFonts w:cs="Calibri"/>
                <w:color w:val="auto"/>
                <w:kern w:val="0"/>
                <w:szCs w:val="21"/>
              </w:rPr>
              <w:t>http://www.ccgp.gov.cn/search/hbqdchaxun.htm</w:t>
            </w:r>
            <w:r>
              <w:rPr>
                <w:rFonts w:ascii="宋体" w:hAnsi="宋体" w:cs="Calibri"/>
                <w:color w:val="auto"/>
                <w:kern w:val="0"/>
                <w:szCs w:val="21"/>
              </w:rPr>
              <w:t>）中可查询到。</w:t>
            </w:r>
          </w:p>
          <w:p>
            <w:pPr>
              <w:spacing w:line="264" w:lineRule="auto"/>
              <w:rPr>
                <w:rFonts w:cs="Calibri"/>
                <w:color w:val="auto"/>
                <w:kern w:val="0"/>
                <w:szCs w:val="21"/>
              </w:rPr>
            </w:pPr>
            <w:r>
              <w:rPr>
                <w:rFonts w:hint="eastAsia" w:cs="Calibri"/>
                <w:color w:val="auto"/>
                <w:kern w:val="0"/>
                <w:szCs w:val="21"/>
              </w:rPr>
              <w:t>2</w:t>
            </w:r>
            <w:r>
              <w:rPr>
                <w:rFonts w:hint="eastAsia" w:ascii="宋体" w:hAnsi="宋体" w:cs="Calibri"/>
                <w:color w:val="auto"/>
                <w:kern w:val="0"/>
                <w:szCs w:val="21"/>
              </w:rPr>
              <w:t>、招标需求中要求提供的产品属于节能产品政府采购品目清单中强制采购的，投标人须提供该清单内产品，否则其投标将作为无效标处理。</w:t>
            </w:r>
          </w:p>
        </w:tc>
      </w:tr>
      <w:tr>
        <w:tblPrEx>
          <w:tblCellMar>
            <w:top w:w="0" w:type="dxa"/>
            <w:left w:w="108" w:type="dxa"/>
            <w:bottom w:w="0" w:type="dxa"/>
            <w:right w:w="108" w:type="dxa"/>
          </w:tblCellMar>
        </w:tblPrEx>
        <w:trPr>
          <w:wBefore w:w="0" w:type="auto"/>
          <w:trHeight w:val="1705"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hint="eastAsia" w:cs="Calibri"/>
                <w:color w:val="auto"/>
                <w:szCs w:val="21"/>
              </w:rPr>
              <w:t>19</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hint="eastAsia" w:ascii="宋体" w:hAnsi="宋体" w:cs="Calibri"/>
                <w:color w:val="auto"/>
                <w:szCs w:val="21"/>
              </w:rPr>
              <w:t>质疑与投诉</w:t>
            </w:r>
          </w:p>
        </w:tc>
        <w:tc>
          <w:tcPr>
            <w:tcW w:w="7226" w:type="dxa"/>
            <w:tcBorders>
              <w:top w:val="single" w:color="000000" w:sz="4" w:space="0"/>
              <w:left w:val="nil"/>
              <w:bottom w:val="single" w:color="000000" w:sz="4" w:space="0"/>
              <w:right w:val="single" w:color="000000" w:sz="4" w:space="0"/>
            </w:tcBorders>
            <w:noWrap w:val="0"/>
            <w:vAlign w:val="center"/>
          </w:tcPr>
          <w:p>
            <w:pPr>
              <w:spacing w:line="264" w:lineRule="auto"/>
              <w:rPr>
                <w:rFonts w:cs="Calibri"/>
                <w:color w:val="auto"/>
                <w:szCs w:val="21"/>
              </w:rPr>
            </w:pPr>
            <w:r>
              <w:rPr>
                <w:rFonts w:hint="eastAsia" w:cs="Calibri"/>
                <w:color w:val="auto"/>
                <w:szCs w:val="21"/>
              </w:rPr>
              <w:t>1.</w:t>
            </w:r>
            <w:r>
              <w:rPr>
                <w:rFonts w:hint="eastAsia" w:ascii="宋体" w:hAnsi="宋体" w:cs="Calibri"/>
                <w:color w:val="auto"/>
                <w:szCs w:val="21"/>
              </w:rPr>
              <w:t>供应商认为采购文件、采购过程、中标结果使自己的权益受到损害的，可以在知道或者应知其权益受到损害之起</w:t>
            </w:r>
            <w:r>
              <w:rPr>
                <w:rFonts w:hint="eastAsia" w:cs="Calibri"/>
                <w:color w:val="auto"/>
                <w:szCs w:val="21"/>
              </w:rPr>
              <w:t>7</w:t>
            </w:r>
            <w:r>
              <w:rPr>
                <w:rFonts w:hint="eastAsia" w:ascii="宋体" w:hAnsi="宋体" w:cs="Calibri"/>
                <w:color w:val="auto"/>
                <w:szCs w:val="21"/>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64" w:lineRule="auto"/>
              <w:rPr>
                <w:rFonts w:cs="Calibri"/>
                <w:color w:val="auto"/>
                <w:szCs w:val="21"/>
              </w:rPr>
            </w:pPr>
            <w:r>
              <w:rPr>
                <w:rFonts w:hint="eastAsia" w:cs="Calibri"/>
                <w:color w:val="auto"/>
                <w:szCs w:val="21"/>
              </w:rPr>
              <w:t>2.</w:t>
            </w:r>
            <w:r>
              <w:rPr>
                <w:rFonts w:hint="eastAsia" w:ascii="宋体" w:hAnsi="宋体" w:cs="Calibri"/>
                <w:color w:val="auto"/>
                <w:szCs w:val="21"/>
              </w:rPr>
              <w:t>供应商可以通过政采云平台在线询问和质疑。</w:t>
            </w:r>
          </w:p>
          <w:p>
            <w:pPr>
              <w:spacing w:line="264" w:lineRule="auto"/>
              <w:rPr>
                <w:rFonts w:cs="Calibri"/>
                <w:color w:val="auto"/>
                <w:szCs w:val="21"/>
              </w:rPr>
            </w:pPr>
            <w:r>
              <w:rPr>
                <w:rFonts w:hint="eastAsia" w:cs="Calibri"/>
                <w:color w:val="auto"/>
                <w:szCs w:val="21"/>
              </w:rPr>
              <w:t>3.</w:t>
            </w:r>
            <w:r>
              <w:rPr>
                <w:rFonts w:hint="eastAsia" w:ascii="宋体" w:hAnsi="宋体" w:cs="Calibri"/>
                <w:color w:val="auto"/>
                <w:szCs w:val="21"/>
              </w:rPr>
              <w:t>供应商应在法定质疑内一次性提出针对同一采购程序环节的质疑。</w:t>
            </w:r>
          </w:p>
          <w:p>
            <w:pPr>
              <w:spacing w:line="264" w:lineRule="auto"/>
              <w:rPr>
                <w:rFonts w:cs="Calibri"/>
                <w:color w:val="auto"/>
                <w:szCs w:val="21"/>
              </w:rPr>
            </w:pPr>
            <w:r>
              <w:rPr>
                <w:rFonts w:hint="eastAsia" w:cs="Calibri"/>
                <w:color w:val="auto"/>
                <w:szCs w:val="21"/>
              </w:rPr>
              <w:t>4.</w:t>
            </w:r>
            <w:r>
              <w:rPr>
                <w:rFonts w:hint="eastAsia" w:ascii="宋体" w:hAnsi="宋体" w:cs="Calibri"/>
                <w:color w:val="auto"/>
                <w:szCs w:val="21"/>
              </w:rPr>
              <w:t>提出质疑的供应商应当是参与所质疑项目采购活动的供应商。</w:t>
            </w:r>
          </w:p>
        </w:tc>
      </w:tr>
      <w:tr>
        <w:tblPrEx>
          <w:tblCellMar>
            <w:top w:w="0" w:type="dxa"/>
            <w:left w:w="108" w:type="dxa"/>
            <w:bottom w:w="0" w:type="dxa"/>
            <w:right w:w="108" w:type="dxa"/>
          </w:tblCellMar>
        </w:tblPrEx>
        <w:trPr>
          <w:wBefore w:w="0" w:type="auto"/>
          <w:trHeight w:val="1555"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cs="Calibri"/>
                <w:color w:val="auto"/>
                <w:szCs w:val="21"/>
              </w:rPr>
            </w:pPr>
            <w:r>
              <w:rPr>
                <w:rFonts w:hint="eastAsia" w:cs="Calibri"/>
                <w:color w:val="auto"/>
                <w:szCs w:val="21"/>
              </w:rPr>
              <w:t>20</w:t>
            </w:r>
          </w:p>
        </w:tc>
        <w:tc>
          <w:tcPr>
            <w:tcW w:w="1504" w:type="dxa"/>
            <w:tcBorders>
              <w:top w:val="single" w:color="000000" w:sz="4" w:space="0"/>
              <w:left w:val="nil"/>
              <w:bottom w:val="single" w:color="000000" w:sz="4" w:space="0"/>
              <w:right w:val="single" w:color="000000" w:sz="4" w:space="0"/>
            </w:tcBorders>
            <w:noWrap w:val="0"/>
            <w:vAlign w:val="center"/>
          </w:tcPr>
          <w:p>
            <w:pPr>
              <w:spacing w:line="264" w:lineRule="auto"/>
              <w:jc w:val="center"/>
              <w:rPr>
                <w:rFonts w:cs="Calibri"/>
                <w:color w:val="auto"/>
                <w:szCs w:val="21"/>
              </w:rPr>
            </w:pPr>
            <w:r>
              <w:rPr>
                <w:rFonts w:cs="Calibri"/>
                <w:color w:val="auto"/>
                <w:szCs w:val="21"/>
              </w:rPr>
              <w:t>其他</w:t>
            </w:r>
          </w:p>
        </w:tc>
        <w:tc>
          <w:tcPr>
            <w:tcW w:w="7226" w:type="dxa"/>
            <w:tcBorders>
              <w:top w:val="single" w:color="000000" w:sz="4" w:space="0"/>
              <w:left w:val="nil"/>
              <w:bottom w:val="single" w:color="000000" w:sz="4" w:space="0"/>
              <w:right w:val="single" w:color="000000" w:sz="4" w:space="0"/>
            </w:tcBorders>
            <w:noWrap w:val="0"/>
            <w:vAlign w:val="center"/>
          </w:tcPr>
          <w:p>
            <w:pPr>
              <w:numPr>
                <w:ilvl w:val="0"/>
                <w:numId w:val="1"/>
              </w:numPr>
              <w:spacing w:line="264" w:lineRule="auto"/>
              <w:rPr>
                <w:rFonts w:cs="Calibri"/>
                <w:color w:val="auto"/>
                <w:szCs w:val="21"/>
              </w:rPr>
            </w:pPr>
            <w:r>
              <w:rPr>
                <w:rFonts w:hint="eastAsia" w:ascii="宋体" w:hAnsi="宋体" w:cs="Calibri"/>
                <w:color w:val="auto"/>
                <w:szCs w:val="21"/>
              </w:rPr>
              <w:t>本项目预算价即为最高限价，投标报价超过最高限价，其投标为无效标。</w:t>
            </w:r>
          </w:p>
          <w:p>
            <w:pPr>
              <w:numPr>
                <w:ilvl w:val="0"/>
                <w:numId w:val="1"/>
              </w:numPr>
              <w:spacing w:line="264" w:lineRule="auto"/>
              <w:rPr>
                <w:rFonts w:cs="Calibri"/>
                <w:color w:val="auto"/>
                <w:szCs w:val="21"/>
              </w:rPr>
            </w:pPr>
            <w:r>
              <w:rPr>
                <w:rFonts w:cs="Calibri"/>
                <w:color w:val="auto"/>
                <w:szCs w:val="21"/>
              </w:rPr>
              <w:t>招标文件中要求投标人在制作投标文件时，提供的复印件必须根据评审细则对评审的内容复印完整、清晰可辨，否则在评审时以最不利于投标人原则评审。</w:t>
            </w:r>
          </w:p>
        </w:tc>
      </w:tr>
    </w:tbl>
    <w:p>
      <w:pPr>
        <w:spacing w:line="360" w:lineRule="auto"/>
        <w:rPr>
          <w:rFonts w:cs="Calibri"/>
          <w:b/>
          <w:color w:val="auto"/>
          <w:szCs w:val="21"/>
        </w:rPr>
      </w:pPr>
      <w:r>
        <w:rPr>
          <w:rFonts w:ascii="宋体" w:hAnsi="宋体" w:cs="Calibri"/>
          <w:b/>
          <w:color w:val="auto"/>
          <w:szCs w:val="21"/>
        </w:rPr>
        <w:t>注：投标人须知前附表内容与本招标文件后述内容不一致的，以投标须知前附表为准。</w:t>
      </w:r>
    </w:p>
    <w:p>
      <w:pPr>
        <w:rPr>
          <w:rFonts w:cs="Calibri"/>
          <w:color w:val="auto"/>
          <w:kern w:val="0"/>
          <w:szCs w:val="21"/>
        </w:rPr>
      </w:pPr>
      <w:bookmarkStart w:id="4" w:name="_Toc362250686"/>
      <w:bookmarkEnd w:id="4"/>
      <w:bookmarkStart w:id="5" w:name="_Toc274303228"/>
      <w:bookmarkEnd w:id="5"/>
      <w:r>
        <w:rPr>
          <w:rFonts w:cs="Calibri"/>
          <w:color w:val="auto"/>
          <w:kern w:val="0"/>
          <w:szCs w:val="21"/>
        </w:rPr>
        <w:t xml:space="preserve"> </w:t>
      </w:r>
    </w:p>
    <w:p>
      <w:pPr>
        <w:widowControl/>
        <w:jc w:val="left"/>
        <w:rPr>
          <w:rFonts w:cs="Calibri"/>
          <w:b/>
          <w:color w:val="auto"/>
          <w:sz w:val="32"/>
          <w:szCs w:val="32"/>
        </w:rPr>
        <w:sectPr>
          <w:pgSz w:w="11906" w:h="16838"/>
          <w:pgMar w:top="1417" w:right="1134" w:bottom="1417" w:left="1134" w:header="851" w:footer="992" w:gutter="0"/>
          <w:cols w:space="720" w:num="1"/>
          <w:titlePg/>
          <w:docGrid w:type="lines" w:linePitch="286" w:charSpace="0"/>
        </w:sectPr>
      </w:pPr>
    </w:p>
    <w:p>
      <w:pPr>
        <w:keepNext/>
        <w:keepLines/>
        <w:spacing w:line="360" w:lineRule="auto"/>
        <w:jc w:val="center"/>
        <w:outlineLvl w:val="0"/>
        <w:rPr>
          <w:rFonts w:cs="Calibri"/>
          <w:b/>
          <w:color w:val="auto"/>
          <w:sz w:val="36"/>
          <w:szCs w:val="36"/>
        </w:rPr>
      </w:pPr>
      <w:bookmarkStart w:id="6" w:name="_Toc18391"/>
      <w:bookmarkEnd w:id="6"/>
      <w:bookmarkStart w:id="7" w:name="_Toc4236"/>
      <w:r>
        <w:rPr>
          <w:rFonts w:ascii="宋体" w:hAnsi="宋体" w:cs="Calibri"/>
          <w:b/>
          <w:color w:val="auto"/>
          <w:sz w:val="32"/>
          <w:szCs w:val="32"/>
        </w:rPr>
        <w:t>投标须知</w:t>
      </w:r>
      <w:bookmarkEnd w:id="7"/>
    </w:p>
    <w:p>
      <w:pPr>
        <w:keepNext/>
        <w:keepLines/>
        <w:numPr>
          <w:ilvl w:val="1"/>
          <w:numId w:val="2"/>
        </w:numPr>
        <w:spacing w:line="324" w:lineRule="auto"/>
        <w:outlineLvl w:val="1"/>
        <w:rPr>
          <w:rFonts w:ascii="Times New Roman" w:hAnsi="Times New Roman"/>
          <w:b/>
          <w:color w:val="auto"/>
          <w:szCs w:val="21"/>
        </w:rPr>
      </w:pPr>
      <w:bookmarkStart w:id="8" w:name="_Toc362250687"/>
      <w:bookmarkEnd w:id="8"/>
      <w:bookmarkStart w:id="9" w:name="_Toc274303229"/>
      <w:bookmarkEnd w:id="9"/>
      <w:bookmarkStart w:id="10" w:name="_Toc25456"/>
      <w:r>
        <w:rPr>
          <w:rFonts w:ascii="宋体" w:hAnsi="宋体"/>
          <w:b/>
          <w:color w:val="auto"/>
          <w:szCs w:val="21"/>
        </w:rPr>
        <w:t>一、说明</w:t>
      </w:r>
      <w:bookmarkEnd w:id="10"/>
    </w:p>
    <w:p>
      <w:pPr>
        <w:spacing w:line="324" w:lineRule="auto"/>
        <w:ind w:firstLine="422"/>
        <w:rPr>
          <w:rFonts w:ascii="Times New Roman" w:hAnsi="Times New Roman"/>
          <w:b/>
          <w:color w:val="auto"/>
          <w:szCs w:val="21"/>
        </w:rPr>
      </w:pPr>
      <w:r>
        <w:rPr>
          <w:rFonts w:ascii="Times New Roman" w:hAnsi="Times New Roman"/>
          <w:b/>
          <w:color w:val="auto"/>
          <w:szCs w:val="21"/>
        </w:rPr>
        <w:t>1</w:t>
      </w:r>
      <w:r>
        <w:rPr>
          <w:rFonts w:ascii="宋体" w:hAnsi="宋体"/>
          <w:b/>
          <w:color w:val="auto"/>
          <w:szCs w:val="21"/>
        </w:rPr>
        <w:t>、适用范围</w:t>
      </w:r>
    </w:p>
    <w:p>
      <w:pPr>
        <w:spacing w:line="324" w:lineRule="auto"/>
        <w:ind w:firstLine="420"/>
        <w:rPr>
          <w:rFonts w:ascii="Times New Roman" w:hAnsi="Times New Roman"/>
          <w:color w:val="auto"/>
          <w:szCs w:val="21"/>
        </w:rPr>
      </w:pPr>
      <w:r>
        <w:rPr>
          <w:rFonts w:ascii="Times New Roman" w:hAnsi="Times New Roman"/>
          <w:color w:val="auto"/>
          <w:szCs w:val="21"/>
        </w:rPr>
        <w:t xml:space="preserve">1.1 </w:t>
      </w:r>
      <w:r>
        <w:rPr>
          <w:rFonts w:ascii="宋体" w:hAnsi="宋体"/>
          <w:color w:val="auto"/>
          <w:szCs w:val="21"/>
        </w:rPr>
        <w:t>本招标文件仅适用于本次招标采购所叙述的货物和服务项目。</w:t>
      </w:r>
    </w:p>
    <w:p>
      <w:pPr>
        <w:spacing w:line="324" w:lineRule="auto"/>
        <w:ind w:firstLine="422"/>
        <w:rPr>
          <w:rFonts w:ascii="Times New Roman" w:hAnsi="Times New Roman"/>
          <w:b/>
          <w:color w:val="auto"/>
          <w:szCs w:val="21"/>
        </w:rPr>
      </w:pPr>
      <w:r>
        <w:rPr>
          <w:rFonts w:ascii="Times New Roman" w:hAnsi="Times New Roman"/>
          <w:b/>
          <w:color w:val="auto"/>
          <w:szCs w:val="21"/>
        </w:rPr>
        <w:t>2</w:t>
      </w:r>
      <w:r>
        <w:rPr>
          <w:rFonts w:ascii="宋体" w:hAnsi="宋体"/>
          <w:b/>
          <w:color w:val="auto"/>
          <w:szCs w:val="21"/>
        </w:rPr>
        <w:t>、定义</w:t>
      </w:r>
    </w:p>
    <w:p>
      <w:pPr>
        <w:widowControl/>
        <w:spacing w:line="324" w:lineRule="auto"/>
        <w:ind w:firstLine="420"/>
        <w:jc w:val="left"/>
        <w:rPr>
          <w:rFonts w:ascii="Times New Roman" w:hAnsi="Times New Roman"/>
          <w:color w:val="auto"/>
          <w:kern w:val="0"/>
          <w:szCs w:val="21"/>
        </w:rPr>
      </w:pPr>
      <w:r>
        <w:rPr>
          <w:rFonts w:ascii="Times New Roman" w:hAnsi="Times New Roman"/>
          <w:color w:val="auto"/>
          <w:kern w:val="0"/>
          <w:szCs w:val="21"/>
        </w:rPr>
        <w:t>2.1</w:t>
      </w:r>
      <w:r>
        <w:rPr>
          <w:rFonts w:ascii="宋体" w:hAnsi="宋体"/>
          <w:color w:val="auto"/>
          <w:kern w:val="0"/>
          <w:szCs w:val="21"/>
        </w:rPr>
        <w:t>采购人：系指</w:t>
      </w:r>
      <w:r>
        <w:rPr>
          <w:rFonts w:hint="eastAsia" w:ascii="宋体" w:hAnsi="宋体" w:cs="宋体"/>
          <w:color w:val="auto"/>
          <w:kern w:val="0"/>
          <w:szCs w:val="21"/>
        </w:rPr>
        <w:t>义乌市机关事务管理局</w:t>
      </w:r>
      <w:r>
        <w:rPr>
          <w:rFonts w:ascii="宋体" w:hAnsi="宋体"/>
          <w:color w:val="auto"/>
          <w:kern w:val="0"/>
          <w:szCs w:val="21"/>
        </w:rPr>
        <w:t>。</w:t>
      </w:r>
    </w:p>
    <w:p>
      <w:pPr>
        <w:widowControl/>
        <w:spacing w:line="324" w:lineRule="auto"/>
        <w:ind w:firstLine="420"/>
        <w:jc w:val="left"/>
        <w:rPr>
          <w:rFonts w:ascii="Times New Roman" w:hAnsi="Times New Roman"/>
          <w:color w:val="auto"/>
          <w:kern w:val="0"/>
          <w:szCs w:val="21"/>
        </w:rPr>
      </w:pPr>
      <w:r>
        <w:rPr>
          <w:rFonts w:ascii="Times New Roman" w:hAnsi="Times New Roman"/>
          <w:color w:val="auto"/>
          <w:kern w:val="0"/>
          <w:szCs w:val="21"/>
        </w:rPr>
        <w:t>2.2</w:t>
      </w:r>
      <w:r>
        <w:rPr>
          <w:rFonts w:ascii="宋体" w:hAnsi="宋体"/>
          <w:color w:val="auto"/>
          <w:kern w:val="0"/>
          <w:szCs w:val="21"/>
        </w:rPr>
        <w:t>招标代理机构：系指组织本次招标工作的浙江省成套招标代理有限公司。</w:t>
      </w:r>
    </w:p>
    <w:p>
      <w:pPr>
        <w:widowControl/>
        <w:spacing w:line="324" w:lineRule="auto"/>
        <w:ind w:firstLine="420"/>
        <w:jc w:val="left"/>
        <w:rPr>
          <w:rFonts w:ascii="Times New Roman" w:hAnsi="Times New Roman"/>
          <w:color w:val="auto"/>
          <w:kern w:val="0"/>
          <w:szCs w:val="21"/>
        </w:rPr>
      </w:pPr>
      <w:r>
        <w:rPr>
          <w:rFonts w:ascii="Times New Roman" w:hAnsi="Times New Roman"/>
          <w:color w:val="auto"/>
          <w:kern w:val="0"/>
          <w:szCs w:val="21"/>
        </w:rPr>
        <w:t>2.3</w:t>
      </w:r>
      <w:r>
        <w:rPr>
          <w:rFonts w:ascii="宋体" w:hAnsi="宋体"/>
          <w:color w:val="auto"/>
          <w:kern w:val="0"/>
          <w:szCs w:val="21"/>
        </w:rPr>
        <w:t>投标人：系指符合招标公告要求的投标供应商。</w:t>
      </w:r>
    </w:p>
    <w:p>
      <w:pPr>
        <w:spacing w:line="324" w:lineRule="auto"/>
        <w:ind w:firstLine="420"/>
        <w:rPr>
          <w:rFonts w:ascii="Times New Roman" w:hAnsi="Times New Roman"/>
          <w:color w:val="auto"/>
          <w:szCs w:val="21"/>
        </w:rPr>
      </w:pPr>
      <w:r>
        <w:rPr>
          <w:rFonts w:ascii="Times New Roman" w:hAnsi="Times New Roman"/>
          <w:color w:val="auto"/>
          <w:szCs w:val="21"/>
        </w:rPr>
        <w:t>2.4</w:t>
      </w:r>
      <w:r>
        <w:rPr>
          <w:rFonts w:ascii="宋体" w:hAnsi="宋体"/>
          <w:color w:val="auto"/>
          <w:szCs w:val="21"/>
        </w:rPr>
        <w:t>服务：</w:t>
      </w:r>
      <w:r>
        <w:rPr>
          <w:rFonts w:ascii="宋体" w:hAnsi="宋体"/>
          <w:color w:val="auto"/>
          <w:kern w:val="0"/>
          <w:szCs w:val="21"/>
        </w:rPr>
        <w:t>系指</w:t>
      </w:r>
      <w:r>
        <w:rPr>
          <w:rFonts w:ascii="宋体" w:hAnsi="宋体"/>
          <w:color w:val="auto"/>
          <w:szCs w:val="21"/>
        </w:rPr>
        <w:t>招标文件规定投标人须承担的劳务及其它类似的服务。</w:t>
      </w:r>
    </w:p>
    <w:p>
      <w:pPr>
        <w:spacing w:line="324" w:lineRule="auto"/>
        <w:ind w:firstLine="420"/>
        <w:rPr>
          <w:rFonts w:ascii="Times New Roman" w:hAnsi="Times New Roman"/>
          <w:color w:val="auto"/>
          <w:szCs w:val="21"/>
        </w:rPr>
      </w:pPr>
      <w:r>
        <w:rPr>
          <w:rFonts w:ascii="Times New Roman" w:hAnsi="Times New Roman"/>
          <w:color w:val="auto"/>
          <w:szCs w:val="21"/>
        </w:rPr>
        <w:t>2.5</w:t>
      </w:r>
      <w:r>
        <w:rPr>
          <w:rFonts w:ascii="宋体" w:hAnsi="宋体"/>
          <w:color w:val="auto"/>
          <w:szCs w:val="21"/>
        </w:rPr>
        <w:t>货物：系指按招标文件规定投标人须向采购人提供的一切材料、设备、机械、仪器仪表、工具及其它有关技术资料和文字材料。</w:t>
      </w:r>
    </w:p>
    <w:p>
      <w:pPr>
        <w:spacing w:line="324" w:lineRule="auto"/>
        <w:ind w:firstLine="420"/>
        <w:rPr>
          <w:rFonts w:ascii="Times New Roman" w:hAnsi="Times New Roman"/>
          <w:color w:val="auto"/>
          <w:szCs w:val="21"/>
        </w:rPr>
      </w:pPr>
      <w:r>
        <w:rPr>
          <w:rFonts w:ascii="Times New Roman" w:hAnsi="Times New Roman"/>
          <w:color w:val="auto"/>
          <w:szCs w:val="21"/>
        </w:rPr>
        <w:t>2.6</w:t>
      </w:r>
      <w:r>
        <w:rPr>
          <w:rFonts w:ascii="宋体" w:hAnsi="宋体"/>
          <w:color w:val="auto"/>
          <w:szCs w:val="21"/>
        </w:rPr>
        <w:t>甲方：即采购人，在招投标阶段称为采购人，在签订和执行合同阶段称为甲方。</w:t>
      </w:r>
    </w:p>
    <w:p>
      <w:pPr>
        <w:spacing w:line="324" w:lineRule="auto"/>
        <w:ind w:firstLine="420"/>
        <w:rPr>
          <w:rFonts w:ascii="Times New Roman" w:hAnsi="Times New Roman"/>
          <w:b/>
          <w:color w:val="auto"/>
          <w:szCs w:val="21"/>
        </w:rPr>
      </w:pPr>
      <w:r>
        <w:rPr>
          <w:rFonts w:ascii="Times New Roman" w:hAnsi="Times New Roman"/>
          <w:color w:val="auto"/>
          <w:szCs w:val="21"/>
        </w:rPr>
        <w:t>2.7</w:t>
      </w:r>
      <w:r>
        <w:rPr>
          <w:rFonts w:ascii="宋体" w:hAnsi="宋体"/>
          <w:color w:val="auto"/>
          <w:szCs w:val="21"/>
        </w:rPr>
        <w:t>乙方：在招投标阶段称为投标人，中标后在签订和执行合同阶段称为乙方。</w:t>
      </w:r>
    </w:p>
    <w:p>
      <w:pPr>
        <w:spacing w:line="324" w:lineRule="auto"/>
        <w:ind w:firstLine="420"/>
        <w:rPr>
          <w:rFonts w:ascii="Times New Roman" w:hAnsi="Times New Roman"/>
          <w:color w:val="auto"/>
          <w:kern w:val="0"/>
          <w:szCs w:val="21"/>
        </w:rPr>
      </w:pPr>
      <w:r>
        <w:rPr>
          <w:rFonts w:ascii="Times New Roman" w:hAnsi="Times New Roman"/>
          <w:color w:val="auto"/>
          <w:szCs w:val="21"/>
        </w:rPr>
        <w:t>2.8“</w:t>
      </w:r>
      <w:r>
        <w:rPr>
          <w:rFonts w:hint="eastAsia" w:ascii="宋体" w:hAnsi="宋体" w:cs="宋体"/>
          <w:color w:val="auto"/>
          <w:szCs w:val="21"/>
        </w:rPr>
        <w:t>★</w:t>
      </w:r>
      <w:r>
        <w:rPr>
          <w:rFonts w:ascii="Times New Roman" w:hAnsi="Times New Roman"/>
          <w:color w:val="auto"/>
          <w:szCs w:val="21"/>
        </w:rPr>
        <w:t>”</w:t>
      </w:r>
      <w:r>
        <w:rPr>
          <w:rFonts w:ascii="宋体" w:hAnsi="宋体"/>
          <w:color w:val="auto"/>
          <w:szCs w:val="21"/>
        </w:rPr>
        <w:t>标记系指必须满足不能负偏离或必须应答的条款。</w:t>
      </w:r>
    </w:p>
    <w:p>
      <w:pPr>
        <w:spacing w:line="324" w:lineRule="auto"/>
        <w:ind w:firstLine="422"/>
        <w:rPr>
          <w:rFonts w:ascii="Times New Roman" w:hAnsi="Times New Roman"/>
          <w:b/>
          <w:color w:val="auto"/>
          <w:szCs w:val="21"/>
        </w:rPr>
      </w:pPr>
      <w:r>
        <w:rPr>
          <w:rFonts w:ascii="Times New Roman" w:hAnsi="Times New Roman"/>
          <w:b/>
          <w:color w:val="auto"/>
          <w:szCs w:val="21"/>
        </w:rPr>
        <w:t>3</w:t>
      </w:r>
      <w:r>
        <w:rPr>
          <w:rFonts w:ascii="宋体" w:hAnsi="宋体"/>
          <w:b/>
          <w:color w:val="auto"/>
          <w:szCs w:val="21"/>
        </w:rPr>
        <w:t>、合格的投标人</w:t>
      </w:r>
    </w:p>
    <w:p>
      <w:pPr>
        <w:spacing w:line="324" w:lineRule="auto"/>
        <w:ind w:firstLine="420"/>
        <w:rPr>
          <w:rFonts w:ascii="Times New Roman" w:hAnsi="Times New Roman"/>
          <w:b/>
          <w:color w:val="auto"/>
          <w:szCs w:val="21"/>
        </w:rPr>
      </w:pPr>
      <w:r>
        <w:rPr>
          <w:rFonts w:ascii="Times New Roman" w:hAnsi="Times New Roman"/>
          <w:b/>
          <w:color w:val="auto"/>
          <w:szCs w:val="21"/>
        </w:rPr>
        <w:t>3.1</w:t>
      </w:r>
      <w:r>
        <w:rPr>
          <w:rFonts w:ascii="宋体" w:hAnsi="宋体"/>
          <w:b/>
          <w:color w:val="auto"/>
          <w:szCs w:val="21"/>
        </w:rPr>
        <w:t>符合采购公告中要求的条件。</w:t>
      </w:r>
    </w:p>
    <w:p>
      <w:pPr>
        <w:spacing w:line="324" w:lineRule="auto"/>
        <w:ind w:firstLine="420"/>
        <w:rPr>
          <w:rFonts w:ascii="Times New Roman" w:hAnsi="Times New Roman"/>
          <w:b/>
          <w:color w:val="auto"/>
          <w:szCs w:val="21"/>
        </w:rPr>
      </w:pPr>
      <w:r>
        <w:rPr>
          <w:rFonts w:ascii="Times New Roman" w:hAnsi="Times New Roman"/>
          <w:b/>
          <w:color w:val="auto"/>
          <w:szCs w:val="21"/>
        </w:rPr>
        <w:t>3.2</w:t>
      </w:r>
      <w:r>
        <w:rPr>
          <w:rFonts w:ascii="宋体" w:hAnsi="宋体"/>
          <w:b/>
          <w:color w:val="auto"/>
          <w:szCs w:val="21"/>
        </w:rPr>
        <w:t>获取招标文件的投标人，并不能被认定为投标人资格已合格。投标人的资格是否符合招标文件要求，以开标时审查结果为准。</w:t>
      </w:r>
    </w:p>
    <w:p>
      <w:pPr>
        <w:spacing w:line="324" w:lineRule="auto"/>
        <w:ind w:firstLine="420"/>
        <w:rPr>
          <w:rFonts w:ascii="Times New Roman" w:hAnsi="Times New Roman"/>
          <w:b/>
          <w:color w:val="auto"/>
          <w:szCs w:val="21"/>
        </w:rPr>
      </w:pPr>
      <w:r>
        <w:rPr>
          <w:rFonts w:ascii="Times New Roman" w:hAnsi="Times New Roman"/>
          <w:b/>
          <w:color w:val="auto"/>
          <w:szCs w:val="21"/>
        </w:rPr>
        <w:t>3.3</w:t>
      </w:r>
      <w:r>
        <w:rPr>
          <w:rFonts w:ascii="宋体" w:hAnsi="宋体"/>
          <w:b/>
          <w:color w:val="auto"/>
          <w:szCs w:val="21"/>
        </w:rPr>
        <w:t>单位负责人为同一人或者存在直接控股、管理关系的不同供应商，不得参加同一合同项下的政府采购活动。</w:t>
      </w:r>
    </w:p>
    <w:p>
      <w:pPr>
        <w:spacing w:line="324" w:lineRule="auto"/>
        <w:ind w:firstLine="420"/>
        <w:rPr>
          <w:rFonts w:ascii="Times New Roman" w:hAnsi="Times New Roman"/>
          <w:b/>
          <w:color w:val="auto"/>
          <w:szCs w:val="21"/>
        </w:rPr>
      </w:pPr>
      <w:r>
        <w:rPr>
          <w:rFonts w:ascii="Times New Roman" w:hAnsi="Times New Roman"/>
          <w:b/>
          <w:color w:val="auto"/>
          <w:szCs w:val="21"/>
        </w:rPr>
        <w:t>3.4</w:t>
      </w:r>
      <w:r>
        <w:rPr>
          <w:rFonts w:ascii="宋体" w:hAnsi="宋体"/>
          <w:b/>
          <w:color w:val="auto"/>
          <w:szCs w:val="21"/>
        </w:rPr>
        <w:t>除单一来源采购项目外，为本采购项目提供整体设计、规范编制或者项目管理、监理、检测等服务的投标人，不得参加本采购项目的采购活动。</w:t>
      </w:r>
    </w:p>
    <w:p>
      <w:pPr>
        <w:widowControl/>
        <w:spacing w:line="324" w:lineRule="auto"/>
        <w:ind w:firstLine="422"/>
        <w:jc w:val="left"/>
        <w:rPr>
          <w:rFonts w:ascii="Times New Roman" w:hAnsi="Times New Roman"/>
          <w:color w:val="auto"/>
          <w:kern w:val="0"/>
          <w:szCs w:val="21"/>
        </w:rPr>
      </w:pPr>
      <w:r>
        <w:rPr>
          <w:rFonts w:ascii="Times New Roman" w:hAnsi="Times New Roman"/>
          <w:b/>
          <w:color w:val="auto"/>
          <w:kern w:val="0"/>
          <w:szCs w:val="21"/>
        </w:rPr>
        <w:t>4</w:t>
      </w:r>
      <w:r>
        <w:rPr>
          <w:rFonts w:ascii="宋体" w:hAnsi="宋体"/>
          <w:b/>
          <w:color w:val="auto"/>
          <w:kern w:val="0"/>
          <w:szCs w:val="21"/>
        </w:rPr>
        <w:t>、保证</w:t>
      </w:r>
    </w:p>
    <w:p>
      <w:pPr>
        <w:widowControl/>
        <w:spacing w:line="324" w:lineRule="auto"/>
        <w:ind w:firstLine="420"/>
        <w:jc w:val="left"/>
        <w:rPr>
          <w:rFonts w:ascii="Times New Roman" w:hAnsi="Times New Roman"/>
          <w:color w:val="auto"/>
          <w:kern w:val="0"/>
          <w:szCs w:val="21"/>
        </w:rPr>
      </w:pPr>
      <w:r>
        <w:rPr>
          <w:rFonts w:ascii="Times New Roman" w:hAnsi="Times New Roman"/>
          <w:color w:val="auto"/>
          <w:kern w:val="0"/>
          <w:szCs w:val="21"/>
        </w:rPr>
        <w:t>4.1</w:t>
      </w:r>
      <w:r>
        <w:rPr>
          <w:rFonts w:hint="eastAsia" w:ascii="宋体" w:hAnsi="宋体" w:cs="宋体"/>
          <w:color w:val="auto"/>
          <w:kern w:val="0"/>
          <w:szCs w:val="21"/>
        </w:rPr>
        <w:t>投标人</w:t>
      </w:r>
      <w:r>
        <w:rPr>
          <w:rFonts w:ascii="宋体" w:hAnsi="宋体"/>
          <w:color w:val="auto"/>
          <w:kern w:val="0"/>
          <w:szCs w:val="21"/>
        </w:rPr>
        <w:t>应保证所提交给招标机构和采购人的资料和数据是真实的。</w:t>
      </w:r>
    </w:p>
    <w:p>
      <w:pPr>
        <w:widowControl/>
        <w:spacing w:line="324" w:lineRule="auto"/>
        <w:ind w:firstLine="422"/>
        <w:jc w:val="left"/>
        <w:rPr>
          <w:rFonts w:ascii="Times New Roman" w:hAnsi="Times New Roman"/>
          <w:b/>
          <w:color w:val="auto"/>
          <w:kern w:val="0"/>
          <w:szCs w:val="21"/>
        </w:rPr>
      </w:pPr>
      <w:r>
        <w:rPr>
          <w:rFonts w:ascii="Times New Roman" w:hAnsi="Times New Roman"/>
          <w:b/>
          <w:color w:val="auto"/>
          <w:kern w:val="0"/>
          <w:szCs w:val="21"/>
        </w:rPr>
        <w:t>5</w:t>
      </w:r>
      <w:r>
        <w:rPr>
          <w:rFonts w:ascii="宋体" w:hAnsi="宋体"/>
          <w:b/>
          <w:color w:val="auto"/>
          <w:kern w:val="0"/>
          <w:szCs w:val="21"/>
        </w:rPr>
        <w:t>、招标投标费用</w:t>
      </w:r>
    </w:p>
    <w:p>
      <w:pPr>
        <w:widowControl/>
        <w:spacing w:line="324" w:lineRule="auto"/>
        <w:ind w:firstLine="420"/>
        <w:jc w:val="left"/>
        <w:rPr>
          <w:rFonts w:ascii="Times New Roman" w:hAnsi="Times New Roman"/>
          <w:color w:val="auto"/>
          <w:kern w:val="0"/>
          <w:szCs w:val="21"/>
        </w:rPr>
      </w:pPr>
      <w:r>
        <w:rPr>
          <w:rFonts w:ascii="Times New Roman" w:hAnsi="Times New Roman"/>
          <w:color w:val="auto"/>
          <w:kern w:val="0"/>
          <w:szCs w:val="21"/>
        </w:rPr>
        <w:t>5.1</w:t>
      </w:r>
      <w:r>
        <w:rPr>
          <w:rFonts w:ascii="宋体" w:hAnsi="宋体"/>
          <w:color w:val="auto"/>
          <w:kern w:val="0"/>
          <w:szCs w:val="21"/>
        </w:rPr>
        <w:t>不论投标过程中的作法和结果如何，投标人应承担所有与投标有关的全部费用。采购人和采购代理机构在任何情况下均无义务和责任承担上述这些费用。</w:t>
      </w:r>
    </w:p>
    <w:p>
      <w:pPr>
        <w:widowControl/>
        <w:spacing w:line="324" w:lineRule="auto"/>
        <w:ind w:firstLine="420"/>
        <w:jc w:val="left"/>
        <w:rPr>
          <w:rFonts w:ascii="Times New Roman" w:hAnsi="Times New Roman"/>
          <w:color w:val="auto"/>
          <w:kern w:val="0"/>
          <w:szCs w:val="21"/>
        </w:rPr>
      </w:pPr>
      <w:r>
        <w:rPr>
          <w:rFonts w:ascii="Times New Roman" w:hAnsi="Times New Roman"/>
          <w:color w:val="auto"/>
          <w:kern w:val="0"/>
          <w:szCs w:val="21"/>
        </w:rPr>
        <w:t>5.2</w:t>
      </w:r>
      <w:r>
        <w:rPr>
          <w:rFonts w:ascii="宋体" w:hAnsi="宋体"/>
          <w:color w:val="auto"/>
          <w:kern w:val="0"/>
          <w:szCs w:val="21"/>
        </w:rPr>
        <w:t>招标服务费</w:t>
      </w:r>
    </w:p>
    <w:p>
      <w:pPr>
        <w:widowControl/>
        <w:spacing w:line="324" w:lineRule="auto"/>
        <w:ind w:firstLine="420"/>
        <w:jc w:val="left"/>
        <w:rPr>
          <w:rFonts w:ascii="Times New Roman" w:hAnsi="Times New Roman"/>
          <w:color w:val="auto"/>
          <w:kern w:val="0"/>
          <w:sz w:val="18"/>
          <w:szCs w:val="18"/>
        </w:rPr>
      </w:pPr>
      <w:r>
        <w:rPr>
          <w:rFonts w:ascii="Times New Roman" w:hAnsi="Times New Roman"/>
          <w:color w:val="auto"/>
          <w:kern w:val="0"/>
          <w:szCs w:val="21"/>
        </w:rPr>
        <w:t>5.2.1</w:t>
      </w:r>
      <w:r>
        <w:rPr>
          <w:rFonts w:ascii="宋体" w:hAnsi="宋体"/>
          <w:color w:val="auto"/>
          <w:kern w:val="0"/>
          <w:szCs w:val="21"/>
        </w:rPr>
        <w:t>中标人须</w:t>
      </w:r>
      <w:r>
        <w:rPr>
          <w:rFonts w:hint="eastAsia" w:ascii="宋体" w:hAnsi="宋体" w:cs="宋体"/>
          <w:color w:val="auto"/>
          <w:kern w:val="0"/>
          <w:szCs w:val="21"/>
        </w:rPr>
        <w:t>分别</w:t>
      </w:r>
      <w:r>
        <w:rPr>
          <w:rFonts w:ascii="宋体" w:hAnsi="宋体"/>
          <w:color w:val="auto"/>
          <w:kern w:val="0"/>
          <w:szCs w:val="21"/>
        </w:rPr>
        <w:t>向招标代理机构交纳招标代理服务费，招标服务费于中标通知书发送前按下列计算方式向中标方收取。</w:t>
      </w:r>
      <w:r>
        <w:rPr>
          <w:rFonts w:ascii="Times New Roman" w:hAnsi="Times New Roman"/>
          <w:color w:val="auto"/>
          <w:kern w:val="0"/>
          <w:szCs w:val="21"/>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155"/>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38"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中标金额（万元）</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收费标准</w:t>
            </w:r>
          </w:p>
        </w:tc>
        <w:tc>
          <w:tcPr>
            <w:tcW w:w="632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55"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100</w:t>
            </w:r>
            <w:r>
              <w:rPr>
                <w:rFonts w:ascii="宋体" w:hAnsi="宋体"/>
                <w:color w:val="auto"/>
                <w:kern w:val="0"/>
                <w:szCs w:val="21"/>
              </w:rPr>
              <w:t>以下</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hint="eastAsia" w:ascii="Times New Roman" w:hAnsi="Times New Roman"/>
                <w:color w:val="auto"/>
                <w:kern w:val="0"/>
                <w:szCs w:val="21"/>
              </w:rPr>
              <w:t>1.5%</w:t>
            </w:r>
          </w:p>
        </w:tc>
        <w:tc>
          <w:tcPr>
            <w:tcW w:w="6328"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招标服务费向中标方单向收取。例：中标金额为</w:t>
            </w:r>
            <w:r>
              <w:rPr>
                <w:rFonts w:hint="eastAsia" w:ascii="Times New Roman" w:hAnsi="Times New Roman"/>
                <w:color w:val="auto"/>
                <w:kern w:val="0"/>
                <w:szCs w:val="21"/>
              </w:rPr>
              <w:t>1</w:t>
            </w:r>
            <w:r>
              <w:rPr>
                <w:rFonts w:ascii="Times New Roman" w:hAnsi="Times New Roman"/>
                <w:color w:val="auto"/>
                <w:kern w:val="0"/>
                <w:szCs w:val="21"/>
              </w:rPr>
              <w:t>00</w:t>
            </w:r>
            <w:r>
              <w:rPr>
                <w:rFonts w:ascii="宋体" w:hAnsi="宋体"/>
                <w:color w:val="auto"/>
                <w:kern w:val="0"/>
                <w:szCs w:val="21"/>
              </w:rPr>
              <w:t>万。服务费</w:t>
            </w:r>
            <w:r>
              <w:rPr>
                <w:rFonts w:ascii="Times New Roman" w:hAnsi="Times New Roman"/>
                <w:color w:val="auto"/>
                <w:kern w:val="0"/>
                <w:szCs w:val="21"/>
              </w:rPr>
              <w:t>=100</w:t>
            </w:r>
            <w:r>
              <w:rPr>
                <w:rFonts w:ascii="宋体" w:hAnsi="宋体"/>
                <w:color w:val="auto"/>
                <w:kern w:val="0"/>
                <w:szCs w:val="21"/>
              </w:rPr>
              <w:t>万</w:t>
            </w:r>
            <w:r>
              <w:rPr>
                <w:rFonts w:ascii="Times New Roman" w:hAnsi="Times New Roman"/>
                <w:color w:val="auto"/>
                <w:kern w:val="0"/>
                <w:szCs w:val="21"/>
              </w:rPr>
              <w:t>×</w:t>
            </w:r>
            <w:r>
              <w:rPr>
                <w:rFonts w:hint="eastAsia" w:ascii="Times New Roman" w:hAnsi="Times New Roman"/>
                <w:color w:val="auto"/>
                <w:kern w:val="0"/>
                <w:szCs w:val="21"/>
              </w:rPr>
              <w:t>1.5%</w:t>
            </w:r>
            <w:r>
              <w:rPr>
                <w:rFonts w:ascii="Times New Roman" w:hAnsi="Times New Roman"/>
                <w:color w:val="auto"/>
                <w:kern w:val="0"/>
                <w:szCs w:val="21"/>
              </w:rPr>
              <w:t>=</w:t>
            </w:r>
            <w:r>
              <w:rPr>
                <w:rFonts w:hint="eastAsia" w:ascii="Times New Roman" w:hAnsi="Times New Roman"/>
                <w:color w:val="auto"/>
                <w:kern w:val="0"/>
                <w:szCs w:val="21"/>
              </w:rPr>
              <w:t>1.5</w:t>
            </w:r>
            <w:r>
              <w:rPr>
                <w:rFonts w:hint="eastAsia" w:ascii="宋体" w:hAnsi="宋体"/>
                <w:color w:val="auto"/>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12"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100-500</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hint="eastAsia" w:ascii="Times New Roman" w:hAnsi="Times New Roman"/>
                <w:color w:val="auto"/>
                <w:kern w:val="0"/>
                <w:szCs w:val="21"/>
              </w:rPr>
              <w:t>0.8%</w:t>
            </w:r>
          </w:p>
        </w:tc>
        <w:tc>
          <w:tcPr>
            <w:tcW w:w="6328"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招标服务费向中标方单向收取。例：中标金额为</w:t>
            </w:r>
            <w:r>
              <w:rPr>
                <w:rFonts w:hint="eastAsia" w:ascii="Times New Roman" w:hAnsi="Times New Roman"/>
                <w:color w:val="auto"/>
                <w:kern w:val="0"/>
                <w:szCs w:val="21"/>
              </w:rPr>
              <w:t>5</w:t>
            </w:r>
            <w:r>
              <w:rPr>
                <w:rFonts w:ascii="Times New Roman" w:hAnsi="Times New Roman"/>
                <w:color w:val="auto"/>
                <w:kern w:val="0"/>
                <w:szCs w:val="21"/>
              </w:rPr>
              <w:t>00</w:t>
            </w:r>
            <w:r>
              <w:rPr>
                <w:rFonts w:ascii="宋体" w:hAnsi="宋体"/>
                <w:color w:val="auto"/>
                <w:kern w:val="0"/>
                <w:szCs w:val="21"/>
              </w:rPr>
              <w:t>万。服务费</w:t>
            </w:r>
            <w:r>
              <w:rPr>
                <w:rFonts w:ascii="Times New Roman" w:hAnsi="Times New Roman"/>
                <w:color w:val="auto"/>
                <w:kern w:val="0"/>
                <w:szCs w:val="21"/>
              </w:rPr>
              <w:t>=100</w:t>
            </w:r>
            <w:r>
              <w:rPr>
                <w:rFonts w:ascii="宋体" w:hAnsi="宋体"/>
                <w:color w:val="auto"/>
                <w:kern w:val="0"/>
                <w:szCs w:val="21"/>
              </w:rPr>
              <w:t>万</w:t>
            </w:r>
            <w:r>
              <w:rPr>
                <w:rFonts w:ascii="Times New Roman" w:hAnsi="Times New Roman"/>
                <w:color w:val="auto"/>
                <w:kern w:val="0"/>
                <w:szCs w:val="21"/>
              </w:rPr>
              <w:t>×</w:t>
            </w:r>
            <w:r>
              <w:rPr>
                <w:rFonts w:hint="eastAsia" w:ascii="Times New Roman" w:hAnsi="Times New Roman"/>
                <w:color w:val="auto"/>
                <w:kern w:val="0"/>
                <w:szCs w:val="21"/>
              </w:rPr>
              <w:t>1.5%+400</w:t>
            </w:r>
            <w:r>
              <w:rPr>
                <w:rFonts w:ascii="Times New Roman" w:hAnsi="Times New Roman"/>
                <w:color w:val="auto"/>
                <w:kern w:val="0"/>
                <w:szCs w:val="21"/>
              </w:rPr>
              <w:t>×</w:t>
            </w:r>
            <w:r>
              <w:rPr>
                <w:rFonts w:hint="eastAsia" w:ascii="Times New Roman" w:hAnsi="Times New Roman"/>
                <w:color w:val="auto"/>
                <w:kern w:val="0"/>
                <w:szCs w:val="21"/>
              </w:rPr>
              <w:t>0.8%</w:t>
            </w:r>
            <w:r>
              <w:rPr>
                <w:rFonts w:ascii="Times New Roman" w:hAnsi="Times New Roman"/>
                <w:color w:val="auto"/>
                <w:kern w:val="0"/>
                <w:szCs w:val="21"/>
              </w:rPr>
              <w:t>=</w:t>
            </w:r>
            <w:r>
              <w:rPr>
                <w:rFonts w:hint="eastAsia" w:ascii="Times New Roman" w:hAnsi="Times New Roman"/>
                <w:color w:val="auto"/>
                <w:kern w:val="0"/>
                <w:szCs w:val="21"/>
              </w:rPr>
              <w:t>4.7</w:t>
            </w:r>
            <w:r>
              <w:rPr>
                <w:rFonts w:hint="eastAsia" w:ascii="宋体" w:hAnsi="宋体"/>
                <w:color w:val="auto"/>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07"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hint="eastAsia" w:ascii="Times New Roman" w:hAnsi="Times New Roman"/>
                <w:color w:val="auto"/>
                <w:kern w:val="0"/>
                <w:szCs w:val="21"/>
              </w:rPr>
              <w:t>5</w:t>
            </w:r>
            <w:r>
              <w:rPr>
                <w:rFonts w:ascii="Times New Roman" w:hAnsi="Times New Roman"/>
                <w:color w:val="auto"/>
                <w:kern w:val="0"/>
                <w:szCs w:val="21"/>
              </w:rPr>
              <w:t>00-</w:t>
            </w:r>
            <w:r>
              <w:rPr>
                <w:rFonts w:hint="eastAsia" w:ascii="Times New Roman" w:hAnsi="Times New Roman"/>
                <w:color w:val="auto"/>
                <w:kern w:val="0"/>
                <w:szCs w:val="21"/>
              </w:rPr>
              <w:t>1</w:t>
            </w:r>
            <w:r>
              <w:rPr>
                <w:rFonts w:ascii="Times New Roman" w:hAnsi="Times New Roman"/>
                <w:color w:val="auto"/>
                <w:kern w:val="0"/>
                <w:szCs w:val="21"/>
              </w:rPr>
              <w:t>00</w:t>
            </w:r>
            <w:r>
              <w:rPr>
                <w:rFonts w:hint="eastAsia" w:ascii="Times New Roman" w:hAnsi="Times New Roman"/>
                <w:color w:val="auto"/>
                <w:kern w:val="0"/>
                <w:szCs w:val="21"/>
              </w:rPr>
              <w:t>0</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hint="eastAsia" w:ascii="Times New Roman" w:hAnsi="Times New Roman"/>
                <w:color w:val="auto"/>
                <w:kern w:val="0"/>
                <w:szCs w:val="21"/>
              </w:rPr>
              <w:t>0.45%</w:t>
            </w:r>
          </w:p>
        </w:tc>
        <w:tc>
          <w:tcPr>
            <w:tcW w:w="6328"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招标服务费向中标方单向收取。例：中标金额为</w:t>
            </w:r>
            <w:r>
              <w:rPr>
                <w:rFonts w:hint="eastAsia" w:ascii="Times New Roman" w:hAnsi="Times New Roman"/>
                <w:color w:val="auto"/>
                <w:kern w:val="0"/>
                <w:szCs w:val="21"/>
              </w:rPr>
              <w:t>10</w:t>
            </w:r>
            <w:r>
              <w:rPr>
                <w:rFonts w:ascii="Times New Roman" w:hAnsi="Times New Roman"/>
                <w:color w:val="auto"/>
                <w:kern w:val="0"/>
                <w:szCs w:val="21"/>
              </w:rPr>
              <w:t>00</w:t>
            </w:r>
            <w:r>
              <w:rPr>
                <w:rFonts w:ascii="宋体" w:hAnsi="宋体"/>
                <w:color w:val="auto"/>
                <w:kern w:val="0"/>
                <w:szCs w:val="21"/>
              </w:rPr>
              <w:t>万。服务费</w:t>
            </w:r>
            <w:r>
              <w:rPr>
                <w:rFonts w:ascii="Times New Roman" w:hAnsi="Times New Roman"/>
                <w:color w:val="auto"/>
                <w:kern w:val="0"/>
                <w:szCs w:val="21"/>
              </w:rPr>
              <w:t>=100</w:t>
            </w:r>
            <w:r>
              <w:rPr>
                <w:rFonts w:ascii="宋体" w:hAnsi="宋体"/>
                <w:color w:val="auto"/>
                <w:kern w:val="0"/>
                <w:szCs w:val="21"/>
              </w:rPr>
              <w:t>万</w:t>
            </w:r>
            <w:r>
              <w:rPr>
                <w:rFonts w:ascii="Times New Roman" w:hAnsi="Times New Roman"/>
                <w:color w:val="auto"/>
                <w:kern w:val="0"/>
                <w:szCs w:val="21"/>
              </w:rPr>
              <w:t>×</w:t>
            </w:r>
            <w:r>
              <w:rPr>
                <w:rFonts w:hint="eastAsia" w:ascii="Times New Roman" w:hAnsi="Times New Roman"/>
                <w:color w:val="auto"/>
                <w:kern w:val="0"/>
                <w:szCs w:val="21"/>
              </w:rPr>
              <w:t>1.5%+400</w:t>
            </w:r>
            <w:r>
              <w:rPr>
                <w:rFonts w:ascii="Times New Roman" w:hAnsi="Times New Roman"/>
                <w:color w:val="auto"/>
                <w:kern w:val="0"/>
                <w:szCs w:val="21"/>
              </w:rPr>
              <w:t>×</w:t>
            </w:r>
            <w:r>
              <w:rPr>
                <w:rFonts w:hint="eastAsia" w:ascii="Times New Roman" w:hAnsi="Times New Roman"/>
                <w:color w:val="auto"/>
                <w:kern w:val="0"/>
                <w:szCs w:val="21"/>
              </w:rPr>
              <w:t>0.8%+500</w:t>
            </w:r>
            <w:r>
              <w:rPr>
                <w:rFonts w:ascii="Times New Roman" w:hAnsi="Times New Roman"/>
                <w:color w:val="auto"/>
                <w:kern w:val="0"/>
                <w:szCs w:val="21"/>
              </w:rPr>
              <w:t>×</w:t>
            </w:r>
            <w:r>
              <w:rPr>
                <w:rFonts w:hint="eastAsia" w:ascii="Times New Roman" w:hAnsi="Times New Roman"/>
                <w:color w:val="auto"/>
                <w:kern w:val="0"/>
                <w:szCs w:val="21"/>
              </w:rPr>
              <w:t>0.45%</w:t>
            </w:r>
            <w:r>
              <w:rPr>
                <w:rFonts w:ascii="Times New Roman" w:hAnsi="Times New Roman"/>
                <w:color w:val="auto"/>
                <w:kern w:val="0"/>
                <w:szCs w:val="21"/>
              </w:rPr>
              <w:t>=</w:t>
            </w:r>
            <w:r>
              <w:rPr>
                <w:rFonts w:hint="eastAsia" w:ascii="Times New Roman" w:hAnsi="Times New Roman"/>
                <w:color w:val="auto"/>
                <w:kern w:val="0"/>
                <w:szCs w:val="21"/>
              </w:rPr>
              <w:t>6.95</w:t>
            </w:r>
            <w:r>
              <w:rPr>
                <w:rFonts w:hint="eastAsia" w:ascii="宋体" w:hAnsi="宋体"/>
                <w:color w:val="auto"/>
                <w:kern w:val="0"/>
                <w:szCs w:val="21"/>
              </w:rPr>
              <w:t>万元。</w:t>
            </w:r>
          </w:p>
        </w:tc>
      </w:tr>
    </w:tbl>
    <w:p>
      <w:pPr>
        <w:widowControl/>
        <w:spacing w:line="324" w:lineRule="auto"/>
        <w:ind w:firstLine="420"/>
        <w:jc w:val="left"/>
        <w:rPr>
          <w:rFonts w:ascii="Times New Roman" w:hAnsi="Times New Roman"/>
          <w:b/>
          <w:color w:val="auto"/>
          <w:kern w:val="0"/>
          <w:szCs w:val="21"/>
        </w:rPr>
      </w:pPr>
      <w:r>
        <w:rPr>
          <w:rFonts w:ascii="Times New Roman" w:hAnsi="Times New Roman"/>
          <w:color w:val="auto"/>
          <w:kern w:val="0"/>
          <w:szCs w:val="21"/>
        </w:rPr>
        <w:t>5.2.2</w:t>
      </w:r>
      <w:r>
        <w:rPr>
          <w:rFonts w:ascii="宋体" w:hAnsi="宋体"/>
          <w:color w:val="auto"/>
          <w:kern w:val="0"/>
          <w:szCs w:val="21"/>
        </w:rPr>
        <w:t>招标代理服务费在领取中标通知书时，向招标代理机构直接交纳，可用汇票、电汇、银行本票、现金等付款方式。</w:t>
      </w:r>
    </w:p>
    <w:p>
      <w:pPr>
        <w:widowControl/>
        <w:spacing w:line="324" w:lineRule="auto"/>
        <w:ind w:firstLine="480"/>
        <w:jc w:val="left"/>
        <w:rPr>
          <w:rFonts w:ascii="Times New Roman" w:hAnsi="Times New Roman"/>
          <w:b/>
          <w:color w:val="auto"/>
          <w:kern w:val="0"/>
          <w:szCs w:val="21"/>
        </w:rPr>
      </w:pPr>
      <w:r>
        <w:rPr>
          <w:rFonts w:ascii="Times New Roman" w:hAnsi="Times New Roman"/>
          <w:b/>
          <w:color w:val="auto"/>
          <w:kern w:val="0"/>
          <w:szCs w:val="21"/>
        </w:rPr>
        <w:t>6</w:t>
      </w:r>
      <w:r>
        <w:rPr>
          <w:rFonts w:ascii="宋体" w:hAnsi="宋体"/>
          <w:b/>
          <w:color w:val="auto"/>
          <w:kern w:val="0"/>
          <w:szCs w:val="21"/>
        </w:rPr>
        <w:t xml:space="preserve">、现场勘察 </w:t>
      </w:r>
    </w:p>
    <w:p>
      <w:pPr>
        <w:widowControl/>
        <w:spacing w:line="324" w:lineRule="auto"/>
        <w:ind w:firstLine="480"/>
        <w:jc w:val="left"/>
        <w:rPr>
          <w:rFonts w:ascii="Times New Roman" w:hAnsi="Times New Roman"/>
          <w:color w:val="auto"/>
          <w:kern w:val="0"/>
          <w:szCs w:val="21"/>
        </w:rPr>
      </w:pPr>
      <w:r>
        <w:rPr>
          <w:rFonts w:ascii="Times New Roman" w:hAnsi="Times New Roman"/>
          <w:color w:val="auto"/>
          <w:kern w:val="0"/>
          <w:szCs w:val="21"/>
        </w:rPr>
        <w:t>6.1</w:t>
      </w:r>
      <w:r>
        <w:rPr>
          <w:rFonts w:ascii="宋体" w:hAnsi="宋体"/>
          <w:color w:val="auto"/>
          <w:kern w:val="0"/>
          <w:szCs w:val="21"/>
        </w:rPr>
        <w:t>投标前，投标人须自行到项目所在地予以踏勘，对项目实施现场及周边环境等进行勘察，以获取编制投标文件和签署合同所需的所有资料，否则，由此所造成的一切后果由投标人自行承担。踏勘期间，采购人不得留下供应商名称、联系方式等信息。</w:t>
      </w:r>
    </w:p>
    <w:p>
      <w:pPr>
        <w:widowControl/>
        <w:spacing w:line="324" w:lineRule="auto"/>
        <w:ind w:firstLine="480"/>
        <w:jc w:val="left"/>
        <w:rPr>
          <w:rFonts w:ascii="Times New Roman" w:hAnsi="Times New Roman"/>
          <w:color w:val="auto"/>
          <w:kern w:val="0"/>
          <w:szCs w:val="21"/>
        </w:rPr>
      </w:pPr>
      <w:r>
        <w:rPr>
          <w:rFonts w:ascii="Times New Roman" w:hAnsi="Times New Roman"/>
          <w:color w:val="auto"/>
          <w:kern w:val="0"/>
          <w:szCs w:val="21"/>
        </w:rPr>
        <w:t>6.2</w:t>
      </w:r>
      <w:r>
        <w:rPr>
          <w:rFonts w:hint="eastAsia" w:ascii="宋体" w:hAnsi="宋体" w:cs="宋体"/>
          <w:color w:val="auto"/>
          <w:kern w:val="0"/>
          <w:szCs w:val="21"/>
        </w:rPr>
        <w:t>投标人</w:t>
      </w:r>
      <w:r>
        <w:rPr>
          <w:rFonts w:ascii="宋体" w:hAnsi="宋体"/>
          <w:color w:val="auto"/>
          <w:kern w:val="0"/>
          <w:szCs w:val="21"/>
        </w:rPr>
        <w:t>在考察过程中发生的各类事件及所发生的各项费用，均由</w:t>
      </w:r>
      <w:r>
        <w:rPr>
          <w:rFonts w:hint="eastAsia" w:ascii="宋体" w:hAnsi="宋体" w:cs="宋体"/>
          <w:color w:val="auto"/>
          <w:kern w:val="0"/>
          <w:szCs w:val="21"/>
        </w:rPr>
        <w:t>投标人</w:t>
      </w:r>
      <w:r>
        <w:rPr>
          <w:rFonts w:ascii="宋体" w:hAnsi="宋体"/>
          <w:color w:val="auto"/>
          <w:kern w:val="0"/>
          <w:szCs w:val="21"/>
        </w:rPr>
        <w:t>自行承担。采购人和代理机构概不负责。</w:t>
      </w:r>
    </w:p>
    <w:p>
      <w:pPr>
        <w:widowControl/>
        <w:spacing w:line="324" w:lineRule="auto"/>
        <w:ind w:firstLine="420"/>
        <w:jc w:val="left"/>
        <w:rPr>
          <w:rFonts w:ascii="Times New Roman" w:hAnsi="Times New Roman"/>
          <w:color w:val="auto"/>
          <w:kern w:val="0"/>
          <w:szCs w:val="21"/>
        </w:rPr>
      </w:pPr>
      <w:r>
        <w:rPr>
          <w:rFonts w:ascii="Times New Roman" w:hAnsi="Times New Roman"/>
          <w:color w:val="auto"/>
          <w:kern w:val="0"/>
          <w:szCs w:val="21"/>
        </w:rPr>
        <w:t>6.3</w:t>
      </w:r>
      <w:r>
        <w:rPr>
          <w:rFonts w:ascii="宋体" w:hAnsi="宋体"/>
          <w:color w:val="auto"/>
          <w:kern w:val="0"/>
          <w:szCs w:val="21"/>
        </w:rPr>
        <w:t>采购人向</w:t>
      </w:r>
      <w:r>
        <w:rPr>
          <w:rFonts w:hint="eastAsia" w:ascii="宋体" w:hAnsi="宋体" w:cs="宋体"/>
          <w:color w:val="auto"/>
          <w:kern w:val="0"/>
          <w:szCs w:val="21"/>
        </w:rPr>
        <w:t>投标人</w:t>
      </w:r>
      <w:r>
        <w:rPr>
          <w:rFonts w:ascii="宋体" w:hAnsi="宋体"/>
          <w:color w:val="auto"/>
          <w:kern w:val="0"/>
          <w:szCs w:val="21"/>
        </w:rPr>
        <w:t>提供的有关现场的数据和资料，是采购人现有的能被投标人利用的资料，采购人对投标人据此做出的任何推论、理解和结论不负责任。</w:t>
      </w:r>
    </w:p>
    <w:p>
      <w:pPr>
        <w:spacing w:line="324" w:lineRule="auto"/>
        <w:ind w:firstLine="420"/>
        <w:rPr>
          <w:rFonts w:cs="Calibri"/>
          <w:color w:val="auto"/>
          <w:szCs w:val="21"/>
        </w:rPr>
      </w:pPr>
      <w:r>
        <w:rPr>
          <w:rFonts w:cs="Calibri"/>
          <w:color w:val="auto"/>
          <w:szCs w:val="21"/>
        </w:rPr>
        <w:t>6.4</w:t>
      </w:r>
      <w:r>
        <w:rPr>
          <w:rFonts w:ascii="宋体" w:hAnsi="宋体" w:cs="Calibri"/>
          <w:color w:val="auto"/>
          <w:szCs w:val="21"/>
        </w:rPr>
        <w:t>现场踏勘完毕，将认为投标人己了解现场情况，并充分理解了为之所承担的风险、义务和责任。</w:t>
      </w:r>
    </w:p>
    <w:p>
      <w:pPr>
        <w:spacing w:line="324" w:lineRule="auto"/>
        <w:ind w:firstLine="422"/>
        <w:rPr>
          <w:rFonts w:cs="Calibri"/>
          <w:b/>
          <w:color w:val="auto"/>
          <w:szCs w:val="21"/>
        </w:rPr>
      </w:pPr>
      <w:r>
        <w:rPr>
          <w:rFonts w:cs="Calibri"/>
          <w:b/>
          <w:color w:val="auto"/>
          <w:szCs w:val="21"/>
        </w:rPr>
        <w:t>7</w:t>
      </w:r>
      <w:r>
        <w:rPr>
          <w:rFonts w:ascii="宋体" w:hAnsi="宋体" w:cs="Calibri"/>
          <w:b/>
          <w:color w:val="auto"/>
          <w:szCs w:val="21"/>
        </w:rPr>
        <w:t>、联合体投标</w:t>
      </w:r>
    </w:p>
    <w:p>
      <w:pPr>
        <w:spacing w:line="324" w:lineRule="auto"/>
        <w:ind w:firstLine="420"/>
        <w:rPr>
          <w:rFonts w:cs="Calibri"/>
          <w:color w:val="auto"/>
          <w:szCs w:val="21"/>
        </w:rPr>
      </w:pPr>
      <w:r>
        <w:rPr>
          <w:rFonts w:ascii="宋体" w:hAnsi="宋体" w:cs="Calibri"/>
          <w:color w:val="auto"/>
          <w:szCs w:val="21"/>
        </w:rPr>
        <w:t>本项目不接受联合体投标。</w:t>
      </w:r>
    </w:p>
    <w:p>
      <w:pPr>
        <w:keepNext/>
        <w:keepLines/>
        <w:numPr>
          <w:ilvl w:val="1"/>
          <w:numId w:val="2"/>
        </w:numPr>
        <w:spacing w:line="324" w:lineRule="auto"/>
        <w:outlineLvl w:val="1"/>
        <w:rPr>
          <w:rFonts w:ascii="Times New Roman" w:hAnsi="Times New Roman"/>
          <w:b/>
          <w:color w:val="auto"/>
          <w:szCs w:val="21"/>
        </w:rPr>
      </w:pPr>
      <w:bookmarkStart w:id="11" w:name="_Toc362250688"/>
      <w:bookmarkEnd w:id="11"/>
      <w:bookmarkStart w:id="12" w:name="_Toc274303230"/>
      <w:bookmarkEnd w:id="12"/>
      <w:bookmarkStart w:id="13" w:name="_Toc11338"/>
      <w:r>
        <w:rPr>
          <w:rFonts w:ascii="宋体" w:hAnsi="宋体"/>
          <w:b/>
          <w:color w:val="auto"/>
          <w:szCs w:val="21"/>
        </w:rPr>
        <w:t>二、招标文件</w:t>
      </w:r>
      <w:bookmarkEnd w:id="13"/>
    </w:p>
    <w:p>
      <w:pPr>
        <w:spacing w:line="324" w:lineRule="auto"/>
        <w:ind w:firstLine="422"/>
        <w:rPr>
          <w:rFonts w:cs="Calibri"/>
          <w:b/>
          <w:color w:val="auto"/>
          <w:szCs w:val="21"/>
        </w:rPr>
      </w:pPr>
      <w:r>
        <w:rPr>
          <w:rFonts w:cs="Calibri"/>
          <w:b/>
          <w:color w:val="auto"/>
          <w:szCs w:val="21"/>
        </w:rPr>
        <w:t>8</w:t>
      </w:r>
      <w:r>
        <w:rPr>
          <w:rFonts w:ascii="宋体" w:hAnsi="宋体" w:cs="Calibri"/>
          <w:b/>
          <w:color w:val="auto"/>
          <w:szCs w:val="21"/>
        </w:rPr>
        <w:t>、招标文件的组成</w:t>
      </w:r>
    </w:p>
    <w:p>
      <w:pPr>
        <w:spacing w:line="324" w:lineRule="auto"/>
        <w:ind w:firstLine="420"/>
        <w:rPr>
          <w:rFonts w:cs="Calibri"/>
          <w:color w:val="auto"/>
          <w:szCs w:val="21"/>
        </w:rPr>
      </w:pPr>
      <w:r>
        <w:rPr>
          <w:rFonts w:cs="Calibri"/>
          <w:color w:val="auto"/>
          <w:szCs w:val="21"/>
        </w:rPr>
        <w:t>8.1</w:t>
      </w:r>
      <w:r>
        <w:rPr>
          <w:rFonts w:ascii="宋体" w:hAnsi="宋体" w:cs="Calibri"/>
          <w:color w:val="auto"/>
          <w:szCs w:val="21"/>
        </w:rPr>
        <w:t>招标文件包括下列内容：</w:t>
      </w:r>
    </w:p>
    <w:p>
      <w:pPr>
        <w:spacing w:line="324" w:lineRule="auto"/>
        <w:ind w:firstLine="420"/>
        <w:rPr>
          <w:rFonts w:cs="Calibri"/>
          <w:color w:val="auto"/>
          <w:szCs w:val="21"/>
        </w:rPr>
      </w:pPr>
      <w:r>
        <w:rPr>
          <w:rFonts w:ascii="宋体" w:hAnsi="宋体" w:cs="Calibri"/>
          <w:color w:val="auto"/>
          <w:szCs w:val="21"/>
        </w:rPr>
        <w:t>第一章</w:t>
      </w:r>
      <w:r>
        <w:rPr>
          <w:rFonts w:cs="Calibri"/>
          <w:color w:val="auto"/>
          <w:szCs w:val="21"/>
        </w:rPr>
        <w:t xml:space="preserve">  </w:t>
      </w:r>
      <w:r>
        <w:rPr>
          <w:rFonts w:ascii="宋体" w:hAnsi="宋体" w:cs="Calibri"/>
          <w:color w:val="auto"/>
          <w:szCs w:val="21"/>
        </w:rPr>
        <w:t>采购公告</w:t>
      </w:r>
    </w:p>
    <w:p>
      <w:pPr>
        <w:spacing w:line="324" w:lineRule="auto"/>
        <w:ind w:firstLine="420"/>
        <w:rPr>
          <w:rFonts w:cs="Calibri"/>
          <w:color w:val="auto"/>
          <w:szCs w:val="21"/>
        </w:rPr>
      </w:pPr>
      <w:r>
        <w:rPr>
          <w:rFonts w:ascii="宋体" w:hAnsi="宋体" w:cs="Calibri"/>
          <w:color w:val="auto"/>
          <w:szCs w:val="21"/>
        </w:rPr>
        <w:t>第二章</w:t>
      </w:r>
      <w:r>
        <w:rPr>
          <w:rFonts w:cs="Calibri"/>
          <w:color w:val="auto"/>
          <w:szCs w:val="21"/>
        </w:rPr>
        <w:t xml:space="preserve">  </w:t>
      </w:r>
      <w:r>
        <w:rPr>
          <w:rFonts w:ascii="宋体" w:hAnsi="宋体" w:cs="Calibri"/>
          <w:color w:val="auto"/>
          <w:szCs w:val="21"/>
        </w:rPr>
        <w:t>投标须知和投标须知前附表</w:t>
      </w:r>
    </w:p>
    <w:p>
      <w:pPr>
        <w:spacing w:line="324" w:lineRule="auto"/>
        <w:ind w:firstLine="420"/>
        <w:rPr>
          <w:rFonts w:cs="Calibri"/>
          <w:color w:val="auto"/>
          <w:szCs w:val="21"/>
        </w:rPr>
      </w:pPr>
      <w:r>
        <w:rPr>
          <w:rFonts w:ascii="宋体" w:hAnsi="宋体" w:cs="Calibri"/>
          <w:color w:val="auto"/>
          <w:szCs w:val="21"/>
        </w:rPr>
        <w:t>第三章</w:t>
      </w:r>
      <w:r>
        <w:rPr>
          <w:rFonts w:cs="Calibri"/>
          <w:color w:val="auto"/>
          <w:szCs w:val="21"/>
        </w:rPr>
        <w:t xml:space="preserve">  </w:t>
      </w:r>
      <w:r>
        <w:rPr>
          <w:rFonts w:ascii="宋体" w:hAnsi="宋体" w:cs="Calibri"/>
          <w:color w:val="auto"/>
          <w:szCs w:val="21"/>
        </w:rPr>
        <w:t>招标项目要求</w:t>
      </w:r>
    </w:p>
    <w:p>
      <w:pPr>
        <w:spacing w:line="324" w:lineRule="auto"/>
        <w:ind w:firstLine="420"/>
        <w:rPr>
          <w:rFonts w:cs="Calibri"/>
          <w:color w:val="auto"/>
          <w:szCs w:val="21"/>
        </w:rPr>
      </w:pPr>
      <w:r>
        <w:rPr>
          <w:rFonts w:ascii="宋体" w:hAnsi="宋体" w:cs="Calibri"/>
          <w:color w:val="auto"/>
          <w:szCs w:val="21"/>
        </w:rPr>
        <w:t>第四章</w:t>
      </w:r>
      <w:r>
        <w:rPr>
          <w:rFonts w:cs="Calibri"/>
          <w:color w:val="auto"/>
          <w:szCs w:val="21"/>
        </w:rPr>
        <w:t xml:space="preserve">  </w:t>
      </w:r>
      <w:r>
        <w:rPr>
          <w:rFonts w:ascii="宋体" w:hAnsi="宋体" w:cs="Calibri"/>
          <w:color w:val="auto"/>
          <w:szCs w:val="21"/>
        </w:rPr>
        <w:t>开标、评标和定标</w:t>
      </w:r>
    </w:p>
    <w:p>
      <w:pPr>
        <w:spacing w:line="324" w:lineRule="auto"/>
        <w:ind w:firstLine="420"/>
        <w:rPr>
          <w:rFonts w:cs="Calibri"/>
          <w:color w:val="auto"/>
          <w:szCs w:val="21"/>
        </w:rPr>
      </w:pPr>
      <w:r>
        <w:rPr>
          <w:rFonts w:ascii="宋体" w:hAnsi="宋体" w:cs="Calibri"/>
          <w:color w:val="auto"/>
          <w:szCs w:val="21"/>
        </w:rPr>
        <w:t>第五章</w:t>
      </w:r>
      <w:r>
        <w:rPr>
          <w:rFonts w:cs="Calibri"/>
          <w:color w:val="auto"/>
          <w:szCs w:val="21"/>
        </w:rPr>
        <w:t xml:space="preserve">  </w:t>
      </w:r>
      <w:r>
        <w:rPr>
          <w:rFonts w:ascii="宋体" w:hAnsi="宋体" w:cs="Calibri"/>
          <w:color w:val="auto"/>
          <w:szCs w:val="21"/>
        </w:rPr>
        <w:t>投标文件的有效性</w:t>
      </w:r>
    </w:p>
    <w:p>
      <w:pPr>
        <w:spacing w:line="324" w:lineRule="auto"/>
        <w:ind w:firstLine="420"/>
        <w:rPr>
          <w:rFonts w:cs="Calibri"/>
          <w:color w:val="auto"/>
          <w:szCs w:val="21"/>
        </w:rPr>
      </w:pPr>
      <w:r>
        <w:rPr>
          <w:rFonts w:ascii="宋体" w:hAnsi="宋体" w:cs="Calibri"/>
          <w:color w:val="auto"/>
          <w:szCs w:val="21"/>
        </w:rPr>
        <w:t>第六章</w:t>
      </w:r>
      <w:r>
        <w:rPr>
          <w:rFonts w:cs="Calibri"/>
          <w:color w:val="auto"/>
          <w:szCs w:val="21"/>
        </w:rPr>
        <w:t xml:space="preserve">  </w:t>
      </w:r>
      <w:r>
        <w:rPr>
          <w:rFonts w:ascii="宋体" w:hAnsi="宋体" w:cs="Calibri"/>
          <w:color w:val="auto"/>
          <w:szCs w:val="21"/>
        </w:rPr>
        <w:t>评标办法</w:t>
      </w:r>
    </w:p>
    <w:p>
      <w:pPr>
        <w:spacing w:line="324" w:lineRule="auto"/>
        <w:ind w:firstLine="420"/>
        <w:rPr>
          <w:rFonts w:cs="Calibri"/>
          <w:color w:val="auto"/>
          <w:szCs w:val="21"/>
        </w:rPr>
      </w:pPr>
      <w:r>
        <w:rPr>
          <w:rFonts w:ascii="宋体" w:hAnsi="宋体" w:cs="Calibri"/>
          <w:color w:val="auto"/>
          <w:szCs w:val="21"/>
        </w:rPr>
        <w:t>第七章</w:t>
      </w:r>
      <w:r>
        <w:rPr>
          <w:rFonts w:cs="Calibri"/>
          <w:color w:val="auto"/>
          <w:szCs w:val="21"/>
        </w:rPr>
        <w:t xml:space="preserve">  </w:t>
      </w:r>
      <w:r>
        <w:rPr>
          <w:rFonts w:ascii="宋体" w:hAnsi="宋体" w:cs="Calibri"/>
          <w:color w:val="auto"/>
          <w:szCs w:val="21"/>
        </w:rPr>
        <w:t>合同主要条款</w:t>
      </w:r>
    </w:p>
    <w:p>
      <w:pPr>
        <w:spacing w:line="324" w:lineRule="auto"/>
        <w:ind w:firstLine="420"/>
        <w:rPr>
          <w:rFonts w:cs="Calibri"/>
          <w:color w:val="auto"/>
          <w:szCs w:val="21"/>
        </w:rPr>
      </w:pPr>
      <w:r>
        <w:rPr>
          <w:rFonts w:ascii="宋体" w:hAnsi="宋体" w:cs="Calibri"/>
          <w:color w:val="auto"/>
          <w:szCs w:val="21"/>
        </w:rPr>
        <w:t>第八章</w:t>
      </w:r>
      <w:r>
        <w:rPr>
          <w:rFonts w:cs="Calibri"/>
          <w:color w:val="auto"/>
          <w:szCs w:val="21"/>
        </w:rPr>
        <w:t xml:space="preserve"> </w:t>
      </w:r>
      <w:r>
        <w:rPr>
          <w:rFonts w:ascii="宋体" w:hAnsi="宋体" w:cs="Calibri"/>
          <w:color w:val="auto"/>
          <w:szCs w:val="21"/>
        </w:rPr>
        <w:t>投标文件部分格式</w:t>
      </w:r>
    </w:p>
    <w:p>
      <w:pPr>
        <w:spacing w:line="324" w:lineRule="auto"/>
        <w:ind w:firstLine="420"/>
        <w:rPr>
          <w:rFonts w:cs="Calibri"/>
          <w:color w:val="auto"/>
          <w:szCs w:val="21"/>
        </w:rPr>
      </w:pPr>
      <w:r>
        <w:rPr>
          <w:rFonts w:cs="Calibri"/>
          <w:color w:val="auto"/>
          <w:szCs w:val="21"/>
        </w:rPr>
        <w:t>8.2</w:t>
      </w:r>
      <w:r>
        <w:rPr>
          <w:rFonts w:ascii="宋体" w:hAnsi="宋体" w:cs="Calibri"/>
          <w:color w:val="auto"/>
          <w:szCs w:val="21"/>
        </w:rPr>
        <w:t>除</w:t>
      </w:r>
      <w:r>
        <w:rPr>
          <w:rFonts w:cs="Calibri"/>
          <w:color w:val="auto"/>
          <w:szCs w:val="21"/>
        </w:rPr>
        <w:t>8.1</w:t>
      </w:r>
      <w:r>
        <w:rPr>
          <w:rFonts w:ascii="宋体" w:hAnsi="宋体" w:cs="Calibri"/>
          <w:color w:val="auto"/>
          <w:szCs w:val="21"/>
        </w:rPr>
        <w:t>内容外，采购人在投标须知前附表规定时间前，以书面形式发出的对招标文件的澄清或修改内容，均为招标文件的组成部分，对采购人和投标人起约束作用。</w:t>
      </w:r>
    </w:p>
    <w:p>
      <w:pPr>
        <w:spacing w:line="324" w:lineRule="auto"/>
        <w:ind w:firstLine="420"/>
        <w:rPr>
          <w:rFonts w:cs="Calibri"/>
          <w:color w:val="auto"/>
          <w:szCs w:val="21"/>
        </w:rPr>
      </w:pPr>
      <w:r>
        <w:rPr>
          <w:rFonts w:cs="Calibri"/>
          <w:color w:val="auto"/>
          <w:szCs w:val="21"/>
        </w:rPr>
        <w:t>8.3</w:t>
      </w:r>
      <w:r>
        <w:rPr>
          <w:rFonts w:ascii="宋体" w:hAnsi="宋体" w:cs="Calibri"/>
          <w:color w:val="auto"/>
          <w:szCs w:val="21"/>
        </w:rPr>
        <w:t>上述所列</w:t>
      </w:r>
      <w:r>
        <w:rPr>
          <w:rFonts w:cs="Calibri"/>
          <w:color w:val="auto"/>
          <w:szCs w:val="21"/>
        </w:rPr>
        <w:t>8.1</w:t>
      </w:r>
      <w:r>
        <w:rPr>
          <w:rFonts w:ascii="宋体" w:hAnsi="宋体" w:cs="Calibri"/>
          <w:color w:val="auto"/>
          <w:szCs w:val="21"/>
        </w:rPr>
        <w:t>及</w:t>
      </w:r>
      <w:r>
        <w:rPr>
          <w:rFonts w:cs="Calibri"/>
          <w:color w:val="auto"/>
          <w:szCs w:val="21"/>
        </w:rPr>
        <w:t>8.2</w:t>
      </w:r>
      <w:r>
        <w:rPr>
          <w:rFonts w:ascii="宋体" w:hAnsi="宋体" w:cs="Calibri"/>
          <w:color w:val="auto"/>
          <w:szCs w:val="21"/>
        </w:rPr>
        <w:t>条内容均以书面文件为准，采购人（招标代理机构）的任何工作人员对投标人所作的任何口头解释、介绍、答复，对采购人和投标人无任何约束力。</w:t>
      </w:r>
    </w:p>
    <w:p>
      <w:pPr>
        <w:spacing w:line="324" w:lineRule="auto"/>
        <w:ind w:firstLine="420"/>
        <w:rPr>
          <w:rFonts w:cs="Calibri"/>
          <w:b/>
          <w:color w:val="auto"/>
          <w:szCs w:val="21"/>
        </w:rPr>
      </w:pPr>
      <w:r>
        <w:rPr>
          <w:rFonts w:cs="Calibri"/>
          <w:color w:val="auto"/>
          <w:szCs w:val="21"/>
        </w:rPr>
        <w:t>8.4</w:t>
      </w:r>
      <w:r>
        <w:rPr>
          <w:rFonts w:hint="eastAsia" w:ascii="宋体" w:hAnsi="宋体" w:cs="Calibri"/>
          <w:b/>
          <w:color w:val="auto"/>
          <w:szCs w:val="21"/>
        </w:rPr>
        <w:t>投标人</w:t>
      </w:r>
      <w:r>
        <w:rPr>
          <w:rFonts w:ascii="宋体" w:hAnsi="宋体" w:cs="Calibri"/>
          <w:b/>
          <w:color w:val="auto"/>
          <w:szCs w:val="21"/>
        </w:rPr>
        <w:t>应认真阅读投标须知、合同条件、规定格式、项目要求、报价要求等招标文件所有的内容。如果</w:t>
      </w:r>
      <w:r>
        <w:rPr>
          <w:rFonts w:hint="eastAsia" w:ascii="宋体" w:hAnsi="宋体" w:cs="Calibri"/>
          <w:b/>
          <w:color w:val="auto"/>
          <w:szCs w:val="21"/>
        </w:rPr>
        <w:t>投标人</w:t>
      </w:r>
      <w:r>
        <w:rPr>
          <w:rFonts w:ascii="宋体" w:hAnsi="宋体" w:cs="Calibri"/>
          <w:b/>
          <w:color w:val="auto"/>
          <w:szCs w:val="21"/>
        </w:rPr>
        <w:t>的投标文件不能符合招标文件的要求，责任由</w:t>
      </w:r>
      <w:r>
        <w:rPr>
          <w:rFonts w:hint="eastAsia" w:ascii="宋体" w:hAnsi="宋体" w:cs="Calibri"/>
          <w:b/>
          <w:color w:val="auto"/>
          <w:szCs w:val="21"/>
        </w:rPr>
        <w:t>投标人</w:t>
      </w:r>
      <w:r>
        <w:rPr>
          <w:rFonts w:ascii="宋体" w:hAnsi="宋体" w:cs="Calibri"/>
          <w:b/>
          <w:color w:val="auto"/>
          <w:szCs w:val="21"/>
        </w:rPr>
        <w:t>自负。实质上不响应招标文件要求的投标文件将被拒绝。</w:t>
      </w:r>
    </w:p>
    <w:p>
      <w:pPr>
        <w:spacing w:line="324" w:lineRule="auto"/>
        <w:ind w:firstLine="420"/>
        <w:rPr>
          <w:rFonts w:cs="Calibri"/>
          <w:color w:val="auto"/>
          <w:kern w:val="0"/>
          <w:szCs w:val="21"/>
        </w:rPr>
      </w:pPr>
      <w:r>
        <w:rPr>
          <w:rFonts w:hint="eastAsia" w:ascii="宋体" w:hAnsi="宋体" w:cs="Calibri"/>
          <w:i/>
          <w:iCs/>
          <w:color w:val="auto"/>
          <w:kern w:val="0"/>
          <w:sz w:val="24"/>
          <w:szCs w:val="24"/>
        </w:rPr>
        <w:t>8.5采购方在政采云系统上设定的内容与招标文件的内容不一致的，以招标文件的内容为准。</w:t>
      </w:r>
    </w:p>
    <w:p>
      <w:pPr>
        <w:spacing w:line="324" w:lineRule="auto"/>
        <w:ind w:firstLine="422"/>
        <w:rPr>
          <w:rFonts w:cs="Calibri"/>
          <w:b/>
          <w:color w:val="auto"/>
          <w:szCs w:val="21"/>
        </w:rPr>
      </w:pPr>
      <w:r>
        <w:rPr>
          <w:rFonts w:cs="Calibri"/>
          <w:b/>
          <w:color w:val="auto"/>
          <w:szCs w:val="21"/>
        </w:rPr>
        <w:t>9</w:t>
      </w:r>
      <w:r>
        <w:rPr>
          <w:rFonts w:ascii="宋体" w:hAnsi="宋体" w:cs="Calibri"/>
          <w:b/>
          <w:color w:val="auto"/>
          <w:szCs w:val="21"/>
        </w:rPr>
        <w:t>、招标文件的澄清</w:t>
      </w:r>
    </w:p>
    <w:p>
      <w:pPr>
        <w:spacing w:line="324" w:lineRule="auto"/>
        <w:ind w:firstLine="420"/>
        <w:rPr>
          <w:rFonts w:cs="Calibri"/>
          <w:color w:val="auto"/>
          <w:szCs w:val="21"/>
        </w:rPr>
      </w:pPr>
      <w:r>
        <w:rPr>
          <w:rFonts w:cs="Calibri"/>
          <w:color w:val="auto"/>
          <w:szCs w:val="21"/>
        </w:rPr>
        <w:t>9.1</w:t>
      </w:r>
      <w:r>
        <w:rPr>
          <w:rFonts w:ascii="宋体" w:hAnsi="宋体" w:cs="Calibri"/>
          <w:color w:val="auto"/>
          <w:szCs w:val="21"/>
        </w:rPr>
        <w:t>投标人若对招标文件有任何疑问，应于前附表规定的时间以书面形式送（传真）向采购人和代理机构提出。</w:t>
      </w:r>
    </w:p>
    <w:p>
      <w:pPr>
        <w:spacing w:line="324" w:lineRule="auto"/>
        <w:ind w:firstLine="420"/>
        <w:rPr>
          <w:rFonts w:cs="Calibri"/>
          <w:color w:val="auto"/>
          <w:szCs w:val="21"/>
        </w:rPr>
      </w:pPr>
      <w:r>
        <w:rPr>
          <w:rFonts w:cs="Calibri"/>
          <w:color w:val="auto"/>
          <w:szCs w:val="21"/>
        </w:rPr>
        <w:t>9.2</w:t>
      </w:r>
      <w:r>
        <w:rPr>
          <w:rFonts w:hint="eastAsia" w:ascii="宋体" w:hAnsi="宋体" w:cs="Calibri"/>
          <w:color w:val="auto"/>
          <w:kern w:val="0"/>
          <w:szCs w:val="21"/>
        </w:rPr>
        <w:t>无论是招标方根据需要主动对招标文件进行必要澄清，或是根据投标人的要求对招标文件做出澄清，</w:t>
      </w:r>
      <w:r>
        <w:rPr>
          <w:rFonts w:hint="eastAsia" w:ascii="宋体" w:hAnsi="宋体" w:cs="Calibri"/>
          <w:b/>
          <w:color w:val="auto"/>
          <w:kern w:val="0"/>
          <w:szCs w:val="21"/>
          <w:u w:val="single"/>
        </w:rPr>
        <w:t>招标方的</w:t>
      </w:r>
      <w:r>
        <w:rPr>
          <w:rFonts w:ascii="宋体" w:hAnsi="宋体" w:cs="Calibri"/>
          <w:b/>
          <w:color w:val="auto"/>
          <w:kern w:val="0"/>
          <w:szCs w:val="21"/>
          <w:u w:val="single"/>
        </w:rPr>
        <w:t>书面澄清</w:t>
      </w:r>
      <w:r>
        <w:rPr>
          <w:rFonts w:hint="eastAsia" w:ascii="宋体" w:hAnsi="宋体" w:cs="Calibri"/>
          <w:b/>
          <w:color w:val="auto"/>
          <w:kern w:val="0"/>
          <w:szCs w:val="21"/>
          <w:u w:val="single"/>
        </w:rPr>
        <w:t>（更正）</w:t>
      </w:r>
      <w:r>
        <w:rPr>
          <w:rFonts w:ascii="宋体" w:hAnsi="宋体" w:cs="Calibri"/>
          <w:b/>
          <w:color w:val="auto"/>
          <w:kern w:val="0"/>
          <w:szCs w:val="21"/>
          <w:u w:val="single"/>
        </w:rPr>
        <w:t>文件</w:t>
      </w:r>
      <w:r>
        <w:rPr>
          <w:rFonts w:hint="eastAsia" w:ascii="宋体" w:hAnsi="宋体" w:cs="Calibri"/>
          <w:b/>
          <w:color w:val="auto"/>
          <w:kern w:val="0"/>
          <w:szCs w:val="21"/>
          <w:u w:val="single"/>
        </w:rPr>
        <w:t>会在浙江省政府网上发布公告，</w:t>
      </w:r>
      <w:r>
        <w:rPr>
          <w:rFonts w:ascii="宋体" w:hAnsi="宋体" w:cs="Calibri"/>
          <w:b/>
          <w:color w:val="auto"/>
          <w:kern w:val="0"/>
          <w:szCs w:val="21"/>
          <w:u w:val="single"/>
        </w:rPr>
        <w:t>同时</w:t>
      </w:r>
      <w:r>
        <w:rPr>
          <w:rFonts w:hint="eastAsia" w:ascii="宋体" w:hAnsi="宋体" w:cs="Calibri"/>
          <w:b/>
          <w:color w:val="auto"/>
          <w:kern w:val="0"/>
          <w:szCs w:val="21"/>
          <w:u w:val="single"/>
        </w:rPr>
        <w:t>政采云系统会</w:t>
      </w:r>
      <w:r>
        <w:rPr>
          <w:rFonts w:ascii="宋体" w:hAnsi="宋体" w:cs="Calibri"/>
          <w:b/>
          <w:color w:val="auto"/>
          <w:kern w:val="0"/>
          <w:szCs w:val="21"/>
          <w:u w:val="single"/>
        </w:rPr>
        <w:t>向所有</w:t>
      </w:r>
      <w:r>
        <w:rPr>
          <w:rFonts w:hint="eastAsia" w:ascii="宋体" w:hAnsi="宋体" w:cs="Calibri"/>
          <w:b/>
          <w:color w:val="auto"/>
          <w:kern w:val="0"/>
          <w:szCs w:val="21"/>
          <w:u w:val="single"/>
        </w:rPr>
        <w:t>已按招标文件规定方式获取招标文件的潜在供应商</w:t>
      </w:r>
      <w:r>
        <w:rPr>
          <w:rFonts w:ascii="宋体" w:hAnsi="宋体" w:cs="Calibri"/>
          <w:b/>
          <w:color w:val="auto"/>
          <w:kern w:val="0"/>
          <w:szCs w:val="21"/>
          <w:u w:val="single"/>
        </w:rPr>
        <w:t>发送</w:t>
      </w:r>
      <w:r>
        <w:rPr>
          <w:rFonts w:hint="eastAsia" w:ascii="宋体" w:hAnsi="宋体" w:cs="Calibri"/>
          <w:b/>
          <w:color w:val="auto"/>
          <w:kern w:val="0"/>
          <w:szCs w:val="21"/>
          <w:u w:val="single"/>
        </w:rPr>
        <w:t>更正提醒信息，潜在供应商请自行到浙江省政府采网上下载</w:t>
      </w:r>
      <w:r>
        <w:rPr>
          <w:rFonts w:ascii="宋体" w:hAnsi="宋体" w:cs="Calibri"/>
          <w:b/>
          <w:color w:val="auto"/>
          <w:kern w:val="0"/>
          <w:szCs w:val="21"/>
          <w:u w:val="single"/>
        </w:rPr>
        <w:t>澄清</w:t>
      </w:r>
      <w:r>
        <w:rPr>
          <w:rFonts w:hint="eastAsia" w:ascii="宋体" w:hAnsi="宋体" w:cs="Calibri"/>
          <w:b/>
          <w:color w:val="auto"/>
          <w:kern w:val="0"/>
          <w:szCs w:val="21"/>
          <w:u w:val="single"/>
        </w:rPr>
        <w:t>（更正）</w:t>
      </w:r>
      <w:r>
        <w:rPr>
          <w:rFonts w:ascii="宋体" w:hAnsi="宋体" w:cs="Calibri"/>
          <w:b/>
          <w:color w:val="auto"/>
          <w:kern w:val="0"/>
          <w:szCs w:val="21"/>
          <w:u w:val="single"/>
        </w:rPr>
        <w:t>文件</w:t>
      </w:r>
      <w:r>
        <w:rPr>
          <w:rFonts w:hint="eastAsia" w:ascii="宋体" w:hAnsi="宋体" w:cs="Calibri"/>
          <w:b/>
          <w:color w:val="auto"/>
          <w:kern w:val="0"/>
          <w:szCs w:val="21"/>
          <w:u w:val="single"/>
        </w:rPr>
        <w:t>，潜在供应商</w:t>
      </w:r>
      <w:r>
        <w:rPr>
          <w:rFonts w:ascii="宋体" w:hAnsi="宋体" w:cs="Calibri"/>
          <w:b/>
          <w:color w:val="auto"/>
          <w:kern w:val="0"/>
          <w:szCs w:val="21"/>
          <w:u w:val="single"/>
        </w:rPr>
        <w:t>在收到该澄清</w:t>
      </w:r>
      <w:r>
        <w:rPr>
          <w:rFonts w:hint="eastAsia" w:ascii="宋体" w:hAnsi="宋体" w:cs="Calibri"/>
          <w:b/>
          <w:color w:val="auto"/>
          <w:kern w:val="0"/>
          <w:szCs w:val="21"/>
          <w:u w:val="single"/>
        </w:rPr>
        <w:t>（更正）</w:t>
      </w:r>
      <w:r>
        <w:rPr>
          <w:rFonts w:ascii="宋体" w:hAnsi="宋体" w:cs="Calibri"/>
          <w:b/>
          <w:color w:val="auto"/>
          <w:kern w:val="0"/>
          <w:szCs w:val="21"/>
          <w:u w:val="single"/>
        </w:rPr>
        <w:t>文件后应于</w:t>
      </w:r>
      <w:r>
        <w:rPr>
          <w:rFonts w:cs="Calibri"/>
          <w:b/>
          <w:color w:val="auto"/>
          <w:kern w:val="0"/>
          <w:szCs w:val="21"/>
          <w:u w:val="single"/>
        </w:rPr>
        <w:t>1</w:t>
      </w:r>
      <w:r>
        <w:rPr>
          <w:rFonts w:ascii="宋体" w:hAnsi="宋体" w:cs="Calibri"/>
          <w:b/>
          <w:color w:val="auto"/>
          <w:kern w:val="0"/>
          <w:szCs w:val="21"/>
          <w:u w:val="single"/>
        </w:rPr>
        <w:t>日内，以书面或传真形式（签署意见并加盖公章）向招标代理机构回函给予确认。过期未回复的，视为默认接受。供应商在投标截止时间前应充分关注该网上发布的信息，如因供应商未及时关注网上发布的信息而导致的一切投标后果由供应商自行承担。</w:t>
      </w:r>
    </w:p>
    <w:p>
      <w:pPr>
        <w:spacing w:line="324" w:lineRule="auto"/>
        <w:ind w:firstLine="420"/>
        <w:rPr>
          <w:rFonts w:cs="Calibri"/>
          <w:color w:val="auto"/>
          <w:szCs w:val="21"/>
        </w:rPr>
      </w:pPr>
      <w:r>
        <w:rPr>
          <w:rFonts w:cs="Calibri"/>
          <w:color w:val="auto"/>
          <w:szCs w:val="21"/>
        </w:rPr>
        <w:t>9.3</w:t>
      </w:r>
      <w:r>
        <w:rPr>
          <w:rFonts w:ascii="宋体" w:hAnsi="宋体" w:cs="Calibri"/>
          <w:color w:val="auto"/>
          <w:szCs w:val="21"/>
        </w:rPr>
        <w:t>投标人在前附表规定时间未提交疑问或质疑的，视作默认对本次招标过程中招标文件无异议，招标方对其提出的问题可以不予受理。</w:t>
      </w:r>
    </w:p>
    <w:p>
      <w:pPr>
        <w:spacing w:line="324" w:lineRule="auto"/>
        <w:ind w:firstLine="420"/>
        <w:rPr>
          <w:rFonts w:cs="Calibri"/>
          <w:color w:val="auto"/>
          <w:szCs w:val="21"/>
        </w:rPr>
      </w:pPr>
      <w:r>
        <w:rPr>
          <w:rFonts w:cs="Calibri"/>
          <w:color w:val="auto"/>
          <w:szCs w:val="21"/>
        </w:rPr>
        <w:t>9.4</w:t>
      </w:r>
      <w:r>
        <w:rPr>
          <w:rFonts w:ascii="宋体" w:hAnsi="宋体" w:cs="Calibri"/>
          <w:color w:val="auto"/>
          <w:szCs w:val="21"/>
        </w:rPr>
        <w:t>招标文件澄清、变更、补充等内容均以浙江政府采购网公示的内容为准。当招标文件、招标文件的澄清、变更、补充等在同一内容的表述上不一致时，以最后在浙江政府采购网发出的公示内容为准。</w:t>
      </w:r>
    </w:p>
    <w:p>
      <w:pPr>
        <w:spacing w:line="324" w:lineRule="auto"/>
        <w:ind w:firstLine="420"/>
        <w:rPr>
          <w:rFonts w:cs="Calibri"/>
          <w:color w:val="auto"/>
          <w:szCs w:val="21"/>
        </w:rPr>
      </w:pPr>
      <w:r>
        <w:rPr>
          <w:rFonts w:cs="Calibri"/>
          <w:color w:val="auto"/>
          <w:szCs w:val="21"/>
        </w:rPr>
        <w:t>9.5</w:t>
      </w:r>
      <w:r>
        <w:rPr>
          <w:rFonts w:ascii="宋体" w:hAnsi="宋体" w:cs="Calibri"/>
          <w:color w:val="auto"/>
          <w:szCs w:val="21"/>
        </w:rPr>
        <w:t>采购人及招标代理机构工作人员向投标人所作的任何口头答复或电话通知一律无效。</w:t>
      </w:r>
    </w:p>
    <w:p>
      <w:pPr>
        <w:spacing w:line="324" w:lineRule="auto"/>
        <w:ind w:firstLine="420"/>
        <w:rPr>
          <w:rFonts w:cs="Calibri"/>
          <w:color w:val="auto"/>
          <w:szCs w:val="21"/>
        </w:rPr>
      </w:pPr>
      <w:r>
        <w:rPr>
          <w:rFonts w:cs="Calibri"/>
          <w:color w:val="auto"/>
          <w:szCs w:val="21"/>
        </w:rPr>
        <w:t>9.6</w:t>
      </w:r>
      <w:r>
        <w:rPr>
          <w:rFonts w:ascii="宋体" w:hAnsi="宋体" w:cs="Calibri"/>
          <w:color w:val="auto"/>
          <w:szCs w:val="21"/>
        </w:rPr>
        <w:t>投标人应仔细阅读和检查招标文件的全部内容。如发现缺页或附件不全，应及时向招标方提出，以便补齐。如有疑问，应在投标人须知前附表规定的方式及时间前不署名书面或传真形式要求澄清问题的文件，要求招标方对招标文件予以澄清。否则，由此引起的损失由投标人自己承担。</w:t>
      </w:r>
    </w:p>
    <w:p>
      <w:pPr>
        <w:keepNext/>
        <w:keepLines/>
        <w:numPr>
          <w:ilvl w:val="1"/>
          <w:numId w:val="2"/>
        </w:numPr>
        <w:spacing w:line="324" w:lineRule="auto"/>
        <w:outlineLvl w:val="1"/>
        <w:rPr>
          <w:rFonts w:ascii="Times New Roman" w:hAnsi="Times New Roman"/>
          <w:b/>
          <w:color w:val="auto"/>
          <w:szCs w:val="21"/>
        </w:rPr>
      </w:pPr>
      <w:bookmarkStart w:id="14" w:name="_Toc274303231"/>
      <w:bookmarkEnd w:id="14"/>
      <w:bookmarkStart w:id="15" w:name="_Toc362250689"/>
      <w:bookmarkEnd w:id="15"/>
      <w:bookmarkStart w:id="16" w:name="_Toc23576"/>
      <w:r>
        <w:rPr>
          <w:rFonts w:ascii="宋体" w:hAnsi="宋体"/>
          <w:b/>
          <w:color w:val="auto"/>
          <w:szCs w:val="21"/>
        </w:rPr>
        <w:t>三、投标文件</w:t>
      </w:r>
      <w:bookmarkEnd w:id="16"/>
    </w:p>
    <w:p>
      <w:pPr>
        <w:spacing w:line="324" w:lineRule="auto"/>
        <w:ind w:firstLine="480"/>
        <w:rPr>
          <w:rFonts w:cs="Calibri"/>
          <w:color w:val="auto"/>
          <w:szCs w:val="21"/>
        </w:rPr>
      </w:pPr>
      <w:r>
        <w:rPr>
          <w:rFonts w:cs="Calibri"/>
          <w:b/>
          <w:color w:val="auto"/>
          <w:szCs w:val="21"/>
        </w:rPr>
        <w:t>10</w:t>
      </w:r>
      <w:r>
        <w:rPr>
          <w:rFonts w:ascii="宋体" w:hAnsi="宋体" w:cs="Calibri"/>
          <w:b/>
          <w:color w:val="auto"/>
          <w:szCs w:val="21"/>
        </w:rPr>
        <w:t>、投标文件的语言及度量衡单位</w:t>
      </w:r>
    </w:p>
    <w:p>
      <w:pPr>
        <w:spacing w:line="324" w:lineRule="auto"/>
        <w:ind w:firstLine="420"/>
        <w:rPr>
          <w:rFonts w:cs="Calibri"/>
          <w:color w:val="auto"/>
          <w:szCs w:val="21"/>
        </w:rPr>
      </w:pPr>
      <w:r>
        <w:rPr>
          <w:rFonts w:cs="Calibri"/>
          <w:color w:val="auto"/>
          <w:szCs w:val="21"/>
        </w:rPr>
        <w:t>10.1</w:t>
      </w:r>
      <w:r>
        <w:rPr>
          <w:rFonts w:ascii="宋体" w:hAnsi="宋体" w:cs="Calibri"/>
          <w:color w:val="auto"/>
          <w:szCs w:val="21"/>
        </w:rPr>
        <w:t>投标文件和与投标有关的所有文件均应使用</w:t>
      </w:r>
      <w:r>
        <w:rPr>
          <w:rFonts w:hint="eastAsia" w:ascii="宋体" w:hAnsi="宋体" w:cs="Calibri"/>
          <w:color w:val="auto"/>
          <w:szCs w:val="21"/>
        </w:rPr>
        <w:t>简体中文</w:t>
      </w:r>
      <w:r>
        <w:rPr>
          <w:rFonts w:ascii="宋体" w:hAnsi="宋体" w:cs="Calibri"/>
          <w:color w:val="auto"/>
          <w:szCs w:val="21"/>
        </w:rPr>
        <w:t>。</w:t>
      </w:r>
    </w:p>
    <w:p>
      <w:pPr>
        <w:widowControl/>
        <w:spacing w:line="324" w:lineRule="auto"/>
        <w:ind w:firstLine="420"/>
        <w:jc w:val="left"/>
        <w:rPr>
          <w:rFonts w:ascii="Times New Roman" w:hAnsi="Times New Roman"/>
          <w:color w:val="auto"/>
          <w:kern w:val="0"/>
          <w:szCs w:val="21"/>
        </w:rPr>
      </w:pPr>
      <w:r>
        <w:rPr>
          <w:rFonts w:ascii="Times New Roman" w:hAnsi="Times New Roman"/>
          <w:color w:val="auto"/>
          <w:kern w:val="0"/>
          <w:szCs w:val="21"/>
        </w:rPr>
        <w:t>10.2</w:t>
      </w:r>
      <w:r>
        <w:rPr>
          <w:rFonts w:ascii="宋体" w:hAnsi="宋体"/>
          <w:color w:val="auto"/>
          <w:kern w:val="0"/>
          <w:szCs w:val="21"/>
        </w:rPr>
        <w:t>除工程规范另有规定外，投标文件使用的度量衡单位，均采用中华人民共和国法定计量单位。</w:t>
      </w:r>
    </w:p>
    <w:p>
      <w:pPr>
        <w:spacing w:line="324" w:lineRule="auto"/>
        <w:ind w:firstLine="422"/>
        <w:rPr>
          <w:rFonts w:cs="Calibri"/>
          <w:color w:val="auto"/>
          <w:kern w:val="0"/>
          <w:szCs w:val="21"/>
        </w:rPr>
      </w:pPr>
      <w:r>
        <w:rPr>
          <w:rFonts w:cs="Calibri"/>
          <w:b/>
          <w:color w:val="auto"/>
          <w:szCs w:val="21"/>
        </w:rPr>
        <w:t>11</w:t>
      </w:r>
      <w:r>
        <w:rPr>
          <w:rFonts w:ascii="宋体" w:hAnsi="宋体" w:cs="Calibri"/>
          <w:b/>
          <w:color w:val="auto"/>
          <w:szCs w:val="21"/>
        </w:rPr>
        <w:t>、对投标文件的要求</w:t>
      </w:r>
    </w:p>
    <w:p>
      <w:pPr>
        <w:spacing w:line="324" w:lineRule="auto"/>
        <w:jc w:val="left"/>
        <w:rPr>
          <w:rFonts w:ascii="Times New Roman" w:hAnsi="Times New Roman"/>
          <w:color w:val="auto"/>
          <w:kern w:val="0"/>
          <w:szCs w:val="21"/>
        </w:rPr>
      </w:pPr>
      <w:r>
        <w:rPr>
          <w:rFonts w:ascii="Times New Roman" w:hAnsi="Times New Roman"/>
          <w:b/>
          <w:color w:val="auto"/>
          <w:kern w:val="0"/>
          <w:szCs w:val="21"/>
        </w:rPr>
        <w:t xml:space="preserve">    </w:t>
      </w:r>
      <w:r>
        <w:rPr>
          <w:rFonts w:ascii="Times New Roman" w:hAnsi="Times New Roman"/>
          <w:color w:val="auto"/>
          <w:kern w:val="0"/>
          <w:szCs w:val="21"/>
        </w:rPr>
        <w:t>11.1</w:t>
      </w:r>
      <w:r>
        <w:rPr>
          <w:rFonts w:ascii="宋体" w:hAnsi="宋体"/>
          <w:color w:val="auto"/>
          <w:kern w:val="0"/>
          <w:szCs w:val="21"/>
        </w:rPr>
        <w:t>投标人应仔细阅读招标文件，了解招标文件的要求，在完全了解招标项目的技术要求和商务要求后，编制投标文件。</w:t>
      </w:r>
    </w:p>
    <w:p>
      <w:pPr>
        <w:spacing w:line="324" w:lineRule="auto"/>
        <w:ind w:firstLine="480"/>
        <w:rPr>
          <w:rFonts w:cs="Calibri"/>
          <w:color w:val="auto"/>
          <w:szCs w:val="21"/>
        </w:rPr>
      </w:pPr>
      <w:r>
        <w:rPr>
          <w:rFonts w:cs="Calibri"/>
          <w:color w:val="auto"/>
          <w:szCs w:val="21"/>
        </w:rPr>
        <w:t xml:space="preserve">11.2 </w:t>
      </w:r>
      <w:r>
        <w:rPr>
          <w:rFonts w:ascii="宋体" w:hAnsi="宋体" w:cs="Calibri"/>
          <w:color w:val="auto"/>
          <w:szCs w:val="21"/>
        </w:rPr>
        <w:t>在招标文件对技术要求中，投标人必须充分应答和满足用户的强制性的需求，如</w:t>
      </w:r>
      <w:r>
        <w:rPr>
          <w:rFonts w:cs="Calibri"/>
          <w:color w:val="auto"/>
          <w:szCs w:val="21"/>
        </w:rPr>
        <w:t>“</w:t>
      </w:r>
      <w:r>
        <w:rPr>
          <w:rFonts w:hint="eastAsia" w:ascii="宋体" w:hAnsi="宋体" w:cs="宋体"/>
          <w:color w:val="auto"/>
          <w:szCs w:val="21"/>
        </w:rPr>
        <w:t>★</w:t>
      </w:r>
      <w:r>
        <w:rPr>
          <w:rFonts w:cs="Calibri"/>
          <w:color w:val="auto"/>
          <w:szCs w:val="21"/>
        </w:rPr>
        <w:t>”</w:t>
      </w:r>
      <w:r>
        <w:rPr>
          <w:rFonts w:ascii="宋体" w:hAnsi="宋体" w:cs="Calibri"/>
          <w:color w:val="auto"/>
          <w:szCs w:val="21"/>
        </w:rPr>
        <w:t>等，否则将导致</w:t>
      </w:r>
      <w:r>
        <w:rPr>
          <w:rFonts w:hint="eastAsia" w:ascii="宋体" w:hAnsi="宋体" w:cs="Calibri"/>
          <w:b/>
          <w:bCs/>
          <w:color w:val="auto"/>
          <w:szCs w:val="21"/>
        </w:rPr>
        <w:t>无效标</w:t>
      </w:r>
      <w:r>
        <w:rPr>
          <w:rFonts w:ascii="宋体" w:hAnsi="宋体" w:cs="Calibri"/>
          <w:color w:val="auto"/>
          <w:szCs w:val="21"/>
        </w:rPr>
        <w:t>。</w:t>
      </w:r>
    </w:p>
    <w:p>
      <w:pPr>
        <w:spacing w:line="324" w:lineRule="auto"/>
        <w:ind w:firstLine="420"/>
        <w:rPr>
          <w:rFonts w:cs="Calibri"/>
          <w:color w:val="auto"/>
          <w:szCs w:val="21"/>
        </w:rPr>
      </w:pPr>
      <w:r>
        <w:rPr>
          <w:rFonts w:cs="Calibri"/>
          <w:color w:val="auto"/>
          <w:szCs w:val="21"/>
        </w:rPr>
        <w:t>11.3</w:t>
      </w:r>
      <w:r>
        <w:rPr>
          <w:rFonts w:ascii="宋体" w:hAnsi="宋体" w:cs="Calibri"/>
          <w:color w:val="auto"/>
          <w:szCs w:val="21"/>
        </w:rPr>
        <w:t>编制的投标文件对招标文件中有关条款未提出异议的，均被视为接受和同意。</w:t>
      </w:r>
    </w:p>
    <w:p>
      <w:pPr>
        <w:spacing w:line="324" w:lineRule="auto"/>
        <w:ind w:firstLine="480"/>
        <w:rPr>
          <w:rFonts w:cs="Calibri"/>
          <w:b/>
          <w:color w:val="auto"/>
          <w:szCs w:val="21"/>
        </w:rPr>
      </w:pPr>
      <w:r>
        <w:rPr>
          <w:rFonts w:cs="Calibri"/>
          <w:b/>
          <w:color w:val="auto"/>
          <w:szCs w:val="21"/>
        </w:rPr>
        <w:t>12</w:t>
      </w:r>
      <w:r>
        <w:rPr>
          <w:rFonts w:ascii="宋体" w:hAnsi="宋体" w:cs="Calibri"/>
          <w:b/>
          <w:color w:val="auto"/>
          <w:szCs w:val="21"/>
        </w:rPr>
        <w:t>、投标文件的组成</w:t>
      </w:r>
    </w:p>
    <w:p>
      <w:pPr>
        <w:spacing w:line="324" w:lineRule="auto"/>
        <w:ind w:firstLine="420"/>
        <w:rPr>
          <w:rFonts w:cs="Calibri"/>
          <w:color w:val="auto"/>
          <w:szCs w:val="21"/>
        </w:rPr>
      </w:pPr>
      <w:r>
        <w:rPr>
          <w:rFonts w:cs="Calibri"/>
          <w:color w:val="auto"/>
          <w:szCs w:val="21"/>
        </w:rPr>
        <w:t xml:space="preserve">12.1 </w:t>
      </w:r>
      <w:r>
        <w:rPr>
          <w:rFonts w:ascii="宋体" w:hAnsi="宋体" w:cs="Calibri"/>
          <w:color w:val="auto"/>
          <w:szCs w:val="21"/>
        </w:rPr>
        <w:t>招标文件</w:t>
      </w:r>
      <w:r>
        <w:rPr>
          <w:rFonts w:cs="Calibri"/>
          <w:color w:val="auto"/>
          <w:szCs w:val="21"/>
        </w:rPr>
        <w:t>“</w:t>
      </w:r>
      <w:r>
        <w:rPr>
          <w:rFonts w:ascii="宋体" w:hAnsi="宋体" w:cs="Calibri"/>
          <w:color w:val="auto"/>
          <w:szCs w:val="21"/>
        </w:rPr>
        <w:t>投标文件部分格式</w:t>
      </w:r>
      <w:r>
        <w:rPr>
          <w:rFonts w:cs="Calibri"/>
          <w:color w:val="auto"/>
          <w:szCs w:val="21"/>
        </w:rPr>
        <w:t>”</w:t>
      </w:r>
      <w:r>
        <w:rPr>
          <w:rFonts w:ascii="宋体" w:hAnsi="宋体" w:cs="Calibri"/>
          <w:color w:val="auto"/>
          <w:szCs w:val="21"/>
        </w:rPr>
        <w:t>所列的内容、格式及其投标人认为有必要提供的其他文件。</w:t>
      </w:r>
    </w:p>
    <w:p>
      <w:pPr>
        <w:spacing w:line="324" w:lineRule="auto"/>
        <w:ind w:firstLine="422"/>
        <w:rPr>
          <w:rFonts w:cs="Calibri"/>
          <w:b/>
          <w:color w:val="auto"/>
          <w:szCs w:val="21"/>
        </w:rPr>
      </w:pPr>
      <w:r>
        <w:rPr>
          <w:rFonts w:cs="Calibri"/>
          <w:b/>
          <w:color w:val="auto"/>
          <w:szCs w:val="21"/>
        </w:rPr>
        <w:t xml:space="preserve">12.2 </w:t>
      </w:r>
      <w:r>
        <w:rPr>
          <w:rFonts w:hint="eastAsia" w:ascii="宋体" w:hAnsi="宋体" w:cs="Calibri"/>
          <w:b/>
          <w:color w:val="auto"/>
          <w:kern w:val="0"/>
          <w:szCs w:val="21"/>
        </w:rPr>
        <w:t>投标文件由资格响应文件、商务技术响应文件和报价响应文件组成</w:t>
      </w:r>
      <w:r>
        <w:rPr>
          <w:rFonts w:ascii="宋体" w:hAnsi="宋体" w:cs="Calibri"/>
          <w:color w:val="auto"/>
          <w:szCs w:val="21"/>
        </w:rPr>
        <w:t>。</w:t>
      </w:r>
      <w:r>
        <w:rPr>
          <w:rFonts w:ascii="宋体" w:hAnsi="宋体" w:cs="Calibri"/>
          <w:b/>
          <w:color w:val="auto"/>
          <w:szCs w:val="21"/>
        </w:rPr>
        <w:t>技术标（含</w:t>
      </w:r>
      <w:r>
        <w:rPr>
          <w:rFonts w:hint="eastAsia" w:ascii="宋体" w:hAnsi="宋体" w:cs="Calibri"/>
          <w:b/>
          <w:color w:val="auto"/>
          <w:szCs w:val="21"/>
        </w:rPr>
        <w:t>资格、</w:t>
      </w:r>
      <w:r>
        <w:rPr>
          <w:rFonts w:ascii="宋体" w:hAnsi="宋体" w:cs="Calibri"/>
          <w:b/>
          <w:color w:val="auto"/>
          <w:szCs w:val="21"/>
        </w:rPr>
        <w:t>资信与服务）不得含商务报价，否则作无效标处理</w:t>
      </w:r>
      <w:r>
        <w:rPr>
          <w:rFonts w:ascii="宋体" w:hAnsi="宋体" w:cs="Calibri"/>
          <w:color w:val="auto"/>
          <w:szCs w:val="21"/>
        </w:rPr>
        <w:t>。</w:t>
      </w:r>
      <w:r>
        <w:rPr>
          <w:rFonts w:ascii="宋体" w:hAnsi="宋体" w:cs="Calibri"/>
          <w:b/>
          <w:color w:val="auto"/>
          <w:kern w:val="0"/>
          <w:szCs w:val="21"/>
          <w:u w:val="single"/>
        </w:rPr>
        <w:t>存在有效期的文件应在有效期内（截止开标当日</w:t>
      </w:r>
      <w:r>
        <w:rPr>
          <w:rFonts w:cs="Calibri"/>
          <w:b/>
          <w:color w:val="auto"/>
          <w:kern w:val="0"/>
          <w:szCs w:val="21"/>
          <w:u w:val="single"/>
        </w:rPr>
        <w:t>24</w:t>
      </w:r>
      <w:r>
        <w:rPr>
          <w:rFonts w:ascii="宋体" w:hAnsi="宋体" w:cs="Calibri"/>
          <w:b/>
          <w:color w:val="auto"/>
          <w:kern w:val="0"/>
          <w:szCs w:val="21"/>
          <w:u w:val="single"/>
        </w:rPr>
        <w:t>：</w:t>
      </w:r>
      <w:r>
        <w:rPr>
          <w:rFonts w:cs="Calibri"/>
          <w:b/>
          <w:color w:val="auto"/>
          <w:kern w:val="0"/>
          <w:szCs w:val="21"/>
          <w:u w:val="single"/>
        </w:rPr>
        <w:t>00</w:t>
      </w:r>
      <w:r>
        <w:rPr>
          <w:rFonts w:ascii="宋体" w:hAnsi="宋体" w:cs="Calibri"/>
          <w:b/>
          <w:color w:val="auto"/>
          <w:kern w:val="0"/>
          <w:szCs w:val="21"/>
          <w:u w:val="single"/>
        </w:rPr>
        <w:t>时止），过期的文件无效</w:t>
      </w:r>
      <w:r>
        <w:rPr>
          <w:rFonts w:hint="eastAsia" w:ascii="宋体" w:hAnsi="宋体" w:cs="Calibri"/>
          <w:b/>
          <w:color w:val="auto"/>
          <w:kern w:val="0"/>
          <w:szCs w:val="21"/>
        </w:rPr>
        <w:t>。</w:t>
      </w:r>
      <w:r>
        <w:rPr>
          <w:rFonts w:hint="eastAsia" w:ascii="宋体" w:hAnsi="宋体" w:cs="Calibri"/>
          <w:b/>
          <w:color w:val="auto"/>
          <w:kern w:val="0"/>
          <w:szCs w:val="21"/>
          <w:u w:val="single"/>
        </w:rPr>
        <w:t>所有电子投标文件中所有内容均需进行CA签章。</w:t>
      </w:r>
    </w:p>
    <w:p>
      <w:pPr>
        <w:widowControl/>
        <w:spacing w:line="324" w:lineRule="auto"/>
        <w:ind w:firstLine="422"/>
        <w:jc w:val="left"/>
        <w:rPr>
          <w:rFonts w:ascii="Times New Roman" w:hAnsi="Times New Roman"/>
          <w:bCs/>
          <w:color w:val="auto"/>
          <w:kern w:val="0"/>
          <w:szCs w:val="21"/>
        </w:rPr>
      </w:pPr>
      <w:r>
        <w:rPr>
          <w:rFonts w:ascii="Times New Roman" w:hAnsi="Times New Roman"/>
          <w:b/>
          <w:color w:val="auto"/>
          <w:kern w:val="0"/>
          <w:szCs w:val="21"/>
        </w:rPr>
        <w:t>12.3</w:t>
      </w:r>
      <w:r>
        <w:rPr>
          <w:rFonts w:hint="eastAsia" w:ascii="宋体" w:hAnsi="宋体" w:cs="宋体"/>
          <w:b/>
          <w:color w:val="auto"/>
          <w:kern w:val="0"/>
          <w:szCs w:val="21"/>
        </w:rPr>
        <w:t>资格响应文件，包含但不限于以下内容：(★复印件须加盖投标单位公章，对存在有效期的文件应在有效期内（截止开标当日24：00时止），过期的文件无效)</w:t>
      </w:r>
      <w:r>
        <w:rPr>
          <w:rFonts w:ascii="Times New Roman" w:hAnsi="Times New Roman"/>
          <w:b/>
          <w:color w:val="auto"/>
          <w:kern w:val="0"/>
          <w:szCs w:val="21"/>
        </w:rPr>
        <w:t xml:space="preserve"> </w:t>
      </w:r>
    </w:p>
    <w:p>
      <w:pPr>
        <w:widowControl/>
        <w:spacing w:line="324" w:lineRule="auto"/>
        <w:ind w:firstLine="422"/>
        <w:jc w:val="left"/>
        <w:rPr>
          <w:rFonts w:ascii="Times New Roman" w:hAnsi="Times New Roman"/>
          <w:bCs/>
          <w:color w:val="auto"/>
          <w:kern w:val="0"/>
          <w:szCs w:val="21"/>
        </w:rPr>
      </w:pPr>
      <w:r>
        <w:rPr>
          <w:rFonts w:hint="eastAsia" w:ascii="宋体" w:hAnsi="宋体" w:cs="宋体"/>
          <w:bCs/>
          <w:color w:val="auto"/>
          <w:kern w:val="0"/>
          <w:szCs w:val="21"/>
        </w:rPr>
        <w:t>（</w:t>
      </w:r>
      <w:r>
        <w:rPr>
          <w:rFonts w:hint="eastAsia" w:ascii="Times New Roman" w:hAnsi="Times New Roman"/>
          <w:bCs/>
          <w:color w:val="auto"/>
          <w:kern w:val="0"/>
          <w:szCs w:val="21"/>
        </w:rPr>
        <w:t>1</w:t>
      </w:r>
      <w:r>
        <w:rPr>
          <w:rFonts w:hint="eastAsia" w:ascii="宋体" w:hAnsi="宋体" w:cs="宋体"/>
          <w:bCs/>
          <w:color w:val="auto"/>
          <w:kern w:val="0"/>
          <w:szCs w:val="21"/>
        </w:rPr>
        <w:t>）</w:t>
      </w:r>
      <w:r>
        <w:rPr>
          <w:rFonts w:hint="eastAsia" w:ascii="宋体" w:hAnsi="宋体" w:cs="宋体"/>
          <w:color w:val="auto"/>
          <w:szCs w:val="21"/>
        </w:rPr>
        <w:t>有效的</w:t>
      </w:r>
      <w:r>
        <w:rPr>
          <w:rFonts w:ascii="宋体" w:hAnsi="宋体"/>
          <w:color w:val="auto"/>
          <w:szCs w:val="21"/>
        </w:rPr>
        <w:t>单位营业执照</w:t>
      </w:r>
      <w:r>
        <w:rPr>
          <w:rFonts w:hint="eastAsia" w:ascii="宋体" w:hAnsi="宋体" w:cs="宋体"/>
          <w:color w:val="auto"/>
          <w:szCs w:val="21"/>
        </w:rPr>
        <w:t>副本扫描件或</w:t>
      </w:r>
      <w:r>
        <w:rPr>
          <w:rFonts w:ascii="Times New Roman" w:hAnsi="Times New Roman"/>
          <w:color w:val="auto"/>
          <w:kern w:val="0"/>
          <w:szCs w:val="21"/>
        </w:rPr>
        <w:t>“</w:t>
      </w:r>
      <w:r>
        <w:rPr>
          <w:rFonts w:ascii="宋体" w:hAnsi="宋体"/>
          <w:color w:val="auto"/>
          <w:kern w:val="0"/>
          <w:szCs w:val="21"/>
        </w:rPr>
        <w:t>国家企业信用信息公示系统</w:t>
      </w:r>
      <w:r>
        <w:rPr>
          <w:rFonts w:ascii="Times New Roman" w:hAnsi="Times New Roman"/>
          <w:color w:val="auto"/>
          <w:kern w:val="0"/>
          <w:szCs w:val="21"/>
        </w:rPr>
        <w:t>”</w:t>
      </w:r>
      <w:r>
        <w:rPr>
          <w:rFonts w:ascii="宋体" w:hAnsi="宋体"/>
          <w:color w:val="auto"/>
          <w:kern w:val="0"/>
          <w:szCs w:val="21"/>
        </w:rPr>
        <w:t>（</w:t>
      </w:r>
      <w:r>
        <w:rPr>
          <w:rFonts w:ascii="Times New Roman" w:hAnsi="Times New Roman"/>
          <w:color w:val="auto"/>
          <w:kern w:val="0"/>
          <w:szCs w:val="21"/>
        </w:rPr>
        <w:t>http://gsxt.saic.gov.cn/</w:t>
      </w:r>
      <w:r>
        <w:rPr>
          <w:rFonts w:ascii="宋体" w:hAnsi="宋体"/>
          <w:color w:val="auto"/>
          <w:kern w:val="0"/>
          <w:szCs w:val="21"/>
        </w:rPr>
        <w:t>）上的单位详细信息；</w:t>
      </w:r>
    </w:p>
    <w:p>
      <w:pPr>
        <w:widowControl/>
        <w:spacing w:line="324" w:lineRule="auto"/>
        <w:ind w:firstLine="422"/>
        <w:jc w:val="left"/>
        <w:rPr>
          <w:rFonts w:ascii="Times New Roman" w:hAnsi="Times New Roman"/>
          <w:bCs/>
          <w:color w:val="auto"/>
          <w:kern w:val="0"/>
          <w:szCs w:val="21"/>
        </w:rPr>
      </w:pPr>
      <w:r>
        <w:rPr>
          <w:rFonts w:hint="eastAsia" w:ascii="宋体" w:hAnsi="宋体" w:cs="宋体"/>
          <w:bCs/>
          <w:color w:val="auto"/>
          <w:kern w:val="0"/>
          <w:szCs w:val="21"/>
        </w:rPr>
        <w:t>（</w:t>
      </w:r>
      <w:r>
        <w:rPr>
          <w:rFonts w:hint="eastAsia" w:ascii="Times New Roman" w:hAnsi="Times New Roman"/>
          <w:bCs/>
          <w:color w:val="auto"/>
          <w:kern w:val="0"/>
          <w:szCs w:val="21"/>
        </w:rPr>
        <w:t>2</w:t>
      </w:r>
      <w:r>
        <w:rPr>
          <w:rFonts w:hint="eastAsia" w:ascii="宋体" w:hAnsi="宋体" w:cs="宋体"/>
          <w:bCs/>
          <w:color w:val="auto"/>
          <w:kern w:val="0"/>
          <w:szCs w:val="21"/>
        </w:rPr>
        <w:t>）法定代表人资格声明书、法</w:t>
      </w:r>
      <w:r>
        <w:rPr>
          <w:rFonts w:ascii="宋体" w:hAnsi="宋体"/>
          <w:color w:val="auto"/>
          <w:kern w:val="0"/>
          <w:szCs w:val="21"/>
        </w:rPr>
        <w:t>定代表人身份证</w:t>
      </w:r>
      <w:r>
        <w:rPr>
          <w:rFonts w:hint="eastAsia" w:ascii="宋体" w:hAnsi="宋体" w:cs="宋体"/>
          <w:color w:val="auto"/>
          <w:szCs w:val="21"/>
        </w:rPr>
        <w:t>扫描件</w:t>
      </w:r>
      <w:r>
        <w:rPr>
          <w:rFonts w:ascii="宋体" w:hAnsi="宋体"/>
          <w:color w:val="auto"/>
          <w:kern w:val="0"/>
          <w:szCs w:val="21"/>
        </w:rPr>
        <w:t>；</w:t>
      </w:r>
    </w:p>
    <w:p>
      <w:pPr>
        <w:widowControl/>
        <w:spacing w:line="324" w:lineRule="auto"/>
        <w:ind w:firstLine="422"/>
        <w:jc w:val="left"/>
        <w:rPr>
          <w:rFonts w:ascii="Times New Roman" w:hAnsi="Times New Roman" w:cs="宋体"/>
          <w:color w:val="auto"/>
          <w:kern w:val="0"/>
          <w:szCs w:val="21"/>
        </w:rPr>
      </w:pPr>
      <w:r>
        <w:rPr>
          <w:rFonts w:hint="eastAsia" w:ascii="宋体" w:hAnsi="宋体" w:cs="宋体"/>
          <w:bCs/>
          <w:color w:val="auto"/>
          <w:kern w:val="0"/>
          <w:szCs w:val="21"/>
        </w:rPr>
        <w:t>（</w:t>
      </w:r>
      <w:r>
        <w:rPr>
          <w:rFonts w:hint="eastAsia" w:ascii="Times New Roman" w:hAnsi="Times New Roman"/>
          <w:bCs/>
          <w:color w:val="auto"/>
          <w:kern w:val="0"/>
          <w:szCs w:val="21"/>
        </w:rPr>
        <w:t>3</w:t>
      </w:r>
      <w:r>
        <w:rPr>
          <w:rFonts w:hint="eastAsia" w:ascii="宋体" w:hAnsi="宋体" w:cs="宋体"/>
          <w:bCs/>
          <w:color w:val="auto"/>
          <w:kern w:val="0"/>
          <w:szCs w:val="21"/>
        </w:rPr>
        <w:t>）</w:t>
      </w:r>
      <w:r>
        <w:rPr>
          <w:rFonts w:hint="eastAsia" w:ascii="宋体" w:hAnsi="宋体" w:cs="宋体"/>
          <w:color w:val="auto"/>
          <w:kern w:val="0"/>
          <w:szCs w:val="21"/>
        </w:rPr>
        <w:t>法定代表人授权委托书、被授权代表身份证扫描件；（适用于授权代表参与投标会）</w:t>
      </w:r>
    </w:p>
    <w:p>
      <w:pPr>
        <w:widowControl/>
        <w:spacing w:line="324" w:lineRule="auto"/>
        <w:ind w:firstLine="422"/>
        <w:jc w:val="left"/>
        <w:rPr>
          <w:rFonts w:hint="eastAsia" w:ascii="Times New Roman" w:hAnsi="Times New Roman"/>
          <w:b/>
          <w:color w:val="auto"/>
          <w:kern w:val="0"/>
          <w:szCs w:val="21"/>
        </w:rPr>
      </w:pPr>
      <w:r>
        <w:rPr>
          <w:rFonts w:hint="eastAsia" w:ascii="Times New Roman" w:hAnsi="Times New Roman"/>
          <w:b/>
          <w:color w:val="auto"/>
          <w:kern w:val="0"/>
          <w:szCs w:val="21"/>
        </w:rPr>
        <w:t>1</w:t>
      </w:r>
      <w:r>
        <w:rPr>
          <w:rFonts w:ascii="Times New Roman" w:hAnsi="Times New Roman"/>
          <w:b/>
          <w:color w:val="auto"/>
          <w:kern w:val="0"/>
          <w:szCs w:val="21"/>
        </w:rPr>
        <w:t>2</w:t>
      </w:r>
      <w:r>
        <w:rPr>
          <w:rFonts w:hint="eastAsia" w:ascii="Times New Roman" w:hAnsi="Times New Roman"/>
          <w:b/>
          <w:color w:val="auto"/>
          <w:kern w:val="0"/>
          <w:szCs w:val="21"/>
        </w:rPr>
        <w:t>.4</w:t>
      </w:r>
      <w:r>
        <w:rPr>
          <w:rFonts w:hint="eastAsia" w:ascii="宋体" w:hAnsi="宋体" w:cs="宋体"/>
          <w:b/>
          <w:color w:val="auto"/>
          <w:kern w:val="0"/>
          <w:szCs w:val="21"/>
        </w:rPr>
        <w:t>商务技术响应文件，包含但不限于以下内容：</w:t>
      </w:r>
    </w:p>
    <w:p>
      <w:pPr>
        <w:widowControl/>
        <w:numPr>
          <w:ilvl w:val="0"/>
          <w:numId w:val="3"/>
        </w:numPr>
        <w:spacing w:line="324" w:lineRule="auto"/>
        <w:ind w:firstLine="420"/>
        <w:jc w:val="left"/>
        <w:rPr>
          <w:rFonts w:ascii="Times New Roman" w:hAnsi="Times New Roman" w:cs="宋体"/>
          <w:color w:val="auto"/>
          <w:szCs w:val="21"/>
        </w:rPr>
      </w:pPr>
      <w:r>
        <w:rPr>
          <w:rFonts w:hint="eastAsia" w:ascii="宋体" w:hAnsi="宋体" w:cs="宋体"/>
          <w:color w:val="auto"/>
          <w:szCs w:val="21"/>
        </w:rPr>
        <w:t>安保详细方案；</w:t>
      </w:r>
    </w:p>
    <w:p>
      <w:pPr>
        <w:widowControl/>
        <w:numPr>
          <w:ilvl w:val="0"/>
          <w:numId w:val="3"/>
        </w:numPr>
        <w:spacing w:line="324" w:lineRule="auto"/>
        <w:ind w:firstLine="420"/>
        <w:jc w:val="left"/>
        <w:rPr>
          <w:rFonts w:hint="eastAsia" w:ascii="Times New Roman" w:hAnsi="Times New Roman" w:cs="宋体"/>
          <w:color w:val="auto"/>
          <w:szCs w:val="21"/>
        </w:rPr>
      </w:pPr>
      <w:r>
        <w:rPr>
          <w:rFonts w:hint="eastAsia" w:ascii="宋体" w:hAnsi="宋体" w:cs="宋体"/>
          <w:color w:val="auto"/>
          <w:szCs w:val="21"/>
        </w:rPr>
        <w:t>内部管理制度；</w:t>
      </w:r>
    </w:p>
    <w:p>
      <w:pPr>
        <w:widowControl/>
        <w:numPr>
          <w:ilvl w:val="0"/>
          <w:numId w:val="3"/>
        </w:numPr>
        <w:spacing w:line="324" w:lineRule="auto"/>
        <w:ind w:firstLine="420"/>
        <w:jc w:val="left"/>
        <w:rPr>
          <w:rFonts w:hint="eastAsia" w:ascii="Times New Roman" w:hAnsi="Times New Roman" w:cs="宋体"/>
          <w:color w:val="auto"/>
          <w:szCs w:val="21"/>
        </w:rPr>
      </w:pPr>
      <w:r>
        <w:rPr>
          <w:rFonts w:hint="eastAsia" w:ascii="宋体" w:hAnsi="宋体" w:cs="宋体"/>
          <w:color w:val="auto"/>
          <w:szCs w:val="21"/>
        </w:rPr>
        <w:t>拟投入人员情况；</w:t>
      </w:r>
    </w:p>
    <w:p>
      <w:pPr>
        <w:widowControl/>
        <w:numPr>
          <w:ilvl w:val="0"/>
          <w:numId w:val="3"/>
        </w:numPr>
        <w:spacing w:line="324" w:lineRule="auto"/>
        <w:ind w:firstLine="420"/>
        <w:jc w:val="left"/>
        <w:rPr>
          <w:rFonts w:hint="eastAsia" w:ascii="Times New Roman" w:hAnsi="Times New Roman" w:cs="宋体"/>
          <w:color w:val="auto"/>
          <w:szCs w:val="21"/>
        </w:rPr>
      </w:pPr>
      <w:r>
        <w:rPr>
          <w:rFonts w:hint="eastAsia" w:ascii="宋体" w:hAnsi="宋体" w:cs="宋体"/>
          <w:color w:val="auto"/>
          <w:szCs w:val="21"/>
        </w:rPr>
        <w:t>服务质量承诺书；</w:t>
      </w:r>
    </w:p>
    <w:p>
      <w:pPr>
        <w:widowControl/>
        <w:numPr>
          <w:ilvl w:val="0"/>
          <w:numId w:val="3"/>
        </w:numPr>
        <w:spacing w:line="324" w:lineRule="auto"/>
        <w:ind w:firstLine="420"/>
        <w:jc w:val="left"/>
        <w:rPr>
          <w:rFonts w:hint="eastAsia" w:ascii="Times New Roman" w:hAnsi="Times New Roman" w:cs="宋体"/>
          <w:color w:val="auto"/>
          <w:szCs w:val="21"/>
        </w:rPr>
      </w:pPr>
      <w:r>
        <w:rPr>
          <w:rFonts w:hint="eastAsia" w:ascii="宋体" w:hAnsi="宋体" w:cs="宋体"/>
          <w:color w:val="auto"/>
          <w:szCs w:val="21"/>
        </w:rPr>
        <w:t>拟投入设备配置情况；</w:t>
      </w:r>
    </w:p>
    <w:p>
      <w:pPr>
        <w:widowControl/>
        <w:numPr>
          <w:ilvl w:val="0"/>
          <w:numId w:val="3"/>
        </w:numPr>
        <w:spacing w:line="324" w:lineRule="auto"/>
        <w:ind w:firstLine="420"/>
        <w:jc w:val="left"/>
        <w:rPr>
          <w:rFonts w:hint="eastAsia" w:ascii="Times New Roman" w:hAnsi="Times New Roman" w:cs="宋体"/>
          <w:color w:val="auto"/>
          <w:szCs w:val="21"/>
        </w:rPr>
      </w:pPr>
      <w:r>
        <w:rPr>
          <w:rFonts w:hint="eastAsia" w:ascii="宋体" w:hAnsi="宋体" w:cs="宋体"/>
          <w:color w:val="auto"/>
          <w:szCs w:val="21"/>
        </w:rPr>
        <w:t>业绩材料；</w:t>
      </w:r>
    </w:p>
    <w:p>
      <w:pPr>
        <w:widowControl/>
        <w:numPr>
          <w:ilvl w:val="0"/>
          <w:numId w:val="3"/>
        </w:numPr>
        <w:spacing w:line="324" w:lineRule="auto"/>
        <w:ind w:firstLine="420"/>
        <w:jc w:val="left"/>
        <w:rPr>
          <w:rFonts w:hint="eastAsia" w:ascii="Times New Roman" w:hAnsi="Times New Roman" w:cs="宋体"/>
          <w:color w:val="auto"/>
          <w:szCs w:val="21"/>
        </w:rPr>
      </w:pPr>
      <w:r>
        <w:rPr>
          <w:rFonts w:hint="eastAsia" w:ascii="宋体" w:hAnsi="宋体" w:cs="宋体"/>
          <w:color w:val="auto"/>
          <w:szCs w:val="21"/>
        </w:rPr>
        <w:t>义乌市政府采购项目投标承诺书；</w:t>
      </w:r>
    </w:p>
    <w:p>
      <w:pPr>
        <w:widowControl/>
        <w:numPr>
          <w:ilvl w:val="0"/>
          <w:numId w:val="3"/>
        </w:numPr>
        <w:spacing w:line="324" w:lineRule="auto"/>
        <w:ind w:firstLine="420"/>
        <w:jc w:val="left"/>
        <w:rPr>
          <w:rFonts w:hint="eastAsia" w:ascii="Times New Roman" w:hAnsi="Times New Roman"/>
          <w:color w:val="auto"/>
          <w:szCs w:val="21"/>
        </w:rPr>
      </w:pPr>
      <w:r>
        <w:rPr>
          <w:rFonts w:hint="eastAsia" w:ascii="宋体" w:hAnsi="宋体" w:cs="宋体"/>
          <w:color w:val="auto"/>
          <w:szCs w:val="21"/>
        </w:rPr>
        <w:t>投标人认为须提供的其他资料。</w:t>
      </w:r>
      <w:r>
        <w:rPr>
          <w:rFonts w:ascii="宋体" w:hAnsi="宋体"/>
          <w:color w:val="auto"/>
          <w:szCs w:val="21"/>
        </w:rPr>
        <w:t>根据招标文件技术需求及评分规则要求提供的有关材料；</w:t>
      </w:r>
    </w:p>
    <w:p>
      <w:pPr>
        <w:widowControl/>
        <w:numPr>
          <w:ilvl w:val="0"/>
          <w:numId w:val="3"/>
        </w:numPr>
        <w:spacing w:line="324" w:lineRule="auto"/>
        <w:ind w:firstLine="420"/>
        <w:jc w:val="left"/>
        <w:rPr>
          <w:rFonts w:ascii="Times New Roman" w:hAnsi="Times New Roman"/>
          <w:color w:val="auto"/>
          <w:szCs w:val="21"/>
        </w:rPr>
      </w:pPr>
      <w:r>
        <w:rPr>
          <w:rFonts w:ascii="宋体" w:hAnsi="宋体"/>
          <w:color w:val="auto"/>
          <w:szCs w:val="21"/>
        </w:rPr>
        <w:t>供应商认为可能需要的其它文件（格式自拟）。</w:t>
      </w:r>
    </w:p>
    <w:p>
      <w:pPr>
        <w:widowControl/>
        <w:spacing w:line="324" w:lineRule="auto"/>
        <w:ind w:firstLine="422"/>
        <w:jc w:val="left"/>
        <w:rPr>
          <w:rFonts w:ascii="Times New Roman" w:hAnsi="Times New Roman" w:cs="宋体"/>
          <w:b/>
          <w:color w:val="auto"/>
          <w:kern w:val="0"/>
          <w:szCs w:val="21"/>
        </w:rPr>
      </w:pPr>
      <w:r>
        <w:rPr>
          <w:rFonts w:ascii="Times New Roman" w:hAnsi="Times New Roman"/>
          <w:b/>
          <w:color w:val="auto"/>
          <w:kern w:val="0"/>
          <w:szCs w:val="21"/>
        </w:rPr>
        <w:t>12.5</w:t>
      </w:r>
      <w:r>
        <w:rPr>
          <w:rFonts w:hint="eastAsia" w:ascii="宋体" w:hAnsi="宋体" w:cs="宋体"/>
          <w:b/>
          <w:color w:val="auto"/>
          <w:kern w:val="0"/>
          <w:szCs w:val="21"/>
        </w:rPr>
        <w:t>报价响应文件，包含但不限于以下内容：</w:t>
      </w:r>
    </w:p>
    <w:p>
      <w:pPr>
        <w:widowControl/>
        <w:spacing w:line="324" w:lineRule="auto"/>
        <w:ind w:firstLine="420"/>
        <w:jc w:val="left"/>
        <w:rPr>
          <w:rFonts w:hint="eastAsia" w:ascii="Times New Roman" w:hAnsi="Times New Roman"/>
          <w:color w:val="auto"/>
          <w:kern w:val="0"/>
          <w:szCs w:val="21"/>
        </w:rPr>
      </w:pPr>
      <w:r>
        <w:rPr>
          <w:rFonts w:ascii="宋体" w:hAnsi="宋体"/>
          <w:color w:val="auto"/>
          <w:kern w:val="0"/>
          <w:szCs w:val="21"/>
        </w:rPr>
        <w:t>（</w:t>
      </w:r>
      <w:r>
        <w:rPr>
          <w:rFonts w:ascii="Times New Roman" w:hAnsi="Times New Roman"/>
          <w:color w:val="auto"/>
          <w:kern w:val="0"/>
          <w:szCs w:val="21"/>
        </w:rPr>
        <w:t>1</w:t>
      </w:r>
      <w:r>
        <w:rPr>
          <w:rFonts w:ascii="宋体" w:hAnsi="宋体"/>
          <w:color w:val="auto"/>
          <w:kern w:val="0"/>
          <w:szCs w:val="21"/>
        </w:rPr>
        <w:t>）投标函；</w:t>
      </w:r>
    </w:p>
    <w:p>
      <w:pPr>
        <w:widowControl/>
        <w:spacing w:line="324" w:lineRule="auto"/>
        <w:ind w:firstLine="420"/>
        <w:jc w:val="left"/>
        <w:rPr>
          <w:rFonts w:ascii="Times New Roman" w:hAnsi="Times New Roman"/>
          <w:color w:val="auto"/>
          <w:kern w:val="0"/>
          <w:szCs w:val="21"/>
        </w:rPr>
      </w:pPr>
      <w:r>
        <w:rPr>
          <w:rFonts w:ascii="宋体" w:hAnsi="宋体"/>
          <w:color w:val="auto"/>
          <w:kern w:val="0"/>
          <w:szCs w:val="21"/>
        </w:rPr>
        <w:t>（</w:t>
      </w:r>
      <w:r>
        <w:rPr>
          <w:rFonts w:ascii="Times New Roman" w:hAnsi="Times New Roman"/>
          <w:color w:val="auto"/>
          <w:kern w:val="0"/>
          <w:szCs w:val="21"/>
        </w:rPr>
        <w:t>2</w:t>
      </w:r>
      <w:r>
        <w:rPr>
          <w:rFonts w:ascii="宋体" w:hAnsi="宋体"/>
          <w:color w:val="auto"/>
          <w:kern w:val="0"/>
          <w:szCs w:val="21"/>
        </w:rPr>
        <w:t>）报价一览表；</w:t>
      </w:r>
    </w:p>
    <w:p>
      <w:pPr>
        <w:widowControl/>
        <w:spacing w:line="324" w:lineRule="auto"/>
        <w:ind w:firstLine="420"/>
        <w:jc w:val="left"/>
        <w:rPr>
          <w:rFonts w:ascii="Times New Roman" w:hAnsi="Times New Roman" w:cs="宋体"/>
          <w:color w:val="auto"/>
          <w:kern w:val="0"/>
          <w:szCs w:val="21"/>
        </w:rPr>
      </w:pPr>
      <w:r>
        <w:rPr>
          <w:rFonts w:ascii="宋体" w:hAnsi="宋体"/>
          <w:color w:val="auto"/>
          <w:kern w:val="0"/>
          <w:szCs w:val="21"/>
        </w:rPr>
        <w:t>（</w:t>
      </w:r>
      <w:r>
        <w:rPr>
          <w:rFonts w:ascii="Times New Roman" w:hAnsi="Times New Roman"/>
          <w:color w:val="auto"/>
          <w:kern w:val="0"/>
          <w:szCs w:val="21"/>
        </w:rPr>
        <w:t>3</w:t>
      </w:r>
      <w:r>
        <w:rPr>
          <w:rFonts w:ascii="宋体" w:hAnsi="宋体"/>
          <w:color w:val="auto"/>
          <w:kern w:val="0"/>
          <w:szCs w:val="21"/>
        </w:rPr>
        <w:t>）中小企业声明函</w:t>
      </w:r>
      <w:r>
        <w:rPr>
          <w:rFonts w:hint="eastAsia" w:ascii="宋体" w:hAnsi="宋体" w:cs="宋体"/>
          <w:color w:val="auto"/>
          <w:kern w:val="0"/>
          <w:szCs w:val="21"/>
        </w:rPr>
        <w:t>（见格式）（符合中小微企业有关政策的投标人需提供本项材料。投标人应根据《工业和信息化部、国家统计局、国家发展和改革委员会、财政部关于印发中小企业划型标准规定的通知》（工信部联企业〔</w:t>
      </w:r>
      <w:r>
        <w:rPr>
          <w:rFonts w:hint="eastAsia" w:ascii="Times New Roman" w:hAnsi="Times New Roman"/>
          <w:color w:val="auto"/>
          <w:kern w:val="0"/>
          <w:szCs w:val="21"/>
        </w:rPr>
        <w:t>2011</w:t>
      </w:r>
      <w:r>
        <w:rPr>
          <w:rFonts w:hint="eastAsia" w:ascii="宋体" w:hAnsi="宋体" w:cs="宋体"/>
          <w:color w:val="auto"/>
          <w:kern w:val="0"/>
          <w:szCs w:val="21"/>
        </w:rPr>
        <w:t>〕</w:t>
      </w:r>
      <w:r>
        <w:rPr>
          <w:rFonts w:hint="eastAsia" w:ascii="Times New Roman" w:hAnsi="Times New Roman"/>
          <w:color w:val="auto"/>
          <w:kern w:val="0"/>
          <w:szCs w:val="21"/>
        </w:rPr>
        <w:t>300</w:t>
      </w:r>
      <w:r>
        <w:rPr>
          <w:rFonts w:hint="eastAsia" w:ascii="宋体" w:hAnsi="宋体" w:cs="宋体"/>
          <w:color w:val="auto"/>
          <w:kern w:val="0"/>
          <w:szCs w:val="21"/>
        </w:rPr>
        <w:t>号）规定的划分标准</w:t>
      </w:r>
      <w:r>
        <w:rPr>
          <w:rFonts w:hint="eastAsia" w:ascii="Times New Roman" w:hAnsi="Times New Roman"/>
          <w:color w:val="auto"/>
          <w:kern w:val="0"/>
          <w:szCs w:val="21"/>
        </w:rPr>
        <w:t>,</w:t>
      </w:r>
      <w:r>
        <w:rPr>
          <w:rFonts w:hint="eastAsia" w:ascii="宋体" w:hAnsi="宋体" w:cs="宋体"/>
          <w:color w:val="auto"/>
          <w:kern w:val="0"/>
          <w:szCs w:val="21"/>
        </w:rPr>
        <w:t>填报企业规模类型。投标人也可在国务院客户端或工业和信息化部网站上，使用中小企业规模类型自测小程序识别企业规模类型。）；</w:t>
      </w:r>
    </w:p>
    <w:p>
      <w:pPr>
        <w:widowControl/>
        <w:spacing w:line="324" w:lineRule="auto"/>
        <w:ind w:firstLine="420"/>
        <w:jc w:val="left"/>
        <w:rPr>
          <w:rFonts w:hint="eastAsia" w:ascii="Times New Roman" w:hAnsi="Times New Roman" w:cs="宋体"/>
          <w:color w:val="auto"/>
          <w:kern w:val="0"/>
          <w:szCs w:val="21"/>
        </w:rPr>
      </w:pPr>
      <w:r>
        <w:rPr>
          <w:rFonts w:hint="eastAsia" w:ascii="宋体" w:hAnsi="宋体" w:cs="宋体"/>
          <w:color w:val="auto"/>
          <w:kern w:val="0"/>
          <w:szCs w:val="21"/>
        </w:rPr>
        <w:t>（</w:t>
      </w:r>
      <w:r>
        <w:rPr>
          <w:rFonts w:hint="eastAsia" w:ascii="Times New Roman" w:hAnsi="Times New Roman"/>
          <w:color w:val="auto"/>
          <w:kern w:val="0"/>
          <w:szCs w:val="21"/>
        </w:rPr>
        <w:t>4</w:t>
      </w:r>
      <w:r>
        <w:rPr>
          <w:rFonts w:hint="eastAsia" w:ascii="宋体" w:hAnsi="宋体" w:cs="宋体"/>
          <w:color w:val="auto"/>
          <w:kern w:val="0"/>
          <w:szCs w:val="21"/>
        </w:rPr>
        <w:t>）残疾人福利性单位声明函（见格式）（符合残疾人福利性单位有关政策的投标人需提供本项材料）</w:t>
      </w:r>
    </w:p>
    <w:p>
      <w:pPr>
        <w:widowControl/>
        <w:spacing w:line="324" w:lineRule="auto"/>
        <w:ind w:firstLine="420"/>
        <w:jc w:val="left"/>
        <w:rPr>
          <w:rFonts w:hint="eastAsia" w:ascii="Times New Roman" w:hAnsi="Times New Roman"/>
          <w:color w:val="auto"/>
          <w:kern w:val="0"/>
          <w:szCs w:val="21"/>
        </w:rPr>
      </w:pPr>
      <w:r>
        <w:rPr>
          <w:rFonts w:hint="eastAsia" w:ascii="宋体" w:hAnsi="宋体" w:cs="宋体"/>
          <w:color w:val="auto"/>
          <w:kern w:val="0"/>
          <w:szCs w:val="21"/>
        </w:rPr>
        <w:t>（</w:t>
      </w:r>
      <w:r>
        <w:rPr>
          <w:rFonts w:hint="eastAsia" w:ascii="Times New Roman" w:hAnsi="Times New Roman"/>
          <w:color w:val="auto"/>
          <w:kern w:val="0"/>
          <w:szCs w:val="21"/>
        </w:rPr>
        <w:t>5</w:t>
      </w:r>
      <w:r>
        <w:rPr>
          <w:rFonts w:hint="eastAsia" w:ascii="宋体" w:hAnsi="宋体" w:cs="宋体"/>
          <w:color w:val="auto"/>
          <w:kern w:val="0"/>
          <w:szCs w:val="21"/>
        </w:rPr>
        <w:t>）省级及以上监狱管理局、戒毒管理局（含新疆生产建设兵团）出具的属于监狱企业的文件复印件加盖电子签章（符合监狱企业有关政策的投标人需提供本项材料）</w:t>
      </w:r>
      <w:r>
        <w:rPr>
          <w:rFonts w:ascii="宋体" w:hAnsi="宋体"/>
          <w:color w:val="auto"/>
          <w:kern w:val="0"/>
          <w:szCs w:val="21"/>
        </w:rPr>
        <w:t>；</w:t>
      </w:r>
    </w:p>
    <w:p>
      <w:pPr>
        <w:widowControl/>
        <w:spacing w:line="324" w:lineRule="auto"/>
        <w:ind w:firstLine="420"/>
        <w:jc w:val="left"/>
        <w:rPr>
          <w:rFonts w:ascii="Times New Roman" w:hAnsi="Times New Roman"/>
          <w:color w:val="auto"/>
          <w:kern w:val="0"/>
          <w:szCs w:val="21"/>
        </w:rPr>
      </w:pPr>
      <w:r>
        <w:rPr>
          <w:rFonts w:hint="eastAsia" w:ascii="宋体" w:hAnsi="宋体" w:cs="宋体"/>
          <w:color w:val="auto"/>
          <w:kern w:val="0"/>
          <w:szCs w:val="21"/>
        </w:rPr>
        <w:t>（</w:t>
      </w:r>
      <w:r>
        <w:rPr>
          <w:rFonts w:hint="eastAsia" w:ascii="Times New Roman" w:hAnsi="Times New Roman"/>
          <w:color w:val="auto"/>
          <w:kern w:val="0"/>
          <w:szCs w:val="21"/>
        </w:rPr>
        <w:t>6</w:t>
      </w:r>
      <w:r>
        <w:rPr>
          <w:rFonts w:hint="eastAsia" w:ascii="宋体" w:hAnsi="宋体" w:cs="宋体"/>
          <w:color w:val="auto"/>
          <w:kern w:val="0"/>
          <w:szCs w:val="21"/>
        </w:rPr>
        <w:t>）</w:t>
      </w:r>
      <w:r>
        <w:rPr>
          <w:rFonts w:ascii="宋体" w:hAnsi="宋体"/>
          <w:color w:val="auto"/>
          <w:kern w:val="0"/>
          <w:szCs w:val="21"/>
        </w:rPr>
        <w:t>其他投标人认为须提供的资料。</w:t>
      </w:r>
    </w:p>
    <w:p>
      <w:pPr>
        <w:spacing w:line="324" w:lineRule="auto"/>
        <w:ind w:firstLine="422"/>
        <w:rPr>
          <w:rFonts w:ascii="Times New Roman" w:hAnsi="Times New Roman"/>
          <w:color w:val="auto"/>
          <w:szCs w:val="21"/>
        </w:rPr>
      </w:pPr>
      <w:r>
        <w:rPr>
          <w:rFonts w:ascii="Times New Roman" w:hAnsi="Times New Roman"/>
          <w:b/>
          <w:color w:val="auto"/>
          <w:szCs w:val="21"/>
        </w:rPr>
        <w:t>13</w:t>
      </w:r>
      <w:r>
        <w:rPr>
          <w:rFonts w:ascii="宋体" w:hAnsi="宋体"/>
          <w:b/>
          <w:color w:val="auto"/>
          <w:szCs w:val="21"/>
        </w:rPr>
        <w:t>、投标人资格的有关资料</w:t>
      </w:r>
    </w:p>
    <w:p>
      <w:pPr>
        <w:spacing w:line="324" w:lineRule="auto"/>
        <w:ind w:firstLine="420"/>
        <w:rPr>
          <w:rFonts w:cs="Calibri"/>
          <w:color w:val="auto"/>
          <w:szCs w:val="21"/>
        </w:rPr>
      </w:pPr>
      <w:r>
        <w:rPr>
          <w:rFonts w:cs="Calibri"/>
          <w:color w:val="auto"/>
          <w:szCs w:val="21"/>
        </w:rPr>
        <w:t>13.1</w:t>
      </w:r>
      <w:r>
        <w:rPr>
          <w:rFonts w:ascii="宋体" w:hAnsi="宋体" w:cs="Calibri"/>
          <w:color w:val="auto"/>
          <w:szCs w:val="21"/>
        </w:rPr>
        <w:t>投标人应提交体现其有资格参加投标和中标后有能力履行合同的文件，并作为其投标文件的一部分。</w:t>
      </w:r>
    </w:p>
    <w:p>
      <w:pPr>
        <w:spacing w:line="324" w:lineRule="auto"/>
        <w:ind w:firstLine="420"/>
        <w:rPr>
          <w:rFonts w:cs="Calibri"/>
          <w:color w:val="auto"/>
          <w:kern w:val="0"/>
          <w:szCs w:val="21"/>
        </w:rPr>
      </w:pPr>
      <w:r>
        <w:rPr>
          <w:rFonts w:hint="eastAsia" w:cs="Calibri"/>
          <w:color w:val="auto"/>
          <w:kern w:val="0"/>
          <w:szCs w:val="21"/>
        </w:rPr>
        <w:t>13.2</w:t>
      </w:r>
      <w:r>
        <w:rPr>
          <w:rFonts w:hint="eastAsia" w:ascii="宋体" w:hAnsi="宋体" w:cs="Calibri"/>
          <w:color w:val="auto"/>
          <w:kern w:val="0"/>
          <w:szCs w:val="21"/>
        </w:rPr>
        <w:t>投标人在投标时应符合本项目供应商资格条件。</w:t>
      </w:r>
    </w:p>
    <w:p>
      <w:pPr>
        <w:widowControl/>
        <w:spacing w:line="312" w:lineRule="auto"/>
        <w:ind w:firstLine="413"/>
        <w:jc w:val="left"/>
        <w:rPr>
          <w:rFonts w:ascii="Times New Roman" w:hAnsi="Times New Roman"/>
          <w:b/>
          <w:color w:val="auto"/>
          <w:kern w:val="0"/>
          <w:szCs w:val="21"/>
        </w:rPr>
      </w:pPr>
      <w:r>
        <w:rPr>
          <w:rFonts w:ascii="Times New Roman" w:hAnsi="Times New Roman"/>
          <w:b/>
          <w:color w:val="auto"/>
          <w:kern w:val="0"/>
          <w:szCs w:val="21"/>
        </w:rPr>
        <w:t>14</w:t>
      </w:r>
      <w:r>
        <w:rPr>
          <w:rFonts w:ascii="宋体" w:hAnsi="宋体"/>
          <w:b/>
          <w:color w:val="auto"/>
          <w:kern w:val="0"/>
          <w:szCs w:val="21"/>
        </w:rPr>
        <w:t>、投标报价</w:t>
      </w:r>
    </w:p>
    <w:p>
      <w:pPr>
        <w:widowControl/>
        <w:spacing w:line="312" w:lineRule="auto"/>
        <w:ind w:firstLine="420"/>
        <w:jc w:val="left"/>
        <w:rPr>
          <w:rFonts w:ascii="Times New Roman" w:hAnsi="Times New Roman"/>
          <w:b/>
          <w:color w:val="auto"/>
          <w:kern w:val="0"/>
          <w:szCs w:val="21"/>
        </w:rPr>
      </w:pPr>
      <w:r>
        <w:rPr>
          <w:rFonts w:ascii="Times New Roman" w:hAnsi="Times New Roman"/>
          <w:b/>
          <w:color w:val="auto"/>
          <w:kern w:val="0"/>
          <w:szCs w:val="21"/>
        </w:rPr>
        <w:t>14.1</w:t>
      </w:r>
      <w:r>
        <w:rPr>
          <w:rFonts w:hint="eastAsia" w:ascii="宋体" w:hAnsi="宋体" w:cs="宋体"/>
          <w:b/>
          <w:color w:val="auto"/>
          <w:kern w:val="0"/>
          <w:szCs w:val="21"/>
        </w:rPr>
        <w:t>投标人应根据国家的有关规定和招标文件要求并结合企业的实际情况进行报价。报价以人民币为结算货币，投标报价包括职工工资、劳保福利费（伙食补助、五险参保、劳保用品费、节假日加班费等）、工作所需的服装费、装备费、劳保用品费及材料购置费等其他日常所需费用、利润、税费、管理费、完成本项目的其它费用和政策性文件规定及合同包含的所有风险（包括保安身体状况造成的风险）、责任等各项应有费用，如有漏项，视同已包含在其总项目报价中，合同总价不做调整。</w:t>
      </w:r>
    </w:p>
    <w:p>
      <w:pPr>
        <w:widowControl/>
        <w:spacing w:line="312" w:lineRule="auto"/>
        <w:ind w:firstLine="420"/>
        <w:jc w:val="left"/>
        <w:rPr>
          <w:rFonts w:ascii="Times New Roman" w:hAnsi="Times New Roman"/>
          <w:color w:val="auto"/>
          <w:kern w:val="0"/>
          <w:szCs w:val="21"/>
        </w:rPr>
      </w:pPr>
      <w:r>
        <w:rPr>
          <w:rFonts w:ascii="Times New Roman" w:hAnsi="Times New Roman"/>
          <w:color w:val="auto"/>
          <w:kern w:val="0"/>
          <w:szCs w:val="21"/>
        </w:rPr>
        <w:t>14</w:t>
      </w:r>
      <w:r>
        <w:rPr>
          <w:rFonts w:hint="eastAsia" w:ascii="Times New Roman" w:hAnsi="Times New Roman"/>
          <w:color w:val="auto"/>
          <w:kern w:val="0"/>
          <w:szCs w:val="21"/>
        </w:rPr>
        <w:t>.2</w:t>
      </w:r>
      <w:r>
        <w:rPr>
          <w:rFonts w:ascii="Times New Roman" w:hAnsi="Times New Roman"/>
          <w:color w:val="auto"/>
          <w:kern w:val="0"/>
          <w:szCs w:val="21"/>
        </w:rPr>
        <w:t xml:space="preserve"> </w:t>
      </w:r>
      <w:r>
        <w:rPr>
          <w:rFonts w:hint="eastAsia" w:ascii="宋体" w:hAnsi="宋体" w:cs="宋体"/>
          <w:color w:val="auto"/>
          <w:kern w:val="0"/>
          <w:szCs w:val="21"/>
        </w:rPr>
        <w:t>客户端填写的报价与以</w:t>
      </w:r>
      <w:r>
        <w:rPr>
          <w:rFonts w:hint="eastAsia" w:ascii="Times New Roman" w:hAnsi="Times New Roman"/>
          <w:color w:val="auto"/>
          <w:kern w:val="0"/>
          <w:szCs w:val="21"/>
        </w:rPr>
        <w:t>pdf</w:t>
      </w:r>
      <w:r>
        <w:rPr>
          <w:rFonts w:hint="eastAsia" w:ascii="宋体" w:hAnsi="宋体" w:cs="宋体"/>
          <w:color w:val="auto"/>
          <w:kern w:val="0"/>
          <w:szCs w:val="21"/>
        </w:rPr>
        <w:t>格式上传文件中的报价不一致的，应以</w:t>
      </w:r>
      <w:r>
        <w:rPr>
          <w:rFonts w:hint="eastAsia" w:ascii="Times New Roman" w:hAnsi="Times New Roman"/>
          <w:color w:val="auto"/>
          <w:kern w:val="0"/>
          <w:szCs w:val="21"/>
        </w:rPr>
        <w:t>pdf</w:t>
      </w:r>
      <w:r>
        <w:rPr>
          <w:rFonts w:hint="eastAsia" w:ascii="宋体" w:hAnsi="宋体" w:cs="宋体"/>
          <w:color w:val="auto"/>
          <w:kern w:val="0"/>
          <w:szCs w:val="21"/>
        </w:rPr>
        <w:t>格式上传文件中的报价为准。（电子开评标项目适用）；</w:t>
      </w:r>
      <w:r>
        <w:rPr>
          <w:rFonts w:ascii="宋体" w:hAnsi="宋体"/>
          <w:color w:val="auto"/>
          <w:kern w:val="0"/>
          <w:szCs w:val="21"/>
        </w:rPr>
        <w:t>供应商应在投标书的《报价一览表》上写明投标报价项目的单价和总价，</w:t>
      </w:r>
      <w:r>
        <w:rPr>
          <w:rFonts w:hint="eastAsia" w:ascii="宋体" w:hAnsi="宋体" w:cs="宋体"/>
          <w:color w:val="auto"/>
          <w:kern w:val="0"/>
          <w:szCs w:val="21"/>
        </w:rPr>
        <w:t>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pPr>
        <w:widowControl/>
        <w:spacing w:line="312" w:lineRule="auto"/>
        <w:ind w:firstLine="420"/>
        <w:jc w:val="left"/>
        <w:rPr>
          <w:rFonts w:ascii="Times New Roman" w:hAnsi="Times New Roman"/>
          <w:color w:val="auto"/>
          <w:kern w:val="0"/>
          <w:szCs w:val="21"/>
        </w:rPr>
      </w:pPr>
      <w:r>
        <w:rPr>
          <w:rFonts w:ascii="Times New Roman" w:hAnsi="Times New Roman"/>
          <w:color w:val="auto"/>
          <w:kern w:val="0"/>
          <w:szCs w:val="21"/>
        </w:rPr>
        <w:t>14.</w:t>
      </w:r>
      <w:r>
        <w:rPr>
          <w:rFonts w:hint="eastAsia" w:ascii="Times New Roman" w:hAnsi="Times New Roman"/>
          <w:color w:val="auto"/>
          <w:kern w:val="0"/>
          <w:szCs w:val="21"/>
        </w:rPr>
        <w:t>3</w:t>
      </w:r>
      <w:r>
        <w:rPr>
          <w:rFonts w:ascii="宋体" w:hAnsi="宋体"/>
          <w:color w:val="auto"/>
          <w:kern w:val="0"/>
          <w:szCs w:val="21"/>
        </w:rPr>
        <w:t>中标后，</w:t>
      </w:r>
      <w:r>
        <w:rPr>
          <w:rFonts w:ascii="宋体" w:hAnsi="宋体"/>
          <w:b/>
          <w:bCs/>
          <w:color w:val="auto"/>
          <w:kern w:val="0"/>
          <w:szCs w:val="21"/>
        </w:rPr>
        <w:t>中标人所填写的报价在合同实施期间不因市场变化因素而变动</w:t>
      </w:r>
      <w:r>
        <w:rPr>
          <w:rFonts w:ascii="宋体" w:hAnsi="宋体"/>
          <w:color w:val="auto"/>
          <w:kern w:val="0"/>
          <w:szCs w:val="21"/>
        </w:rPr>
        <w:t>；投标人在计算报价时应考虑一定的风险系数。</w:t>
      </w:r>
    </w:p>
    <w:p>
      <w:pPr>
        <w:widowControl/>
        <w:spacing w:line="312" w:lineRule="auto"/>
        <w:ind w:firstLine="420"/>
        <w:jc w:val="left"/>
        <w:rPr>
          <w:rFonts w:ascii="Times New Roman" w:hAnsi="Times New Roman"/>
          <w:color w:val="auto"/>
          <w:kern w:val="0"/>
          <w:szCs w:val="21"/>
        </w:rPr>
      </w:pPr>
      <w:r>
        <w:rPr>
          <w:rFonts w:ascii="Times New Roman" w:hAnsi="Times New Roman"/>
          <w:color w:val="auto"/>
          <w:kern w:val="0"/>
          <w:szCs w:val="21"/>
        </w:rPr>
        <w:t>14.</w:t>
      </w:r>
      <w:r>
        <w:rPr>
          <w:rFonts w:hint="eastAsia" w:ascii="Times New Roman" w:hAnsi="Times New Roman"/>
          <w:color w:val="auto"/>
          <w:kern w:val="0"/>
          <w:szCs w:val="21"/>
        </w:rPr>
        <w:t>4</w:t>
      </w:r>
      <w:r>
        <w:rPr>
          <w:rFonts w:ascii="宋体" w:hAnsi="宋体"/>
          <w:color w:val="auto"/>
          <w:kern w:val="0"/>
          <w:szCs w:val="21"/>
        </w:rPr>
        <w:t>供应商应按招标文件规定的报价格式进行投标报价。供应商对每种服务只允许有一个报价，采购人不接受任何有选择性的报价。</w:t>
      </w:r>
    </w:p>
    <w:p>
      <w:pPr>
        <w:widowControl/>
        <w:spacing w:line="312" w:lineRule="auto"/>
        <w:ind w:firstLine="420"/>
        <w:jc w:val="left"/>
        <w:rPr>
          <w:rFonts w:ascii="Times New Roman" w:hAnsi="Times New Roman"/>
          <w:color w:val="auto"/>
          <w:kern w:val="0"/>
          <w:szCs w:val="21"/>
        </w:rPr>
      </w:pPr>
      <w:r>
        <w:rPr>
          <w:rFonts w:ascii="Times New Roman" w:hAnsi="Times New Roman"/>
          <w:color w:val="auto"/>
          <w:kern w:val="0"/>
          <w:szCs w:val="21"/>
        </w:rPr>
        <w:t>14.</w:t>
      </w:r>
      <w:r>
        <w:rPr>
          <w:rFonts w:hint="eastAsia" w:ascii="Times New Roman" w:hAnsi="Times New Roman"/>
          <w:color w:val="auto"/>
          <w:kern w:val="0"/>
          <w:szCs w:val="21"/>
        </w:rPr>
        <w:t>5</w:t>
      </w:r>
      <w:r>
        <w:rPr>
          <w:rFonts w:ascii="宋体" w:hAnsi="宋体"/>
          <w:color w:val="auto"/>
          <w:kern w:val="0"/>
          <w:szCs w:val="21"/>
        </w:rPr>
        <w:t>采购人不接受低于成本的投标报价，也不接受招标项目范围内的捐赠。</w:t>
      </w:r>
    </w:p>
    <w:p>
      <w:pPr>
        <w:widowControl/>
        <w:spacing w:line="312" w:lineRule="auto"/>
        <w:ind w:firstLine="420"/>
        <w:jc w:val="left"/>
        <w:rPr>
          <w:rFonts w:ascii="Times New Roman" w:hAnsi="Times New Roman"/>
          <w:color w:val="auto"/>
          <w:kern w:val="0"/>
          <w:szCs w:val="21"/>
        </w:rPr>
      </w:pPr>
      <w:r>
        <w:rPr>
          <w:rFonts w:ascii="Times New Roman" w:hAnsi="Times New Roman"/>
          <w:color w:val="auto"/>
          <w:kern w:val="0"/>
          <w:szCs w:val="21"/>
        </w:rPr>
        <w:t>14.</w:t>
      </w:r>
      <w:r>
        <w:rPr>
          <w:rFonts w:hint="eastAsia" w:ascii="Times New Roman" w:hAnsi="Times New Roman"/>
          <w:color w:val="auto"/>
          <w:kern w:val="0"/>
          <w:szCs w:val="21"/>
        </w:rPr>
        <w:t>6</w:t>
      </w:r>
      <w:r>
        <w:rPr>
          <w:rFonts w:ascii="宋体" w:hAnsi="宋体"/>
          <w:color w:val="auto"/>
          <w:kern w:val="0"/>
          <w:szCs w:val="21"/>
        </w:rPr>
        <w:t>供应商按照上述要求编制投标报价，一旦确认某一投标人中标，除合同规定的可调整内容外，中标人不得要求追加任何费用。</w:t>
      </w:r>
    </w:p>
    <w:p>
      <w:pPr>
        <w:widowControl/>
        <w:spacing w:line="312" w:lineRule="auto"/>
        <w:ind w:firstLine="420"/>
        <w:jc w:val="left"/>
        <w:rPr>
          <w:rFonts w:ascii="Times New Roman" w:hAnsi="Times New Roman"/>
          <w:color w:val="auto"/>
          <w:kern w:val="0"/>
          <w:szCs w:val="21"/>
        </w:rPr>
      </w:pPr>
      <w:r>
        <w:rPr>
          <w:rFonts w:ascii="Times New Roman" w:hAnsi="Times New Roman"/>
          <w:color w:val="auto"/>
          <w:kern w:val="0"/>
          <w:szCs w:val="21"/>
        </w:rPr>
        <w:t>14.</w:t>
      </w:r>
      <w:r>
        <w:rPr>
          <w:rFonts w:hint="eastAsia" w:ascii="Times New Roman" w:hAnsi="Times New Roman"/>
          <w:color w:val="auto"/>
          <w:kern w:val="0"/>
          <w:szCs w:val="21"/>
        </w:rPr>
        <w:t>7</w:t>
      </w:r>
      <w:r>
        <w:rPr>
          <w:rFonts w:ascii="宋体" w:hAnsi="宋体"/>
          <w:color w:val="auto"/>
          <w:kern w:val="0"/>
          <w:szCs w:val="21"/>
        </w:rPr>
        <w:t>须由中标单位开具正式发票。</w:t>
      </w:r>
    </w:p>
    <w:p>
      <w:pPr>
        <w:widowControl/>
        <w:spacing w:line="312" w:lineRule="auto"/>
        <w:ind w:firstLine="420"/>
        <w:jc w:val="left"/>
        <w:rPr>
          <w:rFonts w:ascii="Times New Roman" w:hAnsi="Times New Roman"/>
          <w:color w:val="auto"/>
          <w:kern w:val="0"/>
          <w:szCs w:val="21"/>
        </w:rPr>
      </w:pPr>
      <w:r>
        <w:rPr>
          <w:rFonts w:ascii="Times New Roman" w:hAnsi="Times New Roman"/>
          <w:color w:val="auto"/>
          <w:kern w:val="0"/>
          <w:szCs w:val="21"/>
        </w:rPr>
        <w:t>14.</w:t>
      </w:r>
      <w:r>
        <w:rPr>
          <w:rFonts w:hint="eastAsia" w:ascii="Times New Roman" w:hAnsi="Times New Roman"/>
          <w:color w:val="auto"/>
          <w:kern w:val="0"/>
          <w:szCs w:val="21"/>
        </w:rPr>
        <w:t>8</w:t>
      </w:r>
      <w:r>
        <w:rPr>
          <w:rFonts w:ascii="宋体" w:hAnsi="宋体"/>
          <w:color w:val="auto"/>
          <w:kern w:val="0"/>
          <w:szCs w:val="21"/>
        </w:rPr>
        <w:t>招标文件中规定由供应商承担并支付的相关费用（如中标服务费等）在投标报价时应一并考虑。</w:t>
      </w:r>
    </w:p>
    <w:p>
      <w:pPr>
        <w:spacing w:line="312" w:lineRule="auto"/>
        <w:ind w:firstLine="422"/>
        <w:rPr>
          <w:rFonts w:cs="Calibri"/>
          <w:b/>
          <w:color w:val="auto"/>
          <w:szCs w:val="21"/>
        </w:rPr>
      </w:pPr>
      <w:r>
        <w:rPr>
          <w:rFonts w:cs="Calibri"/>
          <w:b/>
          <w:color w:val="auto"/>
          <w:szCs w:val="21"/>
        </w:rPr>
        <w:t>15</w:t>
      </w:r>
      <w:r>
        <w:rPr>
          <w:rFonts w:ascii="宋体" w:hAnsi="宋体" w:cs="Calibri"/>
          <w:b/>
          <w:color w:val="auto"/>
          <w:szCs w:val="21"/>
        </w:rPr>
        <w:t>、投标文件格式</w:t>
      </w:r>
    </w:p>
    <w:p>
      <w:pPr>
        <w:spacing w:line="312" w:lineRule="auto"/>
        <w:ind w:firstLine="422"/>
        <w:rPr>
          <w:rFonts w:cs="Calibri"/>
          <w:b/>
          <w:color w:val="auto"/>
          <w:szCs w:val="21"/>
        </w:rPr>
      </w:pPr>
      <w:r>
        <w:rPr>
          <w:rFonts w:cs="Calibri"/>
          <w:b/>
          <w:color w:val="auto"/>
          <w:szCs w:val="21"/>
        </w:rPr>
        <w:t>15.1</w:t>
      </w:r>
      <w:r>
        <w:rPr>
          <w:rFonts w:ascii="宋体" w:hAnsi="宋体" w:cs="Calibri"/>
          <w:b/>
          <w:color w:val="auto"/>
          <w:szCs w:val="21"/>
        </w:rPr>
        <w:t>投标文件须包括本须知第</w:t>
      </w:r>
      <w:r>
        <w:rPr>
          <w:rFonts w:cs="Calibri"/>
          <w:b/>
          <w:color w:val="auto"/>
          <w:szCs w:val="21"/>
        </w:rPr>
        <w:t>12</w:t>
      </w:r>
      <w:r>
        <w:rPr>
          <w:rFonts w:ascii="宋体" w:hAnsi="宋体" w:cs="Calibri"/>
          <w:b/>
          <w:color w:val="auto"/>
          <w:szCs w:val="21"/>
        </w:rPr>
        <w:t>条中规定的全部内容，投标人不按招标文件的要求提供的投标文件和资料将视为没有对招标文件作实质性响应，其投标将被拒绝，其风险由投标人自行承担。</w:t>
      </w:r>
    </w:p>
    <w:p>
      <w:pPr>
        <w:spacing w:line="312" w:lineRule="auto"/>
        <w:ind w:firstLine="420"/>
        <w:rPr>
          <w:rFonts w:cs="Calibri"/>
          <w:color w:val="auto"/>
          <w:szCs w:val="21"/>
        </w:rPr>
      </w:pPr>
      <w:r>
        <w:rPr>
          <w:rFonts w:cs="Calibri"/>
          <w:color w:val="auto"/>
          <w:szCs w:val="21"/>
        </w:rPr>
        <w:t>15.2</w:t>
      </w:r>
      <w:r>
        <w:rPr>
          <w:rFonts w:ascii="宋体" w:hAnsi="宋体" w:cs="Calibri"/>
          <w:color w:val="auto"/>
          <w:szCs w:val="21"/>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widowControl/>
        <w:spacing w:line="312" w:lineRule="auto"/>
        <w:ind w:firstLine="422"/>
        <w:jc w:val="left"/>
        <w:rPr>
          <w:rFonts w:ascii="Times New Roman" w:hAnsi="Times New Roman"/>
          <w:b/>
          <w:color w:val="auto"/>
          <w:kern w:val="0"/>
          <w:szCs w:val="21"/>
        </w:rPr>
      </w:pPr>
      <w:r>
        <w:rPr>
          <w:rFonts w:ascii="Times New Roman" w:hAnsi="Times New Roman"/>
          <w:b/>
          <w:color w:val="auto"/>
          <w:kern w:val="0"/>
          <w:szCs w:val="21"/>
        </w:rPr>
        <w:t>16</w:t>
      </w:r>
      <w:r>
        <w:rPr>
          <w:rFonts w:ascii="宋体" w:hAnsi="宋体"/>
          <w:b/>
          <w:color w:val="auto"/>
          <w:kern w:val="0"/>
          <w:szCs w:val="21"/>
        </w:rPr>
        <w:t>、投标文件编制要求</w:t>
      </w:r>
    </w:p>
    <w:p>
      <w:pPr>
        <w:widowControl/>
        <w:spacing w:line="312" w:lineRule="auto"/>
        <w:ind w:firstLine="420"/>
        <w:jc w:val="left"/>
        <w:rPr>
          <w:rFonts w:ascii="Times New Roman" w:hAnsi="Times New Roman"/>
          <w:color w:val="auto"/>
          <w:kern w:val="0"/>
          <w:szCs w:val="21"/>
        </w:rPr>
      </w:pPr>
      <w:r>
        <w:rPr>
          <w:rFonts w:ascii="Times New Roman" w:hAnsi="Times New Roman"/>
          <w:color w:val="auto"/>
          <w:kern w:val="0"/>
          <w:szCs w:val="21"/>
        </w:rPr>
        <w:t xml:space="preserve">16.1 </w:t>
      </w:r>
      <w:r>
        <w:rPr>
          <w:rFonts w:ascii="宋体" w:hAnsi="宋体"/>
          <w:color w:val="auto"/>
          <w:kern w:val="0"/>
          <w:szCs w:val="21"/>
        </w:rPr>
        <w:t>投标文件制作：投标人通过</w:t>
      </w:r>
      <w:r>
        <w:rPr>
          <w:rFonts w:ascii="Times New Roman" w:hAnsi="Times New Roman"/>
          <w:color w:val="auto"/>
          <w:kern w:val="0"/>
          <w:szCs w:val="21"/>
        </w:rPr>
        <w:t>“</w:t>
      </w:r>
      <w:r>
        <w:rPr>
          <w:rFonts w:ascii="宋体" w:hAnsi="宋体"/>
          <w:color w:val="auto"/>
          <w:kern w:val="0"/>
          <w:szCs w:val="21"/>
        </w:rPr>
        <w:t>政采云</w:t>
      </w:r>
      <w:r>
        <w:rPr>
          <w:rFonts w:ascii="Times New Roman" w:hAnsi="Times New Roman"/>
          <w:color w:val="auto"/>
          <w:kern w:val="0"/>
          <w:szCs w:val="21"/>
        </w:rPr>
        <w:t>”</w:t>
      </w:r>
      <w:r>
        <w:rPr>
          <w:rFonts w:ascii="宋体" w:hAnsi="宋体"/>
          <w:color w:val="auto"/>
          <w:kern w:val="0"/>
          <w:szCs w:val="21"/>
        </w:rPr>
        <w:t>平台电子投标工具制作投标文件，电子投标工具请供应商自行前往</w:t>
      </w:r>
      <w:r>
        <w:rPr>
          <w:rFonts w:ascii="Times New Roman" w:hAnsi="Times New Roman"/>
          <w:color w:val="auto"/>
          <w:kern w:val="0"/>
          <w:szCs w:val="21"/>
        </w:rPr>
        <w:t>http://www.zjzfcg.gov.cn/download/index.html?_=1571296580459&amp;tdsourcetag=s_pcqq_aiomsg</w:t>
      </w:r>
      <w:r>
        <w:rPr>
          <w:rFonts w:ascii="宋体" w:hAnsi="宋体"/>
          <w:color w:val="auto"/>
          <w:kern w:val="0"/>
          <w:szCs w:val="21"/>
        </w:rPr>
        <w:t>下载并安装，投标文件制作具体流程详见</w:t>
      </w:r>
      <w:r>
        <w:rPr>
          <w:rFonts w:ascii="Times New Roman" w:hAnsi="Times New Roman"/>
          <w:color w:val="auto"/>
          <w:kern w:val="0"/>
          <w:szCs w:val="21"/>
        </w:rPr>
        <w:t>“</w:t>
      </w:r>
      <w:r>
        <w:rPr>
          <w:rFonts w:ascii="宋体" w:hAnsi="宋体" w:cs="宋体"/>
          <w:color w:val="auto"/>
          <w:kern w:val="0"/>
          <w:szCs w:val="21"/>
        </w:rPr>
        <w:fldChar w:fldCharType="begin"/>
      </w:r>
      <w:r>
        <w:rPr>
          <w:rFonts w:ascii="宋体" w:hAnsi="宋体" w:cs="宋体"/>
          <w:color w:val="auto"/>
          <w:kern w:val="0"/>
          <w:szCs w:val="21"/>
        </w:rPr>
        <w:instrText xml:space="preserve"> HYPERLINK "file:///D:\\users\\lenovo\\documents\\tencent%20files\\51098874\\filerecv\\电子化投标操作指南.pdf" </w:instrText>
      </w:r>
      <w:r>
        <w:rPr>
          <w:rFonts w:ascii="宋体" w:hAnsi="宋体" w:cs="宋体"/>
          <w:color w:val="auto"/>
          <w:kern w:val="0"/>
          <w:szCs w:val="21"/>
        </w:rPr>
        <w:fldChar w:fldCharType="separate"/>
      </w:r>
      <w:r>
        <w:rPr>
          <w:rFonts w:ascii="宋体" w:hAnsi="宋体"/>
          <w:color w:val="auto"/>
          <w:kern w:val="0"/>
          <w:szCs w:val="21"/>
          <w:u w:val="single"/>
        </w:rPr>
        <w:t>政采云供应商项目采购</w:t>
      </w:r>
      <w:r>
        <w:rPr>
          <w:rFonts w:ascii="Times New Roman" w:hAnsi="Times New Roman"/>
          <w:color w:val="auto"/>
          <w:kern w:val="0"/>
          <w:szCs w:val="21"/>
          <w:u w:val="single"/>
        </w:rPr>
        <w:t>-</w:t>
      </w:r>
      <w:r>
        <w:rPr>
          <w:rFonts w:hint="eastAsia" w:ascii="宋体" w:hAnsi="宋体" w:cs="宋体"/>
          <w:color w:val="auto"/>
          <w:kern w:val="0"/>
          <w:szCs w:val="21"/>
          <w:u w:val="single"/>
        </w:rPr>
        <w:t>。</w:t>
      </w:r>
      <w:r>
        <w:rPr>
          <w:rFonts w:ascii="宋体" w:hAnsi="宋体" w:cs="宋体"/>
          <w:color w:val="auto"/>
          <w:kern w:val="0"/>
          <w:szCs w:val="21"/>
        </w:rPr>
        <w:fldChar w:fldCharType="end"/>
      </w:r>
      <w:r>
        <w:rPr>
          <w:rFonts w:ascii="Times New Roman" w:hAnsi="Times New Roman"/>
          <w:color w:val="auto"/>
          <w:kern w:val="0"/>
          <w:szCs w:val="21"/>
        </w:rPr>
        <w:t>”</w:t>
      </w:r>
      <w:r>
        <w:rPr>
          <w:rFonts w:ascii="宋体" w:hAnsi="宋体"/>
          <w:color w:val="auto"/>
          <w:kern w:val="0"/>
          <w:szCs w:val="21"/>
        </w:rPr>
        <w:t>（请投标供应商登陆政采云平台</w:t>
      </w:r>
      <w:r>
        <w:rPr>
          <w:rFonts w:ascii="Times New Roman" w:hAnsi="Times New Roman"/>
          <w:color w:val="auto"/>
          <w:kern w:val="0"/>
          <w:szCs w:val="21"/>
        </w:rPr>
        <w:t>https://service.zcygov.cn/#/knowledges/CW1EtGwBFdiHxlNd6I3m/6IMVAG0BFdiHxlNdQ8Na</w:t>
      </w:r>
      <w:r>
        <w:rPr>
          <w:rFonts w:ascii="宋体" w:hAnsi="宋体"/>
          <w:color w:val="auto"/>
          <w:kern w:val="0"/>
          <w:szCs w:val="21"/>
        </w:rPr>
        <w:t>以获取最新操作指南）。</w:t>
      </w:r>
    </w:p>
    <w:p>
      <w:pPr>
        <w:spacing w:line="312" w:lineRule="auto"/>
        <w:ind w:firstLine="420"/>
        <w:rPr>
          <w:rFonts w:cs="Calibri"/>
          <w:color w:val="auto"/>
          <w:szCs w:val="21"/>
        </w:rPr>
      </w:pPr>
      <w:r>
        <w:rPr>
          <w:rFonts w:cs="Calibri"/>
          <w:color w:val="auto"/>
          <w:szCs w:val="21"/>
        </w:rPr>
        <w:t>16.2</w:t>
      </w:r>
      <w:r>
        <w:rPr>
          <w:rFonts w:hint="eastAsia" w:ascii="宋体" w:hAnsi="宋体" w:cs="Calibri"/>
          <w:color w:val="auto"/>
          <w:szCs w:val="21"/>
        </w:rPr>
        <w:t xml:space="preserve"> </w:t>
      </w:r>
      <w:r>
        <w:rPr>
          <w:rFonts w:hint="eastAsia" w:ascii="宋体" w:hAnsi="宋体" w:cs="Calibri"/>
          <w:b/>
          <w:bCs/>
          <w:color w:val="auto"/>
          <w:szCs w:val="21"/>
          <w:u w:val="single"/>
        </w:rPr>
        <w:t>投标人应根据电子投标操作指南按本招标文件规定的格式和顺序编制电子投标文件并进行关联定位。</w:t>
      </w:r>
    </w:p>
    <w:p>
      <w:pPr>
        <w:spacing w:line="312" w:lineRule="auto"/>
        <w:ind w:firstLine="420"/>
        <w:rPr>
          <w:rFonts w:ascii="宋体" w:hAnsi="宋体" w:cs="Calibri"/>
          <w:color w:val="auto"/>
          <w:szCs w:val="21"/>
        </w:rPr>
      </w:pPr>
      <w:r>
        <w:rPr>
          <w:rFonts w:cs="Calibri"/>
          <w:color w:val="auto"/>
          <w:szCs w:val="21"/>
        </w:rPr>
        <w:t>16.3</w:t>
      </w:r>
      <w:r>
        <w:rPr>
          <w:rFonts w:ascii="宋体" w:hAnsi="宋体" w:cs="Calibri"/>
          <w:color w:val="auto"/>
          <w:szCs w:val="21"/>
        </w:rPr>
        <w:t>由于</w:t>
      </w:r>
      <w:r>
        <w:rPr>
          <w:rFonts w:hint="eastAsia" w:ascii="宋体" w:hAnsi="宋体" w:cs="Calibri"/>
          <w:color w:val="auto"/>
          <w:szCs w:val="21"/>
        </w:rPr>
        <w:t>投标人</w:t>
      </w:r>
      <w:r>
        <w:rPr>
          <w:rFonts w:ascii="宋体" w:hAnsi="宋体" w:cs="Calibri"/>
          <w:color w:val="auto"/>
          <w:szCs w:val="21"/>
        </w:rPr>
        <w:t>未按招标文件的规定要求编制投标文件，导致评审小组作出的对投标方的误判，责任由投标方自己承担。</w:t>
      </w:r>
    </w:p>
    <w:p>
      <w:pPr>
        <w:widowControl/>
        <w:spacing w:line="312" w:lineRule="auto"/>
        <w:ind w:firstLine="422"/>
        <w:jc w:val="left"/>
        <w:rPr>
          <w:rFonts w:hint="eastAsia" w:ascii="Times New Roman" w:hAnsi="Times New Roman"/>
          <w:b/>
          <w:color w:val="auto"/>
          <w:kern w:val="0"/>
          <w:szCs w:val="21"/>
        </w:rPr>
      </w:pPr>
      <w:r>
        <w:rPr>
          <w:rFonts w:ascii="Times New Roman" w:hAnsi="Times New Roman"/>
          <w:b/>
          <w:color w:val="auto"/>
          <w:kern w:val="0"/>
          <w:szCs w:val="21"/>
        </w:rPr>
        <w:t>17</w:t>
      </w:r>
      <w:r>
        <w:rPr>
          <w:rFonts w:ascii="宋体" w:hAnsi="宋体"/>
          <w:b/>
          <w:color w:val="auto"/>
          <w:kern w:val="0"/>
          <w:szCs w:val="21"/>
        </w:rPr>
        <w:t>、投标保证金</w:t>
      </w:r>
    </w:p>
    <w:p>
      <w:pPr>
        <w:widowControl/>
        <w:spacing w:line="312" w:lineRule="auto"/>
        <w:ind w:firstLine="420"/>
        <w:jc w:val="left"/>
        <w:rPr>
          <w:rFonts w:ascii="Times New Roman" w:hAnsi="Times New Roman"/>
          <w:color w:val="auto"/>
          <w:kern w:val="0"/>
          <w:szCs w:val="21"/>
        </w:rPr>
      </w:pPr>
      <w:r>
        <w:rPr>
          <w:rFonts w:ascii="宋体" w:hAnsi="宋体"/>
          <w:color w:val="auto"/>
          <w:kern w:val="0"/>
          <w:szCs w:val="21"/>
        </w:rPr>
        <w:t>本项目免收投标保证金。</w:t>
      </w:r>
    </w:p>
    <w:p>
      <w:pPr>
        <w:spacing w:line="312" w:lineRule="auto"/>
        <w:ind w:firstLine="422"/>
        <w:rPr>
          <w:rFonts w:cs="Calibri"/>
          <w:b/>
          <w:color w:val="auto"/>
          <w:szCs w:val="21"/>
        </w:rPr>
      </w:pPr>
      <w:r>
        <w:rPr>
          <w:rFonts w:cs="Calibri"/>
          <w:b/>
          <w:color w:val="auto"/>
          <w:szCs w:val="21"/>
        </w:rPr>
        <w:t>18</w:t>
      </w:r>
      <w:r>
        <w:rPr>
          <w:rFonts w:ascii="宋体" w:hAnsi="宋体" w:cs="Calibri"/>
          <w:b/>
          <w:color w:val="auto"/>
          <w:szCs w:val="21"/>
        </w:rPr>
        <w:t>、投标有效期</w:t>
      </w:r>
    </w:p>
    <w:p>
      <w:pPr>
        <w:spacing w:line="312" w:lineRule="auto"/>
        <w:ind w:firstLine="420"/>
        <w:rPr>
          <w:rFonts w:cs="Calibri"/>
          <w:b/>
          <w:color w:val="auto"/>
          <w:szCs w:val="21"/>
        </w:rPr>
      </w:pPr>
      <w:r>
        <w:rPr>
          <w:rFonts w:cs="Calibri"/>
          <w:color w:val="auto"/>
          <w:szCs w:val="21"/>
        </w:rPr>
        <w:t xml:space="preserve">18.1 </w:t>
      </w:r>
      <w:r>
        <w:rPr>
          <w:rFonts w:ascii="宋体" w:hAnsi="宋体" w:cs="Calibri"/>
          <w:color w:val="auto"/>
          <w:szCs w:val="21"/>
        </w:rPr>
        <w:t>投标文件从开标之日起，投标有效期为</w:t>
      </w:r>
      <w:r>
        <w:rPr>
          <w:rFonts w:cs="Calibri"/>
          <w:color w:val="auto"/>
          <w:szCs w:val="21"/>
        </w:rPr>
        <w:t>60</w:t>
      </w:r>
      <w:r>
        <w:rPr>
          <w:rFonts w:ascii="宋体" w:hAnsi="宋体" w:cs="Calibri"/>
          <w:color w:val="auto"/>
          <w:szCs w:val="21"/>
        </w:rPr>
        <w:t>天。</w:t>
      </w:r>
    </w:p>
    <w:p>
      <w:pPr>
        <w:widowControl/>
        <w:spacing w:line="312" w:lineRule="auto"/>
        <w:ind w:firstLine="420"/>
        <w:jc w:val="left"/>
        <w:rPr>
          <w:rFonts w:ascii="Times New Roman" w:hAnsi="Times New Roman"/>
          <w:color w:val="auto"/>
          <w:kern w:val="0"/>
          <w:szCs w:val="21"/>
        </w:rPr>
      </w:pPr>
      <w:r>
        <w:rPr>
          <w:rFonts w:ascii="Times New Roman" w:hAnsi="Times New Roman"/>
          <w:color w:val="auto"/>
          <w:kern w:val="0"/>
          <w:szCs w:val="21"/>
        </w:rPr>
        <w:t xml:space="preserve">18.2 </w:t>
      </w:r>
      <w:r>
        <w:rPr>
          <w:rFonts w:ascii="宋体" w:hAnsi="宋体"/>
          <w:color w:val="auto"/>
          <w:kern w:val="0"/>
          <w:szCs w:val="21"/>
        </w:rPr>
        <w:t>特殊情况下，在原投标有效期截止之前，采购人可要求投标人同意延长有效期，这种要求与答复均应以书面形式提交。接受延长投标有效期的投标人将不会被要求和允许修正其投标。</w:t>
      </w:r>
    </w:p>
    <w:p>
      <w:pPr>
        <w:keepNext/>
        <w:keepLines/>
        <w:numPr>
          <w:ilvl w:val="1"/>
          <w:numId w:val="2"/>
        </w:numPr>
        <w:spacing w:line="312" w:lineRule="auto"/>
        <w:outlineLvl w:val="1"/>
        <w:rPr>
          <w:rFonts w:ascii="Times New Roman" w:hAnsi="Times New Roman"/>
          <w:b/>
          <w:color w:val="auto"/>
          <w:szCs w:val="21"/>
        </w:rPr>
      </w:pPr>
      <w:bookmarkStart w:id="17" w:name="_Toc362250690"/>
      <w:bookmarkEnd w:id="17"/>
      <w:bookmarkStart w:id="18" w:name="_Toc274303232"/>
      <w:bookmarkEnd w:id="18"/>
      <w:bookmarkStart w:id="19" w:name="_Toc206"/>
      <w:r>
        <w:rPr>
          <w:rFonts w:ascii="宋体" w:hAnsi="宋体"/>
          <w:b/>
          <w:color w:val="auto"/>
          <w:szCs w:val="21"/>
        </w:rPr>
        <w:t>四、投标文件的递交</w:t>
      </w:r>
      <w:bookmarkEnd w:id="19"/>
    </w:p>
    <w:p>
      <w:pPr>
        <w:spacing w:line="312" w:lineRule="auto"/>
        <w:ind w:firstLine="420"/>
        <w:rPr>
          <w:rFonts w:ascii="宋体" w:hAnsi="宋体" w:cs="Calibri"/>
          <w:color w:val="auto"/>
          <w:szCs w:val="21"/>
        </w:rPr>
      </w:pPr>
      <w:bookmarkStart w:id="20" w:name="_Toc274303233"/>
      <w:bookmarkEnd w:id="20"/>
      <w:bookmarkStart w:id="21" w:name="_Toc362250691"/>
      <w:bookmarkEnd w:id="21"/>
      <w:r>
        <w:rPr>
          <w:rFonts w:hint="eastAsia" w:cs="Calibri"/>
          <w:color w:val="auto"/>
          <w:szCs w:val="21"/>
        </w:rPr>
        <w:t>19</w:t>
      </w:r>
      <w:r>
        <w:rPr>
          <w:rFonts w:hint="eastAsia" w:ascii="宋体" w:hAnsi="宋体" w:cs="Calibri"/>
          <w:color w:val="auto"/>
          <w:szCs w:val="21"/>
        </w:rPr>
        <w:t>、电子投标文件上传的地点和截止时间</w:t>
      </w:r>
    </w:p>
    <w:p>
      <w:pPr>
        <w:spacing w:line="312" w:lineRule="auto"/>
        <w:ind w:firstLine="420"/>
        <w:rPr>
          <w:rFonts w:hint="eastAsia" w:ascii="宋体" w:hAnsi="宋体" w:cs="Calibri"/>
          <w:color w:val="auto"/>
          <w:szCs w:val="21"/>
        </w:rPr>
      </w:pPr>
      <w:r>
        <w:rPr>
          <w:rFonts w:hint="eastAsia" w:ascii="宋体" w:hAnsi="宋体" w:cs="Calibri"/>
          <w:color w:val="auto"/>
          <w:szCs w:val="21"/>
        </w:rPr>
        <w:t>供应商应于</w:t>
      </w:r>
      <w:r>
        <w:rPr>
          <w:rFonts w:hint="eastAsia" w:cs="Calibri"/>
          <w:color w:val="auto"/>
          <w:szCs w:val="21"/>
          <w:lang w:eastAsia="zh-CN"/>
        </w:rPr>
        <w:t>2021年05月19日</w:t>
      </w:r>
      <w:r>
        <w:rPr>
          <w:rFonts w:ascii="宋体" w:hAnsi="宋体" w:cs="Calibri"/>
          <w:color w:val="auto"/>
          <w:szCs w:val="21"/>
        </w:rPr>
        <w:t>上午</w:t>
      </w:r>
      <w:r>
        <w:rPr>
          <w:rFonts w:hint="eastAsia" w:cs="Calibri"/>
          <w:color w:val="auto"/>
          <w:szCs w:val="21"/>
        </w:rPr>
        <w:t>09:30</w:t>
      </w:r>
      <w:r>
        <w:rPr>
          <w:rFonts w:hint="eastAsia" w:ascii="宋体" w:hAnsi="宋体" w:cs="Calibri"/>
          <w:color w:val="auto"/>
          <w:szCs w:val="21"/>
        </w:rPr>
        <w:t>前在“政采云”上自行加密上传电子投标文件，</w:t>
      </w:r>
      <w:r>
        <w:rPr>
          <w:rFonts w:ascii="宋体" w:hAnsi="宋体" w:cs="Calibri"/>
          <w:color w:val="auto"/>
          <w:szCs w:val="21"/>
        </w:rPr>
        <w:t>逾期</w:t>
      </w:r>
      <w:r>
        <w:rPr>
          <w:rFonts w:hint="eastAsia" w:ascii="宋体" w:hAnsi="宋体" w:cs="Calibri"/>
          <w:color w:val="auto"/>
          <w:szCs w:val="21"/>
        </w:rPr>
        <w:t>上传</w:t>
      </w:r>
      <w:r>
        <w:rPr>
          <w:rFonts w:ascii="宋体" w:hAnsi="宋体" w:cs="Calibri"/>
          <w:color w:val="auto"/>
          <w:szCs w:val="21"/>
        </w:rPr>
        <w:t>或未按要求</w:t>
      </w:r>
      <w:r>
        <w:rPr>
          <w:rFonts w:hint="eastAsia" w:ascii="宋体" w:hAnsi="宋体" w:cs="Calibri"/>
          <w:color w:val="auto"/>
          <w:szCs w:val="21"/>
        </w:rPr>
        <w:t>上传</w:t>
      </w:r>
      <w:r>
        <w:rPr>
          <w:rFonts w:ascii="宋体" w:hAnsi="宋体" w:cs="Calibri"/>
          <w:color w:val="auto"/>
          <w:szCs w:val="21"/>
        </w:rPr>
        <w:t>的投标文件将予以拒收。</w:t>
      </w:r>
    </w:p>
    <w:p>
      <w:pPr>
        <w:spacing w:line="312" w:lineRule="auto"/>
        <w:ind w:firstLine="420"/>
        <w:rPr>
          <w:rFonts w:hint="eastAsia" w:ascii="宋体" w:hAnsi="宋体" w:cs="Calibri"/>
          <w:color w:val="auto"/>
          <w:szCs w:val="21"/>
        </w:rPr>
      </w:pPr>
      <w:r>
        <w:rPr>
          <w:rFonts w:hint="eastAsia" w:cs="Calibri"/>
          <w:color w:val="auto"/>
          <w:szCs w:val="21"/>
        </w:rPr>
        <w:t>20</w:t>
      </w:r>
      <w:r>
        <w:rPr>
          <w:rFonts w:hint="eastAsia" w:ascii="宋体" w:hAnsi="宋体" w:cs="Calibri"/>
          <w:color w:val="auto"/>
          <w:szCs w:val="21"/>
        </w:rPr>
        <w:t>、投标文件解密</w:t>
      </w:r>
    </w:p>
    <w:p>
      <w:pPr>
        <w:spacing w:line="312" w:lineRule="auto"/>
        <w:ind w:firstLine="420"/>
        <w:rPr>
          <w:rFonts w:hint="eastAsia" w:ascii="宋体" w:hAnsi="宋体" w:cs="Calibri"/>
          <w:color w:val="auto"/>
          <w:szCs w:val="21"/>
        </w:rPr>
      </w:pPr>
      <w:r>
        <w:rPr>
          <w:rFonts w:hint="eastAsia" w:ascii="宋体" w:hAnsi="宋体" w:cs="Calibri"/>
          <w:color w:val="auto"/>
          <w:szCs w:val="21"/>
        </w:rPr>
        <w:t>开标时间后</w:t>
      </w:r>
      <w:r>
        <w:rPr>
          <w:rFonts w:hint="eastAsia" w:cs="Calibri"/>
          <w:color w:val="auto"/>
          <w:szCs w:val="21"/>
        </w:rPr>
        <w:t>1</w:t>
      </w:r>
      <w:r>
        <w:rPr>
          <w:rFonts w:hint="eastAsia" w:ascii="宋体" w:hAnsi="宋体" w:cs="Calibri"/>
          <w:color w:val="auto"/>
          <w:szCs w:val="21"/>
        </w:rPr>
        <w:t>小时内（</w:t>
      </w:r>
      <w:r>
        <w:rPr>
          <w:rFonts w:hint="eastAsia" w:cs="Calibri"/>
          <w:color w:val="auto"/>
          <w:szCs w:val="21"/>
          <w:lang w:eastAsia="zh-CN"/>
        </w:rPr>
        <w:t>2021年05月19日</w:t>
      </w:r>
      <w:r>
        <w:rPr>
          <w:rFonts w:ascii="宋体" w:hAnsi="宋体" w:cs="Calibri"/>
          <w:color w:val="auto"/>
          <w:szCs w:val="21"/>
        </w:rPr>
        <w:t>上午</w:t>
      </w:r>
      <w:r>
        <w:rPr>
          <w:rFonts w:hint="eastAsia" w:cs="Calibri"/>
          <w:color w:val="auto"/>
          <w:szCs w:val="21"/>
        </w:rPr>
        <w:t>10:30</w:t>
      </w:r>
      <w:r>
        <w:rPr>
          <w:rFonts w:ascii="宋体" w:hAnsi="宋体" w:cs="Calibri"/>
          <w:color w:val="auto"/>
          <w:szCs w:val="21"/>
        </w:rPr>
        <w:t>前</w:t>
      </w:r>
      <w:r>
        <w:rPr>
          <w:rFonts w:hint="eastAsia" w:ascii="宋体" w:hAnsi="宋体" w:cs="Calibri"/>
          <w:color w:val="auto"/>
          <w:szCs w:val="21"/>
        </w:rPr>
        <w:t>）</w:t>
      </w:r>
      <w:r>
        <w:rPr>
          <w:rFonts w:ascii="宋体" w:hAnsi="宋体" w:cs="Calibri"/>
          <w:color w:val="auto"/>
          <w:szCs w:val="21"/>
        </w:rPr>
        <w:t>供应商可以登录</w:t>
      </w:r>
      <w:r>
        <w:rPr>
          <w:rFonts w:cs="Calibri"/>
          <w:color w:val="auto"/>
          <w:szCs w:val="21"/>
        </w:rPr>
        <w:t>“</w:t>
      </w:r>
      <w:r>
        <w:rPr>
          <w:rFonts w:hint="eastAsia" w:ascii="宋体" w:hAnsi="宋体" w:cs="Calibri"/>
          <w:color w:val="auto"/>
          <w:szCs w:val="21"/>
        </w:rPr>
        <w:t>政采云</w:t>
      </w:r>
      <w:r>
        <w:rPr>
          <w:rFonts w:cs="Calibri"/>
          <w:color w:val="auto"/>
          <w:szCs w:val="21"/>
        </w:rPr>
        <w:t>”</w:t>
      </w:r>
      <w:r>
        <w:rPr>
          <w:rFonts w:hint="eastAsia" w:ascii="宋体" w:hAnsi="宋体" w:cs="Calibri"/>
          <w:color w:val="auto"/>
          <w:szCs w:val="21"/>
        </w:rPr>
        <w:t>平台</w:t>
      </w:r>
      <w:r>
        <w:rPr>
          <w:rFonts w:ascii="宋体" w:hAnsi="宋体" w:cs="Calibri"/>
          <w:color w:val="auto"/>
          <w:szCs w:val="21"/>
        </w:rPr>
        <w:t>，用</w:t>
      </w:r>
      <w:r>
        <w:rPr>
          <w:rFonts w:cs="Calibri"/>
          <w:color w:val="auto"/>
          <w:szCs w:val="21"/>
        </w:rPr>
        <w:t>“</w:t>
      </w:r>
      <w:r>
        <w:rPr>
          <w:rFonts w:hint="eastAsia" w:ascii="宋体" w:hAnsi="宋体" w:cs="Calibri"/>
          <w:color w:val="auto"/>
          <w:szCs w:val="21"/>
        </w:rPr>
        <w:t>项目采购</w:t>
      </w:r>
      <w:r>
        <w:rPr>
          <w:rFonts w:hint="eastAsia" w:cs="Calibri"/>
          <w:color w:val="auto"/>
          <w:szCs w:val="21"/>
        </w:rPr>
        <w:t>-</w:t>
      </w:r>
      <w:r>
        <w:rPr>
          <w:rFonts w:hint="eastAsia" w:ascii="宋体" w:hAnsi="宋体" w:cs="Calibri"/>
          <w:color w:val="auto"/>
          <w:szCs w:val="21"/>
        </w:rPr>
        <w:t>开标评标</w:t>
      </w:r>
      <w:r>
        <w:rPr>
          <w:rFonts w:cs="Calibri"/>
          <w:color w:val="auto"/>
          <w:szCs w:val="21"/>
        </w:rPr>
        <w:t>”</w:t>
      </w:r>
      <w:r>
        <w:rPr>
          <w:rFonts w:ascii="宋体" w:hAnsi="宋体" w:cs="Calibri"/>
          <w:color w:val="auto"/>
          <w:szCs w:val="21"/>
        </w:rPr>
        <w:t>功能</w:t>
      </w:r>
      <w:r>
        <w:rPr>
          <w:rFonts w:hint="eastAsia" w:ascii="宋体" w:hAnsi="宋体" w:cs="Calibri"/>
          <w:color w:val="auto"/>
          <w:szCs w:val="21"/>
        </w:rPr>
        <w:t>进行解密投标文件</w:t>
      </w:r>
      <w:r>
        <w:rPr>
          <w:rFonts w:ascii="宋体" w:hAnsi="宋体" w:cs="Calibri"/>
          <w:color w:val="auto"/>
          <w:szCs w:val="21"/>
        </w:rPr>
        <w:t>。</w:t>
      </w:r>
      <w:r>
        <w:rPr>
          <w:rFonts w:hint="eastAsia" w:ascii="宋体" w:hAnsi="宋体" w:cs="Calibri"/>
          <w:color w:val="auto"/>
          <w:szCs w:val="21"/>
        </w:rPr>
        <w:t>若供应商在规定时间内无法解密或解密失败，将导致投标无效或失败。</w:t>
      </w:r>
    </w:p>
    <w:p>
      <w:pPr>
        <w:spacing w:line="312" w:lineRule="auto"/>
        <w:ind w:firstLine="420"/>
        <w:rPr>
          <w:rFonts w:hint="eastAsia" w:ascii="宋体" w:hAnsi="宋体" w:cs="Calibri"/>
          <w:color w:val="auto"/>
          <w:szCs w:val="21"/>
        </w:rPr>
      </w:pPr>
      <w:r>
        <w:rPr>
          <w:rFonts w:hint="eastAsia" w:ascii="宋体" w:hAnsi="宋体" w:cs="Calibri"/>
          <w:color w:val="auto"/>
          <w:szCs w:val="21"/>
        </w:rPr>
        <w:t>备注：</w:t>
      </w:r>
      <w:r>
        <w:rPr>
          <w:rFonts w:ascii="宋体" w:hAnsi="宋体" w:cs="Calibri"/>
          <w:color w:val="auto"/>
          <w:kern w:val="0"/>
          <w:szCs w:val="21"/>
          <w:u w:val="single"/>
        </w:rPr>
        <w:t>为确保采购项目顺利实施，避免因政采云上电子投标文件解密失败导致投标方投标无效，投标方可在</w:t>
      </w:r>
      <w:r>
        <w:rPr>
          <w:rFonts w:hint="eastAsia" w:cs="Calibri"/>
          <w:color w:val="auto"/>
          <w:kern w:val="0"/>
          <w:szCs w:val="21"/>
          <w:u w:val="single"/>
          <w:lang w:eastAsia="zh-CN"/>
        </w:rPr>
        <w:t>2021年05月19日</w:t>
      </w:r>
      <w:r>
        <w:rPr>
          <w:rFonts w:hint="eastAsia" w:ascii="宋体" w:hAnsi="宋体" w:cs="Calibri"/>
          <w:color w:val="auto"/>
          <w:kern w:val="0"/>
          <w:szCs w:val="21"/>
          <w:u w:val="single"/>
        </w:rPr>
        <w:t>上午</w:t>
      </w:r>
      <w:r>
        <w:rPr>
          <w:rFonts w:hint="eastAsia" w:cs="Calibri"/>
          <w:color w:val="auto"/>
          <w:kern w:val="0"/>
          <w:szCs w:val="21"/>
          <w:u w:val="single"/>
        </w:rPr>
        <w:t>09:30</w:t>
      </w:r>
      <w:r>
        <w:rPr>
          <w:rFonts w:ascii="宋体" w:hAnsi="宋体" w:cs="Calibri"/>
          <w:color w:val="auto"/>
          <w:kern w:val="0"/>
          <w:szCs w:val="21"/>
          <w:u w:val="single"/>
        </w:rPr>
        <w:t>前将在政采云平台上最后生成的具备电子签章的备份加密投标文件（文件名后缀为备份文件四字的首字母）以电子邮件方式传送至浙江省成套招标代理有限公司指定邮箱（</w:t>
      </w:r>
      <w:r>
        <w:rPr>
          <w:rFonts w:hint="eastAsia" w:cs="Calibri"/>
          <w:color w:val="auto"/>
          <w:kern w:val="0"/>
          <w:szCs w:val="21"/>
          <w:u w:val="single"/>
        </w:rPr>
        <w:t>1830912141</w:t>
      </w:r>
      <w:r>
        <w:rPr>
          <w:rFonts w:cs="Calibri"/>
          <w:color w:val="auto"/>
          <w:kern w:val="0"/>
          <w:szCs w:val="21"/>
          <w:u w:val="single"/>
        </w:rPr>
        <w:t>@qq.com</w:t>
      </w:r>
      <w:r>
        <w:rPr>
          <w:rFonts w:ascii="宋体" w:hAnsi="宋体" w:cs="Calibri"/>
          <w:color w:val="auto"/>
          <w:kern w:val="0"/>
          <w:szCs w:val="21"/>
          <w:u w:val="single"/>
        </w:rPr>
        <w:t>），传送的备份电子投标文件需打包压缩并加密，加密密码由投标方自行保管，如政采云上电子投标文件出现解密失败情况（开标当日</w:t>
      </w:r>
      <w:r>
        <w:rPr>
          <w:rFonts w:hint="eastAsia" w:cs="Calibri"/>
          <w:color w:val="auto"/>
          <w:kern w:val="0"/>
          <w:szCs w:val="21"/>
          <w:u w:val="single"/>
        </w:rPr>
        <w:t>09:30</w:t>
      </w:r>
      <w:r>
        <w:rPr>
          <w:rFonts w:cs="Calibri"/>
          <w:color w:val="auto"/>
          <w:kern w:val="0"/>
          <w:szCs w:val="21"/>
          <w:u w:val="single"/>
        </w:rPr>
        <w:t>-</w:t>
      </w:r>
      <w:r>
        <w:rPr>
          <w:rFonts w:hint="eastAsia" w:cs="Calibri"/>
          <w:color w:val="auto"/>
          <w:kern w:val="0"/>
          <w:szCs w:val="21"/>
          <w:u w:val="single"/>
        </w:rPr>
        <w:t>10:30</w:t>
      </w:r>
      <w:r>
        <w:rPr>
          <w:rFonts w:ascii="宋体" w:hAnsi="宋体" w:cs="Calibri"/>
          <w:color w:val="auto"/>
          <w:kern w:val="0"/>
          <w:szCs w:val="21"/>
          <w:u w:val="single"/>
        </w:rPr>
        <w:t>期间进行解密），投标方可按照自身意愿确认是否同意提供加密密码解密传送至浙江省成套招标代理有限公司指定邮箱（</w:t>
      </w:r>
      <w:r>
        <w:rPr>
          <w:rFonts w:hint="eastAsia" w:cs="Calibri"/>
          <w:color w:val="auto"/>
          <w:kern w:val="0"/>
          <w:szCs w:val="21"/>
          <w:u w:val="single"/>
        </w:rPr>
        <w:t>1830912141</w:t>
      </w:r>
      <w:r>
        <w:rPr>
          <w:rFonts w:cs="Calibri"/>
          <w:color w:val="auto"/>
          <w:kern w:val="0"/>
          <w:szCs w:val="21"/>
          <w:u w:val="single"/>
        </w:rPr>
        <w:t>@qq.com</w:t>
      </w:r>
      <w:r>
        <w:rPr>
          <w:rFonts w:ascii="宋体" w:hAnsi="宋体" w:cs="Calibri"/>
          <w:color w:val="auto"/>
          <w:kern w:val="0"/>
          <w:szCs w:val="21"/>
          <w:u w:val="single"/>
        </w:rPr>
        <w:t>）的备份文件，并以备份文件作为替代电子投标文件，如投标方未按照规定时间</w:t>
      </w:r>
      <w:r>
        <w:rPr>
          <w:rFonts w:hint="eastAsia" w:ascii="宋体" w:hAnsi="宋体" w:cs="Calibri"/>
          <w:color w:val="auto"/>
          <w:kern w:val="0"/>
          <w:szCs w:val="21"/>
          <w:u w:val="single"/>
        </w:rPr>
        <w:t>（</w:t>
      </w:r>
      <w:r>
        <w:rPr>
          <w:rFonts w:hint="eastAsia" w:cs="Calibri"/>
          <w:color w:val="auto"/>
          <w:kern w:val="0"/>
          <w:szCs w:val="21"/>
          <w:u w:val="single"/>
          <w:lang w:eastAsia="zh-CN"/>
        </w:rPr>
        <w:t>2021年05月19日</w:t>
      </w:r>
      <w:r>
        <w:rPr>
          <w:rFonts w:hint="eastAsia" w:ascii="宋体" w:hAnsi="宋体" w:cs="Calibri"/>
          <w:color w:val="auto"/>
          <w:kern w:val="0"/>
          <w:szCs w:val="21"/>
          <w:u w:val="single"/>
        </w:rPr>
        <w:t>上午</w:t>
      </w:r>
      <w:r>
        <w:rPr>
          <w:rFonts w:hint="eastAsia" w:cs="Calibri"/>
          <w:color w:val="auto"/>
          <w:kern w:val="0"/>
          <w:szCs w:val="21"/>
          <w:u w:val="single"/>
        </w:rPr>
        <w:t>09:30</w:t>
      </w:r>
      <w:r>
        <w:rPr>
          <w:rFonts w:hint="eastAsia" w:ascii="宋体" w:hAnsi="宋体" w:cs="Calibri"/>
          <w:color w:val="auto"/>
          <w:kern w:val="0"/>
          <w:szCs w:val="21"/>
          <w:u w:val="single"/>
        </w:rPr>
        <w:t>前）</w:t>
      </w:r>
      <w:r>
        <w:rPr>
          <w:rFonts w:ascii="宋体" w:hAnsi="宋体" w:cs="Calibri"/>
          <w:color w:val="auto"/>
          <w:kern w:val="0"/>
          <w:szCs w:val="21"/>
          <w:u w:val="single"/>
        </w:rPr>
        <w:t>及要求提供有效备份文件，同时政采云上投标文件解密失败的，将导致投标无效。</w:t>
      </w:r>
    </w:p>
    <w:p>
      <w:pPr>
        <w:spacing w:line="312" w:lineRule="auto"/>
        <w:ind w:firstLine="420"/>
        <w:rPr>
          <w:rFonts w:hint="eastAsia" w:ascii="宋体" w:hAnsi="宋体" w:cs="Calibri"/>
          <w:color w:val="auto"/>
          <w:szCs w:val="21"/>
        </w:rPr>
      </w:pPr>
      <w:r>
        <w:rPr>
          <w:rFonts w:hint="eastAsia" w:cs="Calibri"/>
          <w:color w:val="auto"/>
          <w:szCs w:val="21"/>
        </w:rPr>
        <w:t>22</w:t>
      </w:r>
      <w:r>
        <w:rPr>
          <w:rFonts w:hint="eastAsia" w:ascii="宋体" w:hAnsi="宋体" w:cs="Calibri"/>
          <w:color w:val="auto"/>
          <w:szCs w:val="21"/>
        </w:rPr>
        <w:t>、投标文件的补充、修改与撤回</w:t>
      </w:r>
    </w:p>
    <w:p>
      <w:pPr>
        <w:spacing w:line="312" w:lineRule="auto"/>
        <w:ind w:firstLine="420"/>
        <w:rPr>
          <w:rFonts w:hint="eastAsia" w:ascii="宋体" w:hAnsi="宋体" w:cs="Calibri"/>
          <w:color w:val="auto"/>
          <w:szCs w:val="21"/>
        </w:rPr>
      </w:pPr>
      <w:r>
        <w:rPr>
          <w:rFonts w:hint="eastAsia" w:cs="Calibri"/>
          <w:color w:val="auto"/>
          <w:szCs w:val="21"/>
        </w:rPr>
        <w:t>22.1</w:t>
      </w:r>
      <w:r>
        <w:rPr>
          <w:rFonts w:hint="eastAsia" w:ascii="宋体" w:hAnsi="宋体" w:cs="Calibri"/>
          <w:color w:val="auto"/>
          <w:szCs w:val="21"/>
        </w:rPr>
        <w:t>投标人在提交投标文件以后，在规定的投标截止时间之前，可以以重新补充修改或撤回已上传的投标文件，补充、修改的内容为投标文件的组成部分。</w:t>
      </w:r>
    </w:p>
    <w:p>
      <w:pPr>
        <w:spacing w:line="312" w:lineRule="auto"/>
        <w:ind w:firstLine="420"/>
        <w:rPr>
          <w:rFonts w:hint="eastAsia" w:ascii="宋体" w:hAnsi="宋体" w:cs="Calibri"/>
          <w:color w:val="auto"/>
          <w:szCs w:val="21"/>
        </w:rPr>
      </w:pPr>
      <w:r>
        <w:rPr>
          <w:rFonts w:hint="eastAsia" w:cs="Calibri"/>
          <w:color w:val="auto"/>
          <w:szCs w:val="21"/>
        </w:rPr>
        <w:t>22.2</w:t>
      </w:r>
      <w:r>
        <w:rPr>
          <w:rFonts w:hint="eastAsia" w:ascii="宋体" w:hAnsi="宋体" w:cs="Calibri"/>
          <w:color w:val="auto"/>
          <w:szCs w:val="21"/>
        </w:rPr>
        <w:t>在投标截止时间之后，投标人不得对其投标做任何修改。</w:t>
      </w:r>
    </w:p>
    <w:p>
      <w:pPr>
        <w:spacing w:line="312" w:lineRule="auto"/>
        <w:ind w:firstLine="420"/>
        <w:rPr>
          <w:rFonts w:hint="eastAsia" w:cs="Calibri"/>
          <w:color w:val="auto"/>
          <w:szCs w:val="21"/>
        </w:rPr>
      </w:pPr>
      <w:r>
        <w:rPr>
          <w:rFonts w:hint="eastAsia" w:cs="Calibri"/>
          <w:color w:val="auto"/>
          <w:szCs w:val="21"/>
        </w:rPr>
        <w:t>22.3</w:t>
      </w:r>
      <w:r>
        <w:rPr>
          <w:rFonts w:hint="eastAsia" w:ascii="宋体" w:hAnsi="宋体" w:cs="Calibri"/>
          <w:color w:val="auto"/>
          <w:szCs w:val="21"/>
        </w:rPr>
        <w:t>从投标截止时间至投标人在投标书格式中确定的投标有效期期满这段时间内，投标人不得撤回其投标。</w:t>
      </w:r>
    </w:p>
    <w:p>
      <w:pPr>
        <w:spacing w:line="312" w:lineRule="auto"/>
        <w:ind w:firstLine="420"/>
        <w:rPr>
          <w:rFonts w:cs="Calibri"/>
          <w:color w:val="auto"/>
          <w:szCs w:val="21"/>
        </w:rPr>
      </w:pPr>
      <w:r>
        <w:rPr>
          <w:rFonts w:ascii="宋体" w:hAnsi="宋体" w:cs="Calibri"/>
          <w:color w:val="auto"/>
          <w:szCs w:val="21"/>
        </w:rPr>
        <w:t>五、其它</w:t>
      </w:r>
    </w:p>
    <w:p>
      <w:pPr>
        <w:spacing w:line="312" w:lineRule="auto"/>
        <w:ind w:firstLine="420"/>
        <w:rPr>
          <w:rFonts w:cs="Calibri"/>
          <w:color w:val="auto"/>
          <w:szCs w:val="21"/>
        </w:rPr>
      </w:pPr>
      <w:r>
        <w:rPr>
          <w:rFonts w:cs="Calibri"/>
          <w:color w:val="auto"/>
          <w:szCs w:val="21"/>
        </w:rPr>
        <w:t>23</w:t>
      </w:r>
      <w:r>
        <w:rPr>
          <w:rFonts w:ascii="宋体" w:hAnsi="宋体" w:cs="Calibri"/>
          <w:color w:val="auto"/>
          <w:szCs w:val="21"/>
        </w:rPr>
        <w:t>、本招标文件解释权归采购人。</w:t>
      </w:r>
    </w:p>
    <w:p>
      <w:pPr>
        <w:widowControl/>
        <w:spacing w:line="312" w:lineRule="auto"/>
        <w:jc w:val="left"/>
        <w:rPr>
          <w:rFonts w:ascii="宋体" w:hAnsi="宋体" w:cs="宋体"/>
          <w:b/>
          <w:color w:val="auto"/>
          <w:sz w:val="32"/>
          <w:szCs w:val="32"/>
        </w:rPr>
        <w:sectPr>
          <w:pgSz w:w="11906" w:h="16838"/>
          <w:pgMar w:top="1417" w:right="1134" w:bottom="1417" w:left="1134" w:header="851" w:footer="992" w:gutter="0"/>
          <w:cols w:space="720" w:num="1"/>
          <w:titlePg/>
          <w:docGrid w:type="lines" w:linePitch="286" w:charSpace="0"/>
        </w:sectPr>
      </w:pPr>
    </w:p>
    <w:p>
      <w:pPr>
        <w:keepNext/>
        <w:keepLines/>
        <w:spacing w:line="576" w:lineRule="auto"/>
        <w:jc w:val="center"/>
        <w:outlineLvl w:val="0"/>
        <w:rPr>
          <w:rFonts w:cs="Calibri"/>
          <w:b/>
          <w:color w:val="auto"/>
          <w:sz w:val="32"/>
          <w:szCs w:val="32"/>
        </w:rPr>
      </w:pPr>
      <w:bookmarkStart w:id="22" w:name="_Toc15550"/>
      <w:bookmarkEnd w:id="22"/>
      <w:bookmarkStart w:id="23" w:name="_Toc21615"/>
      <w:r>
        <w:rPr>
          <w:rFonts w:hint="eastAsia" w:ascii="宋体" w:hAnsi="宋体" w:cs="Calibri"/>
          <w:b/>
          <w:color w:val="auto"/>
          <w:sz w:val="32"/>
          <w:szCs w:val="32"/>
        </w:rPr>
        <w:t>第三章 招标项目要求</w:t>
      </w:r>
      <w:bookmarkEnd w:id="23"/>
    </w:p>
    <w:p>
      <w:pPr>
        <w:keepNext/>
        <w:keepLines/>
        <w:spacing w:line="440" w:lineRule="exact"/>
        <w:outlineLvl w:val="1"/>
        <w:rPr>
          <w:rFonts w:ascii="宋体" w:hAnsi="宋体" w:cs="Arial"/>
          <w:b/>
          <w:color w:val="auto"/>
          <w:sz w:val="28"/>
          <w:szCs w:val="28"/>
        </w:rPr>
      </w:pPr>
      <w:bookmarkStart w:id="24" w:name="_Toc379811058"/>
      <w:bookmarkEnd w:id="24"/>
      <w:bookmarkStart w:id="25" w:name="_Toc8547"/>
      <w:bookmarkEnd w:id="25"/>
      <w:bookmarkStart w:id="26" w:name="_Toc274303235"/>
      <w:bookmarkEnd w:id="26"/>
      <w:bookmarkStart w:id="27" w:name="_Toc16948"/>
      <w:bookmarkEnd w:id="27"/>
      <w:bookmarkStart w:id="28" w:name="_Toc365897794"/>
      <w:bookmarkEnd w:id="28"/>
      <w:bookmarkStart w:id="29" w:name="_Toc26098"/>
      <w:bookmarkEnd w:id="29"/>
      <w:bookmarkStart w:id="30" w:name="_Toc496233075"/>
      <w:bookmarkEnd w:id="30"/>
      <w:bookmarkStart w:id="31" w:name="_Toc30565"/>
      <w:r>
        <w:rPr>
          <w:rFonts w:hint="eastAsia" w:ascii="宋体" w:hAnsi="宋体" w:cs="Arial"/>
          <w:b/>
          <w:color w:val="auto"/>
          <w:sz w:val="28"/>
          <w:szCs w:val="28"/>
        </w:rPr>
        <w:t>一、</w:t>
      </w:r>
      <w:bookmarkEnd w:id="31"/>
      <w:r>
        <w:rPr>
          <w:rFonts w:hint="eastAsia" w:ascii="宋体" w:hAnsi="宋体" w:cs="Arial"/>
          <w:b/>
          <w:color w:val="auto"/>
          <w:sz w:val="28"/>
          <w:szCs w:val="28"/>
        </w:rPr>
        <w:t>招标项目简介</w:t>
      </w:r>
    </w:p>
    <w:p>
      <w:pPr>
        <w:spacing w:line="312" w:lineRule="auto"/>
        <w:ind w:firstLine="420"/>
        <w:rPr>
          <w:rFonts w:hint="eastAsia" w:ascii="Times New Roman" w:hAnsi="Times New Roman" w:cs="Calibri"/>
          <w:color w:val="auto"/>
          <w:szCs w:val="21"/>
        </w:rPr>
      </w:pPr>
      <w:r>
        <w:rPr>
          <w:rFonts w:hint="eastAsia" w:ascii="宋体" w:hAnsi="宋体" w:cs="Calibri"/>
          <w:color w:val="auto"/>
          <w:szCs w:val="21"/>
        </w:rPr>
        <w:t>本次招标的服务内容是行政一号楼、矛调中心</w:t>
      </w:r>
      <w:r>
        <w:rPr>
          <w:rFonts w:hint="eastAsia" w:ascii="Times New Roman" w:hAnsi="Times New Roman"/>
          <w:color w:val="auto"/>
          <w:szCs w:val="21"/>
        </w:rPr>
        <w:t>2021-2022</w:t>
      </w:r>
      <w:r>
        <w:rPr>
          <w:rFonts w:hint="eastAsia" w:ascii="宋体" w:hAnsi="宋体" w:cs="Calibri"/>
          <w:color w:val="auto"/>
          <w:szCs w:val="21"/>
        </w:rPr>
        <w:t>年保安服务，要求投标人具有科学合理的组织结构、严格的管理细则和岗位责任制度，能为招标人提供完善的保安服务和保障管理能力。同时需结合招标人的基本需求，凭借各投标人管理服务的体系和类似服务的经验，构建科学合理、组织结构精简高效、管理手段先进、适合招标人具体情况，并能良好运作的保安服务体系。</w:t>
      </w:r>
    </w:p>
    <w:p>
      <w:pPr>
        <w:keepNext/>
        <w:keepLines/>
        <w:numPr>
          <w:ilvl w:val="0"/>
          <w:numId w:val="4"/>
        </w:numPr>
        <w:spacing w:line="440" w:lineRule="exact"/>
        <w:outlineLvl w:val="1"/>
        <w:rPr>
          <w:rFonts w:hint="eastAsia" w:ascii="宋体" w:hAnsi="宋体" w:cs="Arial"/>
          <w:b/>
          <w:color w:val="auto"/>
          <w:sz w:val="28"/>
          <w:szCs w:val="28"/>
        </w:rPr>
      </w:pPr>
      <w:r>
        <w:rPr>
          <w:rFonts w:hint="eastAsia" w:ascii="宋体" w:hAnsi="宋体" w:cs="Arial"/>
          <w:b/>
          <w:color w:val="auto"/>
          <w:sz w:val="28"/>
          <w:szCs w:val="28"/>
        </w:rPr>
        <w:t>招标需求</w:t>
      </w:r>
    </w:p>
    <w:p>
      <w:pPr>
        <w:spacing w:line="312" w:lineRule="auto"/>
        <w:ind w:firstLine="420"/>
        <w:rPr>
          <w:rFonts w:hint="eastAsia" w:ascii="Times New Roman" w:hAnsi="Times New Roman" w:cs="Calibri"/>
          <w:color w:val="auto"/>
          <w:szCs w:val="21"/>
        </w:rPr>
      </w:pPr>
      <w:r>
        <w:rPr>
          <w:rFonts w:hint="eastAsia" w:ascii="宋体" w:hAnsi="宋体" w:cs="Calibri"/>
          <w:color w:val="auto"/>
          <w:szCs w:val="21"/>
        </w:rPr>
        <w:t>本次招标预算为</w:t>
      </w:r>
      <w:r>
        <w:rPr>
          <w:rFonts w:hint="eastAsia" w:ascii="Times New Roman" w:hAnsi="Times New Roman"/>
          <w:color w:val="auto"/>
          <w:szCs w:val="21"/>
        </w:rPr>
        <w:t>265</w:t>
      </w:r>
      <w:r>
        <w:rPr>
          <w:rFonts w:hint="eastAsia" w:ascii="宋体" w:hAnsi="宋体" w:cs="Calibri"/>
          <w:color w:val="auto"/>
          <w:szCs w:val="21"/>
        </w:rPr>
        <w:t>万元</w:t>
      </w:r>
      <w:r>
        <w:rPr>
          <w:rFonts w:hint="eastAsia" w:ascii="Times New Roman" w:hAnsi="Times New Roman"/>
          <w:color w:val="auto"/>
          <w:szCs w:val="21"/>
        </w:rPr>
        <w:t>/</w:t>
      </w:r>
      <w:r>
        <w:rPr>
          <w:rFonts w:hint="eastAsia" w:ascii="宋体" w:hAnsi="宋体" w:cs="Calibri"/>
          <w:color w:val="auto"/>
          <w:szCs w:val="21"/>
        </w:rPr>
        <w:t>年，两年共</w:t>
      </w:r>
      <w:r>
        <w:rPr>
          <w:rFonts w:hint="eastAsia" w:ascii="Times New Roman" w:hAnsi="Times New Roman"/>
          <w:color w:val="auto"/>
          <w:szCs w:val="21"/>
        </w:rPr>
        <w:t>530</w:t>
      </w:r>
      <w:r>
        <w:rPr>
          <w:rFonts w:hint="eastAsia" w:ascii="宋体" w:hAnsi="宋体" w:cs="Calibri"/>
          <w:color w:val="auto"/>
          <w:szCs w:val="21"/>
        </w:rPr>
        <w:t>万元。</w:t>
      </w:r>
    </w:p>
    <w:p>
      <w:pPr>
        <w:spacing w:line="312" w:lineRule="auto"/>
        <w:ind w:firstLine="420"/>
        <w:rPr>
          <w:rFonts w:hint="eastAsia" w:ascii="Times New Roman" w:hAnsi="Times New Roman" w:cs="Calibri"/>
          <w:color w:val="auto"/>
          <w:szCs w:val="21"/>
        </w:rPr>
      </w:pPr>
      <w:r>
        <w:rPr>
          <w:rFonts w:hint="eastAsia" w:ascii="宋体" w:hAnsi="宋体" w:cs="Calibri"/>
          <w:color w:val="auto"/>
          <w:szCs w:val="21"/>
        </w:rPr>
        <w:t>服务期限：贰年，具体时间甲乙双方在签订合同时确定。。</w:t>
      </w:r>
    </w:p>
    <w:p>
      <w:pPr>
        <w:spacing w:line="312" w:lineRule="auto"/>
        <w:ind w:firstLine="420"/>
        <w:rPr>
          <w:rFonts w:hint="eastAsia" w:ascii="Times New Roman" w:hAnsi="Times New Roman" w:cs="Calibri"/>
          <w:color w:val="auto"/>
          <w:szCs w:val="21"/>
        </w:rPr>
      </w:pPr>
      <w:r>
        <w:rPr>
          <w:rFonts w:hint="eastAsia" w:ascii="宋体" w:hAnsi="宋体" w:cs="Calibri"/>
          <w:color w:val="auto"/>
          <w:szCs w:val="21"/>
        </w:rPr>
        <w:t>人员要求及配置：</w:t>
      </w:r>
      <w:r>
        <w:rPr>
          <w:rFonts w:hint="eastAsia" w:ascii="Times New Roman" w:hAnsi="Times New Roman"/>
          <w:color w:val="auto"/>
          <w:szCs w:val="21"/>
        </w:rPr>
        <w:t>.</w:t>
      </w:r>
      <w:r>
        <w:rPr>
          <w:rFonts w:hint="eastAsia" w:ascii="宋体" w:hAnsi="宋体" w:cs="Calibri"/>
          <w:color w:val="auto"/>
          <w:szCs w:val="21"/>
        </w:rPr>
        <w:t>承诺中标后配备人员总数不少于</w:t>
      </w:r>
      <w:r>
        <w:rPr>
          <w:rFonts w:hint="eastAsia" w:ascii="Times New Roman" w:hAnsi="Times New Roman"/>
          <w:color w:val="auto"/>
          <w:szCs w:val="21"/>
        </w:rPr>
        <w:t>53</w:t>
      </w:r>
      <w:r>
        <w:rPr>
          <w:rFonts w:hint="eastAsia" w:ascii="宋体" w:hAnsi="宋体" w:cs="Calibri"/>
          <w:color w:val="auto"/>
          <w:szCs w:val="21"/>
        </w:rPr>
        <w:t>名，年龄为</w:t>
      </w:r>
      <w:r>
        <w:rPr>
          <w:rFonts w:hint="eastAsia" w:ascii="Times New Roman" w:hAnsi="Times New Roman"/>
          <w:color w:val="auto"/>
          <w:szCs w:val="21"/>
        </w:rPr>
        <w:t>18</w:t>
      </w:r>
      <w:r>
        <w:rPr>
          <w:rFonts w:hint="eastAsia" w:ascii="宋体" w:hAnsi="宋体" w:cs="Calibri"/>
          <w:color w:val="auto"/>
          <w:szCs w:val="21"/>
        </w:rPr>
        <w:t>至</w:t>
      </w:r>
      <w:r>
        <w:rPr>
          <w:rFonts w:hint="eastAsia" w:ascii="Times New Roman" w:hAnsi="Times New Roman"/>
          <w:color w:val="auto"/>
          <w:szCs w:val="21"/>
        </w:rPr>
        <w:t>45</w:t>
      </w:r>
      <w:r>
        <w:rPr>
          <w:rFonts w:hint="eastAsia" w:ascii="宋体" w:hAnsi="宋体" w:cs="Calibri"/>
          <w:color w:val="auto"/>
          <w:szCs w:val="21"/>
        </w:rPr>
        <w:t>周岁，须持有公安机关颁发的保安员证。</w:t>
      </w:r>
    </w:p>
    <w:p>
      <w:pPr>
        <w:keepNext/>
        <w:keepLines/>
        <w:numPr>
          <w:ilvl w:val="0"/>
          <w:numId w:val="4"/>
        </w:numPr>
        <w:spacing w:line="440" w:lineRule="exact"/>
        <w:outlineLvl w:val="1"/>
        <w:rPr>
          <w:rFonts w:hint="eastAsia" w:ascii="宋体" w:hAnsi="宋体" w:cs="Arial"/>
          <w:b/>
          <w:color w:val="auto"/>
          <w:sz w:val="28"/>
          <w:szCs w:val="28"/>
        </w:rPr>
      </w:pPr>
      <w:bookmarkStart w:id="32" w:name="_Toc28717"/>
      <w:bookmarkEnd w:id="32"/>
      <w:bookmarkStart w:id="33" w:name="_Toc28203"/>
      <w:bookmarkEnd w:id="33"/>
      <w:bookmarkStart w:id="34" w:name="_Toc16571"/>
      <w:r>
        <w:rPr>
          <w:rFonts w:hint="eastAsia" w:ascii="宋体" w:hAnsi="宋体" w:cs="Arial"/>
          <w:b/>
          <w:color w:val="auto"/>
          <w:sz w:val="28"/>
          <w:szCs w:val="28"/>
        </w:rPr>
        <w:t>保安服务</w:t>
      </w:r>
      <w:bookmarkEnd w:id="34"/>
      <w:r>
        <w:rPr>
          <w:rFonts w:hint="eastAsia" w:ascii="宋体" w:hAnsi="宋体" w:cs="Arial"/>
          <w:b/>
          <w:color w:val="auto"/>
          <w:sz w:val="28"/>
          <w:szCs w:val="28"/>
        </w:rPr>
        <w:t>要求</w:t>
      </w:r>
    </w:p>
    <w:p>
      <w:pPr>
        <w:autoSpaceDE w:val="0"/>
        <w:autoSpaceDN w:val="0"/>
        <w:spacing w:line="360" w:lineRule="auto"/>
        <w:ind w:right="-7"/>
        <w:jc w:val="left"/>
        <w:rPr>
          <w:rFonts w:hint="eastAsia" w:cs="Calibri"/>
          <w:b/>
          <w:color w:val="auto"/>
          <w:kern w:val="0"/>
          <w:sz w:val="23"/>
          <w:szCs w:val="23"/>
        </w:rPr>
      </w:pPr>
      <w:r>
        <w:rPr>
          <w:rFonts w:hint="eastAsia" w:ascii="宋体" w:hAnsi="宋体" w:cs="Calibri"/>
          <w:b/>
          <w:color w:val="auto"/>
          <w:kern w:val="0"/>
          <w:sz w:val="23"/>
          <w:szCs w:val="23"/>
        </w:rPr>
        <w:t xml:space="preserve">    （</w:t>
      </w:r>
      <w:r>
        <w:rPr>
          <w:rFonts w:hint="eastAsia" w:cs="Calibri"/>
          <w:b/>
          <w:color w:val="auto"/>
          <w:kern w:val="0"/>
          <w:sz w:val="23"/>
          <w:szCs w:val="23"/>
        </w:rPr>
        <w:t>1</w:t>
      </w:r>
      <w:r>
        <w:rPr>
          <w:rFonts w:hint="eastAsia" w:ascii="宋体" w:hAnsi="宋体" w:cs="Calibri"/>
          <w:b/>
          <w:color w:val="auto"/>
          <w:kern w:val="0"/>
          <w:sz w:val="23"/>
          <w:szCs w:val="23"/>
        </w:rPr>
        <w:t xml:space="preserve">）总体内容： </w:t>
      </w:r>
      <w:r>
        <w:rPr>
          <w:rFonts w:hint="eastAsia" w:ascii="宋体" w:hAnsi="宋体" w:cs="Calibri"/>
          <w:b/>
          <w:color w:val="auto"/>
          <w:kern w:val="0"/>
          <w:sz w:val="23"/>
          <w:szCs w:val="23"/>
        </w:rPr>
        <w:tab/>
      </w:r>
    </w:p>
    <w:p>
      <w:pPr>
        <w:spacing w:line="312" w:lineRule="auto"/>
        <w:ind w:firstLine="420"/>
        <w:rPr>
          <w:rFonts w:ascii="Times New Roman" w:hAnsi="Times New Roman" w:cs="Calibri"/>
          <w:color w:val="auto"/>
          <w:szCs w:val="21"/>
        </w:rPr>
      </w:pPr>
      <w:r>
        <w:rPr>
          <w:rFonts w:hint="eastAsia" w:ascii="Times New Roman" w:hAnsi="Times New Roman"/>
          <w:color w:val="auto"/>
          <w:szCs w:val="21"/>
        </w:rPr>
        <w:t>1</w:t>
      </w:r>
      <w:r>
        <w:rPr>
          <w:rFonts w:hint="eastAsia" w:ascii="宋体" w:hAnsi="宋体" w:cs="Calibri"/>
          <w:color w:val="auto"/>
          <w:szCs w:val="21"/>
        </w:rPr>
        <w:t>、认真执行采购人安全管理等方面的规章制度，确保市政府大院内人员的工作、生活正常有序的进行。</w:t>
      </w:r>
    </w:p>
    <w:p>
      <w:pPr>
        <w:spacing w:line="312" w:lineRule="auto"/>
        <w:ind w:firstLine="420"/>
        <w:rPr>
          <w:rFonts w:hint="eastAsia" w:ascii="Times New Roman" w:hAnsi="Times New Roman" w:cs="Calibri"/>
          <w:color w:val="auto"/>
          <w:szCs w:val="21"/>
        </w:rPr>
      </w:pPr>
      <w:r>
        <w:rPr>
          <w:rFonts w:hint="eastAsia" w:ascii="Times New Roman" w:hAnsi="Times New Roman"/>
          <w:color w:val="auto"/>
          <w:szCs w:val="21"/>
        </w:rPr>
        <w:t>2</w:t>
      </w:r>
      <w:r>
        <w:rPr>
          <w:rFonts w:hint="eastAsia" w:ascii="宋体" w:hAnsi="宋体" w:cs="Calibri"/>
          <w:color w:val="auto"/>
          <w:szCs w:val="21"/>
        </w:rPr>
        <w:t>、做好门卫的日常管理和服务，严格按采购人要求执行门卫管理制度，保证门口交通安全、畅通、有序，维护正常的交通秩序。做好人员、车辆进出检查登记工作，严防不法分子进入。</w:t>
      </w:r>
    </w:p>
    <w:p>
      <w:pPr>
        <w:spacing w:line="312" w:lineRule="auto"/>
        <w:ind w:firstLine="420"/>
        <w:rPr>
          <w:rFonts w:hint="eastAsia" w:ascii="Times New Roman" w:hAnsi="Times New Roman" w:cs="Calibri"/>
          <w:color w:val="auto"/>
          <w:szCs w:val="21"/>
        </w:rPr>
      </w:pPr>
      <w:r>
        <w:rPr>
          <w:rFonts w:hint="eastAsia" w:ascii="Times New Roman" w:hAnsi="Times New Roman"/>
          <w:color w:val="auto"/>
          <w:szCs w:val="21"/>
        </w:rPr>
        <w:t>3</w:t>
      </w:r>
      <w:r>
        <w:rPr>
          <w:rFonts w:hint="eastAsia" w:ascii="宋体" w:hAnsi="宋体" w:cs="Calibri"/>
          <w:color w:val="auto"/>
          <w:szCs w:val="21"/>
        </w:rPr>
        <w:t>、车辆疏导和停放管理，车辆停放整齐有序，保证消防通道、急救通道畅通。</w:t>
      </w:r>
    </w:p>
    <w:p>
      <w:pPr>
        <w:spacing w:line="312" w:lineRule="auto"/>
        <w:ind w:firstLine="420"/>
        <w:rPr>
          <w:rFonts w:hint="eastAsia" w:ascii="Times New Roman" w:hAnsi="Times New Roman" w:cs="Calibri"/>
          <w:color w:val="auto"/>
          <w:szCs w:val="21"/>
        </w:rPr>
      </w:pPr>
      <w:r>
        <w:rPr>
          <w:rFonts w:hint="eastAsia" w:ascii="Times New Roman" w:hAnsi="Times New Roman"/>
          <w:color w:val="auto"/>
          <w:szCs w:val="21"/>
        </w:rPr>
        <w:t>4</w:t>
      </w:r>
      <w:r>
        <w:rPr>
          <w:rFonts w:hint="eastAsia" w:ascii="宋体" w:hAnsi="宋体" w:cs="Calibri"/>
          <w:color w:val="auto"/>
          <w:szCs w:val="21"/>
        </w:rPr>
        <w:t>、执行守卫、巡逻等任务。保安员应熟悉市政府大院内各单位、部门的所在位置分布情况，管理区域内重点部位治安巡逻、检查。协助采购人作好节能工作。</w:t>
      </w:r>
    </w:p>
    <w:p>
      <w:pPr>
        <w:spacing w:line="312" w:lineRule="auto"/>
        <w:ind w:firstLine="420"/>
        <w:rPr>
          <w:rFonts w:hint="eastAsia" w:ascii="Times New Roman" w:hAnsi="Times New Roman" w:cs="Calibri"/>
          <w:color w:val="auto"/>
          <w:szCs w:val="21"/>
        </w:rPr>
      </w:pPr>
      <w:r>
        <w:rPr>
          <w:rFonts w:hint="eastAsia" w:ascii="Times New Roman" w:hAnsi="Times New Roman"/>
          <w:color w:val="auto"/>
          <w:szCs w:val="21"/>
        </w:rPr>
        <w:t>5</w:t>
      </w:r>
      <w:r>
        <w:rPr>
          <w:rFonts w:hint="eastAsia" w:ascii="宋体" w:hAnsi="宋体" w:cs="Calibri"/>
          <w:color w:val="auto"/>
          <w:szCs w:val="21"/>
        </w:rPr>
        <w:t>、预防违法犯罪案件的发生，及时发现安全隐患和制止院内的各种违法犯罪活动及治安灾害事故的发生；执勤过程中，发现不安全因素或隐患，要及时向采购人报告，在条件许可的情况下，要及时采取临时性措施，以确保安全。</w:t>
      </w:r>
    </w:p>
    <w:p>
      <w:pPr>
        <w:spacing w:line="312" w:lineRule="auto"/>
        <w:ind w:firstLine="420"/>
        <w:rPr>
          <w:rFonts w:hint="eastAsia" w:ascii="Times New Roman" w:hAnsi="Times New Roman" w:cs="Calibri"/>
          <w:color w:val="auto"/>
          <w:szCs w:val="21"/>
        </w:rPr>
      </w:pPr>
      <w:r>
        <w:rPr>
          <w:rFonts w:hint="eastAsia" w:ascii="Times New Roman" w:hAnsi="Times New Roman"/>
          <w:color w:val="auto"/>
          <w:szCs w:val="21"/>
        </w:rPr>
        <w:t>6</w:t>
      </w:r>
      <w:r>
        <w:rPr>
          <w:rFonts w:hint="eastAsia" w:ascii="宋体" w:hAnsi="宋体" w:cs="Calibri"/>
          <w:color w:val="auto"/>
          <w:szCs w:val="21"/>
        </w:rPr>
        <w:t>、配合公安部门作好安全防范工作，做好采购人重点要害部位的守护工作，及时发现或抓获违法、犯罪嫌疑人员。</w:t>
      </w:r>
    </w:p>
    <w:p>
      <w:pPr>
        <w:spacing w:line="312" w:lineRule="auto"/>
        <w:ind w:firstLine="420" w:firstLineChars="200"/>
        <w:rPr>
          <w:rFonts w:hint="eastAsia" w:ascii="Times New Roman" w:hAnsi="Times New Roman" w:cs="Calibri"/>
          <w:color w:val="auto"/>
          <w:szCs w:val="21"/>
        </w:rPr>
      </w:pPr>
      <w:r>
        <w:rPr>
          <w:rFonts w:hint="eastAsia" w:ascii="Times New Roman" w:hAnsi="Times New Roman"/>
          <w:color w:val="auto"/>
          <w:szCs w:val="21"/>
        </w:rPr>
        <w:t>7</w:t>
      </w:r>
      <w:r>
        <w:rPr>
          <w:rFonts w:hint="eastAsia" w:ascii="宋体" w:hAnsi="宋体" w:cs="Calibri"/>
          <w:color w:val="auto"/>
          <w:szCs w:val="21"/>
        </w:rPr>
        <w:t>、消防监控中心执勤监视及消防报警时赶到现场查看和应急处理，双岗</w:t>
      </w:r>
      <w:r>
        <w:rPr>
          <w:rFonts w:hint="eastAsia" w:ascii="Times New Roman" w:hAnsi="Times New Roman"/>
          <w:color w:val="auto"/>
          <w:szCs w:val="21"/>
        </w:rPr>
        <w:t>24</w:t>
      </w:r>
      <w:r>
        <w:rPr>
          <w:rFonts w:hint="eastAsia" w:ascii="宋体" w:hAnsi="宋体" w:cs="Calibri"/>
          <w:color w:val="auto"/>
          <w:szCs w:val="21"/>
        </w:rPr>
        <w:t>小时执勤，其中一岗为全院防火防盗巡逻（每</w:t>
      </w:r>
      <w:r>
        <w:rPr>
          <w:rFonts w:hint="eastAsia" w:ascii="Times New Roman" w:hAnsi="Times New Roman"/>
          <w:color w:val="auto"/>
          <w:szCs w:val="21"/>
        </w:rPr>
        <w:t>2</w:t>
      </w:r>
      <w:r>
        <w:rPr>
          <w:rFonts w:hint="eastAsia" w:ascii="宋体" w:hAnsi="宋体" w:cs="Calibri"/>
          <w:color w:val="auto"/>
          <w:szCs w:val="21"/>
        </w:rPr>
        <w:t>小时对换岗位，巡逻间隔不超过</w:t>
      </w:r>
      <w:r>
        <w:rPr>
          <w:rFonts w:hint="eastAsia" w:ascii="Times New Roman" w:hAnsi="Times New Roman"/>
          <w:color w:val="auto"/>
          <w:szCs w:val="21"/>
        </w:rPr>
        <w:t>2</w:t>
      </w:r>
      <w:r>
        <w:rPr>
          <w:rFonts w:hint="eastAsia" w:ascii="宋体" w:hAnsi="宋体" w:cs="Calibri"/>
          <w:color w:val="auto"/>
          <w:szCs w:val="21"/>
        </w:rPr>
        <w:t>小时）。</w:t>
      </w:r>
      <w:r>
        <w:rPr>
          <w:rFonts w:hint="eastAsia" w:ascii="Times New Roman" w:hAnsi="Times New Roman" w:cs="Calibri"/>
          <w:color w:val="auto"/>
          <w:szCs w:val="21"/>
        </w:rPr>
        <w:t xml:space="preserve">  </w:t>
      </w:r>
    </w:p>
    <w:p>
      <w:pPr>
        <w:spacing w:line="312" w:lineRule="auto"/>
        <w:ind w:firstLine="420" w:firstLineChars="200"/>
        <w:rPr>
          <w:rFonts w:hint="eastAsia" w:ascii="Times New Roman" w:hAnsi="Times New Roman" w:cs="Calibri"/>
          <w:color w:val="auto"/>
          <w:szCs w:val="21"/>
        </w:rPr>
      </w:pPr>
      <w:r>
        <w:rPr>
          <w:rFonts w:hint="eastAsia" w:ascii="Times New Roman" w:hAnsi="Times New Roman"/>
          <w:color w:val="auto"/>
          <w:szCs w:val="21"/>
        </w:rPr>
        <w:t>8</w:t>
      </w:r>
      <w:r>
        <w:rPr>
          <w:rFonts w:hint="eastAsia" w:ascii="宋体" w:hAnsi="宋体" w:cs="Calibri"/>
          <w:color w:val="auto"/>
          <w:szCs w:val="21"/>
        </w:rPr>
        <w:t>、做好院内各项接待活动的警卫和现场秩序维护等安全保卫工作，及时妥善处置各类突发事件，保护大院内人员的人身安全和财产安全，完成采购人交办的其他任务。</w:t>
      </w:r>
    </w:p>
    <w:p>
      <w:pPr>
        <w:spacing w:line="312" w:lineRule="auto"/>
        <w:ind w:firstLine="420" w:firstLineChars="200"/>
        <w:rPr>
          <w:rFonts w:hint="eastAsia" w:ascii="Times New Roman" w:hAnsi="Times New Roman" w:cs="Calibri"/>
          <w:color w:val="auto"/>
          <w:szCs w:val="21"/>
        </w:rPr>
      </w:pPr>
      <w:r>
        <w:rPr>
          <w:rFonts w:hint="eastAsia" w:ascii="Times New Roman" w:hAnsi="Times New Roman"/>
          <w:color w:val="auto"/>
          <w:szCs w:val="21"/>
        </w:rPr>
        <w:t>9</w:t>
      </w:r>
      <w:r>
        <w:rPr>
          <w:rFonts w:hint="eastAsia" w:ascii="宋体" w:hAnsi="宋体" w:cs="Calibri"/>
          <w:color w:val="auto"/>
          <w:szCs w:val="21"/>
        </w:rPr>
        <w:t>、做好采购人临时性安排的应急保卫工作。</w:t>
      </w:r>
    </w:p>
    <w:p>
      <w:pPr>
        <w:autoSpaceDE w:val="0"/>
        <w:autoSpaceDN w:val="0"/>
        <w:spacing w:line="360" w:lineRule="auto"/>
        <w:ind w:right="-7" w:firstLine="462" w:firstLineChars="200"/>
        <w:jc w:val="left"/>
        <w:rPr>
          <w:rFonts w:hint="eastAsia" w:cs="Calibri"/>
          <w:b/>
          <w:color w:val="auto"/>
          <w:kern w:val="0"/>
          <w:sz w:val="23"/>
          <w:szCs w:val="23"/>
        </w:rPr>
      </w:pPr>
      <w:r>
        <w:rPr>
          <w:rFonts w:hint="eastAsia" w:ascii="宋体" w:hAnsi="宋体" w:cs="Calibri"/>
          <w:b/>
          <w:color w:val="auto"/>
          <w:kern w:val="0"/>
          <w:sz w:val="23"/>
          <w:szCs w:val="23"/>
        </w:rPr>
        <w:t>（</w:t>
      </w:r>
      <w:r>
        <w:rPr>
          <w:rFonts w:hint="eastAsia" w:cs="Calibri"/>
          <w:b/>
          <w:color w:val="auto"/>
          <w:kern w:val="0"/>
          <w:sz w:val="23"/>
          <w:szCs w:val="23"/>
        </w:rPr>
        <w:t>2</w:t>
      </w:r>
      <w:r>
        <w:rPr>
          <w:rFonts w:hint="eastAsia" w:ascii="宋体" w:hAnsi="宋体" w:cs="Calibri"/>
          <w:b/>
          <w:color w:val="auto"/>
          <w:kern w:val="0"/>
          <w:sz w:val="23"/>
          <w:szCs w:val="23"/>
        </w:rPr>
        <w:t>）</w:t>
      </w:r>
      <w:r>
        <w:rPr>
          <w:rFonts w:ascii="宋体" w:hAnsi="宋体" w:cs="Calibri"/>
          <w:b/>
          <w:color w:val="auto"/>
          <w:kern w:val="0"/>
          <w:sz w:val="23"/>
          <w:szCs w:val="23"/>
        </w:rPr>
        <w:t>保安人员的基本条件</w:t>
      </w:r>
    </w:p>
    <w:p>
      <w:pPr>
        <w:spacing w:line="312" w:lineRule="auto"/>
        <w:ind w:firstLine="420"/>
        <w:rPr>
          <w:rFonts w:ascii="Times New Roman" w:hAnsi="Times New Roman" w:cs="Calibri"/>
          <w:color w:val="auto"/>
          <w:szCs w:val="21"/>
        </w:rPr>
      </w:pPr>
      <w:r>
        <w:rPr>
          <w:rFonts w:hint="eastAsia" w:ascii="Times New Roman" w:hAnsi="Times New Roman"/>
          <w:color w:val="auto"/>
          <w:szCs w:val="21"/>
        </w:rPr>
        <w:t>1</w:t>
      </w:r>
      <w:r>
        <w:rPr>
          <w:rFonts w:hint="eastAsia" w:ascii="宋体" w:hAnsi="宋体" w:cs="Calibri"/>
          <w:color w:val="auto"/>
          <w:szCs w:val="21"/>
        </w:rPr>
        <w:t>、热爱中国共产党，拥护社会主义制度。遵纪守法，有较强的法制观念。</w:t>
      </w:r>
    </w:p>
    <w:p>
      <w:pPr>
        <w:spacing w:line="312" w:lineRule="auto"/>
        <w:ind w:firstLine="420"/>
        <w:rPr>
          <w:rFonts w:hint="eastAsia" w:ascii="Times New Roman" w:hAnsi="Times New Roman" w:cs="Calibri"/>
          <w:color w:val="auto"/>
          <w:szCs w:val="21"/>
        </w:rPr>
      </w:pPr>
      <w:r>
        <w:rPr>
          <w:rFonts w:hint="eastAsia" w:ascii="Times New Roman" w:hAnsi="Times New Roman"/>
          <w:color w:val="auto"/>
          <w:szCs w:val="21"/>
        </w:rPr>
        <w:t>2</w:t>
      </w:r>
      <w:r>
        <w:rPr>
          <w:rFonts w:hint="eastAsia" w:ascii="宋体" w:hAnsi="宋体" w:cs="Calibri"/>
          <w:color w:val="auto"/>
          <w:szCs w:val="21"/>
        </w:rPr>
        <w:t>、招聘的保安要品行端正，作风正派，初中以上文化水平，身体健康，五官端正，裸眼视力</w:t>
      </w:r>
      <w:r>
        <w:rPr>
          <w:rFonts w:hint="eastAsia" w:ascii="Times New Roman" w:hAnsi="Times New Roman"/>
          <w:color w:val="auto"/>
          <w:szCs w:val="21"/>
        </w:rPr>
        <w:t>0.8</w:t>
      </w:r>
      <w:r>
        <w:rPr>
          <w:rFonts w:hint="eastAsia" w:ascii="宋体" w:hAnsi="宋体" w:cs="Calibri"/>
          <w:color w:val="auto"/>
          <w:szCs w:val="21"/>
        </w:rPr>
        <w:t>以上，身高</w:t>
      </w:r>
      <w:r>
        <w:rPr>
          <w:rFonts w:hint="eastAsia" w:ascii="Times New Roman" w:hAnsi="Times New Roman"/>
          <w:color w:val="auto"/>
          <w:szCs w:val="21"/>
        </w:rPr>
        <w:t>1.68</w:t>
      </w:r>
      <w:r>
        <w:rPr>
          <w:rFonts w:hint="eastAsia" w:ascii="宋体" w:hAnsi="宋体" w:cs="Calibri"/>
          <w:color w:val="auto"/>
          <w:szCs w:val="21"/>
        </w:rPr>
        <w:t>以上，年龄</w:t>
      </w:r>
      <w:r>
        <w:rPr>
          <w:rFonts w:hint="eastAsia" w:ascii="Times New Roman" w:hAnsi="Times New Roman"/>
          <w:color w:val="auto"/>
          <w:szCs w:val="21"/>
        </w:rPr>
        <w:t>18</w:t>
      </w:r>
      <w:r>
        <w:rPr>
          <w:rFonts w:hint="eastAsia" w:ascii="宋体" w:hAnsi="宋体" w:cs="Calibri"/>
          <w:color w:val="auto"/>
          <w:szCs w:val="21"/>
        </w:rPr>
        <w:t>—</w:t>
      </w:r>
      <w:r>
        <w:rPr>
          <w:rFonts w:hint="eastAsia" w:ascii="Times New Roman" w:hAnsi="Times New Roman"/>
          <w:color w:val="auto"/>
          <w:szCs w:val="21"/>
        </w:rPr>
        <w:t>45</w:t>
      </w:r>
      <w:r>
        <w:rPr>
          <w:rFonts w:hint="eastAsia" w:ascii="宋体" w:hAnsi="宋体" w:cs="Calibri"/>
          <w:color w:val="auto"/>
          <w:szCs w:val="21"/>
        </w:rPr>
        <w:t>岁，并具有保安的专业气质，无犯罪记录的。</w:t>
      </w:r>
    </w:p>
    <w:p>
      <w:pPr>
        <w:spacing w:line="312" w:lineRule="auto"/>
        <w:ind w:firstLine="420"/>
        <w:rPr>
          <w:rFonts w:hint="eastAsia" w:ascii="Times New Roman" w:hAnsi="Times New Roman" w:cs="Calibri"/>
          <w:color w:val="auto"/>
          <w:szCs w:val="21"/>
        </w:rPr>
      </w:pPr>
      <w:r>
        <w:rPr>
          <w:rFonts w:hint="eastAsia" w:ascii="Times New Roman" w:hAnsi="Times New Roman"/>
          <w:color w:val="auto"/>
          <w:szCs w:val="21"/>
        </w:rPr>
        <w:t>3</w:t>
      </w:r>
      <w:r>
        <w:rPr>
          <w:rFonts w:hint="eastAsia" w:ascii="宋体" w:hAnsi="宋体" w:cs="Calibri"/>
          <w:color w:val="auto"/>
          <w:szCs w:val="21"/>
        </w:rPr>
        <w:t>、派驻采购人之前必须经过军训，培训，有保安上岗证的合同工。</w:t>
      </w:r>
    </w:p>
    <w:p>
      <w:pPr>
        <w:spacing w:line="312" w:lineRule="auto"/>
        <w:ind w:firstLine="420"/>
        <w:rPr>
          <w:rFonts w:hint="eastAsia" w:ascii="Times New Roman" w:hAnsi="Times New Roman" w:cs="Calibri"/>
          <w:color w:val="auto"/>
          <w:szCs w:val="21"/>
        </w:rPr>
      </w:pPr>
      <w:r>
        <w:rPr>
          <w:rFonts w:hint="eastAsia" w:ascii="Times New Roman" w:hAnsi="Times New Roman"/>
          <w:color w:val="auto"/>
          <w:szCs w:val="21"/>
        </w:rPr>
        <w:t>4</w:t>
      </w:r>
      <w:r>
        <w:rPr>
          <w:rFonts w:hint="eastAsia" w:ascii="宋体" w:hAnsi="宋体" w:cs="Calibri"/>
          <w:color w:val="auto"/>
          <w:szCs w:val="21"/>
        </w:rPr>
        <w:t>、认真执行采购人的有关规定和采购人有关规章制度。</w:t>
      </w:r>
    </w:p>
    <w:p>
      <w:pPr>
        <w:spacing w:line="312" w:lineRule="auto"/>
        <w:ind w:firstLine="420"/>
        <w:rPr>
          <w:rFonts w:hint="eastAsia" w:ascii="Times New Roman" w:hAnsi="Times New Roman" w:cs="Calibri"/>
          <w:b/>
          <w:bCs/>
          <w:color w:val="auto"/>
          <w:szCs w:val="21"/>
        </w:rPr>
      </w:pPr>
      <w:r>
        <w:rPr>
          <w:rFonts w:hint="eastAsia" w:ascii="Times New Roman" w:hAnsi="Times New Roman"/>
          <w:b/>
          <w:bCs/>
          <w:color w:val="auto"/>
          <w:szCs w:val="21"/>
        </w:rPr>
        <w:t>5</w:t>
      </w:r>
      <w:r>
        <w:rPr>
          <w:rFonts w:hint="eastAsia" w:ascii="宋体" w:hAnsi="宋体" w:cs="Calibri"/>
          <w:b/>
          <w:bCs/>
          <w:color w:val="auto"/>
          <w:szCs w:val="21"/>
        </w:rPr>
        <w:t>、所有在岗保安人员必须均与中标单位签定劳动合同，并持证上岗。中标人须严格按照国家和义乌市政府的规定给所有的员工缴纳各种社会保险（包括养老、医疗、工伤、生育、失业保险等）。保安人员的应聘、录用、离职等管理档案规范，手续齐全，所有的保安员个人信息报请当地公安***核查无误后方能使用，相应资料必须报采购人和有关部门备案；</w:t>
      </w:r>
    </w:p>
    <w:p>
      <w:pPr>
        <w:widowControl/>
        <w:spacing w:line="360" w:lineRule="auto"/>
        <w:ind w:firstLine="480"/>
        <w:jc w:val="left"/>
        <w:rPr>
          <w:rFonts w:hint="eastAsia" w:ascii="宋体" w:hAnsi="宋体" w:cs="宋体"/>
          <w:b/>
          <w:bCs/>
          <w:color w:val="auto"/>
          <w:spacing w:val="-6"/>
          <w:kern w:val="0"/>
          <w:sz w:val="23"/>
          <w:szCs w:val="23"/>
          <w:u w:val="single"/>
        </w:rPr>
      </w:pPr>
      <w:r>
        <w:rPr>
          <w:rFonts w:hint="eastAsia" w:ascii="宋体" w:hAnsi="宋体" w:cs="宋体"/>
          <w:b/>
          <w:bCs/>
          <w:color w:val="auto"/>
          <w:spacing w:val="-6"/>
          <w:kern w:val="0"/>
          <w:sz w:val="23"/>
          <w:szCs w:val="23"/>
          <w:u w:val="single"/>
        </w:rPr>
        <w:t>6、保安队伍中要求60%以上人员为义乌本地户籍人员。</w:t>
      </w:r>
    </w:p>
    <w:p>
      <w:pPr>
        <w:widowControl/>
        <w:spacing w:line="360" w:lineRule="auto"/>
        <w:ind w:firstLine="480"/>
        <w:jc w:val="left"/>
        <w:rPr>
          <w:rFonts w:hint="eastAsia" w:ascii="宋体" w:hAnsi="宋体" w:cs="宋体"/>
          <w:b/>
          <w:bCs/>
          <w:color w:val="auto"/>
          <w:spacing w:val="-6"/>
          <w:kern w:val="0"/>
          <w:sz w:val="23"/>
          <w:szCs w:val="23"/>
          <w:u w:val="single"/>
        </w:rPr>
      </w:pPr>
      <w:r>
        <w:rPr>
          <w:rFonts w:hint="eastAsia" w:ascii="宋体" w:hAnsi="宋体" w:cs="宋体"/>
          <w:b/>
          <w:bCs/>
          <w:color w:val="auto"/>
          <w:spacing w:val="-6"/>
          <w:kern w:val="0"/>
          <w:sz w:val="23"/>
          <w:szCs w:val="23"/>
          <w:u w:val="single"/>
        </w:rPr>
        <w:t>7、保安队伍中要求退伍军人占比不得小于10%。</w:t>
      </w:r>
    </w:p>
    <w:p>
      <w:pPr>
        <w:autoSpaceDE w:val="0"/>
        <w:autoSpaceDN w:val="0"/>
        <w:spacing w:line="360" w:lineRule="auto"/>
        <w:ind w:right="-7" w:firstLine="462" w:firstLineChars="200"/>
        <w:jc w:val="left"/>
        <w:rPr>
          <w:rFonts w:hint="eastAsia" w:cs="Calibri"/>
          <w:b/>
          <w:color w:val="auto"/>
          <w:kern w:val="0"/>
          <w:sz w:val="23"/>
          <w:szCs w:val="23"/>
        </w:rPr>
      </w:pPr>
      <w:r>
        <w:rPr>
          <w:rFonts w:hint="eastAsia" w:ascii="宋体" w:hAnsi="宋体" w:cs="Calibri"/>
          <w:b/>
          <w:color w:val="auto"/>
          <w:kern w:val="0"/>
          <w:sz w:val="23"/>
          <w:szCs w:val="23"/>
        </w:rPr>
        <w:t>★（</w:t>
      </w:r>
      <w:r>
        <w:rPr>
          <w:rFonts w:hint="eastAsia" w:cs="Calibri"/>
          <w:b/>
          <w:color w:val="auto"/>
          <w:kern w:val="0"/>
          <w:sz w:val="23"/>
          <w:szCs w:val="23"/>
        </w:rPr>
        <w:t>3</w:t>
      </w:r>
      <w:r>
        <w:rPr>
          <w:rFonts w:hint="eastAsia" w:ascii="宋体" w:hAnsi="宋体" w:cs="Calibri"/>
          <w:b/>
          <w:color w:val="auto"/>
          <w:kern w:val="0"/>
          <w:sz w:val="23"/>
          <w:szCs w:val="23"/>
        </w:rPr>
        <w:t>）岗位人员分配</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424"/>
        <w:gridCol w:w="1143"/>
        <w:gridCol w:w="5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94"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s="Calibri"/>
                <w:color w:val="auto"/>
                <w:szCs w:val="21"/>
              </w:rPr>
              <w:t>序号</w:t>
            </w:r>
          </w:p>
        </w:tc>
        <w:tc>
          <w:tcPr>
            <w:tcW w:w="2424"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s="Calibri"/>
                <w:color w:val="auto"/>
                <w:szCs w:val="21"/>
              </w:rPr>
              <w:t>岗位设置</w:t>
            </w:r>
          </w:p>
        </w:tc>
        <w:tc>
          <w:tcPr>
            <w:tcW w:w="1143"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s="Calibri"/>
                <w:color w:val="auto"/>
                <w:szCs w:val="21"/>
              </w:rPr>
              <w:t>岗位数（人数）</w:t>
            </w:r>
          </w:p>
        </w:tc>
        <w:tc>
          <w:tcPr>
            <w:tcW w:w="5320"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s="Calibri"/>
                <w:color w:val="auto"/>
                <w:szCs w:val="21"/>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21"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olor w:val="auto"/>
                <w:szCs w:val="21"/>
              </w:rPr>
              <w:t>1</w:t>
            </w:r>
          </w:p>
        </w:tc>
        <w:tc>
          <w:tcPr>
            <w:tcW w:w="2424"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s="Calibri"/>
                <w:color w:val="auto"/>
                <w:szCs w:val="21"/>
              </w:rPr>
              <w:t>中队长</w:t>
            </w:r>
          </w:p>
        </w:tc>
        <w:tc>
          <w:tcPr>
            <w:tcW w:w="1143"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olor w:val="auto"/>
                <w:szCs w:val="21"/>
              </w:rPr>
              <w:t>1</w:t>
            </w:r>
          </w:p>
        </w:tc>
        <w:tc>
          <w:tcPr>
            <w:tcW w:w="5320" w:type="dxa"/>
            <w:tcBorders>
              <w:top w:val="single" w:color="auto" w:sz="4" w:space="0"/>
              <w:left w:val="nil"/>
              <w:bottom w:val="single" w:color="auto" w:sz="4" w:space="0"/>
              <w:right w:val="single" w:color="auto" w:sz="4" w:space="0"/>
            </w:tcBorders>
            <w:noWrap w:val="0"/>
            <w:vAlign w:val="center"/>
          </w:tcPr>
          <w:p>
            <w:pPr>
              <w:rPr>
                <w:rFonts w:ascii="宋体" w:hAnsi="宋体" w:cs="Calibri"/>
                <w:color w:val="auto"/>
                <w:kern w:val="0"/>
                <w:szCs w:val="21"/>
              </w:rPr>
            </w:pPr>
            <w:r>
              <w:rPr>
                <w:rFonts w:hint="eastAsia" w:ascii="宋体" w:hAnsi="宋体" w:cs="Calibri"/>
                <w:color w:val="auto"/>
                <w:kern w:val="0"/>
                <w:szCs w:val="21"/>
              </w:rPr>
              <w:t>全面负责保安队伍的日常管理事务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90"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olor w:val="auto"/>
                <w:szCs w:val="21"/>
              </w:rPr>
              <w:t>2</w:t>
            </w:r>
          </w:p>
        </w:tc>
        <w:tc>
          <w:tcPr>
            <w:tcW w:w="2424"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s="Calibri"/>
                <w:color w:val="auto"/>
                <w:szCs w:val="21"/>
              </w:rPr>
              <w:t>保安班长</w:t>
            </w:r>
          </w:p>
        </w:tc>
        <w:tc>
          <w:tcPr>
            <w:tcW w:w="1143"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olor w:val="auto"/>
                <w:szCs w:val="21"/>
              </w:rPr>
              <w:t>6</w:t>
            </w:r>
          </w:p>
        </w:tc>
        <w:tc>
          <w:tcPr>
            <w:tcW w:w="5320" w:type="dxa"/>
            <w:tcBorders>
              <w:top w:val="single" w:color="auto" w:sz="4" w:space="0"/>
              <w:left w:val="nil"/>
              <w:bottom w:val="single" w:color="auto" w:sz="4" w:space="0"/>
              <w:right w:val="single" w:color="auto" w:sz="4" w:space="0"/>
            </w:tcBorders>
            <w:noWrap w:val="0"/>
            <w:vAlign w:val="center"/>
          </w:tcPr>
          <w:p>
            <w:pPr>
              <w:rPr>
                <w:rFonts w:ascii="宋体" w:hAnsi="宋体" w:cs="Calibri"/>
                <w:color w:val="auto"/>
                <w:kern w:val="0"/>
                <w:szCs w:val="21"/>
              </w:rPr>
            </w:pPr>
            <w:r>
              <w:rPr>
                <w:rFonts w:hint="eastAsia" w:ascii="宋体" w:hAnsi="宋体" w:cs="Calibri"/>
                <w:color w:val="auto"/>
                <w:kern w:val="0"/>
                <w:szCs w:val="21"/>
              </w:rPr>
              <w:t>贯彻落实采购人任务要求与保安队长的工作指示，组织实施安全保卫整体方案；负责安排保安的日常工作，参与保安执勤等。要求根据采购人安排</w:t>
            </w:r>
            <w:r>
              <w:rPr>
                <w:rFonts w:hint="eastAsia" w:cs="Calibri"/>
                <w:color w:val="auto"/>
                <w:kern w:val="0"/>
                <w:szCs w:val="21"/>
              </w:rPr>
              <w:t>24</w:t>
            </w:r>
            <w:r>
              <w:rPr>
                <w:rFonts w:hint="eastAsia" w:ascii="宋体" w:hAnsi="宋体" w:cs="Calibri"/>
                <w:color w:val="auto"/>
                <w:kern w:val="0"/>
                <w:szCs w:val="21"/>
              </w:rPr>
              <w:t>小时轮流上岗，不得缺岗。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766"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olor w:val="auto"/>
                <w:szCs w:val="21"/>
              </w:rPr>
              <w:t>3</w:t>
            </w:r>
          </w:p>
        </w:tc>
        <w:tc>
          <w:tcPr>
            <w:tcW w:w="2424"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s="Calibri"/>
                <w:color w:val="auto"/>
                <w:szCs w:val="21"/>
              </w:rPr>
              <w:t>保安员</w:t>
            </w:r>
          </w:p>
        </w:tc>
        <w:tc>
          <w:tcPr>
            <w:tcW w:w="1143"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olor w:val="auto"/>
                <w:szCs w:val="21"/>
              </w:rPr>
            </w:pPr>
            <w:r>
              <w:rPr>
                <w:rFonts w:hint="eastAsia" w:ascii="Times New Roman" w:hAnsi="Times New Roman"/>
                <w:color w:val="auto"/>
                <w:szCs w:val="21"/>
              </w:rPr>
              <w:t>46</w:t>
            </w:r>
          </w:p>
        </w:tc>
        <w:tc>
          <w:tcPr>
            <w:tcW w:w="5320" w:type="dxa"/>
            <w:tcBorders>
              <w:top w:val="single" w:color="auto" w:sz="4" w:space="0"/>
              <w:left w:val="nil"/>
              <w:bottom w:val="single" w:color="auto" w:sz="4" w:space="0"/>
              <w:right w:val="single" w:color="auto" w:sz="4" w:space="0"/>
            </w:tcBorders>
            <w:noWrap w:val="0"/>
            <w:vAlign w:val="center"/>
          </w:tcPr>
          <w:p>
            <w:pPr>
              <w:rPr>
                <w:rFonts w:ascii="宋体" w:hAnsi="宋体" w:cs="Calibri"/>
                <w:color w:val="auto"/>
                <w:kern w:val="0"/>
                <w:szCs w:val="21"/>
              </w:rPr>
            </w:pPr>
            <w:r>
              <w:rPr>
                <w:rFonts w:hint="eastAsia" w:ascii="宋体" w:hAnsi="宋体" w:cs="Calibri"/>
                <w:color w:val="auto"/>
                <w:kern w:val="0"/>
                <w:szCs w:val="21"/>
              </w:rPr>
              <w:t>具体岗位设置根据采购人安排执行，要求</w:t>
            </w:r>
            <w:r>
              <w:rPr>
                <w:rFonts w:hint="eastAsia" w:cs="Calibri"/>
                <w:color w:val="auto"/>
                <w:kern w:val="0"/>
                <w:szCs w:val="21"/>
              </w:rPr>
              <w:t>24</w:t>
            </w:r>
            <w:r>
              <w:rPr>
                <w:rFonts w:hint="eastAsia" w:ascii="宋体" w:hAnsi="宋体" w:cs="Calibri"/>
                <w:color w:val="auto"/>
                <w:kern w:val="0"/>
                <w:szCs w:val="21"/>
              </w:rPr>
              <w:t>小时轮流上岗，不得缺岗。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6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olor w:val="auto"/>
                <w:szCs w:val="21"/>
              </w:rPr>
              <w:t>4</w:t>
            </w:r>
          </w:p>
        </w:tc>
        <w:tc>
          <w:tcPr>
            <w:tcW w:w="2424"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s="Calibri"/>
                <w:color w:val="auto"/>
                <w:szCs w:val="21"/>
              </w:rPr>
            </w:pPr>
            <w:r>
              <w:rPr>
                <w:rFonts w:hint="eastAsia" w:ascii="Times New Roman" w:hAnsi="Times New Roman" w:cs="Calibri"/>
                <w:color w:val="auto"/>
                <w:szCs w:val="21"/>
              </w:rPr>
              <w:t>合计</w:t>
            </w:r>
          </w:p>
        </w:tc>
        <w:tc>
          <w:tcPr>
            <w:tcW w:w="1143"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olor w:val="auto"/>
                <w:szCs w:val="21"/>
              </w:rPr>
            </w:pPr>
            <w:r>
              <w:rPr>
                <w:rFonts w:hint="eastAsia" w:ascii="Times New Roman" w:hAnsi="Times New Roman"/>
                <w:color w:val="auto"/>
                <w:szCs w:val="21"/>
              </w:rPr>
              <w:t>53</w:t>
            </w:r>
          </w:p>
        </w:tc>
        <w:tc>
          <w:tcPr>
            <w:tcW w:w="5320" w:type="dxa"/>
            <w:tcBorders>
              <w:top w:val="single" w:color="auto" w:sz="4" w:space="0"/>
              <w:left w:val="nil"/>
              <w:bottom w:val="single" w:color="auto" w:sz="4" w:space="0"/>
              <w:right w:val="single" w:color="auto" w:sz="4" w:space="0"/>
            </w:tcBorders>
            <w:noWrap w:val="0"/>
            <w:vAlign w:val="center"/>
          </w:tcPr>
          <w:p>
            <w:pPr>
              <w:spacing w:line="312" w:lineRule="auto"/>
              <w:jc w:val="center"/>
              <w:rPr>
                <w:rFonts w:ascii="Times New Roman" w:hAnsi="Times New Roman"/>
                <w:color w:val="auto"/>
                <w:szCs w:val="21"/>
              </w:rPr>
            </w:pPr>
            <w:r>
              <w:rPr>
                <w:rFonts w:hint="eastAsia" w:ascii="Times New Roman" w:hAnsi="Times New Roman"/>
                <w:color w:val="auto"/>
                <w:szCs w:val="21"/>
              </w:rPr>
              <w:t>/</w:t>
            </w:r>
          </w:p>
        </w:tc>
      </w:tr>
    </w:tbl>
    <w:p>
      <w:pPr>
        <w:rPr>
          <w:rFonts w:cs="Calibri"/>
          <w:color w:val="auto"/>
          <w:kern w:val="0"/>
          <w:szCs w:val="21"/>
        </w:rPr>
      </w:pPr>
      <w:r>
        <w:rPr>
          <w:rFonts w:cs="Calibri"/>
          <w:color w:val="auto"/>
          <w:kern w:val="0"/>
          <w:szCs w:val="21"/>
        </w:rPr>
        <w:t xml:space="preserve"> </w:t>
      </w:r>
    </w:p>
    <w:p>
      <w:pPr>
        <w:spacing w:line="360" w:lineRule="auto"/>
        <w:ind w:firstLine="435"/>
        <w:rPr>
          <w:rFonts w:ascii="宋体" w:hAnsi="宋体" w:cs="Calibri"/>
          <w:b/>
          <w:color w:val="auto"/>
          <w:kern w:val="0"/>
          <w:sz w:val="23"/>
          <w:szCs w:val="23"/>
        </w:rPr>
      </w:pPr>
      <w:r>
        <w:rPr>
          <w:rFonts w:hint="eastAsia" w:ascii="宋体" w:hAnsi="宋体" w:cs="Calibri"/>
          <w:b/>
          <w:color w:val="auto"/>
          <w:kern w:val="0"/>
          <w:sz w:val="23"/>
          <w:szCs w:val="23"/>
        </w:rPr>
        <w:t>管理人员岗位职责要求</w:t>
      </w:r>
    </w:p>
    <w:p>
      <w:pPr>
        <w:spacing w:line="360" w:lineRule="auto"/>
        <w:ind w:firstLine="435"/>
        <w:rPr>
          <w:rFonts w:hint="eastAsia" w:ascii="Times New Roman" w:hAnsi="Times New Roman" w:cs="Calibri"/>
          <w:color w:val="auto"/>
          <w:szCs w:val="21"/>
        </w:rPr>
      </w:pPr>
      <w:r>
        <w:rPr>
          <w:rFonts w:hint="eastAsia" w:ascii="宋体" w:hAnsi="宋体" w:cs="Calibri"/>
          <w:b/>
          <w:color w:val="auto"/>
          <w:kern w:val="0"/>
          <w:sz w:val="23"/>
          <w:szCs w:val="23"/>
        </w:rPr>
        <w:t xml:space="preserve"> 1.中队长</w:t>
      </w:r>
      <w:r>
        <w:rPr>
          <w:rFonts w:hint="eastAsia" w:ascii="宋体" w:hAnsi="宋体" w:cs="Calibri"/>
          <w:color w:val="auto"/>
          <w:kern w:val="0"/>
          <w:sz w:val="23"/>
          <w:szCs w:val="23"/>
        </w:rPr>
        <w:t>：</w:t>
      </w:r>
      <w:r>
        <w:rPr>
          <w:rFonts w:hint="eastAsia" w:ascii="宋体" w:hAnsi="宋体" w:cs="Calibri"/>
          <w:color w:val="auto"/>
          <w:szCs w:val="21"/>
        </w:rPr>
        <w:t>代表公司全面负责保安队伍的日常管理事务，严格保安队伍纪律管理，奖优罚劣；承担保安违规违纪的连带责任；实行人性化管理，关心队员疾苦，掌握队员的思想动态，充分调动队员的积极性，努力保证队伍稳定；传达落实采购人的服务要求与管理规定，组织实施并不断完善安全保卫整体方案；结合实际情况，适时作出岗位调整，完善各岗位职责；有针对性地开展安全教育和提示；定期向采购人汇报工作开展情况及治安信息，重大情况及时报告；配合采购人开展对院内违规事件的处理；组织开展保安业务培训和预案演练，制定院内重大活动的安全保卫方案；建立健全录用保安人员档案资料。</w:t>
      </w:r>
    </w:p>
    <w:p>
      <w:pPr>
        <w:spacing w:line="360" w:lineRule="auto"/>
        <w:ind w:firstLine="435"/>
        <w:rPr>
          <w:rFonts w:hint="eastAsia" w:ascii="Times New Roman" w:hAnsi="Times New Roman" w:cs="Calibri"/>
          <w:color w:val="auto"/>
          <w:szCs w:val="21"/>
        </w:rPr>
      </w:pPr>
      <w:r>
        <w:rPr>
          <w:rFonts w:hint="eastAsia" w:ascii="宋体" w:hAnsi="宋体" w:cs="Calibri"/>
          <w:b/>
          <w:color w:val="auto"/>
          <w:kern w:val="0"/>
          <w:sz w:val="23"/>
          <w:szCs w:val="23"/>
        </w:rPr>
        <w:t xml:space="preserve"> 2.保安班长：</w:t>
      </w:r>
      <w:r>
        <w:rPr>
          <w:rFonts w:hint="eastAsia" w:ascii="宋体" w:hAnsi="宋体" w:cs="Calibri"/>
          <w:color w:val="auto"/>
          <w:szCs w:val="21"/>
        </w:rPr>
        <w:t>以身作则，吃苦在先，讲求奉献；贯彻落实采购人任务要求与保安队长的工作指示，组织实施安全保卫整体方案；负责安排保安的日常工作，参与保安执勤，增援重点岗位；督促检查在岗人员履行岗位职责情况，纠正队员违规违纪行为；坚持讲评，不流于形式，形成良好的队风；处理各岗位的突发事件，重大情况及时报告采购人；妥善保管好各类设备器材，严格执行设备交接班制度；组织指挥保安队员做好重大活动的安全保卫与秩序保障工作；将各岗位的执勤情况汇总记录。</w:t>
      </w:r>
    </w:p>
    <w:p>
      <w:pPr>
        <w:spacing w:line="360" w:lineRule="auto"/>
        <w:ind w:firstLine="435"/>
        <w:rPr>
          <w:rFonts w:hint="eastAsia" w:ascii="宋体" w:hAnsi="宋体" w:cs="Calibri"/>
          <w:b/>
          <w:color w:val="auto"/>
          <w:kern w:val="0"/>
          <w:sz w:val="23"/>
          <w:szCs w:val="23"/>
        </w:rPr>
      </w:pPr>
      <w:r>
        <w:rPr>
          <w:rFonts w:hint="eastAsia" w:ascii="宋体" w:hAnsi="宋体" w:cs="Calibri"/>
          <w:b/>
          <w:color w:val="auto"/>
          <w:kern w:val="0"/>
          <w:sz w:val="23"/>
          <w:szCs w:val="23"/>
        </w:rPr>
        <w:t>保安人员岗位职责要求</w:t>
      </w:r>
    </w:p>
    <w:p>
      <w:pPr>
        <w:spacing w:line="360" w:lineRule="auto"/>
        <w:ind w:firstLine="435"/>
        <w:rPr>
          <w:rFonts w:hint="eastAsia" w:ascii="宋体" w:hAnsi="宋体" w:cs="Calibri"/>
          <w:color w:val="auto"/>
          <w:kern w:val="0"/>
          <w:sz w:val="23"/>
          <w:szCs w:val="23"/>
        </w:rPr>
      </w:pPr>
      <w:r>
        <w:rPr>
          <w:rFonts w:hint="eastAsia" w:ascii="宋体" w:hAnsi="宋体" w:cs="Calibri"/>
          <w:color w:val="auto"/>
          <w:kern w:val="0"/>
          <w:sz w:val="23"/>
          <w:szCs w:val="23"/>
        </w:rPr>
        <w:t xml:space="preserve"> </w:t>
      </w:r>
      <w:r>
        <w:rPr>
          <w:rFonts w:hint="eastAsia" w:ascii="宋体" w:hAnsi="宋体" w:cs="Calibri"/>
          <w:b/>
          <w:color w:val="auto"/>
          <w:kern w:val="0"/>
          <w:sz w:val="23"/>
          <w:szCs w:val="23"/>
        </w:rPr>
        <w:t>1.治安管理</w:t>
      </w:r>
      <w:r>
        <w:rPr>
          <w:rFonts w:hint="eastAsia" w:ascii="宋体" w:hAnsi="宋体" w:cs="Calibri"/>
          <w:color w:val="auto"/>
          <w:kern w:val="0"/>
          <w:sz w:val="23"/>
          <w:szCs w:val="23"/>
        </w:rPr>
        <w:t>：</w:t>
      </w:r>
    </w:p>
    <w:p>
      <w:pPr>
        <w:spacing w:line="360" w:lineRule="auto"/>
        <w:ind w:firstLine="435"/>
        <w:rPr>
          <w:rFonts w:hint="eastAsia" w:ascii="Times New Roman" w:hAnsi="Times New Roman" w:cs="Calibri"/>
          <w:color w:val="auto"/>
          <w:szCs w:val="21"/>
        </w:rPr>
      </w:pPr>
      <w:r>
        <w:rPr>
          <w:rFonts w:hint="eastAsia" w:ascii="宋体" w:hAnsi="宋体" w:cs="Calibri"/>
          <w:color w:val="auto"/>
          <w:szCs w:val="21"/>
        </w:rPr>
        <w:t>（</w:t>
      </w:r>
      <w:r>
        <w:rPr>
          <w:rFonts w:hint="eastAsia" w:ascii="Times New Roman" w:hAnsi="Times New Roman"/>
          <w:color w:val="auto"/>
          <w:szCs w:val="21"/>
        </w:rPr>
        <w:t>1</w:t>
      </w:r>
      <w:r>
        <w:rPr>
          <w:rFonts w:hint="eastAsia" w:ascii="宋体" w:hAnsi="宋体" w:cs="Calibri"/>
          <w:color w:val="auto"/>
          <w:szCs w:val="21"/>
        </w:rPr>
        <w:t>）综合管理：保安负责院内的各项治安管理工作，</w:t>
      </w:r>
      <w:r>
        <w:rPr>
          <w:rFonts w:hint="eastAsia" w:ascii="Times New Roman" w:hAnsi="Times New Roman"/>
          <w:color w:val="auto"/>
          <w:szCs w:val="21"/>
        </w:rPr>
        <w:t>24</w:t>
      </w:r>
      <w:r>
        <w:rPr>
          <w:rFonts w:hint="eastAsia" w:ascii="宋体" w:hAnsi="宋体" w:cs="Calibri"/>
          <w:color w:val="auto"/>
          <w:szCs w:val="21"/>
        </w:rPr>
        <w:t>小时不间断在全大院范围进行巡逻、制定</w:t>
      </w:r>
      <w:r>
        <w:rPr>
          <w:rFonts w:hint="eastAsia" w:ascii="Times New Roman" w:hAnsi="Times New Roman"/>
          <w:color w:val="auto"/>
          <w:szCs w:val="21"/>
        </w:rPr>
        <w:t>24</w:t>
      </w:r>
      <w:r>
        <w:rPr>
          <w:rFonts w:hint="eastAsia" w:ascii="宋体" w:hAnsi="宋体" w:cs="Calibri"/>
          <w:color w:val="auto"/>
          <w:szCs w:val="21"/>
        </w:rPr>
        <w:t>小时定线和变线巡逻路线，保证巡逻到位，确保安全。对院内治安监控设备全面监视，发现问题及时处理。</w:t>
      </w:r>
    </w:p>
    <w:p>
      <w:pPr>
        <w:spacing w:line="360" w:lineRule="auto"/>
        <w:ind w:firstLine="435"/>
        <w:rPr>
          <w:rFonts w:hint="eastAsia" w:ascii="Times New Roman" w:hAnsi="Times New Roman" w:cs="Calibri"/>
          <w:color w:val="auto"/>
          <w:szCs w:val="21"/>
        </w:rPr>
      </w:pPr>
      <w:r>
        <w:rPr>
          <w:rFonts w:hint="eastAsia" w:ascii="宋体" w:hAnsi="宋体" w:cs="Calibri"/>
          <w:color w:val="auto"/>
          <w:szCs w:val="21"/>
        </w:rPr>
        <w:t>（</w:t>
      </w:r>
      <w:r>
        <w:rPr>
          <w:rFonts w:hint="eastAsia" w:ascii="Times New Roman" w:hAnsi="Times New Roman"/>
          <w:color w:val="auto"/>
          <w:szCs w:val="21"/>
        </w:rPr>
        <w:t>2</w:t>
      </w:r>
      <w:r>
        <w:rPr>
          <w:rFonts w:hint="eastAsia" w:ascii="宋体" w:hAnsi="宋体" w:cs="Calibri"/>
          <w:color w:val="auto"/>
          <w:szCs w:val="21"/>
        </w:rPr>
        <w:t>）秩序维护：做好门卫的日常管理和服务，严格按采购人要求执行门卫管理制度，保证门口交通安全、畅通、有序，维护正常的交通秩序。做好人员、车辆进出检查登记工作，严防不法分子进入。</w:t>
      </w:r>
    </w:p>
    <w:p>
      <w:pPr>
        <w:spacing w:line="360" w:lineRule="auto"/>
        <w:ind w:firstLine="435"/>
        <w:rPr>
          <w:rFonts w:hint="eastAsia" w:ascii="Times New Roman" w:hAnsi="Times New Roman" w:cs="Calibri"/>
          <w:color w:val="auto"/>
          <w:szCs w:val="21"/>
        </w:rPr>
      </w:pPr>
      <w:r>
        <w:rPr>
          <w:rFonts w:hint="eastAsia" w:ascii="宋体" w:hAnsi="宋体" w:cs="Calibri"/>
          <w:color w:val="auto"/>
          <w:szCs w:val="21"/>
        </w:rPr>
        <w:t>（</w:t>
      </w:r>
      <w:r>
        <w:rPr>
          <w:rFonts w:hint="eastAsia" w:ascii="Times New Roman" w:hAnsi="Times New Roman"/>
          <w:color w:val="auto"/>
          <w:szCs w:val="21"/>
        </w:rPr>
        <w:t>3</w:t>
      </w:r>
      <w:r>
        <w:rPr>
          <w:rFonts w:hint="eastAsia" w:ascii="宋体" w:hAnsi="宋体" w:cs="Calibri"/>
          <w:color w:val="auto"/>
          <w:szCs w:val="21"/>
        </w:rPr>
        <w:t>）安全防范工作：大院内人员往来复杂，要加强保安人员巡逻力度，防范治安事件发生。</w:t>
      </w:r>
    </w:p>
    <w:p>
      <w:pPr>
        <w:spacing w:line="360" w:lineRule="auto"/>
        <w:ind w:firstLine="435"/>
        <w:rPr>
          <w:rFonts w:hint="eastAsia" w:ascii="Times New Roman" w:hAnsi="Times New Roman" w:cs="Calibri"/>
          <w:color w:val="auto"/>
          <w:szCs w:val="21"/>
        </w:rPr>
      </w:pPr>
      <w:r>
        <w:rPr>
          <w:rFonts w:hint="eastAsia" w:ascii="宋体" w:hAnsi="宋体" w:cs="Calibri"/>
          <w:color w:val="auto"/>
          <w:szCs w:val="21"/>
        </w:rPr>
        <w:t>（</w:t>
      </w:r>
      <w:r>
        <w:rPr>
          <w:rFonts w:hint="eastAsia" w:ascii="Times New Roman" w:hAnsi="Times New Roman"/>
          <w:color w:val="auto"/>
          <w:szCs w:val="21"/>
        </w:rPr>
        <w:t>4</w:t>
      </w:r>
      <w:r>
        <w:rPr>
          <w:rFonts w:hint="eastAsia" w:ascii="宋体" w:hAnsi="宋体" w:cs="Calibri"/>
          <w:color w:val="auto"/>
          <w:szCs w:val="21"/>
        </w:rPr>
        <w:t>）发现潜在隐患：发现和排除各种不安全因素，及时处置各种违法犯罪行为；听从班长工作安排与指挥调度，善于发现，分析处理各种事故隐患和突发事件；配合采购人和相关部门处理各类纠纷和治安案件，配合采购人对违规事件的调查，协助公安机关对案件的排查。</w:t>
      </w:r>
    </w:p>
    <w:p>
      <w:pPr>
        <w:spacing w:line="360" w:lineRule="auto"/>
        <w:ind w:firstLine="435"/>
        <w:rPr>
          <w:rFonts w:hint="eastAsia" w:ascii="Times New Roman" w:hAnsi="Times New Roman" w:cs="Calibri"/>
          <w:color w:val="auto"/>
          <w:szCs w:val="21"/>
        </w:rPr>
      </w:pPr>
      <w:r>
        <w:rPr>
          <w:rFonts w:hint="eastAsia" w:ascii="宋体" w:hAnsi="宋体" w:cs="Calibri"/>
          <w:color w:val="auto"/>
          <w:kern w:val="0"/>
          <w:sz w:val="23"/>
          <w:szCs w:val="23"/>
        </w:rPr>
        <w:t xml:space="preserve"> </w:t>
      </w:r>
      <w:r>
        <w:rPr>
          <w:rFonts w:hint="eastAsia" w:ascii="宋体" w:hAnsi="宋体" w:cs="Calibri"/>
          <w:b/>
          <w:color w:val="auto"/>
          <w:kern w:val="0"/>
          <w:sz w:val="23"/>
          <w:szCs w:val="23"/>
        </w:rPr>
        <w:t>2.门卫管理：</w:t>
      </w:r>
      <w:r>
        <w:rPr>
          <w:rFonts w:hint="eastAsia" w:ascii="宋体" w:hAnsi="宋体" w:cs="Calibri"/>
          <w:color w:val="auto"/>
          <w:szCs w:val="21"/>
        </w:rPr>
        <w:t>严格人员，车辆，物资进出登记管理；按时立岗，礼貌待人，树立良好的窗口形象；对携物出门实行出门证验审制度，防止财务流失；与各岗位互通信息；值班室无闲杂人员滞留，保持室内外环境整洁卫生，门前卫生三包；完成采购人交办的其他事项。</w:t>
      </w:r>
    </w:p>
    <w:p>
      <w:pPr>
        <w:spacing w:line="360" w:lineRule="auto"/>
        <w:ind w:firstLine="435"/>
        <w:rPr>
          <w:rFonts w:hint="eastAsia" w:ascii="宋体" w:hAnsi="宋体" w:cs="Calibri"/>
          <w:b/>
          <w:color w:val="auto"/>
          <w:kern w:val="0"/>
          <w:sz w:val="23"/>
          <w:szCs w:val="23"/>
        </w:rPr>
      </w:pPr>
      <w:r>
        <w:rPr>
          <w:rFonts w:hint="eastAsia" w:ascii="宋体" w:hAnsi="宋体" w:cs="Calibri"/>
          <w:color w:val="auto"/>
          <w:kern w:val="0"/>
          <w:sz w:val="23"/>
          <w:szCs w:val="23"/>
        </w:rPr>
        <w:t xml:space="preserve"> </w:t>
      </w:r>
      <w:r>
        <w:rPr>
          <w:rFonts w:hint="eastAsia" w:ascii="宋体" w:hAnsi="宋体" w:cs="Calibri"/>
          <w:b/>
          <w:color w:val="auto"/>
          <w:kern w:val="0"/>
          <w:sz w:val="23"/>
          <w:szCs w:val="23"/>
        </w:rPr>
        <w:t>3.车辆管理：</w:t>
      </w:r>
    </w:p>
    <w:p>
      <w:pPr>
        <w:spacing w:line="360" w:lineRule="auto"/>
        <w:ind w:firstLine="435"/>
        <w:rPr>
          <w:rFonts w:hint="eastAsia" w:ascii="宋体" w:hAnsi="宋体" w:cs="Calibri"/>
          <w:b/>
          <w:color w:val="auto"/>
          <w:kern w:val="0"/>
          <w:sz w:val="23"/>
          <w:szCs w:val="23"/>
        </w:rPr>
      </w:pPr>
      <w:r>
        <w:rPr>
          <w:rFonts w:hint="eastAsia" w:ascii="宋体" w:hAnsi="宋体" w:cs="Calibri"/>
          <w:b/>
          <w:color w:val="auto"/>
          <w:kern w:val="0"/>
          <w:sz w:val="23"/>
          <w:szCs w:val="23"/>
        </w:rPr>
        <w:t>（1）公务车辆和工作人员私家车管理</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a</w:t>
      </w:r>
      <w:r>
        <w:rPr>
          <w:rFonts w:hint="eastAsia" w:ascii="宋体" w:hAnsi="宋体" w:cs="Calibri"/>
          <w:color w:val="auto"/>
          <w:szCs w:val="21"/>
        </w:rPr>
        <w:t>．各单位的公务车辆和采购人物品运送车辆，保安人员要加强管理，确保车辆进出畅通，确保车位不被无故占用。</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b</w:t>
      </w:r>
      <w:r>
        <w:rPr>
          <w:rFonts w:hint="eastAsia" w:ascii="宋体" w:hAnsi="宋体" w:cs="Calibri"/>
          <w:color w:val="auto"/>
          <w:szCs w:val="21"/>
        </w:rPr>
        <w:t>．领导、工作人员私家车辆，根据采购人提供的车辆出入证，按规定车位停放。</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c</w:t>
      </w:r>
      <w:r>
        <w:rPr>
          <w:rFonts w:hint="eastAsia" w:ascii="宋体" w:hAnsi="宋体" w:cs="Calibri"/>
          <w:color w:val="auto"/>
          <w:szCs w:val="21"/>
        </w:rPr>
        <w:t>．当班保安人员要坚守岗位，按规定巡视，保证车辆不被损坏，车内物品安全。</w:t>
      </w:r>
    </w:p>
    <w:p>
      <w:pPr>
        <w:spacing w:line="360" w:lineRule="auto"/>
        <w:ind w:firstLine="435"/>
        <w:rPr>
          <w:rFonts w:hint="eastAsia" w:ascii="Times New Roman" w:hAnsi="Times New Roman" w:cs="Calibri"/>
          <w:color w:val="auto"/>
          <w:szCs w:val="21"/>
        </w:rPr>
      </w:pPr>
      <w:r>
        <w:rPr>
          <w:rFonts w:hint="eastAsia" w:ascii="宋体" w:hAnsi="宋体" w:cs="Calibri"/>
          <w:color w:val="auto"/>
          <w:szCs w:val="21"/>
        </w:rPr>
        <w:t>（</w:t>
      </w:r>
      <w:r>
        <w:rPr>
          <w:rFonts w:hint="eastAsia" w:ascii="Times New Roman" w:hAnsi="Times New Roman"/>
          <w:color w:val="auto"/>
          <w:szCs w:val="21"/>
        </w:rPr>
        <w:t>2</w:t>
      </w:r>
      <w:r>
        <w:rPr>
          <w:rFonts w:hint="eastAsia" w:ascii="宋体" w:hAnsi="宋体" w:cs="Calibri"/>
          <w:color w:val="auto"/>
          <w:szCs w:val="21"/>
        </w:rPr>
        <w:t>）外来车辆管理</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a</w:t>
      </w:r>
      <w:r>
        <w:rPr>
          <w:rFonts w:hint="eastAsia" w:ascii="宋体" w:hAnsi="宋体" w:cs="Calibri"/>
          <w:color w:val="auto"/>
          <w:szCs w:val="21"/>
        </w:rPr>
        <w:t>．做好外来车辆进出检查登记工作。</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b</w:t>
      </w:r>
      <w:r>
        <w:rPr>
          <w:rFonts w:hint="eastAsia" w:ascii="宋体" w:hAnsi="宋体" w:cs="Calibri"/>
          <w:color w:val="auto"/>
          <w:szCs w:val="21"/>
        </w:rPr>
        <w:t>．凡装有易燃、易爆、剧毒物品或有污染性物品的车辆严禁驶入院内。</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c</w:t>
      </w:r>
      <w:r>
        <w:rPr>
          <w:rFonts w:hint="eastAsia" w:ascii="宋体" w:hAnsi="宋体" w:cs="Calibri"/>
          <w:color w:val="auto"/>
          <w:szCs w:val="21"/>
        </w:rPr>
        <w:t>．保证消防通道、应急通道</w:t>
      </w:r>
      <w:r>
        <w:rPr>
          <w:rFonts w:hint="eastAsia" w:ascii="Times New Roman" w:hAnsi="Times New Roman"/>
          <w:color w:val="auto"/>
          <w:szCs w:val="21"/>
        </w:rPr>
        <w:t>24</w:t>
      </w:r>
      <w:r>
        <w:rPr>
          <w:rFonts w:hint="eastAsia" w:ascii="宋体" w:hAnsi="宋体" w:cs="Calibri"/>
          <w:color w:val="auto"/>
          <w:szCs w:val="21"/>
        </w:rPr>
        <w:t>小时畅通无阻。</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d</w:t>
      </w:r>
      <w:r>
        <w:rPr>
          <w:rFonts w:hint="eastAsia" w:ascii="宋体" w:hAnsi="宋体" w:cs="Calibri"/>
          <w:color w:val="auto"/>
          <w:szCs w:val="21"/>
        </w:rPr>
        <w:t>、协助相关部门进行交通管理。</w:t>
      </w:r>
    </w:p>
    <w:p>
      <w:pPr>
        <w:spacing w:line="360" w:lineRule="auto"/>
        <w:ind w:firstLine="435"/>
        <w:rPr>
          <w:rFonts w:hint="eastAsia" w:ascii="宋体" w:hAnsi="宋体" w:cs="Calibri"/>
          <w:b/>
          <w:color w:val="auto"/>
          <w:kern w:val="0"/>
          <w:sz w:val="23"/>
          <w:szCs w:val="23"/>
        </w:rPr>
      </w:pPr>
      <w:r>
        <w:rPr>
          <w:rFonts w:hint="eastAsia" w:ascii="宋体" w:hAnsi="宋体" w:cs="Calibri"/>
          <w:b/>
          <w:color w:val="auto"/>
          <w:kern w:val="0"/>
          <w:sz w:val="23"/>
          <w:szCs w:val="23"/>
        </w:rPr>
        <w:t>（3）摩托车及非机动车管理</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a</w:t>
      </w:r>
      <w:r>
        <w:rPr>
          <w:rFonts w:hint="eastAsia" w:ascii="宋体" w:hAnsi="宋体" w:cs="Calibri"/>
          <w:color w:val="auto"/>
          <w:szCs w:val="21"/>
        </w:rPr>
        <w:t>．摩托车及非机动车在采购人规定范围内有序停放。</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b</w:t>
      </w:r>
      <w:r>
        <w:rPr>
          <w:rFonts w:hint="eastAsia" w:ascii="宋体" w:hAnsi="宋体" w:cs="Calibri"/>
          <w:color w:val="auto"/>
          <w:szCs w:val="21"/>
        </w:rPr>
        <w:t>．监控岗位要进行实时监视，发现可疑人员通知巡逻岗进行布控，并加强防范巡视，减少或避免车辆被盗事件的发生。</w:t>
      </w:r>
    </w:p>
    <w:p>
      <w:pPr>
        <w:spacing w:line="360" w:lineRule="auto"/>
        <w:ind w:firstLine="435"/>
        <w:rPr>
          <w:rFonts w:hint="eastAsia" w:ascii="Times New Roman" w:hAnsi="Times New Roman" w:cs="Calibri"/>
          <w:color w:val="auto"/>
          <w:szCs w:val="21"/>
        </w:rPr>
      </w:pPr>
      <w:r>
        <w:rPr>
          <w:rFonts w:hint="eastAsia" w:ascii="宋体" w:hAnsi="宋体" w:cs="Calibri"/>
          <w:b/>
          <w:color w:val="auto"/>
          <w:kern w:val="0"/>
          <w:sz w:val="23"/>
          <w:szCs w:val="23"/>
        </w:rPr>
        <w:t xml:space="preserve"> 4.区域守护：</w:t>
      </w:r>
      <w:r>
        <w:rPr>
          <w:rFonts w:hint="eastAsia" w:ascii="宋体" w:hAnsi="宋体" w:cs="Calibri"/>
          <w:color w:val="auto"/>
          <w:szCs w:val="21"/>
        </w:rPr>
        <w:t>熟悉守护区域的情况特点，定点守卫与区域巡查相结合；掌握消防栓，灭火器等安全位置，性能和使用方法；听从班长工作安排与指挥调度，及时处置突发事件；维护责任区域公共秩序，发现可疑人员主动盘问，发现违规行为，大胆管理，主动干预，发现异常及安全隐患，立即采取措施并报告，制止暴力事件，有效处置各种违法犯罪行为；保持岗亭卫生整洁，无闲杂人员滞留。</w:t>
      </w:r>
    </w:p>
    <w:p>
      <w:pPr>
        <w:spacing w:line="360" w:lineRule="auto"/>
        <w:ind w:firstLine="435"/>
        <w:rPr>
          <w:rFonts w:hint="eastAsia" w:ascii="Times New Roman" w:hAnsi="Times New Roman" w:cs="Calibri"/>
          <w:color w:val="auto"/>
          <w:szCs w:val="21"/>
        </w:rPr>
      </w:pPr>
      <w:r>
        <w:rPr>
          <w:rFonts w:hint="eastAsia" w:ascii="宋体" w:hAnsi="宋体" w:cs="Calibri"/>
          <w:b/>
          <w:color w:val="auto"/>
          <w:kern w:val="0"/>
          <w:sz w:val="23"/>
          <w:szCs w:val="23"/>
        </w:rPr>
        <w:t xml:space="preserve"> 5.机动巡逻：</w:t>
      </w:r>
      <w:r>
        <w:rPr>
          <w:rFonts w:hint="eastAsia" w:ascii="宋体" w:hAnsi="宋体" w:cs="Calibri"/>
          <w:color w:val="auto"/>
          <w:szCs w:val="21"/>
        </w:rPr>
        <w:t>根据不同情况，灵活执行相应的巡逻方案；加强对重点区域，要害部位安全巡查，巡更采点不流于形式，并与监控室保持联动；协助各岗位开展采购人秩序维护和交通秩序管理工作；开展安全防范；如实记录汇报巡逻记录。</w:t>
      </w:r>
    </w:p>
    <w:p>
      <w:pPr>
        <w:spacing w:line="360" w:lineRule="auto"/>
        <w:ind w:firstLine="435"/>
        <w:rPr>
          <w:rFonts w:hint="eastAsia" w:ascii="宋体" w:hAnsi="宋体" w:cs="Calibri"/>
          <w:b/>
          <w:color w:val="auto"/>
          <w:kern w:val="0"/>
          <w:sz w:val="23"/>
          <w:szCs w:val="23"/>
        </w:rPr>
      </w:pPr>
      <w:r>
        <w:rPr>
          <w:rFonts w:hint="eastAsia" w:ascii="宋体" w:hAnsi="宋体" w:cs="Calibri"/>
          <w:b/>
          <w:color w:val="auto"/>
          <w:kern w:val="0"/>
          <w:sz w:val="23"/>
          <w:szCs w:val="23"/>
        </w:rPr>
        <w:t xml:space="preserve"> 6.消防管理：</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a</w:t>
      </w:r>
      <w:r>
        <w:rPr>
          <w:rFonts w:hint="eastAsia" w:ascii="宋体" w:hAnsi="宋体" w:cs="Calibri"/>
          <w:color w:val="auto"/>
          <w:szCs w:val="21"/>
        </w:rPr>
        <w:t>．要求具有详细的消防设施巡查记录。</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b</w:t>
      </w:r>
      <w:r>
        <w:rPr>
          <w:rFonts w:hint="eastAsia" w:ascii="宋体" w:hAnsi="宋体" w:cs="Calibri"/>
          <w:color w:val="auto"/>
          <w:szCs w:val="21"/>
        </w:rPr>
        <w:t>．平时实行不间断巡视，对防火重点部位，消防通道等进行重点检查，发现火灾隐患，立即报告采购人并设法消除。</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c</w:t>
      </w:r>
      <w:r>
        <w:rPr>
          <w:rFonts w:hint="eastAsia" w:ascii="宋体" w:hAnsi="宋体" w:cs="Calibri"/>
          <w:color w:val="auto"/>
          <w:szCs w:val="21"/>
        </w:rPr>
        <w:t>．定期对消防灭火设施设备进行检查，每周一次，有记录，检查灭火器是否过期失效，压力等是否有效，灭火器过期前</w:t>
      </w:r>
      <w:r>
        <w:rPr>
          <w:rFonts w:hint="eastAsia" w:ascii="Times New Roman" w:hAnsi="Times New Roman"/>
          <w:color w:val="auto"/>
          <w:szCs w:val="21"/>
        </w:rPr>
        <w:t>2</w:t>
      </w:r>
      <w:r>
        <w:rPr>
          <w:rFonts w:hint="eastAsia" w:ascii="宋体" w:hAnsi="宋体" w:cs="Calibri"/>
          <w:color w:val="auto"/>
          <w:szCs w:val="21"/>
        </w:rPr>
        <w:t>个月及时上报采购人。消防栓、应急指示灯等消防设施是否完好。如有损坏或过期失效立即通知采购人修理、调换。</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d</w:t>
      </w:r>
      <w:r>
        <w:rPr>
          <w:rFonts w:hint="eastAsia" w:ascii="宋体" w:hAnsi="宋体" w:cs="Calibri"/>
          <w:color w:val="auto"/>
          <w:szCs w:val="21"/>
        </w:rPr>
        <w:t>．作好所有安保、消防设施的日常清洁、保养、保管工作，发现有人擅自动用消防设施的，应及时制止并报告。</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e</w:t>
      </w:r>
      <w:r>
        <w:rPr>
          <w:rFonts w:hint="eastAsia" w:ascii="宋体" w:hAnsi="宋体" w:cs="Calibri"/>
          <w:color w:val="auto"/>
          <w:szCs w:val="21"/>
        </w:rPr>
        <w:t>．积极开展防火宣传教育，对违规用电、用火现象及时阻止，建立健全防火责任制和岗位责任制，制定消防应急预案。</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f</w:t>
      </w:r>
      <w:r>
        <w:rPr>
          <w:rFonts w:hint="eastAsia" w:ascii="宋体" w:hAnsi="宋体" w:cs="Calibri"/>
          <w:color w:val="auto"/>
          <w:szCs w:val="21"/>
        </w:rPr>
        <w:t>．加强消防演练，积极组织保安人员参加消防演练，正确使用消防器材，熟知采购人突发事件应急预案，一旦发生火灾，能冷静处理，按预案进行火灾报警，人员疏散，组织扑救，抢救物资等工作。</w:t>
      </w:r>
    </w:p>
    <w:p>
      <w:pPr>
        <w:spacing w:line="360" w:lineRule="auto"/>
        <w:ind w:firstLine="435"/>
        <w:rPr>
          <w:rFonts w:hint="eastAsia" w:ascii="Times New Roman" w:hAnsi="Times New Roman" w:cs="Calibri"/>
          <w:color w:val="auto"/>
          <w:szCs w:val="21"/>
        </w:rPr>
      </w:pPr>
      <w:r>
        <w:rPr>
          <w:rFonts w:hint="eastAsia" w:ascii="Times New Roman" w:hAnsi="Times New Roman"/>
          <w:color w:val="auto"/>
          <w:szCs w:val="21"/>
        </w:rPr>
        <w:t>g</w:t>
      </w:r>
      <w:r>
        <w:rPr>
          <w:rFonts w:hint="eastAsia" w:ascii="宋体" w:hAnsi="宋体" w:cs="Calibri"/>
          <w:color w:val="auto"/>
          <w:szCs w:val="21"/>
        </w:rPr>
        <w:t>．保安人员兼任采购人的义务消防队员，所有队员有参加灭火抢险的义务。</w:t>
      </w:r>
    </w:p>
    <w:p>
      <w:pPr>
        <w:spacing w:line="360" w:lineRule="auto"/>
        <w:ind w:firstLine="435"/>
        <w:rPr>
          <w:rFonts w:hint="eastAsia" w:ascii="Times New Roman" w:hAnsi="Times New Roman" w:cs="Calibri"/>
          <w:color w:val="auto"/>
          <w:szCs w:val="21"/>
        </w:rPr>
      </w:pPr>
      <w:r>
        <w:rPr>
          <w:rFonts w:hint="eastAsia" w:ascii="宋体" w:hAnsi="宋体" w:cs="Calibri"/>
          <w:b/>
          <w:color w:val="auto"/>
          <w:kern w:val="0"/>
          <w:sz w:val="23"/>
          <w:szCs w:val="23"/>
        </w:rPr>
        <w:t>7.政治保卫：</w:t>
      </w:r>
      <w:r>
        <w:rPr>
          <w:rFonts w:hint="eastAsia" w:ascii="宋体" w:hAnsi="宋体" w:cs="Calibri"/>
          <w:color w:val="auto"/>
          <w:szCs w:val="21"/>
        </w:rPr>
        <w:t>重大活动安全警戒与秩序保障；配合做好重大事件的政治保卫工作。</w:t>
      </w:r>
      <w:r>
        <w:rPr>
          <w:rFonts w:hint="eastAsia" w:ascii="Times New Roman" w:hAnsi="Times New Roman" w:cs="Calibri"/>
          <w:color w:val="auto"/>
          <w:szCs w:val="21"/>
        </w:rPr>
        <w:t xml:space="preserve"> </w:t>
      </w:r>
    </w:p>
    <w:p>
      <w:pPr>
        <w:spacing w:line="360" w:lineRule="auto"/>
        <w:ind w:firstLine="435"/>
        <w:rPr>
          <w:rFonts w:hint="eastAsia" w:ascii="Times New Roman" w:hAnsi="Times New Roman" w:cs="Calibri"/>
          <w:color w:val="auto"/>
          <w:szCs w:val="21"/>
        </w:rPr>
      </w:pPr>
      <w:r>
        <w:rPr>
          <w:rFonts w:hint="eastAsia" w:ascii="宋体" w:hAnsi="宋体" w:cs="Calibri"/>
          <w:color w:val="auto"/>
          <w:kern w:val="0"/>
          <w:sz w:val="23"/>
          <w:szCs w:val="23"/>
        </w:rPr>
        <w:t xml:space="preserve"> </w:t>
      </w:r>
      <w:r>
        <w:rPr>
          <w:rFonts w:hint="eastAsia" w:ascii="宋体" w:hAnsi="宋体" w:cs="Calibri"/>
          <w:b/>
          <w:color w:val="auto"/>
          <w:kern w:val="0"/>
          <w:sz w:val="23"/>
          <w:szCs w:val="23"/>
        </w:rPr>
        <w:t>8.突发事件处理：</w:t>
      </w:r>
      <w:r>
        <w:rPr>
          <w:rFonts w:hint="eastAsia" w:ascii="宋体" w:hAnsi="宋体" w:cs="Calibri"/>
          <w:color w:val="auto"/>
          <w:szCs w:val="21"/>
        </w:rPr>
        <w:t>突发事件处置，灾害预防，火灾扑救，发现和制止暴力事件，随时准备提供紧急救助。</w:t>
      </w:r>
    </w:p>
    <w:p>
      <w:pPr>
        <w:spacing w:line="360" w:lineRule="auto"/>
        <w:ind w:firstLine="435"/>
        <w:rPr>
          <w:rFonts w:hint="eastAsia" w:ascii="Times New Roman" w:hAnsi="Times New Roman" w:cs="Calibri"/>
          <w:color w:val="auto"/>
          <w:szCs w:val="21"/>
        </w:rPr>
      </w:pPr>
      <w:r>
        <w:rPr>
          <w:rFonts w:hint="eastAsia" w:ascii="宋体" w:hAnsi="宋体" w:cs="Calibri"/>
          <w:color w:val="auto"/>
          <w:kern w:val="0"/>
          <w:sz w:val="23"/>
          <w:szCs w:val="23"/>
        </w:rPr>
        <w:t xml:space="preserve"> </w:t>
      </w:r>
      <w:r>
        <w:rPr>
          <w:rFonts w:hint="eastAsia" w:ascii="宋体" w:hAnsi="宋体" w:cs="Calibri"/>
          <w:b/>
          <w:color w:val="auto"/>
          <w:kern w:val="0"/>
          <w:sz w:val="23"/>
          <w:szCs w:val="23"/>
        </w:rPr>
        <w:t>9.安全教育：</w:t>
      </w:r>
      <w:r>
        <w:rPr>
          <w:rFonts w:hint="eastAsia" w:ascii="宋体" w:hAnsi="宋体" w:cs="Calibri"/>
          <w:color w:val="auto"/>
          <w:kern w:val="0"/>
          <w:sz w:val="23"/>
          <w:szCs w:val="23"/>
        </w:rPr>
        <w:t>内</w:t>
      </w:r>
      <w:r>
        <w:rPr>
          <w:rFonts w:hint="eastAsia" w:ascii="宋体" w:hAnsi="宋体" w:cs="Calibri"/>
          <w:color w:val="auto"/>
          <w:szCs w:val="21"/>
        </w:rPr>
        <w:t>部安全隐患检查，排除及上报；违规纠正；有针对性地开展安全教育和提示。</w:t>
      </w:r>
    </w:p>
    <w:p>
      <w:pPr>
        <w:spacing w:line="360" w:lineRule="auto"/>
        <w:ind w:firstLine="435"/>
        <w:rPr>
          <w:rFonts w:hint="eastAsia" w:ascii="宋体" w:hAnsi="宋体" w:cs="Calibri"/>
          <w:b/>
          <w:color w:val="auto"/>
          <w:kern w:val="0"/>
          <w:sz w:val="23"/>
          <w:szCs w:val="23"/>
        </w:rPr>
      </w:pPr>
      <w:r>
        <w:rPr>
          <w:rFonts w:hint="eastAsia" w:ascii="宋体" w:hAnsi="宋体" w:cs="Calibri"/>
          <w:color w:val="auto"/>
          <w:kern w:val="0"/>
          <w:sz w:val="23"/>
          <w:szCs w:val="23"/>
        </w:rPr>
        <w:t xml:space="preserve"> 10.</w:t>
      </w:r>
      <w:r>
        <w:rPr>
          <w:rFonts w:hint="eastAsia" w:ascii="宋体" w:hAnsi="宋体" w:cs="Calibri"/>
          <w:b/>
          <w:color w:val="auto"/>
          <w:kern w:val="0"/>
          <w:sz w:val="23"/>
          <w:szCs w:val="23"/>
        </w:rPr>
        <w:t>临时替换人员到岗要求：保安人员离职或被辞退后，替换保安人员须保证在3个工作日内上岗。</w:t>
      </w:r>
    </w:p>
    <w:p>
      <w:pPr>
        <w:spacing w:line="360" w:lineRule="auto"/>
        <w:ind w:firstLine="435"/>
        <w:rPr>
          <w:rFonts w:hint="eastAsia" w:ascii="宋体" w:hAnsi="宋体" w:cs="Calibri"/>
          <w:b/>
          <w:color w:val="auto"/>
          <w:kern w:val="0"/>
          <w:sz w:val="23"/>
          <w:szCs w:val="23"/>
        </w:rPr>
      </w:pPr>
      <w:r>
        <w:rPr>
          <w:rFonts w:hint="eastAsia" w:ascii="宋体" w:hAnsi="宋体" w:cs="Calibri"/>
          <w:b/>
          <w:color w:val="auto"/>
          <w:kern w:val="0"/>
          <w:sz w:val="23"/>
          <w:szCs w:val="23"/>
        </w:rPr>
        <w:t xml:space="preserve"> </w:t>
      </w:r>
      <w:r>
        <w:rPr>
          <w:rFonts w:hint="eastAsia" w:ascii="宋体" w:hAnsi="宋体" w:cs="Calibri"/>
          <w:color w:val="auto"/>
          <w:kern w:val="0"/>
          <w:sz w:val="23"/>
          <w:szCs w:val="23"/>
        </w:rPr>
        <w:t>11.</w:t>
      </w:r>
      <w:r>
        <w:rPr>
          <w:rFonts w:hint="eastAsia" w:ascii="宋体" w:hAnsi="宋体" w:cs="Calibri"/>
          <w:b/>
          <w:color w:val="auto"/>
          <w:kern w:val="0"/>
          <w:sz w:val="23"/>
          <w:szCs w:val="23"/>
        </w:rPr>
        <w:t>其他应由保安人员完成的职责。</w:t>
      </w:r>
    </w:p>
    <w:p>
      <w:pPr>
        <w:spacing w:line="360" w:lineRule="auto"/>
        <w:ind w:firstLine="422" w:firstLineChars="200"/>
        <w:rPr>
          <w:rFonts w:hint="eastAsia" w:cs="Calibri"/>
          <w:b/>
          <w:bCs/>
          <w:color w:val="auto"/>
          <w:kern w:val="0"/>
          <w:szCs w:val="21"/>
        </w:rPr>
      </w:pPr>
      <w:bookmarkStart w:id="35" w:name="_Toc377588316"/>
      <w:bookmarkEnd w:id="35"/>
      <w:bookmarkStart w:id="36" w:name="_Toc441493111"/>
      <w:bookmarkEnd w:id="36"/>
      <w:bookmarkStart w:id="37" w:name="_Toc380592951"/>
      <w:r>
        <w:rPr>
          <w:rFonts w:hint="eastAsia" w:ascii="宋体" w:hAnsi="宋体" w:cs="Calibri"/>
          <w:b/>
          <w:bCs/>
          <w:color w:val="auto"/>
          <w:kern w:val="0"/>
          <w:szCs w:val="21"/>
        </w:rPr>
        <w:t>（</w:t>
      </w:r>
      <w:r>
        <w:rPr>
          <w:rFonts w:hint="eastAsia" w:cs="Calibri"/>
          <w:b/>
          <w:bCs/>
          <w:color w:val="auto"/>
          <w:kern w:val="0"/>
          <w:szCs w:val="21"/>
        </w:rPr>
        <w:t>5</w:t>
      </w:r>
      <w:r>
        <w:rPr>
          <w:rFonts w:hint="eastAsia" w:ascii="宋体" w:hAnsi="宋体" w:cs="Calibri"/>
          <w:b/>
          <w:bCs/>
          <w:color w:val="auto"/>
          <w:kern w:val="0"/>
          <w:szCs w:val="21"/>
        </w:rPr>
        <w:t>）投标人内部管理体系要求</w:t>
      </w:r>
      <w:bookmarkEnd w:id="37"/>
    </w:p>
    <w:p>
      <w:pPr>
        <w:spacing w:line="360" w:lineRule="auto"/>
        <w:ind w:firstLine="422" w:firstLineChars="200"/>
        <w:rPr>
          <w:rFonts w:cs="Calibri"/>
          <w:b/>
          <w:bCs/>
          <w:color w:val="auto"/>
          <w:kern w:val="0"/>
          <w:szCs w:val="21"/>
        </w:rPr>
      </w:pPr>
      <w:r>
        <w:rPr>
          <w:rFonts w:hint="eastAsia" w:ascii="宋体" w:hAnsi="宋体" w:cs="Calibri"/>
          <w:b/>
          <w:bCs/>
          <w:color w:val="auto"/>
          <w:kern w:val="0"/>
          <w:szCs w:val="21"/>
        </w:rPr>
        <w:t>（</w:t>
      </w:r>
      <w:r>
        <w:rPr>
          <w:rFonts w:hint="eastAsia" w:cs="Calibri"/>
          <w:b/>
          <w:bCs/>
          <w:color w:val="auto"/>
          <w:kern w:val="0"/>
          <w:szCs w:val="21"/>
        </w:rPr>
        <w:t>1</w:t>
      </w:r>
      <w:r>
        <w:rPr>
          <w:rFonts w:hint="eastAsia" w:ascii="宋体" w:hAnsi="宋体" w:cs="Calibri"/>
          <w:b/>
          <w:bCs/>
          <w:color w:val="auto"/>
          <w:kern w:val="0"/>
          <w:szCs w:val="21"/>
        </w:rPr>
        <w:t>）服务标准</w:t>
      </w:r>
    </w:p>
    <w:p>
      <w:pPr>
        <w:spacing w:line="360" w:lineRule="auto"/>
        <w:ind w:firstLine="435"/>
        <w:rPr>
          <w:rFonts w:ascii="Times New Roman" w:hAnsi="Times New Roman" w:cs="Calibri"/>
          <w:color w:val="auto"/>
          <w:szCs w:val="21"/>
        </w:rPr>
      </w:pPr>
      <w:r>
        <w:rPr>
          <w:rFonts w:hint="eastAsia" w:ascii="Times New Roman" w:hAnsi="Times New Roman" w:cs="Calibri"/>
          <w:color w:val="auto"/>
          <w:szCs w:val="21"/>
        </w:rPr>
        <w:t xml:space="preserve"> </w:t>
      </w:r>
      <w:r>
        <w:rPr>
          <w:rFonts w:hint="eastAsia" w:ascii="Times New Roman" w:hAnsi="Times New Roman"/>
          <w:color w:val="auto"/>
          <w:szCs w:val="21"/>
        </w:rPr>
        <w:t>1.</w:t>
      </w:r>
      <w:r>
        <w:rPr>
          <w:rFonts w:hint="eastAsia" w:ascii="宋体" w:hAnsi="宋体" w:cs="Calibri"/>
          <w:color w:val="auto"/>
          <w:szCs w:val="21"/>
        </w:rPr>
        <w:t>《保安工作人员职责》，《保安交接班制度》，《保安队伍例会制度》，《队伍常态化管理》，《保安员义务消防队方案》，《保安员突发事件预案》，《队伍培训管理方案》，《队伍绩效考核管理》，《保安员等级考核管理制度》等；</w:t>
      </w:r>
    </w:p>
    <w:p>
      <w:pPr>
        <w:spacing w:line="360" w:lineRule="auto"/>
        <w:ind w:firstLine="435"/>
        <w:rPr>
          <w:rFonts w:hint="eastAsia" w:ascii="Times New Roman" w:hAnsi="Times New Roman" w:cs="Calibri"/>
          <w:color w:val="auto"/>
          <w:szCs w:val="21"/>
        </w:rPr>
      </w:pPr>
      <w:r>
        <w:rPr>
          <w:rFonts w:hint="eastAsia" w:ascii="Times New Roman" w:hAnsi="Times New Roman" w:cs="Calibri"/>
          <w:color w:val="auto"/>
          <w:szCs w:val="21"/>
        </w:rPr>
        <w:t xml:space="preserve"> </w:t>
      </w:r>
      <w:r>
        <w:rPr>
          <w:rFonts w:hint="eastAsia" w:ascii="Times New Roman" w:hAnsi="Times New Roman"/>
          <w:color w:val="auto"/>
          <w:szCs w:val="21"/>
        </w:rPr>
        <w:t>2.</w:t>
      </w:r>
      <w:r>
        <w:rPr>
          <w:rFonts w:hint="eastAsia" w:ascii="宋体" w:hAnsi="宋体" w:cs="Calibri"/>
          <w:color w:val="auto"/>
          <w:szCs w:val="21"/>
        </w:rPr>
        <w:t>义乌市政府有关保安文明服务要求的规定；</w:t>
      </w:r>
    </w:p>
    <w:p>
      <w:pPr>
        <w:spacing w:line="360" w:lineRule="auto"/>
        <w:ind w:firstLine="422" w:firstLineChars="200"/>
        <w:rPr>
          <w:rFonts w:hint="eastAsia" w:cs="Calibri"/>
          <w:b/>
          <w:bCs/>
          <w:color w:val="auto"/>
          <w:kern w:val="0"/>
          <w:szCs w:val="21"/>
        </w:rPr>
      </w:pPr>
      <w:r>
        <w:rPr>
          <w:rFonts w:hint="eastAsia" w:ascii="宋体" w:hAnsi="宋体" w:cs="Calibri"/>
          <w:b/>
          <w:bCs/>
          <w:color w:val="auto"/>
          <w:kern w:val="0"/>
          <w:szCs w:val="21"/>
        </w:rPr>
        <w:t>（</w:t>
      </w:r>
      <w:r>
        <w:rPr>
          <w:rFonts w:hint="eastAsia" w:cs="Calibri"/>
          <w:b/>
          <w:bCs/>
          <w:color w:val="auto"/>
          <w:kern w:val="0"/>
          <w:szCs w:val="21"/>
        </w:rPr>
        <w:t>2</w:t>
      </w:r>
      <w:r>
        <w:rPr>
          <w:rFonts w:hint="eastAsia" w:ascii="宋体" w:hAnsi="宋体" w:cs="Calibri"/>
          <w:b/>
          <w:bCs/>
          <w:color w:val="auto"/>
          <w:kern w:val="0"/>
          <w:szCs w:val="21"/>
        </w:rPr>
        <w:t>）服务目标</w:t>
      </w:r>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bookmarkStart w:id="38" w:name="_Toc377915722"/>
      <w:bookmarkEnd w:id="38"/>
      <w:bookmarkStart w:id="39" w:name="_Toc377595893"/>
      <w:bookmarkEnd w:id="39"/>
      <w:bookmarkStart w:id="40" w:name="_Toc377588317"/>
      <w:bookmarkEnd w:id="40"/>
      <w:bookmarkStart w:id="41" w:name="_Toc380592952"/>
      <w:bookmarkEnd w:id="41"/>
      <w:bookmarkStart w:id="42" w:name="_Toc377916665"/>
      <w:bookmarkEnd w:id="42"/>
      <w:bookmarkStart w:id="43" w:name="_Toc441493112"/>
      <w:r>
        <w:rPr>
          <w:rFonts w:hint="eastAsia" w:cs="Calibri"/>
          <w:color w:val="auto"/>
          <w:kern w:val="0"/>
          <w:szCs w:val="21"/>
        </w:rPr>
        <w:t>1.</w:t>
      </w:r>
      <w:r>
        <w:rPr>
          <w:rFonts w:hint="eastAsia" w:ascii="宋体" w:hAnsi="宋体" w:cs="Calibri"/>
          <w:color w:val="auto"/>
          <w:kern w:val="0"/>
          <w:szCs w:val="21"/>
        </w:rPr>
        <w:t>达到采购人要求的考核细则</w:t>
      </w:r>
      <w:bookmarkEnd w:id="43"/>
      <w:r>
        <w:rPr>
          <w:rFonts w:hint="eastAsia" w:ascii="宋体" w:hAnsi="宋体" w:cs="Calibri"/>
          <w:color w:val="auto"/>
          <w:kern w:val="0"/>
          <w:szCs w:val="21"/>
        </w:rPr>
        <w:t>标准；</w:t>
      </w:r>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r>
        <w:rPr>
          <w:rFonts w:hint="eastAsia" w:cs="Calibri"/>
          <w:color w:val="auto"/>
          <w:kern w:val="0"/>
          <w:szCs w:val="21"/>
        </w:rPr>
        <w:t>2.</w:t>
      </w:r>
      <w:r>
        <w:rPr>
          <w:rFonts w:hint="eastAsia" w:ascii="宋体" w:hAnsi="宋体" w:cs="Calibri"/>
          <w:color w:val="auto"/>
          <w:kern w:val="0"/>
          <w:szCs w:val="21"/>
        </w:rPr>
        <w:t>达到义乌市政府有关保安文明服务要求的规定要求；</w:t>
      </w:r>
    </w:p>
    <w:p>
      <w:pPr>
        <w:spacing w:line="360" w:lineRule="auto"/>
        <w:ind w:firstLine="422" w:firstLineChars="200"/>
        <w:rPr>
          <w:rFonts w:cs="Calibri"/>
          <w:b/>
          <w:bCs/>
          <w:color w:val="auto"/>
          <w:kern w:val="0"/>
          <w:szCs w:val="21"/>
        </w:rPr>
      </w:pPr>
      <w:r>
        <w:rPr>
          <w:rFonts w:hint="eastAsia" w:ascii="宋体" w:hAnsi="宋体" w:cs="Calibri"/>
          <w:b/>
          <w:bCs/>
          <w:color w:val="auto"/>
          <w:kern w:val="0"/>
          <w:szCs w:val="21"/>
        </w:rPr>
        <w:t>（</w:t>
      </w:r>
      <w:r>
        <w:rPr>
          <w:rFonts w:hint="eastAsia" w:cs="Calibri"/>
          <w:b/>
          <w:bCs/>
          <w:color w:val="auto"/>
          <w:kern w:val="0"/>
          <w:szCs w:val="21"/>
        </w:rPr>
        <w:t>3</w:t>
      </w:r>
      <w:r>
        <w:rPr>
          <w:rFonts w:hint="eastAsia" w:ascii="宋体" w:hAnsi="宋体" w:cs="Calibri"/>
          <w:b/>
          <w:bCs/>
          <w:color w:val="auto"/>
          <w:kern w:val="0"/>
          <w:szCs w:val="21"/>
        </w:rPr>
        <w:t>）队伍内部建设与管理</w:t>
      </w:r>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r>
        <w:rPr>
          <w:rFonts w:hint="eastAsia" w:cs="Calibri"/>
          <w:color w:val="auto"/>
          <w:kern w:val="0"/>
          <w:szCs w:val="21"/>
        </w:rPr>
        <w:t>1.</w:t>
      </w:r>
      <w:r>
        <w:rPr>
          <w:rFonts w:hint="eastAsia" w:ascii="宋体" w:hAnsi="宋体" w:cs="Calibri"/>
          <w:color w:val="auto"/>
          <w:kern w:val="0"/>
          <w:szCs w:val="21"/>
        </w:rPr>
        <w:t>投标人自行负责提供进驻保安人员执勤所需的装备，器材，通讯设备，常用办公耗材；</w:t>
      </w:r>
    </w:p>
    <w:p>
      <w:pPr>
        <w:spacing w:line="360" w:lineRule="auto"/>
        <w:ind w:firstLine="420" w:firstLineChars="200"/>
        <w:rPr>
          <w:rFonts w:cs="Calibri"/>
          <w:color w:val="auto"/>
          <w:kern w:val="0"/>
          <w:szCs w:val="21"/>
        </w:rPr>
      </w:pPr>
      <w:r>
        <w:rPr>
          <w:rFonts w:hint="eastAsia" w:cs="Calibri"/>
          <w:color w:val="auto"/>
          <w:kern w:val="0"/>
          <w:szCs w:val="21"/>
        </w:rPr>
        <w:t>2.</w:t>
      </w:r>
      <w:r>
        <w:rPr>
          <w:rFonts w:hint="eastAsia" w:ascii="宋体" w:hAnsi="宋体" w:cs="Calibri"/>
          <w:color w:val="auto"/>
          <w:kern w:val="0"/>
          <w:szCs w:val="21"/>
        </w:rPr>
        <w:t>投标人必须采取切实有效措施保持保安队伍的稳定，严格控制非违纪人员轮换岗比例，合同期限内轮换岗保安人数不得超过合同编制的</w:t>
      </w:r>
      <w:r>
        <w:rPr>
          <w:rFonts w:hint="eastAsia" w:cs="Calibri"/>
          <w:color w:val="auto"/>
          <w:kern w:val="0"/>
          <w:szCs w:val="21"/>
        </w:rPr>
        <w:t>50%</w:t>
      </w:r>
      <w:r>
        <w:rPr>
          <w:rFonts w:hint="eastAsia" w:ascii="宋体" w:hAnsi="宋体" w:cs="Calibri"/>
          <w:color w:val="auto"/>
          <w:kern w:val="0"/>
          <w:szCs w:val="21"/>
        </w:rPr>
        <w:t xml:space="preserve">；保安队伍主要管理员更换，应提前一个月以书面形式通知采购人，其他队员更换要提前三天告知采购人；确保服务质量不因人员变动而受影响； </w:t>
      </w:r>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r>
        <w:rPr>
          <w:rFonts w:hint="eastAsia" w:cs="Calibri"/>
          <w:color w:val="auto"/>
          <w:kern w:val="0"/>
          <w:szCs w:val="21"/>
        </w:rPr>
        <w:t>3.</w:t>
      </w:r>
      <w:r>
        <w:rPr>
          <w:rFonts w:hint="eastAsia" w:ascii="宋体" w:hAnsi="宋体" w:cs="Calibri"/>
          <w:color w:val="auto"/>
          <w:kern w:val="0"/>
          <w:szCs w:val="21"/>
        </w:rPr>
        <w:t>保安应聘，录用，离职等管理档案规范，手续齐全。</w:t>
      </w:r>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r>
        <w:rPr>
          <w:rFonts w:hint="eastAsia" w:cs="Calibri"/>
          <w:color w:val="auto"/>
          <w:kern w:val="0"/>
          <w:szCs w:val="21"/>
        </w:rPr>
        <w:t>4.</w:t>
      </w:r>
      <w:r>
        <w:rPr>
          <w:rFonts w:hint="eastAsia" w:ascii="宋体" w:hAnsi="宋体" w:cs="Calibri"/>
          <w:color w:val="auto"/>
          <w:kern w:val="0"/>
          <w:szCs w:val="21"/>
        </w:rPr>
        <w:t>投标人必须信守承包承诺，认真落实具有相应的固定服务人员，服务人员必须统一穿着工作服，挂牌上岗，并建立健全管理制度。</w:t>
      </w:r>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r>
        <w:rPr>
          <w:rFonts w:hint="eastAsia" w:cs="Calibri"/>
          <w:color w:val="auto"/>
          <w:kern w:val="0"/>
          <w:szCs w:val="21"/>
        </w:rPr>
        <w:t>5.</w:t>
      </w:r>
      <w:r>
        <w:rPr>
          <w:rFonts w:hint="eastAsia" w:ascii="宋体" w:hAnsi="宋体" w:cs="Calibri"/>
          <w:color w:val="auto"/>
          <w:kern w:val="0"/>
          <w:szCs w:val="21"/>
        </w:rPr>
        <w:t>在服务期内承包人员遇到各类突发事件时，中标人应无条件加班服从采购人安排，费用由中标人全部负责。</w:t>
      </w:r>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r>
        <w:rPr>
          <w:rFonts w:hint="eastAsia" w:cs="Calibri"/>
          <w:color w:val="auto"/>
          <w:kern w:val="0"/>
          <w:szCs w:val="21"/>
        </w:rPr>
        <w:t>6.</w:t>
      </w:r>
      <w:r>
        <w:rPr>
          <w:rFonts w:hint="eastAsia" w:ascii="宋体" w:hAnsi="宋体" w:cs="Calibri"/>
          <w:color w:val="auto"/>
          <w:kern w:val="0"/>
          <w:szCs w:val="21"/>
        </w:rPr>
        <w:t>中标人必须对员工发生的事故责任以及员工身体健康等承担责任；同时对员工在执勤期间做出不良行为给采购人造成影响承担责任。</w:t>
      </w:r>
    </w:p>
    <w:p>
      <w:pPr>
        <w:spacing w:line="360" w:lineRule="auto"/>
        <w:ind w:firstLine="420" w:firstLineChars="200"/>
        <w:rPr>
          <w:rFonts w:cs="Calibri"/>
          <w:color w:val="auto"/>
          <w:kern w:val="0"/>
          <w:szCs w:val="21"/>
        </w:rPr>
      </w:pPr>
      <w:r>
        <w:rPr>
          <w:rFonts w:hint="eastAsia" w:cs="Calibri"/>
          <w:color w:val="auto"/>
          <w:kern w:val="0"/>
          <w:szCs w:val="21"/>
        </w:rPr>
        <w:t>7.</w:t>
      </w:r>
      <w:r>
        <w:rPr>
          <w:rFonts w:hint="eastAsia" w:ascii="宋体" w:hAnsi="宋体" w:cs="Calibri"/>
          <w:color w:val="auto"/>
          <w:kern w:val="0"/>
          <w:szCs w:val="21"/>
        </w:rPr>
        <w:t>中标人须缴纳员工必要的社会保险（包括养老、医疗、工伤、生育险、失业保险等）。</w:t>
      </w:r>
    </w:p>
    <w:p>
      <w:pPr>
        <w:spacing w:line="360" w:lineRule="auto"/>
        <w:ind w:firstLine="422" w:firstLineChars="200"/>
        <w:rPr>
          <w:rFonts w:cs="Calibri"/>
          <w:b/>
          <w:bCs/>
          <w:color w:val="auto"/>
          <w:kern w:val="0"/>
          <w:szCs w:val="21"/>
        </w:rPr>
      </w:pPr>
      <w:bookmarkStart w:id="44" w:name="_Toc377915724"/>
      <w:bookmarkEnd w:id="44"/>
      <w:bookmarkStart w:id="45" w:name="_Toc377588319"/>
      <w:bookmarkEnd w:id="45"/>
      <w:bookmarkStart w:id="46" w:name="_Toc380592954"/>
      <w:bookmarkEnd w:id="46"/>
      <w:bookmarkStart w:id="47" w:name="_Toc377595895"/>
      <w:bookmarkEnd w:id="47"/>
      <w:bookmarkStart w:id="48" w:name="_Toc377916667"/>
      <w:bookmarkEnd w:id="48"/>
      <w:bookmarkStart w:id="49" w:name="_Toc441493114"/>
      <w:r>
        <w:rPr>
          <w:rFonts w:hint="eastAsia" w:ascii="宋体" w:hAnsi="宋体" w:cs="Calibri"/>
          <w:b/>
          <w:bCs/>
          <w:color w:val="auto"/>
          <w:kern w:val="0"/>
          <w:szCs w:val="21"/>
        </w:rPr>
        <w:t>（</w:t>
      </w:r>
      <w:r>
        <w:rPr>
          <w:rFonts w:hint="eastAsia" w:cs="Calibri"/>
          <w:b/>
          <w:bCs/>
          <w:color w:val="auto"/>
          <w:kern w:val="0"/>
          <w:szCs w:val="21"/>
        </w:rPr>
        <w:t>4</w:t>
      </w:r>
      <w:r>
        <w:rPr>
          <w:rFonts w:hint="eastAsia" w:ascii="宋体" w:hAnsi="宋体" w:cs="Calibri"/>
          <w:b/>
          <w:bCs/>
          <w:color w:val="auto"/>
          <w:kern w:val="0"/>
          <w:szCs w:val="21"/>
        </w:rPr>
        <w:t>）工作衔接要求</w:t>
      </w:r>
      <w:bookmarkEnd w:id="49"/>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r>
        <w:rPr>
          <w:rFonts w:hint="eastAsia" w:cs="Calibri"/>
          <w:color w:val="auto"/>
          <w:kern w:val="0"/>
          <w:szCs w:val="21"/>
        </w:rPr>
        <w:t>1.</w:t>
      </w:r>
      <w:r>
        <w:rPr>
          <w:rFonts w:hint="eastAsia" w:ascii="宋体" w:hAnsi="宋体" w:cs="Calibri"/>
          <w:color w:val="auto"/>
          <w:kern w:val="0"/>
          <w:szCs w:val="21"/>
        </w:rPr>
        <w:t>根据行业服务标准与采购人规定要求，独立运作，落实采购人安全保卫整体方案，并结合采购人实际在实践中不断完善；</w:t>
      </w:r>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r>
        <w:rPr>
          <w:rFonts w:hint="eastAsia" w:cs="Calibri"/>
          <w:color w:val="auto"/>
          <w:kern w:val="0"/>
          <w:szCs w:val="21"/>
        </w:rPr>
        <w:t>2</w:t>
      </w:r>
      <w:r>
        <w:rPr>
          <w:rFonts w:hint="eastAsia" w:ascii="宋体" w:hAnsi="宋体" w:cs="Calibri"/>
          <w:color w:val="auto"/>
          <w:kern w:val="0"/>
          <w:szCs w:val="21"/>
        </w:rPr>
        <w:t>保安队长须与采购人保持必要的工作交流，每星期一次向采购人汇报保安工作开展情况及信息反馈，重大情况需及时报告；</w:t>
      </w:r>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bookmarkStart w:id="50" w:name="_Toc377915725"/>
      <w:bookmarkEnd w:id="50"/>
      <w:bookmarkStart w:id="51" w:name="_Toc377916668"/>
      <w:bookmarkEnd w:id="51"/>
      <w:bookmarkStart w:id="52" w:name="_Toc377588320"/>
      <w:bookmarkEnd w:id="52"/>
      <w:bookmarkStart w:id="53" w:name="_Toc377595896"/>
      <w:bookmarkEnd w:id="53"/>
      <w:bookmarkStart w:id="54" w:name="_Toc441493115"/>
      <w:bookmarkEnd w:id="54"/>
      <w:bookmarkStart w:id="55" w:name="_Toc380592955"/>
      <w:r>
        <w:rPr>
          <w:rFonts w:hint="eastAsia" w:cs="Calibri"/>
          <w:color w:val="auto"/>
          <w:kern w:val="0"/>
          <w:szCs w:val="21"/>
        </w:rPr>
        <w:t>3.</w:t>
      </w:r>
      <w:r>
        <w:rPr>
          <w:rFonts w:hint="eastAsia" w:ascii="宋体" w:hAnsi="宋体" w:cs="Calibri"/>
          <w:color w:val="auto"/>
          <w:kern w:val="0"/>
          <w:szCs w:val="21"/>
        </w:rPr>
        <w:t>做好详细的执勤记录，原始台账保存完好，以备核查；</w:t>
      </w:r>
      <w:bookmarkEnd w:id="55"/>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r>
        <w:rPr>
          <w:rFonts w:hint="eastAsia" w:cs="Calibri"/>
          <w:color w:val="auto"/>
          <w:kern w:val="0"/>
          <w:szCs w:val="21"/>
        </w:rPr>
        <w:t>4.</w:t>
      </w:r>
      <w:r>
        <w:rPr>
          <w:rFonts w:hint="eastAsia" w:ascii="宋体" w:hAnsi="宋体" w:cs="Calibri"/>
          <w:color w:val="auto"/>
          <w:kern w:val="0"/>
          <w:szCs w:val="21"/>
        </w:rPr>
        <w:t>协同采购人治安协防组织，形成群防群治体系；</w:t>
      </w:r>
    </w:p>
    <w:p>
      <w:pPr>
        <w:spacing w:line="360" w:lineRule="auto"/>
        <w:ind w:firstLine="420" w:firstLineChars="200"/>
        <w:rPr>
          <w:rFonts w:cs="Calibri"/>
          <w:color w:val="auto"/>
          <w:kern w:val="0"/>
          <w:szCs w:val="21"/>
        </w:rPr>
      </w:pPr>
      <w:r>
        <w:rPr>
          <w:rFonts w:hint="eastAsia" w:ascii="宋体" w:hAnsi="宋体" w:cs="Calibri"/>
          <w:color w:val="auto"/>
          <w:kern w:val="0"/>
          <w:szCs w:val="21"/>
        </w:rPr>
        <w:t xml:space="preserve">  </w:t>
      </w:r>
      <w:r>
        <w:rPr>
          <w:rFonts w:hint="eastAsia" w:cs="Calibri"/>
          <w:color w:val="auto"/>
          <w:kern w:val="0"/>
          <w:szCs w:val="21"/>
        </w:rPr>
        <w:t>5.</w:t>
      </w:r>
      <w:r>
        <w:rPr>
          <w:rFonts w:hint="eastAsia" w:ascii="宋体" w:hAnsi="宋体" w:cs="Calibri"/>
          <w:color w:val="auto"/>
          <w:kern w:val="0"/>
          <w:szCs w:val="21"/>
        </w:rPr>
        <w:t xml:space="preserve">与当地***，综治办加强合作与交流。 </w:t>
      </w:r>
    </w:p>
    <w:p>
      <w:pPr>
        <w:keepNext/>
        <w:keepLines/>
        <w:spacing w:line="360" w:lineRule="auto"/>
        <w:outlineLvl w:val="1"/>
        <w:rPr>
          <w:rFonts w:ascii="宋体" w:hAnsi="宋体" w:cs="Arial"/>
          <w:b/>
          <w:color w:val="auto"/>
          <w:sz w:val="23"/>
          <w:szCs w:val="23"/>
        </w:rPr>
      </w:pPr>
      <w:bookmarkStart w:id="56" w:name="_Toc441493117"/>
      <w:bookmarkEnd w:id="56"/>
      <w:bookmarkStart w:id="57" w:name="_Toc380592957"/>
      <w:bookmarkEnd w:id="57"/>
      <w:bookmarkStart w:id="58" w:name="_Toc15714"/>
      <w:r>
        <w:rPr>
          <w:rFonts w:hint="eastAsia" w:ascii="宋体" w:hAnsi="宋体" w:cs="Arial"/>
          <w:b/>
          <w:color w:val="auto"/>
          <w:sz w:val="23"/>
          <w:szCs w:val="23"/>
        </w:rPr>
        <w:t>四</w:t>
      </w:r>
      <w:bookmarkEnd w:id="58"/>
      <w:r>
        <w:rPr>
          <w:rFonts w:hint="eastAsia" w:ascii="宋体" w:hAnsi="宋体" w:cs="Arial"/>
          <w:b/>
          <w:color w:val="auto"/>
          <w:sz w:val="23"/>
          <w:szCs w:val="23"/>
        </w:rPr>
        <w:t>、</w:t>
      </w:r>
      <w:bookmarkStart w:id="59" w:name="_Toc380592959"/>
      <w:bookmarkEnd w:id="59"/>
      <w:bookmarkStart w:id="60" w:name="_Toc441493119"/>
      <w:bookmarkEnd w:id="60"/>
      <w:r>
        <w:rPr>
          <w:rFonts w:hint="eastAsia" w:ascii="宋体" w:hAnsi="宋体" w:cs="Arial"/>
          <w:b/>
          <w:color w:val="auto"/>
          <w:sz w:val="23"/>
          <w:szCs w:val="23"/>
        </w:rPr>
        <w:t>其他</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1</w:t>
      </w:r>
      <w:r>
        <w:rPr>
          <w:rFonts w:hint="eastAsia" w:ascii="宋体" w:hAnsi="宋体" w:cs="Calibri"/>
          <w:color w:val="auto"/>
          <w:kern w:val="0"/>
          <w:szCs w:val="21"/>
        </w:rPr>
        <w:t>、中标人办公用各类水、电由采购人免费提供。</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2</w:t>
      </w:r>
      <w:r>
        <w:rPr>
          <w:rFonts w:hint="eastAsia" w:ascii="宋体" w:hAnsi="宋体" w:cs="Calibri"/>
          <w:color w:val="auto"/>
          <w:kern w:val="0"/>
          <w:szCs w:val="21"/>
        </w:rPr>
        <w:t>、中标人自行负责办公各类设施及费用，人员食宿，安全等。</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3</w:t>
      </w:r>
      <w:r>
        <w:rPr>
          <w:rFonts w:hint="eastAsia" w:ascii="宋体" w:hAnsi="宋体" w:cs="Calibri"/>
          <w:color w:val="auto"/>
          <w:kern w:val="0"/>
          <w:szCs w:val="21"/>
        </w:rPr>
        <w:t>、采购人将提供中标人管理办公用房、员工更衣室、值班室、仓库用房，在服务期限内提供给中标人免费使用，中标人自行负责桌椅等办公家私和员工更衣柜。</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4</w:t>
      </w:r>
      <w:r>
        <w:rPr>
          <w:rFonts w:hint="eastAsia" w:ascii="宋体" w:hAnsi="宋体" w:cs="Calibri"/>
          <w:color w:val="auto"/>
          <w:kern w:val="0"/>
          <w:szCs w:val="21"/>
        </w:rPr>
        <w:t>、中标人配置项目相关人员的装备（包括对讲机以及对讲机公共频道占用费及维修费用等）</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5</w:t>
      </w:r>
      <w:r>
        <w:rPr>
          <w:rFonts w:hint="eastAsia" w:ascii="宋体" w:hAnsi="宋体" w:cs="Calibri"/>
          <w:color w:val="auto"/>
          <w:kern w:val="0"/>
          <w:szCs w:val="21"/>
        </w:rPr>
        <w:t>、中标人提供电脑、考勤设备和打印机等办公设备和耗材；电话费、网络费等由中标人解决。</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6</w:t>
      </w:r>
      <w:r>
        <w:rPr>
          <w:rFonts w:hint="eastAsia" w:ascii="宋体" w:hAnsi="宋体" w:cs="Calibri"/>
          <w:color w:val="auto"/>
          <w:kern w:val="0"/>
          <w:szCs w:val="21"/>
        </w:rPr>
        <w:t>、中标人的各岗位员工统一服装，配证上岗，并由中标人负责其员工工服配备和洗涤。</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7</w:t>
      </w:r>
      <w:r>
        <w:rPr>
          <w:rFonts w:hint="eastAsia" w:ascii="宋体" w:hAnsi="宋体" w:cs="Calibri"/>
          <w:color w:val="auto"/>
          <w:kern w:val="0"/>
          <w:szCs w:val="21"/>
        </w:rPr>
        <w:t>、中标人有岗前培训机构，服务人员</w:t>
      </w:r>
      <w:r>
        <w:rPr>
          <w:rFonts w:hint="eastAsia" w:ascii="Times New Roman" w:hAnsi="Times New Roman"/>
          <w:color w:val="auto"/>
          <w:kern w:val="0"/>
          <w:szCs w:val="21"/>
        </w:rPr>
        <w:t>100%</w:t>
      </w:r>
      <w:r>
        <w:rPr>
          <w:rFonts w:hint="eastAsia" w:ascii="宋体" w:hAnsi="宋体" w:cs="Calibri"/>
          <w:color w:val="auto"/>
          <w:kern w:val="0"/>
          <w:szCs w:val="21"/>
        </w:rPr>
        <w:t>经过岗前或在岗培训合格才独立上岗。特殊岗位按国家有关规定持证上岗。</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8</w:t>
      </w:r>
      <w:r>
        <w:rPr>
          <w:rFonts w:hint="eastAsia" w:ascii="宋体" w:hAnsi="宋体" w:cs="Calibri"/>
          <w:color w:val="auto"/>
          <w:kern w:val="0"/>
          <w:szCs w:val="21"/>
        </w:rPr>
        <w:t>、中标人不得在合同期限内将本项目转包或分包。</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9</w:t>
      </w:r>
      <w:r>
        <w:rPr>
          <w:rFonts w:hint="eastAsia" w:ascii="宋体" w:hAnsi="宋体" w:cs="Calibri"/>
          <w:color w:val="auto"/>
          <w:kern w:val="0"/>
          <w:szCs w:val="21"/>
        </w:rPr>
        <w:t>、中标人自行解决后勤管理服务时所需的日常劳保用品包括工作服装、工作鞋及防护用品</w:t>
      </w:r>
      <w:r>
        <w:rPr>
          <w:rFonts w:hint="eastAsia" w:ascii="Times New Roman" w:hAnsi="Times New Roman"/>
          <w:color w:val="auto"/>
          <w:kern w:val="0"/>
          <w:szCs w:val="21"/>
        </w:rPr>
        <w:t>,</w:t>
      </w:r>
      <w:r>
        <w:rPr>
          <w:rFonts w:hint="eastAsia" w:ascii="宋体" w:hAnsi="宋体" w:cs="Calibri"/>
          <w:color w:val="auto"/>
          <w:kern w:val="0"/>
          <w:szCs w:val="21"/>
        </w:rPr>
        <w:t>保证文明工作。</w:t>
      </w:r>
    </w:p>
    <w:p>
      <w:pPr>
        <w:spacing w:line="360" w:lineRule="auto"/>
        <w:ind w:firstLine="436" w:firstLineChars="200"/>
        <w:rPr>
          <w:rFonts w:hint="eastAsia" w:ascii="Times New Roman" w:hAnsi="Times New Roman" w:cs="Calibri"/>
          <w:color w:val="auto"/>
          <w:kern w:val="0"/>
          <w:szCs w:val="21"/>
        </w:rPr>
      </w:pPr>
      <w:r>
        <w:rPr>
          <w:rFonts w:hint="eastAsia" w:cs="Calibri"/>
          <w:color w:val="auto"/>
          <w:spacing w:val="-6"/>
          <w:kern w:val="0"/>
          <w:sz w:val="23"/>
          <w:szCs w:val="23"/>
        </w:rPr>
        <w:t>1</w:t>
      </w:r>
      <w:r>
        <w:rPr>
          <w:rFonts w:hint="eastAsia" w:ascii="Times New Roman" w:hAnsi="Times New Roman"/>
          <w:color w:val="auto"/>
          <w:kern w:val="0"/>
          <w:szCs w:val="21"/>
        </w:rPr>
        <w:t>0</w:t>
      </w:r>
      <w:r>
        <w:rPr>
          <w:rFonts w:hint="eastAsia" w:ascii="宋体" w:hAnsi="宋体" w:cs="Calibri"/>
          <w:color w:val="auto"/>
          <w:kern w:val="0"/>
          <w:szCs w:val="21"/>
        </w:rPr>
        <w:t>、中标人须严格按照标准化的操作程序、完善的培训体系和质量控制体系完成本项目，以保证整个后勤系统安全、高效、有序和有计划地运转。</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11</w:t>
      </w:r>
      <w:r>
        <w:rPr>
          <w:rFonts w:hint="eastAsia" w:ascii="宋体" w:hAnsi="宋体" w:cs="Calibri"/>
          <w:color w:val="auto"/>
          <w:kern w:val="0"/>
          <w:szCs w:val="21"/>
        </w:rPr>
        <w:t>、中标人有责任配合采购人接受上级领导部门的监督、检查，提供必须的资料。</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12</w:t>
      </w:r>
      <w:r>
        <w:rPr>
          <w:rFonts w:hint="eastAsia" w:ascii="宋体" w:hAnsi="宋体" w:cs="Calibri"/>
          <w:color w:val="auto"/>
          <w:kern w:val="0"/>
          <w:szCs w:val="21"/>
        </w:rPr>
        <w:t>、中标人须严格按照国家规定给所有的员工缴纳各种社会保险（包括养老、医疗、工伤、生育险、失业保险等）。</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13</w:t>
      </w:r>
      <w:r>
        <w:rPr>
          <w:rFonts w:hint="eastAsia" w:ascii="宋体" w:hAnsi="宋体" w:cs="Calibri"/>
          <w:color w:val="auto"/>
          <w:kern w:val="0"/>
          <w:szCs w:val="21"/>
        </w:rPr>
        <w:t>、中标人自行负责其招聘员工的一切工资、福利、加班费（含节假日加班）等；如发生工伤、疾病乃至死亡的一切责任及费用由中标人全部负责；中标人应严格遵守国家有关的法律、法规及行业标准。</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14</w:t>
      </w:r>
      <w:r>
        <w:rPr>
          <w:rFonts w:hint="eastAsia" w:ascii="宋体" w:hAnsi="宋体" w:cs="Calibri"/>
          <w:color w:val="auto"/>
          <w:kern w:val="0"/>
          <w:szCs w:val="21"/>
        </w:rPr>
        <w:t>、所有员工上岗前都必须体检，并且合格的才能上岗。</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15</w:t>
      </w:r>
      <w:r>
        <w:rPr>
          <w:rFonts w:hint="eastAsia" w:ascii="宋体" w:hAnsi="宋体" w:cs="Calibri"/>
          <w:color w:val="auto"/>
          <w:kern w:val="0"/>
          <w:szCs w:val="21"/>
        </w:rPr>
        <w:t>、中标人须自行购买公众责任险和员工的意外保险。</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16</w:t>
      </w:r>
      <w:r>
        <w:rPr>
          <w:rFonts w:hint="eastAsia" w:ascii="宋体" w:hAnsi="宋体" w:cs="Calibri"/>
          <w:color w:val="auto"/>
          <w:kern w:val="0"/>
          <w:szCs w:val="21"/>
        </w:rPr>
        <w:t>、因中标人违反《劳动法》等法律法规而造成的所有责任和损失全部由中标方承担。</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17</w:t>
      </w:r>
      <w:r>
        <w:rPr>
          <w:rFonts w:hint="eastAsia" w:ascii="宋体" w:hAnsi="宋体" w:cs="Calibri"/>
          <w:color w:val="auto"/>
          <w:kern w:val="0"/>
          <w:szCs w:val="21"/>
        </w:rPr>
        <w:t>、中标人承担由于保安员工违反合同规定、操作规范或制度而造成对采购人损害所产生的所有费用。</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18</w:t>
      </w:r>
      <w:r>
        <w:rPr>
          <w:rFonts w:hint="eastAsia" w:ascii="宋体" w:hAnsi="宋体" w:cs="Calibri"/>
          <w:color w:val="auto"/>
          <w:kern w:val="0"/>
          <w:szCs w:val="21"/>
        </w:rPr>
        <w:t>、投标时请提供人员配置表、详细的项目进驻方案、新旧保安服务交接方案、服务设备清单、工具清单、物料清单及培训计划和考核标准</w:t>
      </w:r>
      <w:r>
        <w:rPr>
          <w:rFonts w:hint="eastAsia" w:ascii="Times New Roman" w:hAnsi="Times New Roman"/>
          <w:color w:val="auto"/>
          <w:kern w:val="0"/>
          <w:szCs w:val="21"/>
        </w:rPr>
        <w:t>.</w:t>
      </w:r>
    </w:p>
    <w:p>
      <w:pPr>
        <w:spacing w:line="360" w:lineRule="auto"/>
        <w:ind w:firstLine="420" w:firstLineChars="200"/>
        <w:rPr>
          <w:rFonts w:hint="eastAsia" w:ascii="Times New Roman" w:hAnsi="Times New Roman" w:cs="Calibri"/>
          <w:color w:val="auto"/>
          <w:kern w:val="0"/>
          <w:szCs w:val="21"/>
          <w:u w:val="single"/>
        </w:rPr>
      </w:pPr>
      <w:r>
        <w:rPr>
          <w:rFonts w:hint="eastAsia" w:ascii="Times New Roman" w:hAnsi="Times New Roman"/>
          <w:color w:val="auto"/>
          <w:kern w:val="0"/>
          <w:szCs w:val="21"/>
          <w:u w:val="single"/>
        </w:rPr>
        <w:t>19</w:t>
      </w:r>
      <w:r>
        <w:rPr>
          <w:rFonts w:hint="eastAsia" w:ascii="宋体" w:hAnsi="宋体" w:cs="Calibri"/>
          <w:color w:val="auto"/>
          <w:kern w:val="0"/>
          <w:szCs w:val="21"/>
          <w:u w:val="single"/>
        </w:rPr>
        <w:t>、中标方的人数核定以当地社保单位提供的人员清单及采购人监管部门核定为准。</w:t>
      </w:r>
    </w:p>
    <w:p>
      <w:pPr>
        <w:keepNext/>
        <w:keepLines/>
        <w:spacing w:line="360" w:lineRule="auto"/>
        <w:outlineLvl w:val="1"/>
        <w:rPr>
          <w:rFonts w:hint="eastAsia" w:ascii="宋体" w:hAnsi="宋体" w:cs="Arial"/>
          <w:b/>
          <w:color w:val="auto"/>
          <w:sz w:val="23"/>
          <w:szCs w:val="23"/>
        </w:rPr>
      </w:pPr>
      <w:bookmarkStart w:id="61" w:name="_Toc29621"/>
      <w:bookmarkEnd w:id="61"/>
      <w:r>
        <w:rPr>
          <w:rFonts w:hint="eastAsia" w:ascii="宋体" w:hAnsi="宋体" w:cs="Arial"/>
          <w:b/>
          <w:color w:val="auto"/>
          <w:sz w:val="23"/>
          <w:szCs w:val="23"/>
        </w:rPr>
        <w:t>五、★付款方式</w:t>
      </w:r>
    </w:p>
    <w:p>
      <w:pPr>
        <w:spacing w:line="360" w:lineRule="auto"/>
        <w:ind w:firstLine="422" w:firstLineChars="200"/>
        <w:rPr>
          <w:rFonts w:hint="eastAsia" w:ascii="Times New Roman" w:hAnsi="Times New Roman" w:cs="Calibri"/>
          <w:b/>
          <w:bCs/>
          <w:color w:val="auto"/>
          <w:kern w:val="0"/>
          <w:szCs w:val="21"/>
        </w:rPr>
      </w:pPr>
      <w:r>
        <w:rPr>
          <w:rFonts w:hint="eastAsia" w:ascii="Times New Roman" w:hAnsi="Times New Roman"/>
          <w:b/>
          <w:bCs/>
          <w:color w:val="auto"/>
          <w:kern w:val="0"/>
          <w:szCs w:val="21"/>
        </w:rPr>
        <w:t>1</w:t>
      </w:r>
      <w:r>
        <w:rPr>
          <w:rFonts w:hint="eastAsia" w:ascii="宋体" w:hAnsi="宋体" w:cs="Calibri"/>
          <w:b/>
          <w:bCs/>
          <w:color w:val="auto"/>
          <w:kern w:val="0"/>
          <w:szCs w:val="21"/>
        </w:rPr>
        <w:t>、合同签订后</w:t>
      </w:r>
      <w:r>
        <w:rPr>
          <w:rFonts w:hint="eastAsia" w:ascii="Times New Roman" w:hAnsi="Times New Roman"/>
          <w:b/>
          <w:bCs/>
          <w:color w:val="auto"/>
          <w:kern w:val="0"/>
          <w:szCs w:val="21"/>
        </w:rPr>
        <w:t>15</w:t>
      </w:r>
      <w:r>
        <w:rPr>
          <w:rFonts w:hint="eastAsia" w:ascii="宋体" w:hAnsi="宋体" w:cs="Calibri"/>
          <w:b/>
          <w:bCs/>
          <w:color w:val="auto"/>
          <w:kern w:val="0"/>
          <w:szCs w:val="21"/>
        </w:rPr>
        <w:t>日支付合同金额</w:t>
      </w:r>
      <w:r>
        <w:rPr>
          <w:rFonts w:hint="eastAsia" w:ascii="Times New Roman" w:hAnsi="Times New Roman"/>
          <w:b/>
          <w:bCs/>
          <w:color w:val="auto"/>
          <w:kern w:val="0"/>
          <w:szCs w:val="21"/>
        </w:rPr>
        <w:t>10%</w:t>
      </w:r>
      <w:r>
        <w:rPr>
          <w:rFonts w:hint="eastAsia" w:ascii="宋体" w:hAnsi="宋体" w:cs="Calibri"/>
          <w:b/>
          <w:bCs/>
          <w:color w:val="auto"/>
          <w:kern w:val="0"/>
          <w:szCs w:val="21"/>
        </w:rPr>
        <w:t>的预付款。</w:t>
      </w:r>
    </w:p>
    <w:p>
      <w:pPr>
        <w:spacing w:line="360" w:lineRule="auto"/>
        <w:ind w:firstLine="422" w:firstLineChars="200"/>
        <w:rPr>
          <w:rFonts w:hint="eastAsia" w:ascii="Times New Roman" w:hAnsi="Times New Roman" w:cs="Calibri"/>
          <w:b/>
          <w:bCs/>
          <w:color w:val="auto"/>
          <w:kern w:val="0"/>
          <w:szCs w:val="21"/>
        </w:rPr>
      </w:pPr>
      <w:r>
        <w:rPr>
          <w:rFonts w:hint="eastAsia" w:ascii="Times New Roman" w:hAnsi="Times New Roman"/>
          <w:b/>
          <w:bCs/>
          <w:color w:val="auto"/>
          <w:kern w:val="0"/>
          <w:szCs w:val="21"/>
        </w:rPr>
        <w:t>2</w:t>
      </w:r>
      <w:r>
        <w:rPr>
          <w:rFonts w:hint="eastAsia" w:ascii="宋体" w:hAnsi="宋体" w:cs="Calibri"/>
          <w:b/>
          <w:bCs/>
          <w:color w:val="auto"/>
          <w:kern w:val="0"/>
          <w:szCs w:val="21"/>
        </w:rPr>
        <w:t>、剩余</w:t>
      </w:r>
      <w:r>
        <w:rPr>
          <w:rFonts w:hint="eastAsia" w:ascii="Times New Roman" w:hAnsi="Times New Roman"/>
          <w:b/>
          <w:bCs/>
          <w:color w:val="auto"/>
          <w:kern w:val="0"/>
          <w:szCs w:val="21"/>
        </w:rPr>
        <w:t>90%</w:t>
      </w:r>
      <w:r>
        <w:rPr>
          <w:rFonts w:hint="eastAsia" w:ascii="宋体" w:hAnsi="宋体" w:cs="Calibri"/>
          <w:b/>
          <w:bCs/>
          <w:color w:val="auto"/>
          <w:kern w:val="0"/>
          <w:szCs w:val="21"/>
        </w:rPr>
        <w:t>合同款按每半年</w:t>
      </w:r>
      <w:r>
        <w:rPr>
          <w:rFonts w:hint="eastAsia" w:ascii="宋体" w:hAnsi="宋体" w:cs="Calibri"/>
          <w:b/>
          <w:bCs/>
          <w:color w:val="auto"/>
          <w:kern w:val="0"/>
          <w:szCs w:val="21"/>
          <w:lang w:val="en-US" w:eastAsia="zh-CN"/>
        </w:rPr>
        <w:t>平均</w:t>
      </w:r>
      <w:r>
        <w:rPr>
          <w:rFonts w:hint="eastAsia" w:ascii="宋体" w:hAnsi="宋体" w:cs="Calibri"/>
          <w:b/>
          <w:bCs/>
          <w:color w:val="auto"/>
          <w:kern w:val="0"/>
          <w:szCs w:val="21"/>
        </w:rPr>
        <w:t>支付，采购人于次月</w:t>
      </w:r>
      <w:r>
        <w:rPr>
          <w:rFonts w:hint="eastAsia" w:ascii="Times New Roman" w:hAnsi="Times New Roman"/>
          <w:b/>
          <w:bCs/>
          <w:color w:val="auto"/>
          <w:kern w:val="0"/>
          <w:szCs w:val="21"/>
        </w:rPr>
        <w:t>15</w:t>
      </w:r>
      <w:r>
        <w:rPr>
          <w:rFonts w:hint="eastAsia" w:ascii="宋体" w:hAnsi="宋体" w:cs="Calibri"/>
          <w:b/>
          <w:bCs/>
          <w:color w:val="auto"/>
          <w:kern w:val="0"/>
          <w:szCs w:val="21"/>
        </w:rPr>
        <w:t>日前凭合同、发票等资料将合同款划拨到中标人指定帐户。</w:t>
      </w:r>
    </w:p>
    <w:p>
      <w:pPr>
        <w:keepNext/>
        <w:keepLines/>
        <w:spacing w:line="360" w:lineRule="auto"/>
        <w:outlineLvl w:val="1"/>
        <w:rPr>
          <w:rFonts w:hint="eastAsia" w:ascii="宋体" w:hAnsi="宋体" w:cs="Arial"/>
          <w:b/>
          <w:color w:val="auto"/>
          <w:sz w:val="23"/>
          <w:szCs w:val="23"/>
        </w:rPr>
      </w:pPr>
      <w:bookmarkStart w:id="62" w:name="_Toc15620"/>
      <w:bookmarkEnd w:id="62"/>
      <w:r>
        <w:rPr>
          <w:rFonts w:hint="eastAsia" w:ascii="宋体" w:hAnsi="宋体" w:cs="Arial"/>
          <w:b/>
          <w:color w:val="auto"/>
          <w:sz w:val="23"/>
          <w:szCs w:val="23"/>
        </w:rPr>
        <w:t>六、其他</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1</w:t>
      </w:r>
      <w:r>
        <w:rPr>
          <w:rFonts w:hint="eastAsia" w:ascii="宋体" w:hAnsi="宋体" w:cs="Calibri"/>
          <w:color w:val="auto"/>
          <w:kern w:val="0"/>
          <w:szCs w:val="21"/>
        </w:rPr>
        <w:t>、合同的签订：中标单位凭《中标通知书》三十天内到义乌市机关事务管理局与采购人签订。</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2</w:t>
      </w:r>
      <w:r>
        <w:rPr>
          <w:rFonts w:hint="eastAsia" w:ascii="宋体" w:hAnsi="宋体" w:cs="Calibri"/>
          <w:color w:val="auto"/>
          <w:kern w:val="0"/>
          <w:szCs w:val="21"/>
        </w:rPr>
        <w:t>、 中标人须按《中华人民共和国劳动法》规定，为职工足额缴纳养老、工伤、失业、医疗等保险费用。</w:t>
      </w:r>
    </w:p>
    <w:p>
      <w:pPr>
        <w:spacing w:line="360" w:lineRule="auto"/>
        <w:ind w:firstLine="420" w:firstLineChars="200"/>
        <w:rPr>
          <w:rFonts w:hint="eastAsia" w:ascii="Times New Roman" w:hAnsi="Times New Roman" w:cs="Calibri"/>
          <w:color w:val="auto"/>
          <w:kern w:val="0"/>
          <w:szCs w:val="21"/>
        </w:rPr>
      </w:pPr>
      <w:r>
        <w:rPr>
          <w:rFonts w:hint="eastAsia" w:ascii="Times New Roman" w:hAnsi="Times New Roman"/>
          <w:color w:val="auto"/>
          <w:kern w:val="0"/>
          <w:szCs w:val="21"/>
        </w:rPr>
        <w:t>3</w:t>
      </w:r>
      <w:r>
        <w:rPr>
          <w:rFonts w:hint="eastAsia" w:ascii="宋体" w:hAnsi="宋体" w:cs="Calibri"/>
          <w:color w:val="auto"/>
          <w:kern w:val="0"/>
          <w:szCs w:val="21"/>
        </w:rPr>
        <w:t>、职工工资标准</w:t>
      </w:r>
      <w:r>
        <w:rPr>
          <w:rFonts w:hint="eastAsia" w:ascii="Times New Roman" w:hAnsi="Times New Roman"/>
          <w:color w:val="auto"/>
          <w:kern w:val="0"/>
          <w:szCs w:val="21"/>
        </w:rPr>
        <w:t>(</w:t>
      </w:r>
      <w:r>
        <w:rPr>
          <w:rFonts w:hint="eastAsia" w:ascii="宋体" w:hAnsi="宋体" w:cs="Calibri"/>
          <w:color w:val="auto"/>
          <w:kern w:val="0"/>
          <w:szCs w:val="21"/>
        </w:rPr>
        <w:t>含加班费</w:t>
      </w:r>
      <w:r>
        <w:rPr>
          <w:rFonts w:hint="eastAsia" w:ascii="Times New Roman" w:hAnsi="Times New Roman"/>
          <w:color w:val="auto"/>
          <w:kern w:val="0"/>
          <w:szCs w:val="21"/>
        </w:rPr>
        <w:t>)</w:t>
      </w:r>
      <w:r>
        <w:rPr>
          <w:rFonts w:hint="eastAsia" w:ascii="宋体" w:hAnsi="宋体" w:cs="Calibri"/>
          <w:color w:val="auto"/>
          <w:kern w:val="0"/>
          <w:szCs w:val="21"/>
        </w:rPr>
        <w:t>、职工夏季高温津贴不得低于法定标准和义乌市最低工资标准。</w:t>
      </w:r>
    </w:p>
    <w:p>
      <w:pPr>
        <w:keepNext/>
        <w:keepLines/>
        <w:spacing w:line="576" w:lineRule="auto"/>
        <w:jc w:val="center"/>
        <w:outlineLvl w:val="0"/>
        <w:rPr>
          <w:rFonts w:hint="eastAsia" w:cs="Calibri"/>
          <w:b/>
          <w:color w:val="auto"/>
          <w:sz w:val="32"/>
          <w:szCs w:val="32"/>
        </w:rPr>
      </w:pPr>
      <w:r>
        <w:rPr>
          <w:rFonts w:hint="eastAsia" w:ascii="宋体" w:hAnsi="宋体" w:cs="Calibri"/>
          <w:b/>
          <w:color w:val="auto"/>
          <w:sz w:val="32"/>
          <w:szCs w:val="32"/>
        </w:rPr>
        <w:br w:type="page"/>
      </w:r>
      <w:r>
        <w:rPr>
          <w:rFonts w:hint="eastAsia" w:ascii="宋体" w:hAnsi="宋体" w:cs="Calibri"/>
          <w:b/>
          <w:color w:val="auto"/>
          <w:sz w:val="32"/>
          <w:szCs w:val="32"/>
        </w:rPr>
        <w:t xml:space="preserve">第四章 </w:t>
      </w:r>
      <w:r>
        <w:rPr>
          <w:rFonts w:ascii="宋体" w:hAnsi="宋体" w:cs="Calibri"/>
          <w:b/>
          <w:color w:val="auto"/>
          <w:sz w:val="32"/>
          <w:szCs w:val="32"/>
        </w:rPr>
        <w:t>开标、评标和定标须知</w:t>
      </w:r>
    </w:p>
    <w:p>
      <w:pPr>
        <w:keepNext/>
        <w:keepLines/>
        <w:spacing w:line="360" w:lineRule="auto"/>
        <w:outlineLvl w:val="1"/>
        <w:rPr>
          <w:rFonts w:ascii="宋体" w:hAnsi="宋体" w:cs="Arial"/>
          <w:b/>
          <w:color w:val="auto"/>
          <w:szCs w:val="21"/>
        </w:rPr>
      </w:pPr>
      <w:bookmarkStart w:id="63" w:name="_Toc22118"/>
      <w:bookmarkEnd w:id="63"/>
      <w:bookmarkStart w:id="64" w:name="_Toc362250704"/>
      <w:bookmarkEnd w:id="64"/>
      <w:bookmarkStart w:id="65" w:name="_Toc406413937"/>
      <w:bookmarkEnd w:id="65"/>
      <w:bookmarkStart w:id="66" w:name="_Toc274303252"/>
      <w:bookmarkEnd w:id="66"/>
      <w:bookmarkStart w:id="67" w:name="_Toc384297860"/>
      <w:r>
        <w:rPr>
          <w:rFonts w:hint="eastAsia" w:ascii="宋体" w:hAnsi="宋体" w:cs="Arial"/>
          <w:b/>
          <w:color w:val="auto"/>
          <w:szCs w:val="21"/>
        </w:rPr>
        <w:t>一、开标</w:t>
      </w:r>
      <w:bookmarkEnd w:id="67"/>
    </w:p>
    <w:p>
      <w:pPr>
        <w:spacing w:line="360" w:lineRule="auto"/>
        <w:ind w:firstLine="420" w:firstLineChars="200"/>
        <w:rPr>
          <w:rFonts w:hint="eastAsia" w:ascii="宋体" w:hAnsi="宋体" w:cs="Calibri"/>
          <w:color w:val="auto"/>
          <w:kern w:val="0"/>
          <w:szCs w:val="21"/>
        </w:rPr>
      </w:pPr>
      <w:bookmarkStart w:id="68" w:name="_Toc263090375"/>
      <w:bookmarkEnd w:id="68"/>
      <w:bookmarkStart w:id="69" w:name="_Toc261519847"/>
      <w:bookmarkEnd w:id="69"/>
      <w:bookmarkStart w:id="70" w:name="_Toc362250705"/>
      <w:bookmarkEnd w:id="70"/>
      <w:bookmarkStart w:id="71" w:name="_Toc226973002"/>
      <w:bookmarkEnd w:id="71"/>
      <w:bookmarkStart w:id="72" w:name="_Toc384297861"/>
      <w:bookmarkEnd w:id="72"/>
      <w:bookmarkStart w:id="73" w:name="_Toc406413938"/>
      <w:bookmarkEnd w:id="73"/>
      <w:bookmarkStart w:id="74" w:name="_Toc274303253"/>
      <w:r>
        <w:rPr>
          <w:rFonts w:hint="eastAsia" w:ascii="宋体" w:hAnsi="宋体" w:cs="Calibri"/>
          <w:color w:val="auto"/>
          <w:kern w:val="0"/>
          <w:szCs w:val="21"/>
        </w:rPr>
        <w:t>1、本项目实行电子开评标，投标方无需前往开评标现场，只需在规定时间内在“政采云”平台上上传电子投标文件。</w:t>
      </w:r>
      <w:bookmarkEnd w:id="74"/>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2、电子开评标及评审程序</w:t>
      </w:r>
    </w:p>
    <w:p>
      <w:pPr>
        <w:spacing w:line="360" w:lineRule="auto"/>
        <w:ind w:firstLine="422" w:firstLineChars="200"/>
        <w:rPr>
          <w:rFonts w:hint="eastAsia" w:ascii="宋体" w:hAnsi="宋体" w:cs="Calibri"/>
          <w:b/>
          <w:color w:val="auto"/>
          <w:kern w:val="0"/>
          <w:szCs w:val="21"/>
        </w:rPr>
      </w:pPr>
      <w:r>
        <w:rPr>
          <w:rFonts w:hint="eastAsia" w:ascii="宋体" w:hAnsi="宋体" w:cs="Calibri"/>
          <w:b/>
          <w:color w:val="auto"/>
          <w:kern w:val="0"/>
          <w:szCs w:val="21"/>
        </w:rPr>
        <w:t xml:space="preserve">2.1投标截止时间后的1小时内（开标当日上午9:30-10:30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 </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2.2.评标委员会对投标方的资格和商务技术响应文件进行评审；</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2.3评标委员会对报价情况进行评审；</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2.4在系统上公布评审结果。</w:t>
      </w:r>
    </w:p>
    <w:p>
      <w:pPr>
        <w:spacing w:line="360" w:lineRule="auto"/>
        <w:ind w:firstLine="422" w:firstLineChars="200"/>
        <w:rPr>
          <w:rFonts w:hint="eastAsia" w:ascii="宋体" w:hAnsi="宋体" w:cs="Calibri"/>
          <w:b/>
          <w:color w:val="auto"/>
          <w:kern w:val="0"/>
          <w:szCs w:val="21"/>
          <w:u w:val="single"/>
        </w:rPr>
      </w:pPr>
      <w:r>
        <w:rPr>
          <w:rFonts w:hint="eastAsia" w:ascii="宋体" w:hAnsi="宋体" w:cs="Calibri"/>
          <w:b/>
          <w:color w:val="auto"/>
          <w:kern w:val="0"/>
          <w:szCs w:val="21"/>
          <w:u w:val="single"/>
        </w:rPr>
        <w:t>特别说明：政采云公司如对电子化开标及评审程序有调整的，按调整后的程序操作。</w:t>
      </w:r>
    </w:p>
    <w:p>
      <w:pPr>
        <w:keepNext/>
        <w:keepLines/>
        <w:spacing w:line="360" w:lineRule="auto"/>
        <w:outlineLvl w:val="1"/>
        <w:rPr>
          <w:rFonts w:hint="eastAsia" w:ascii="宋体" w:hAnsi="宋体" w:cs="Arial"/>
          <w:b/>
          <w:color w:val="auto"/>
          <w:szCs w:val="21"/>
        </w:rPr>
      </w:pPr>
      <w:bookmarkStart w:id="75" w:name="_Toc5989"/>
      <w:bookmarkEnd w:id="75"/>
      <w:r>
        <w:rPr>
          <w:rFonts w:hint="eastAsia" w:ascii="宋体" w:hAnsi="宋体" w:cs="Arial"/>
          <w:b/>
          <w:color w:val="auto"/>
          <w:szCs w:val="21"/>
        </w:rPr>
        <w:t>二、评标</w:t>
      </w:r>
    </w:p>
    <w:p>
      <w:pPr>
        <w:spacing w:line="360" w:lineRule="auto"/>
        <w:ind w:firstLine="480"/>
        <w:rPr>
          <w:rFonts w:hint="eastAsia" w:ascii="宋体" w:hAnsi="宋体" w:cs="Calibri"/>
          <w:b/>
          <w:color w:val="auto"/>
          <w:kern w:val="0"/>
          <w:szCs w:val="21"/>
        </w:rPr>
      </w:pPr>
      <w:r>
        <w:rPr>
          <w:rFonts w:hint="eastAsia" w:ascii="宋体" w:hAnsi="宋体" w:cs="Calibri"/>
          <w:b/>
          <w:color w:val="auto"/>
          <w:kern w:val="0"/>
          <w:szCs w:val="21"/>
        </w:rPr>
        <w:t>3、评标小组</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招标方将根据招标采购项目的特点确定评标委员会（即评标小组）。其成员由评审专家和采购人代表5人及以上单数组成。评标小组对投标文件进行审查、质疑、评估和比较。</w:t>
      </w:r>
    </w:p>
    <w:p>
      <w:pPr>
        <w:spacing w:line="360" w:lineRule="auto"/>
        <w:ind w:firstLine="480"/>
        <w:rPr>
          <w:rFonts w:hint="eastAsia" w:ascii="宋体" w:hAnsi="宋体" w:cs="Calibri"/>
          <w:b/>
          <w:color w:val="auto"/>
          <w:kern w:val="0"/>
          <w:szCs w:val="21"/>
        </w:rPr>
      </w:pPr>
      <w:r>
        <w:rPr>
          <w:rFonts w:hint="eastAsia" w:ascii="宋体" w:hAnsi="宋体" w:cs="Calibri"/>
          <w:b/>
          <w:color w:val="auto"/>
          <w:kern w:val="0"/>
          <w:szCs w:val="21"/>
        </w:rPr>
        <w:t>4、评标原则</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4.1评标小组将遵循公开、公平、公正的原则，严格遵守评标工作纪律。</w:t>
      </w:r>
    </w:p>
    <w:p>
      <w:pPr>
        <w:spacing w:line="360" w:lineRule="auto"/>
        <w:ind w:firstLine="420" w:firstLineChars="200"/>
        <w:rPr>
          <w:rFonts w:hint="eastAsia" w:ascii="宋体" w:hAnsi="宋体" w:cs="Calibri"/>
          <w:bCs/>
          <w:color w:val="auto"/>
          <w:kern w:val="0"/>
          <w:szCs w:val="21"/>
        </w:rPr>
      </w:pPr>
      <w:r>
        <w:rPr>
          <w:rFonts w:hint="eastAsia" w:ascii="宋体" w:hAnsi="宋体" w:cs="Calibri"/>
          <w:color w:val="auto"/>
          <w:kern w:val="0"/>
          <w:szCs w:val="21"/>
        </w:rPr>
        <w:t>4.2</w:t>
      </w:r>
      <w:r>
        <w:rPr>
          <w:rFonts w:hint="eastAsia" w:ascii="宋体" w:hAnsi="宋体" w:cs="Calibri"/>
          <w:bCs/>
          <w:color w:val="auto"/>
          <w:kern w:val="0"/>
          <w:szCs w:val="21"/>
        </w:rPr>
        <w:t>先评资格及商务技术标，再评报价标。</w:t>
      </w:r>
    </w:p>
    <w:p>
      <w:pPr>
        <w:spacing w:line="360" w:lineRule="auto"/>
        <w:ind w:firstLine="420" w:firstLineChars="200"/>
        <w:rPr>
          <w:rFonts w:hint="eastAsia" w:ascii="宋体" w:hAnsi="宋体" w:cs="Calibri"/>
          <w:color w:val="auto"/>
          <w:kern w:val="0"/>
          <w:szCs w:val="21"/>
        </w:rPr>
      </w:pPr>
      <w:r>
        <w:rPr>
          <w:rFonts w:hint="eastAsia" w:ascii="宋体" w:hAnsi="宋体" w:cs="Calibri"/>
          <w:bCs/>
          <w:color w:val="auto"/>
          <w:kern w:val="0"/>
          <w:szCs w:val="21"/>
        </w:rPr>
        <w:t>4.3</w:t>
      </w:r>
      <w:r>
        <w:rPr>
          <w:rFonts w:hint="eastAsia" w:ascii="宋体" w:hAnsi="宋体" w:cs="Calibri"/>
          <w:color w:val="auto"/>
          <w:kern w:val="0"/>
          <w:szCs w:val="21"/>
        </w:rPr>
        <w:t>客观公正对待所有投标人，对所有投标评审均采用相同的程序和标准。评标的依据为招标文件和投标文件。</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4.4有利于提高政府投资效益，节约建设资金。</w:t>
      </w:r>
    </w:p>
    <w:p>
      <w:pPr>
        <w:widowControl/>
        <w:spacing w:line="360" w:lineRule="auto"/>
        <w:ind w:firstLine="404" w:firstLineChars="200"/>
        <w:jc w:val="left"/>
        <w:rPr>
          <w:rFonts w:hint="eastAsia" w:ascii="宋体" w:hAnsi="宋体" w:cs="宋体"/>
          <w:color w:val="auto"/>
          <w:kern w:val="0"/>
          <w:szCs w:val="21"/>
        </w:rPr>
      </w:pPr>
      <w:r>
        <w:rPr>
          <w:rFonts w:hint="eastAsia" w:ascii="宋体" w:hAnsi="宋体" w:cs="宋体"/>
          <w:color w:val="auto"/>
          <w:spacing w:val="-4"/>
          <w:kern w:val="0"/>
          <w:szCs w:val="21"/>
        </w:rPr>
        <w:t>4.5</w:t>
      </w:r>
      <w:r>
        <w:rPr>
          <w:rFonts w:hint="eastAsia" w:ascii="宋体" w:hAnsi="宋体" w:cs="宋体"/>
          <w:color w:val="auto"/>
          <w:kern w:val="0"/>
          <w:szCs w:val="21"/>
        </w:rPr>
        <w:t>在评标过程中，出现异常或特殊情况时，由评标委员会集体讨论决定。经评标委员会讨论作出处理意见，并在征得所有供应商同意后可以继续进行招标活动，如有供应商不同意，则本项目招标作废标处理。招标文件中的实质性内容或评审标准有不一致的（招标文件中其它地方规定有处理方法的除外）。</w:t>
      </w:r>
    </w:p>
    <w:p>
      <w:pPr>
        <w:widowControl/>
        <w:spacing w:line="360" w:lineRule="auto"/>
        <w:ind w:firstLine="420" w:firstLineChars="200"/>
        <w:jc w:val="left"/>
        <w:rPr>
          <w:rFonts w:hint="eastAsia" w:ascii="宋体" w:hAnsi="宋体" w:cs="宋体"/>
          <w:bCs/>
          <w:color w:val="auto"/>
          <w:kern w:val="0"/>
          <w:szCs w:val="21"/>
        </w:rPr>
      </w:pPr>
      <w:r>
        <w:rPr>
          <w:rFonts w:hint="eastAsia" w:ascii="宋体" w:hAnsi="宋体" w:cs="宋体"/>
          <w:bCs/>
          <w:color w:val="auto"/>
          <w:kern w:val="0"/>
          <w:szCs w:val="21"/>
        </w:rPr>
        <w:t>4.6供应商的认定</w:t>
      </w:r>
    </w:p>
    <w:p>
      <w:pPr>
        <w:widowControl/>
        <w:spacing w:line="360" w:lineRule="auto"/>
        <w:ind w:firstLine="420" w:firstLineChars="200"/>
        <w:jc w:val="left"/>
        <w:rPr>
          <w:rFonts w:hint="eastAsia" w:ascii="宋体" w:hAnsi="宋体" w:cs="宋体"/>
          <w:bCs/>
          <w:color w:val="auto"/>
          <w:kern w:val="0"/>
          <w:szCs w:val="21"/>
        </w:rPr>
      </w:pPr>
      <w:r>
        <w:rPr>
          <w:rFonts w:hint="eastAsia" w:ascii="宋体" w:hAnsi="宋体" w:cs="宋体"/>
          <w:bCs/>
          <w:color w:val="auto"/>
          <w:kern w:val="0"/>
          <w:szCs w:val="21"/>
        </w:rPr>
        <w:t>不同供应商之间单位负责人（法定代表人）为同一人或者存在直接控股、管理关系的不同供应商，不得参加同一合同项下的政府采购活动。</w:t>
      </w:r>
    </w:p>
    <w:p>
      <w:pPr>
        <w:widowControl/>
        <w:spacing w:line="360" w:lineRule="auto"/>
        <w:ind w:firstLine="422" w:firstLineChars="200"/>
        <w:jc w:val="left"/>
        <w:rPr>
          <w:rFonts w:hint="eastAsia" w:ascii="宋体" w:hAnsi="宋体" w:cs="宋体"/>
          <w:color w:val="auto"/>
          <w:kern w:val="0"/>
          <w:szCs w:val="21"/>
        </w:rPr>
      </w:pPr>
      <w:r>
        <w:rPr>
          <w:rFonts w:hint="eastAsia" w:ascii="宋体" w:hAnsi="宋体" w:cs="宋体"/>
          <w:b/>
          <w:color w:val="auto"/>
          <w:kern w:val="0"/>
          <w:szCs w:val="21"/>
        </w:rPr>
        <w:t>5、评标过程的保密</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5.1开标后，直至授予中标人合同为止，凡属于对投标文件的审查、澄清、评价和比较等有关的资料以及中标候选人的推荐情况等与评标有关的任何情况均严格保密。</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5.2在投标文件的评审和比较、中标候选人推荐以及授予合同的过程中，投标人向采购人和评标小组施加影响的任何行为，都将会导致其投标被拒绝。</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5.3中标人确认后，采购人不对未中标人就评标过程以及未能中标原因作出任何解释。未中标人不得向评标小组人员或其他有关人员索问评标过程的全部情况。</w:t>
      </w:r>
    </w:p>
    <w:p>
      <w:pPr>
        <w:spacing w:line="360" w:lineRule="auto"/>
        <w:ind w:firstLine="420" w:firstLineChars="200"/>
        <w:rPr>
          <w:rFonts w:hint="eastAsia" w:ascii="宋体" w:hAnsi="宋体" w:cs="Calibri"/>
          <w:color w:val="auto"/>
          <w:spacing w:val="-4"/>
          <w:kern w:val="0"/>
          <w:szCs w:val="21"/>
        </w:rPr>
      </w:pPr>
      <w:r>
        <w:rPr>
          <w:rFonts w:hint="eastAsia" w:ascii="宋体" w:hAnsi="宋体" w:cs="Calibri"/>
          <w:color w:val="auto"/>
          <w:kern w:val="0"/>
          <w:szCs w:val="21"/>
        </w:rPr>
        <w:t>5.4</w:t>
      </w:r>
      <w:r>
        <w:rPr>
          <w:rFonts w:hint="eastAsia" w:ascii="宋体" w:hAnsi="宋体" w:cs="Calibri"/>
          <w:color w:val="auto"/>
          <w:spacing w:val="-4"/>
          <w:kern w:val="0"/>
          <w:szCs w:val="21"/>
        </w:rPr>
        <w:t>为保证定标的公正性，在评标过程中，评标成员不得与投标人私人交换意见。在招标工作结束后，凡与评标情况有接触的任何人不得也不应将评标情况扩散出评标成员之外。</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5.5评标小组不向落标方解释落标原因，不退还投标文件。</w:t>
      </w:r>
    </w:p>
    <w:p>
      <w:pPr>
        <w:widowControl/>
        <w:spacing w:line="360" w:lineRule="auto"/>
        <w:ind w:firstLine="422" w:firstLineChars="200"/>
        <w:jc w:val="left"/>
        <w:rPr>
          <w:rFonts w:hint="eastAsia" w:ascii="宋体" w:hAnsi="宋体" w:cs="宋体"/>
          <w:b/>
          <w:bCs/>
          <w:color w:val="auto"/>
          <w:kern w:val="0"/>
          <w:szCs w:val="21"/>
        </w:rPr>
      </w:pPr>
      <w:r>
        <w:rPr>
          <w:rFonts w:hint="eastAsia" w:ascii="宋体" w:hAnsi="宋体" w:cs="宋体"/>
          <w:b/>
          <w:bCs/>
          <w:color w:val="auto"/>
          <w:kern w:val="0"/>
          <w:szCs w:val="21"/>
        </w:rPr>
        <w:t>6.投标文件中内容不一致的处理</w:t>
      </w:r>
    </w:p>
    <w:p>
      <w:pPr>
        <w:widowControl/>
        <w:spacing w:line="360" w:lineRule="auto"/>
        <w:ind w:firstLine="422" w:firstLineChars="200"/>
        <w:jc w:val="left"/>
        <w:rPr>
          <w:rFonts w:hint="eastAsia" w:ascii="宋体" w:hAnsi="宋体" w:cs="宋体"/>
          <w:color w:val="auto"/>
          <w:kern w:val="0"/>
          <w:szCs w:val="21"/>
        </w:rPr>
      </w:pPr>
      <w:r>
        <w:rPr>
          <w:rFonts w:hint="eastAsia" w:ascii="宋体" w:hAnsi="宋体" w:cs="宋体"/>
          <w:b/>
          <w:bCs/>
          <w:color w:val="auto"/>
          <w:kern w:val="0"/>
          <w:szCs w:val="21"/>
        </w:rPr>
        <w:t>6.1同一份投标文件中同类内容表述不一致的处理：彩页、官网下载资料、检测报告等相关资料中描写的技术性能指标与投标文件中其它地方内容描述不一致的，应以上述相关资料为准；规范偏离表等偏离表的内容与投标文件中其它地方内容有描述不一致的，应以投标文件中其它地方内容的描述为准；其它情形的，评标委员会可以以书面形式要求投标人作必要的澄清或说明</w:t>
      </w:r>
    </w:p>
    <w:p>
      <w:pPr>
        <w:adjustRightInd w:val="0"/>
        <w:snapToGrid w:val="0"/>
        <w:spacing w:line="360" w:lineRule="auto"/>
        <w:ind w:firstLine="413" w:firstLineChars="196"/>
        <w:rPr>
          <w:rFonts w:hint="eastAsia" w:ascii="宋体" w:hAnsi="宋体" w:cs="Calibri"/>
          <w:b/>
          <w:color w:val="auto"/>
          <w:kern w:val="0"/>
          <w:szCs w:val="21"/>
        </w:rPr>
      </w:pPr>
      <w:r>
        <w:rPr>
          <w:rFonts w:hint="eastAsia" w:ascii="宋体" w:hAnsi="宋体" w:cs="Calibri"/>
          <w:b/>
          <w:color w:val="auto"/>
          <w:kern w:val="0"/>
          <w:szCs w:val="21"/>
        </w:rPr>
        <w:t>7、投标文件的澄清</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7.1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7.2如果投标方代表拒绝按评标委员会要求在“政采云”平台作出在线回复且无其他有效回复方式的，评标委员会可以对其作出无效标处理。</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8、</w:t>
      </w:r>
      <w:r>
        <w:rPr>
          <w:rFonts w:hint="eastAsia" w:ascii="宋体" w:hAnsi="宋体" w:cs="Calibri"/>
          <w:b/>
          <w:color w:val="auto"/>
          <w:kern w:val="0"/>
          <w:szCs w:val="21"/>
        </w:rPr>
        <w:t>投标文件的资格性和符合性评审</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8.1评标时，评标小组将首先评定每份投标文件是否在实质上响应了招标文件的要求。所谓实质上响应，是指投标文件应与招标文件的所有实质性条款、条件和要求相符，无显著差异或保留，</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8.2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adjustRightInd w:val="0"/>
        <w:snapToGrid w:val="0"/>
        <w:spacing w:line="360" w:lineRule="auto"/>
        <w:ind w:firstLine="422" w:firstLineChars="200"/>
        <w:rPr>
          <w:rFonts w:hint="eastAsia" w:ascii="宋体" w:hAnsi="宋体" w:cs="Calibri"/>
          <w:b/>
          <w:color w:val="auto"/>
          <w:kern w:val="0"/>
          <w:szCs w:val="21"/>
        </w:rPr>
      </w:pPr>
      <w:r>
        <w:rPr>
          <w:rFonts w:hint="eastAsia" w:ascii="宋体" w:hAnsi="宋体" w:cs="Calibri"/>
          <w:b/>
          <w:color w:val="auto"/>
          <w:kern w:val="0"/>
          <w:szCs w:val="21"/>
        </w:rPr>
        <w:t>8.3评标小组在作出任何一项无效标决定前，都应当严格遵循以下程序：</w:t>
      </w:r>
    </w:p>
    <w:p>
      <w:pPr>
        <w:adjustRightInd w:val="0"/>
        <w:snapToGrid w:val="0"/>
        <w:spacing w:line="360" w:lineRule="auto"/>
        <w:ind w:firstLine="411" w:firstLineChars="196"/>
        <w:rPr>
          <w:rFonts w:hint="eastAsia" w:ascii="宋体" w:hAnsi="宋体" w:cs="Calibri"/>
          <w:color w:val="auto"/>
          <w:kern w:val="0"/>
          <w:szCs w:val="21"/>
        </w:rPr>
      </w:pPr>
      <w:r>
        <w:rPr>
          <w:rFonts w:hint="eastAsia" w:ascii="宋体" w:hAnsi="宋体" w:cs="Calibri"/>
          <w:color w:val="auto"/>
          <w:kern w:val="0"/>
          <w:szCs w:val="21"/>
        </w:rPr>
        <w:t>8.3.1要求当事投标人作相应的答辩</w:t>
      </w:r>
    </w:p>
    <w:p>
      <w:pPr>
        <w:adjustRightInd w:val="0"/>
        <w:snapToGrid w:val="0"/>
        <w:spacing w:line="360" w:lineRule="auto"/>
        <w:ind w:firstLine="411" w:firstLineChars="196"/>
        <w:rPr>
          <w:rFonts w:hint="eastAsia" w:ascii="宋体" w:hAnsi="宋体" w:cs="Calibri"/>
          <w:color w:val="auto"/>
          <w:kern w:val="0"/>
          <w:szCs w:val="21"/>
        </w:rPr>
      </w:pPr>
      <w:r>
        <w:rPr>
          <w:rFonts w:hint="eastAsia" w:ascii="宋体" w:hAnsi="宋体" w:cs="Calibri"/>
          <w:color w:val="auto"/>
          <w:kern w:val="0"/>
          <w:szCs w:val="21"/>
        </w:rPr>
        <w:t>8.3.2在充分讨论的基础上集体表决</w:t>
      </w:r>
    </w:p>
    <w:p>
      <w:pPr>
        <w:widowControl/>
        <w:spacing w:line="360" w:lineRule="auto"/>
        <w:ind w:firstLine="482"/>
        <w:jc w:val="left"/>
        <w:rPr>
          <w:rFonts w:hint="eastAsia" w:ascii="宋体" w:hAnsi="宋体" w:cs="宋体"/>
          <w:b/>
          <w:color w:val="auto"/>
          <w:kern w:val="0"/>
          <w:szCs w:val="21"/>
        </w:rPr>
      </w:pPr>
      <w:r>
        <w:rPr>
          <w:rFonts w:hint="eastAsia" w:ascii="宋体" w:hAnsi="宋体" w:cs="宋体"/>
          <w:b/>
          <w:color w:val="auto"/>
          <w:kern w:val="0"/>
          <w:szCs w:val="21"/>
        </w:rPr>
        <w:t>9、投标文件</w:t>
      </w:r>
      <w:r>
        <w:rPr>
          <w:rFonts w:hint="eastAsia" w:ascii="宋体" w:hAnsi="宋体" w:cs="宋体"/>
          <w:b/>
          <w:color w:val="auto"/>
          <w:kern w:val="0"/>
          <w:szCs w:val="21"/>
          <w:u w:val="single"/>
        </w:rPr>
        <w:t>计算错误和不同文字文本</w:t>
      </w:r>
      <w:r>
        <w:rPr>
          <w:rFonts w:hint="eastAsia" w:ascii="宋体" w:hAnsi="宋体" w:cs="宋体"/>
          <w:b/>
          <w:color w:val="auto"/>
          <w:kern w:val="0"/>
          <w:szCs w:val="21"/>
        </w:rPr>
        <w:t>的修正</w:t>
      </w:r>
    </w:p>
    <w:p>
      <w:pPr>
        <w:widowControl/>
        <w:spacing w:line="360" w:lineRule="auto"/>
        <w:ind w:firstLine="482"/>
        <w:jc w:val="left"/>
        <w:rPr>
          <w:rFonts w:hint="eastAsia" w:ascii="宋体" w:hAnsi="宋体" w:cs="宋体"/>
          <w:color w:val="auto"/>
          <w:kern w:val="0"/>
          <w:szCs w:val="21"/>
        </w:rPr>
      </w:pPr>
      <w:r>
        <w:rPr>
          <w:rFonts w:hint="eastAsia" w:ascii="宋体" w:hAnsi="宋体" w:cs="宋体"/>
          <w:color w:val="auto"/>
          <w:kern w:val="0"/>
          <w:szCs w:val="21"/>
        </w:rPr>
        <w:t>9.1修正原则如下：</w:t>
      </w:r>
    </w:p>
    <w:p>
      <w:pPr>
        <w:widowControl/>
        <w:spacing w:line="360" w:lineRule="auto"/>
        <w:ind w:firstLine="482"/>
        <w:jc w:val="left"/>
        <w:rPr>
          <w:rFonts w:hint="eastAsia" w:ascii="宋体" w:hAnsi="宋体" w:cs="宋体"/>
          <w:color w:val="auto"/>
          <w:kern w:val="0"/>
          <w:szCs w:val="21"/>
        </w:rPr>
      </w:pPr>
      <w:r>
        <w:rPr>
          <w:rFonts w:hint="eastAsia" w:ascii="宋体" w:hAnsi="宋体" w:cs="宋体"/>
          <w:color w:val="auto"/>
          <w:kern w:val="0"/>
          <w:szCs w:val="21"/>
        </w:rPr>
        <w:t>9.1.1政采云客户端填写的报价与以pdf格式上传文件中的报价不一致的，以pdf格式上传文件中的报价为准（适用于电子开评标项目）。</w:t>
      </w:r>
    </w:p>
    <w:p>
      <w:pPr>
        <w:widowControl/>
        <w:spacing w:line="360" w:lineRule="auto"/>
        <w:ind w:firstLine="482"/>
        <w:jc w:val="left"/>
        <w:rPr>
          <w:rFonts w:hint="eastAsia" w:ascii="宋体" w:hAnsi="宋体" w:cs="宋体"/>
          <w:color w:val="auto"/>
          <w:kern w:val="0"/>
          <w:szCs w:val="21"/>
        </w:rPr>
      </w:pPr>
      <w:r>
        <w:rPr>
          <w:rFonts w:hint="eastAsia" w:ascii="宋体" w:hAnsi="宋体" w:cs="宋体"/>
          <w:color w:val="auto"/>
          <w:kern w:val="0"/>
          <w:szCs w:val="21"/>
        </w:rPr>
        <w:t>9.1.2投标文件中开标一览表（报价表）内容与投标文件中相应内容不一致的，以开标一览表（报价表）为准。</w:t>
      </w:r>
    </w:p>
    <w:p>
      <w:pPr>
        <w:widowControl/>
        <w:spacing w:line="360" w:lineRule="auto"/>
        <w:ind w:firstLine="482"/>
        <w:jc w:val="left"/>
        <w:rPr>
          <w:rFonts w:hint="eastAsia" w:ascii="宋体" w:hAnsi="宋体" w:cs="宋体"/>
          <w:color w:val="auto"/>
          <w:kern w:val="0"/>
          <w:szCs w:val="21"/>
        </w:rPr>
      </w:pPr>
      <w:r>
        <w:rPr>
          <w:rFonts w:hint="eastAsia" w:ascii="宋体" w:hAnsi="宋体" w:cs="宋体"/>
          <w:color w:val="auto"/>
          <w:kern w:val="0"/>
          <w:szCs w:val="21"/>
        </w:rPr>
        <w:t>9.1.3大写金额和小写金额不一致的，以大写金额为准。</w:t>
      </w:r>
    </w:p>
    <w:p>
      <w:pPr>
        <w:widowControl/>
        <w:spacing w:line="360" w:lineRule="auto"/>
        <w:ind w:firstLine="482"/>
        <w:jc w:val="left"/>
        <w:rPr>
          <w:rFonts w:hint="eastAsia" w:ascii="宋体" w:hAnsi="宋体" w:cs="宋体"/>
          <w:color w:val="auto"/>
          <w:kern w:val="0"/>
          <w:szCs w:val="21"/>
        </w:rPr>
      </w:pPr>
      <w:r>
        <w:rPr>
          <w:rFonts w:hint="eastAsia" w:ascii="宋体" w:hAnsi="宋体" w:cs="宋体"/>
          <w:color w:val="auto"/>
          <w:kern w:val="0"/>
          <w:szCs w:val="21"/>
        </w:rPr>
        <w:t>9.1.4单价金额小数点或者百分比有明显错位的，以开标一览表的总价为准，并修改单价。</w:t>
      </w:r>
    </w:p>
    <w:p>
      <w:pPr>
        <w:widowControl/>
        <w:spacing w:line="360" w:lineRule="auto"/>
        <w:ind w:firstLine="482"/>
        <w:jc w:val="left"/>
        <w:rPr>
          <w:rFonts w:hint="eastAsia" w:ascii="宋体" w:hAnsi="宋体" w:cs="宋体"/>
          <w:color w:val="auto"/>
          <w:kern w:val="0"/>
          <w:szCs w:val="21"/>
        </w:rPr>
      </w:pPr>
      <w:r>
        <w:rPr>
          <w:rFonts w:hint="eastAsia" w:ascii="宋体" w:hAnsi="宋体" w:cs="宋体"/>
          <w:color w:val="auto"/>
          <w:kern w:val="0"/>
          <w:szCs w:val="21"/>
        </w:rPr>
        <w:t>9.1.5总价金额与按单价汇总金额不一致的，以单价金额计算结果为准。</w:t>
      </w:r>
    </w:p>
    <w:p>
      <w:pPr>
        <w:widowControl/>
        <w:spacing w:line="360" w:lineRule="auto"/>
        <w:ind w:firstLine="482"/>
        <w:jc w:val="left"/>
        <w:rPr>
          <w:rFonts w:hint="eastAsia" w:ascii="宋体" w:hAnsi="宋体" w:cs="宋体"/>
          <w:color w:val="auto"/>
          <w:kern w:val="0"/>
          <w:szCs w:val="21"/>
        </w:rPr>
      </w:pPr>
      <w:r>
        <w:rPr>
          <w:rFonts w:hint="eastAsia" w:ascii="宋体" w:hAnsi="宋体" w:cs="宋体"/>
          <w:color w:val="auto"/>
          <w:kern w:val="0"/>
          <w:szCs w:val="21"/>
        </w:rPr>
        <w:t>9.1.6对不同文字文本投标文件的解释发生异义的，以中文文本为准。评标委员会可以拒绝接受不是中文版的投标文件以及与投标相关的资料。</w:t>
      </w:r>
    </w:p>
    <w:p>
      <w:pPr>
        <w:widowControl/>
        <w:spacing w:line="360" w:lineRule="auto"/>
        <w:ind w:firstLine="482"/>
        <w:jc w:val="left"/>
        <w:rPr>
          <w:rFonts w:hint="eastAsia" w:ascii="宋体" w:hAnsi="宋体" w:cs="宋体"/>
          <w:color w:val="auto"/>
          <w:kern w:val="0"/>
          <w:szCs w:val="21"/>
        </w:rPr>
      </w:pPr>
      <w:r>
        <w:rPr>
          <w:rFonts w:hint="eastAsia" w:ascii="宋体" w:hAnsi="宋体" w:cs="宋体"/>
          <w:color w:val="auto"/>
          <w:kern w:val="0"/>
          <w:szCs w:val="21"/>
        </w:rPr>
        <w:t>9.2同时出现两种以上不一致的，按照前款规定的顺序修正，修正后的报价按照规定经投标人确认后产生约束力。如果投标人不接受修正后的报价，则其投标将被拒绝，并不影响评标工作。</w:t>
      </w:r>
    </w:p>
    <w:p>
      <w:pPr>
        <w:widowControl/>
        <w:spacing w:line="360" w:lineRule="auto"/>
        <w:ind w:firstLine="482"/>
        <w:jc w:val="left"/>
        <w:rPr>
          <w:rFonts w:hint="eastAsia" w:ascii="宋体" w:hAnsi="宋体" w:cs="宋体"/>
          <w:b/>
          <w:color w:val="auto"/>
          <w:spacing w:val="-4"/>
          <w:kern w:val="0"/>
          <w:szCs w:val="21"/>
        </w:rPr>
      </w:pPr>
      <w:r>
        <w:rPr>
          <w:rFonts w:hint="eastAsia" w:ascii="宋体" w:hAnsi="宋体" w:cs="宋体"/>
          <w:b/>
          <w:color w:val="auto"/>
          <w:spacing w:val="-4"/>
          <w:kern w:val="0"/>
          <w:szCs w:val="21"/>
        </w:rPr>
        <w:t>10、评标办法</w:t>
      </w:r>
    </w:p>
    <w:p>
      <w:pPr>
        <w:adjustRightInd w:val="0"/>
        <w:snapToGrid w:val="0"/>
        <w:spacing w:line="360" w:lineRule="auto"/>
        <w:ind w:firstLine="422" w:firstLineChars="200"/>
        <w:rPr>
          <w:rFonts w:hint="eastAsia" w:ascii="宋体" w:hAnsi="宋体" w:cs="Calibri"/>
          <w:b/>
          <w:color w:val="auto"/>
          <w:kern w:val="0"/>
          <w:szCs w:val="21"/>
        </w:rPr>
      </w:pPr>
      <w:r>
        <w:rPr>
          <w:rFonts w:hint="eastAsia" w:ascii="宋体" w:hAnsi="宋体" w:cs="Calibri"/>
          <w:b/>
          <w:color w:val="auto"/>
          <w:kern w:val="0"/>
          <w:szCs w:val="21"/>
        </w:rPr>
        <w:t>本项目采用综合评分法（具体评标办法见后）。</w:t>
      </w:r>
    </w:p>
    <w:p>
      <w:pPr>
        <w:adjustRightInd w:val="0"/>
        <w:snapToGrid w:val="0"/>
        <w:spacing w:line="360" w:lineRule="auto"/>
        <w:ind w:firstLine="573"/>
        <w:rPr>
          <w:rFonts w:hint="eastAsia" w:ascii="宋体" w:hAnsi="宋体" w:cs="Calibri"/>
          <w:b/>
          <w:color w:val="auto"/>
          <w:kern w:val="0"/>
          <w:szCs w:val="21"/>
        </w:rPr>
      </w:pPr>
      <w:r>
        <w:rPr>
          <w:rFonts w:hint="eastAsia" w:ascii="宋体" w:hAnsi="宋体" w:cs="Calibri"/>
          <w:b/>
          <w:color w:val="auto"/>
          <w:kern w:val="0"/>
          <w:szCs w:val="21"/>
        </w:rPr>
        <w:t>11、决标</w:t>
      </w:r>
    </w:p>
    <w:p>
      <w:pPr>
        <w:adjustRightInd w:val="0"/>
        <w:snapToGrid w:val="0"/>
        <w:spacing w:line="360" w:lineRule="auto"/>
        <w:ind w:firstLine="573"/>
        <w:rPr>
          <w:rFonts w:hint="eastAsia" w:ascii="宋体" w:hAnsi="宋体" w:cs="Calibri"/>
          <w:color w:val="auto"/>
          <w:kern w:val="0"/>
          <w:szCs w:val="21"/>
        </w:rPr>
      </w:pPr>
      <w:r>
        <w:rPr>
          <w:rFonts w:hint="eastAsia" w:ascii="宋体" w:hAnsi="宋体" w:cs="Calibri"/>
          <w:color w:val="auto"/>
          <w:kern w:val="0"/>
          <w:szCs w:val="21"/>
        </w:rPr>
        <w:t>评标小组依据本招标文件规定的评标标准和方法，对投标文件进行评审和比较，向招标方提出书面评标报告，并直接确定中标人。</w:t>
      </w:r>
    </w:p>
    <w:p>
      <w:pPr>
        <w:keepNext/>
        <w:keepLines/>
        <w:spacing w:line="360" w:lineRule="auto"/>
        <w:outlineLvl w:val="1"/>
        <w:rPr>
          <w:rFonts w:hint="eastAsia" w:ascii="宋体" w:hAnsi="宋体" w:cs="Arial"/>
          <w:b/>
          <w:color w:val="auto"/>
          <w:szCs w:val="21"/>
        </w:rPr>
      </w:pPr>
      <w:bookmarkStart w:id="76" w:name="_Toc263090376"/>
      <w:bookmarkEnd w:id="76"/>
      <w:bookmarkStart w:id="77" w:name="_Toc274303254"/>
      <w:bookmarkEnd w:id="77"/>
      <w:bookmarkStart w:id="78" w:name="_Toc406413939"/>
      <w:bookmarkEnd w:id="78"/>
      <w:bookmarkStart w:id="79" w:name="_Toc25430"/>
      <w:bookmarkEnd w:id="79"/>
      <w:bookmarkStart w:id="80" w:name="_Toc226973003"/>
      <w:bookmarkEnd w:id="80"/>
      <w:bookmarkStart w:id="81" w:name="_Toc384297862"/>
      <w:bookmarkEnd w:id="81"/>
      <w:bookmarkStart w:id="82" w:name="_Toc362250706"/>
      <w:bookmarkEnd w:id="82"/>
      <w:bookmarkStart w:id="83" w:name="_Toc261519848"/>
      <w:r>
        <w:rPr>
          <w:rFonts w:hint="eastAsia" w:ascii="宋体" w:hAnsi="宋体" w:cs="Arial"/>
          <w:b/>
          <w:color w:val="auto"/>
          <w:szCs w:val="21"/>
        </w:rPr>
        <w:t>三、定标</w:t>
      </w:r>
      <w:bookmarkEnd w:id="83"/>
    </w:p>
    <w:p>
      <w:pPr>
        <w:spacing w:line="360" w:lineRule="auto"/>
        <w:ind w:firstLine="422" w:firstLineChars="200"/>
        <w:rPr>
          <w:rFonts w:hint="eastAsia" w:ascii="宋体" w:hAnsi="宋体" w:cs="Calibri"/>
          <w:b/>
          <w:bCs/>
          <w:color w:val="auto"/>
          <w:kern w:val="0"/>
          <w:szCs w:val="21"/>
        </w:rPr>
      </w:pPr>
      <w:r>
        <w:rPr>
          <w:rFonts w:hint="eastAsia" w:ascii="宋体" w:hAnsi="宋体" w:cs="Calibri"/>
          <w:b/>
          <w:color w:val="auto"/>
          <w:kern w:val="0"/>
          <w:szCs w:val="21"/>
        </w:rPr>
        <w:t>12、</w:t>
      </w:r>
      <w:r>
        <w:rPr>
          <w:rFonts w:hint="eastAsia" w:ascii="宋体" w:hAnsi="宋体" w:cs="Calibri"/>
          <w:b/>
          <w:bCs/>
          <w:color w:val="auto"/>
          <w:kern w:val="0"/>
          <w:szCs w:val="21"/>
        </w:rPr>
        <w:t>中标通知</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12.1投标人自2018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12.2采购人和采购代理机构将在中标供应商确定之日起 2 个工作日内，在浙江政府采购网和义乌市公共资源交易平台上公告中标结果，同时向中标供应商签发《中标通知书》。</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12.3公告期内，如无有效异议，通过“政采云”平台确认并签发《中标通知书》，《中标通知书》一经发出即发生法律效力。</w:t>
      </w:r>
    </w:p>
    <w:p>
      <w:pPr>
        <w:widowControl/>
        <w:spacing w:line="360" w:lineRule="auto"/>
        <w:ind w:firstLine="422" w:firstLineChars="200"/>
        <w:jc w:val="left"/>
        <w:rPr>
          <w:rFonts w:hint="eastAsia" w:ascii="宋体" w:hAnsi="宋体" w:cs="宋体"/>
          <w:b/>
          <w:color w:val="auto"/>
          <w:kern w:val="0"/>
          <w:szCs w:val="21"/>
        </w:rPr>
      </w:pPr>
      <w:r>
        <w:rPr>
          <w:rFonts w:hint="eastAsia" w:ascii="宋体" w:hAnsi="宋体" w:cs="宋体"/>
          <w:b/>
          <w:color w:val="auto"/>
          <w:kern w:val="0"/>
          <w:szCs w:val="21"/>
        </w:rPr>
        <w:t>13、合同签订</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13.1中标人自接到《中标通知书》后应在三十天内到采购人处与采购人签订合同。</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13.2招标文件、中标人的投标文件、评标过程中投标人在询标时作出的承诺及其澄清文件等，均为签订合同的依据。</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13.4采购人与中标人签订合同后招标代理机构将中标结果通知落选投标人，采购人和招标代理机构对评标结果不负责解释。</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13.5采购人变更数量的权利</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采购人在授予合同时有权对“技术要求及采购货物一览表”中规定的货物数量和服务予以增加或减少，但必须符合《中华人民共和国政府采购法》及义乌市政府采购的相关规定。</w:t>
      </w:r>
    </w:p>
    <w:p>
      <w:pPr>
        <w:widowControl/>
        <w:spacing w:line="360" w:lineRule="auto"/>
        <w:jc w:val="left"/>
        <w:rPr>
          <w:rFonts w:hint="eastAsia" w:ascii="宋体" w:hAnsi="宋体" w:cs="宋体"/>
          <w:b/>
          <w:color w:val="auto"/>
          <w:kern w:val="0"/>
          <w:szCs w:val="21"/>
        </w:rPr>
      </w:pPr>
      <w:r>
        <w:rPr>
          <w:rFonts w:hint="eastAsia" w:ascii="宋体" w:hAnsi="宋体" w:cs="宋体"/>
          <w:b/>
          <w:color w:val="auto"/>
          <w:kern w:val="0"/>
          <w:szCs w:val="21"/>
        </w:rPr>
        <w:t>四、质疑和投诉</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14.1开标过程中，投标人对开标有异议的，应当在“政采云”平台上及时提出，评审委员应对异常情况制作相关记录。</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14.2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14.3质疑投诉的相关规定</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（一）质疑投诉递交的资料需为书面材料。质疑投诉书面材料需法人代表人（或负责人）或授权代表签字并加盖公章。</w:t>
      </w:r>
    </w:p>
    <w:p>
      <w:pPr>
        <w:adjustRightIn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（二）质疑投诉属于以下情况之一的，将不予受理：</w:t>
      </w:r>
    </w:p>
    <w:p>
      <w:pPr>
        <w:adjustRightIn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(1).质疑投诉人不是所投诉项目的参与者，或者与质疑投诉项目无任何利害关系。</w:t>
      </w:r>
    </w:p>
    <w:p>
      <w:pPr>
        <w:adjustRightIn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(2).质疑投诉事项不具体，且未提供有效线索，难以查证。</w:t>
      </w:r>
    </w:p>
    <w:p>
      <w:pPr>
        <w:adjustRightIn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(3).未提供书面质疑或者质疑未加盖公章的；投诉人为法人或者其他组织，其投诉书未经法定代表人或者主要负责人签字并加盖公章的。</w:t>
      </w:r>
    </w:p>
    <w:p>
      <w:pPr>
        <w:adjustRightIn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(4).已超过招标文件规定质疑投诉提出期限的事项。</w:t>
      </w:r>
    </w:p>
    <w:p>
      <w:pPr>
        <w:adjustRightIn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(5).投诉事项已作出处理决定，并且投诉人没有提出新的证据</w:t>
      </w:r>
    </w:p>
    <w:p>
      <w:pPr>
        <w:adjustRightIn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(6).质疑投诉的事项已经进入行政复议或者行政诉讼程序的；投诉事项应先提出质疑而没有提出质疑的。</w:t>
      </w:r>
    </w:p>
    <w:p>
      <w:pPr>
        <w:adjustRightIn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(7).不符合《政府采购质疑和投诉办法》（财政部令第94号）等有关规定的投诉。</w:t>
      </w:r>
      <w:bookmarkStart w:id="84" w:name="_Toc362268017"/>
      <w:bookmarkEnd w:id="84"/>
    </w:p>
    <w:p>
      <w:pPr>
        <w:widowControl/>
        <w:spacing w:line="360" w:lineRule="auto"/>
        <w:jc w:val="left"/>
        <w:rPr>
          <w:rFonts w:cs="Calibri"/>
          <w:b/>
          <w:color w:val="auto"/>
          <w:sz w:val="32"/>
          <w:szCs w:val="32"/>
        </w:rPr>
        <w:sectPr>
          <w:pgSz w:w="11906" w:h="16838"/>
          <w:pgMar w:top="1417" w:right="1134" w:bottom="1417" w:left="1134" w:header="851" w:footer="992" w:gutter="0"/>
          <w:cols w:space="720" w:num="1"/>
          <w:titlePg/>
          <w:docGrid w:type="lines" w:linePitch="286" w:charSpace="0"/>
        </w:sectPr>
      </w:pPr>
    </w:p>
    <w:p>
      <w:pPr>
        <w:keepNext/>
        <w:keepLines/>
        <w:spacing w:line="576" w:lineRule="auto"/>
        <w:jc w:val="center"/>
        <w:outlineLvl w:val="0"/>
        <w:rPr>
          <w:rFonts w:cs="Calibri"/>
          <w:b/>
          <w:color w:val="auto"/>
          <w:sz w:val="36"/>
          <w:szCs w:val="36"/>
        </w:rPr>
      </w:pPr>
      <w:bookmarkStart w:id="85" w:name="_Toc21478"/>
      <w:bookmarkEnd w:id="85"/>
      <w:bookmarkStart w:id="86" w:name="_Toc14680"/>
      <w:bookmarkEnd w:id="86"/>
      <w:r>
        <w:rPr>
          <w:rFonts w:ascii="宋体" w:hAnsi="宋体" w:cs="Calibri"/>
          <w:b/>
          <w:color w:val="auto"/>
          <w:sz w:val="32"/>
          <w:szCs w:val="32"/>
        </w:rPr>
        <w:t>第五</w:t>
      </w:r>
      <w:r>
        <w:rPr>
          <w:rFonts w:hint="eastAsia" w:ascii="宋体" w:hAnsi="宋体" w:cs="Calibri"/>
          <w:b/>
          <w:color w:val="auto"/>
          <w:sz w:val="32"/>
          <w:szCs w:val="32"/>
        </w:rPr>
        <w:t xml:space="preserve">章  </w:t>
      </w:r>
      <w:r>
        <w:rPr>
          <w:rFonts w:ascii="宋体" w:hAnsi="宋体" w:cs="Calibri"/>
          <w:b/>
          <w:color w:val="auto"/>
          <w:sz w:val="32"/>
          <w:szCs w:val="32"/>
        </w:rPr>
        <w:t>投标文件的有效性</w:t>
      </w:r>
    </w:p>
    <w:p>
      <w:pPr>
        <w:widowControl/>
        <w:spacing w:line="360" w:lineRule="auto"/>
        <w:ind w:firstLine="413" w:firstLineChars="196"/>
        <w:jc w:val="left"/>
        <w:rPr>
          <w:rFonts w:ascii="宋体" w:hAnsi="宋体" w:cs="宋体"/>
          <w:b/>
          <w:color w:val="auto"/>
          <w:kern w:val="0"/>
          <w:szCs w:val="21"/>
        </w:rPr>
      </w:pPr>
      <w:bookmarkStart w:id="87" w:name="_Toc226973004"/>
      <w:bookmarkEnd w:id="87"/>
      <w:bookmarkStart w:id="88" w:name="_Toc274303255"/>
      <w:bookmarkEnd w:id="88"/>
      <w:bookmarkStart w:id="89" w:name="_Toc145992551"/>
      <w:bookmarkEnd w:id="89"/>
      <w:r>
        <w:rPr>
          <w:rFonts w:hint="eastAsia" w:ascii="宋体" w:hAnsi="宋体" w:cs="宋体"/>
          <w:b/>
          <w:color w:val="auto"/>
          <w:kern w:val="0"/>
          <w:szCs w:val="21"/>
        </w:rPr>
        <w:t xml:space="preserve"> </w:t>
      </w:r>
    </w:p>
    <w:p>
      <w:pPr>
        <w:widowControl/>
        <w:spacing w:line="360" w:lineRule="auto"/>
        <w:ind w:firstLine="413" w:firstLineChars="196"/>
        <w:jc w:val="left"/>
        <w:rPr>
          <w:rFonts w:hint="eastAsia" w:ascii="宋体" w:hAnsi="宋体" w:cs="宋体"/>
          <w:b/>
          <w:color w:val="auto"/>
          <w:kern w:val="0"/>
          <w:szCs w:val="21"/>
        </w:rPr>
      </w:pPr>
      <w:r>
        <w:rPr>
          <w:rFonts w:hint="eastAsia" w:ascii="宋体" w:hAnsi="宋体" w:cs="宋体"/>
          <w:b/>
          <w:color w:val="auto"/>
          <w:kern w:val="0"/>
          <w:szCs w:val="21"/>
        </w:rPr>
        <w:t>1、有下列情形之一的，招标方将不予受理投标文件：</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1.1逾期上传电子档投标文件至“政采云”平台的；</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1.2电子投标文件在规定时间内解密未成功的且未提供备份投标文件或提供的备份投标文件无法上传打开的。</w:t>
      </w:r>
    </w:p>
    <w:p>
      <w:pPr>
        <w:adjustRightInd w:val="0"/>
        <w:snapToGrid w:val="0"/>
        <w:spacing w:line="360" w:lineRule="auto"/>
        <w:ind w:firstLine="422" w:firstLineChars="200"/>
        <w:rPr>
          <w:rFonts w:hint="eastAsia" w:ascii="宋体" w:hAnsi="宋体" w:cs="Calibri"/>
          <w:b/>
          <w:color w:val="auto"/>
          <w:kern w:val="0"/>
          <w:szCs w:val="21"/>
        </w:rPr>
      </w:pPr>
      <w:r>
        <w:rPr>
          <w:rFonts w:hint="eastAsia" w:ascii="宋体" w:hAnsi="宋体" w:cs="Calibri"/>
          <w:b/>
          <w:color w:val="auto"/>
          <w:kern w:val="0"/>
          <w:szCs w:val="21"/>
        </w:rPr>
        <w:t>2、投标文件在资格性评审或技术响应性评审出现下列情形之一的，由评标委员会审核后按无效投标文件处理：</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2.1资格响应文件或商务技术响应文件中包含商务报价的；</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2.2招标文件关于投标文件组成内容资格响应文件或商务技术响应文件要求中打“★”的内容，投标方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2.3投标方的投标资格未符合招标文件的资格要求规定；</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2.4投标人递交两份或多份内容不同的投标文件，且未声明哪一个有效，但按招标文件规定提交备选投标方案的除外；</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2.5投标方所投产品的数量不符合招标文件规定的；</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2.6投标方借用或冒用他人名义或证件、涂改文件、伪造或编造投标文件的；</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2.7投标中不同投标单位的投标文件出现雷同或相似（包括部分雷同或相似），对所有雷同或相似投标人按废标处理，投标方串标的，招标方将保留进一步追究责任的权利；</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2.8其它对本招标文件中打★号的条款未完全响应的；</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2.9经评标委员会认定，投标文件附有采购人不能接受的条件；</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2.10对于评标委员会提出的要求投标方澄清或说明的，如果投标方代表拒绝澄清或说明，或者拒绝签字的，评标委员会可以对其作出无效标处理；</w:t>
      </w:r>
    </w:p>
    <w:p>
      <w:pPr>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2.11单位负责人为同一人或者存在直接控股、管理关系的不同供应商。</w:t>
      </w:r>
    </w:p>
    <w:p>
      <w:pPr>
        <w:adjustRightInd w:val="0"/>
        <w:snapToGrid w:val="0"/>
        <w:spacing w:line="360" w:lineRule="auto"/>
        <w:ind w:firstLine="422" w:firstLineChars="200"/>
        <w:rPr>
          <w:rFonts w:hint="eastAsia" w:ascii="宋体" w:hAnsi="宋体" w:cs="Calibri"/>
          <w:b/>
          <w:color w:val="auto"/>
          <w:kern w:val="0"/>
          <w:szCs w:val="21"/>
        </w:rPr>
      </w:pPr>
      <w:r>
        <w:rPr>
          <w:rFonts w:hint="eastAsia" w:ascii="宋体" w:hAnsi="宋体" w:cs="Calibri"/>
          <w:b/>
          <w:color w:val="auto"/>
          <w:kern w:val="0"/>
          <w:szCs w:val="21"/>
        </w:rPr>
        <w:t>3、投标文件报价响应文件评审出现下列情形之一的，由评标委员会审核后按无效投标文件处理：</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3.1招标文件关于投标文件组成内容报价响应文件要求中打“★”的内容，投标方的投标文件内容未提提供完整或关键字迹模糊、无法辨认的或未按其规定的格式及要求填写、签字、盖章或提供的投标文件内容不符合招标文件的中有关打★号的条款的规定；</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3.2投标报价高于最高限价或投标报价低于企业成本价或未填报企业成本价的；</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3.3投标方的所投产品的数量不符合招标文件规定的；</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3.4投标方对同一采购项目两个或两个以上（两种或两种以上方案）报价的或两个或两个以上（两种或两种以上方案）成本价的，且未声明哪一个有效；</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3.5经评标委员会审议认为投标文件附有采购人不能接受的条件，评标委员会认为投标人的报价明显低于其他通过符合性审查投标人的报价，有可能影响产品质量或者不能诚信履约的，要求其通过“政采云”平台在规定的时间内提供CA签章的材料，投标人不能佐证其报价合理性的；</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3.6其它对本招标文件中打★号的条款未完全响应的；</w:t>
      </w:r>
    </w:p>
    <w:p>
      <w:pPr>
        <w:adjustRightInd w:val="0"/>
        <w:snapToGrid w:val="0"/>
        <w:spacing w:line="360" w:lineRule="auto"/>
        <w:ind w:firstLine="420" w:firstLineChars="200"/>
        <w:rPr>
          <w:rFonts w:hint="eastAsia" w:ascii="宋体" w:hAnsi="宋体" w:cs="Calibri"/>
          <w:color w:val="auto"/>
          <w:kern w:val="0"/>
          <w:szCs w:val="21"/>
        </w:rPr>
      </w:pPr>
      <w:r>
        <w:rPr>
          <w:rFonts w:hint="eastAsia" w:ascii="宋体" w:hAnsi="宋体" w:cs="Calibri"/>
          <w:color w:val="auto"/>
          <w:kern w:val="0"/>
          <w:szCs w:val="21"/>
        </w:rPr>
        <w:t>3.7当投标人由于报价计算错误，投标人拒绝接受按招标文件的规定进行的修正处理（或拒绝签名确认）。</w:t>
      </w:r>
    </w:p>
    <w:p>
      <w:pPr>
        <w:widowControl/>
        <w:spacing w:line="360" w:lineRule="auto"/>
        <w:ind w:firstLine="411" w:firstLineChars="196"/>
        <w:jc w:val="left"/>
        <w:rPr>
          <w:rFonts w:hint="eastAsia" w:ascii="宋体" w:hAnsi="宋体" w:cs="宋体"/>
          <w:color w:val="auto"/>
          <w:kern w:val="0"/>
          <w:szCs w:val="21"/>
        </w:rPr>
      </w:pPr>
      <w:r>
        <w:rPr>
          <w:rFonts w:hint="eastAsia" w:ascii="宋体" w:hAnsi="宋体" w:cs="宋体"/>
          <w:color w:val="auto"/>
          <w:kern w:val="0"/>
          <w:szCs w:val="21"/>
        </w:rPr>
        <w:t>4、其他违反法律法规的的情况。</w:t>
      </w:r>
    </w:p>
    <w:p>
      <w:pPr>
        <w:widowControl/>
        <w:spacing w:line="360" w:lineRule="auto"/>
        <w:ind w:firstLine="411" w:firstLineChars="196"/>
        <w:jc w:val="left"/>
        <w:rPr>
          <w:rFonts w:hint="eastAsia" w:ascii="宋体" w:hAnsi="宋体" w:cs="宋体"/>
          <w:color w:val="auto"/>
          <w:kern w:val="0"/>
          <w:szCs w:val="21"/>
        </w:rPr>
      </w:pPr>
      <w:r>
        <w:rPr>
          <w:rFonts w:hint="eastAsia" w:ascii="宋体" w:hAnsi="宋体" w:cs="宋体"/>
          <w:color w:val="auto"/>
          <w:kern w:val="0"/>
          <w:szCs w:val="21"/>
        </w:rPr>
        <w:t>5、评标过程中，非上述所罗列的情况，不得以无效标处理。</w:t>
      </w:r>
    </w:p>
    <w:p>
      <w:pPr>
        <w:keepNext/>
        <w:keepLines/>
        <w:spacing w:line="576" w:lineRule="auto"/>
        <w:jc w:val="center"/>
        <w:outlineLvl w:val="0"/>
        <w:rPr>
          <w:rFonts w:hint="eastAsia" w:cs="Calibri"/>
          <w:b/>
          <w:color w:val="auto"/>
          <w:sz w:val="36"/>
          <w:szCs w:val="36"/>
        </w:rPr>
      </w:pPr>
      <w:bookmarkStart w:id="90" w:name="_Toc16763"/>
      <w:bookmarkEnd w:id="90"/>
      <w:r>
        <w:rPr>
          <w:rFonts w:cs="Calibri"/>
          <w:b/>
          <w:color w:val="auto"/>
          <w:sz w:val="32"/>
          <w:szCs w:val="32"/>
        </w:rPr>
        <w:br w:type="page"/>
      </w:r>
      <w:bookmarkStart w:id="91" w:name="_Toc9684"/>
      <w:bookmarkEnd w:id="91"/>
      <w:r>
        <w:rPr>
          <w:rFonts w:ascii="宋体" w:hAnsi="宋体" w:cs="Calibri"/>
          <w:b/>
          <w:color w:val="auto"/>
          <w:sz w:val="32"/>
          <w:szCs w:val="32"/>
        </w:rPr>
        <w:t>第六</w:t>
      </w:r>
      <w:r>
        <w:rPr>
          <w:rFonts w:hint="eastAsia" w:ascii="宋体" w:hAnsi="宋体" w:cs="Calibri"/>
          <w:b/>
          <w:color w:val="auto"/>
          <w:sz w:val="32"/>
          <w:szCs w:val="32"/>
        </w:rPr>
        <w:t>章 评标</w:t>
      </w:r>
      <w:r>
        <w:rPr>
          <w:rFonts w:ascii="宋体" w:hAnsi="宋体" w:cs="Calibri"/>
          <w:b/>
          <w:color w:val="auto"/>
          <w:sz w:val="32"/>
          <w:szCs w:val="32"/>
        </w:rPr>
        <w:t>办法</w:t>
      </w:r>
    </w:p>
    <w:p>
      <w:pPr>
        <w:widowControl/>
        <w:spacing w:line="360" w:lineRule="auto"/>
        <w:ind w:firstLine="420"/>
        <w:jc w:val="left"/>
        <w:rPr>
          <w:rFonts w:ascii="Times New Roman" w:hAnsi="Times New Roman"/>
          <w:color w:val="auto"/>
          <w:kern w:val="0"/>
          <w:szCs w:val="21"/>
        </w:rPr>
      </w:pPr>
      <w:bookmarkStart w:id="92" w:name="_Toc269969080"/>
      <w:bookmarkEnd w:id="92"/>
      <w:bookmarkStart w:id="93" w:name="_Toc330474791"/>
      <w:bookmarkEnd w:id="93"/>
      <w:bookmarkStart w:id="94" w:name="_Toc295815145"/>
      <w:bookmarkEnd w:id="94"/>
      <w:bookmarkStart w:id="95" w:name="_Toc362250710"/>
      <w:bookmarkEnd w:id="95"/>
      <w:bookmarkStart w:id="96" w:name="_Toc323024194"/>
      <w:bookmarkEnd w:id="96"/>
      <w:bookmarkStart w:id="97" w:name="_Toc358884475"/>
      <w:bookmarkEnd w:id="97"/>
      <w:r>
        <w:rPr>
          <w:rFonts w:ascii="宋体" w:hAnsi="宋体"/>
          <w:color w:val="auto"/>
          <w:kern w:val="0"/>
          <w:szCs w:val="21"/>
        </w:rPr>
        <w:t>根据《中华人民共和国政府采购法》</w:t>
      </w:r>
      <w:r>
        <w:rPr>
          <w:rFonts w:hint="eastAsia" w:ascii="宋体" w:hAnsi="宋体" w:cs="宋体"/>
          <w:color w:val="auto"/>
          <w:kern w:val="0"/>
          <w:szCs w:val="21"/>
        </w:rPr>
        <w:t>及相关法律</w:t>
      </w:r>
      <w:r>
        <w:rPr>
          <w:rFonts w:ascii="宋体" w:hAnsi="宋体"/>
          <w:color w:val="auto"/>
          <w:kern w:val="0"/>
          <w:szCs w:val="21"/>
        </w:rPr>
        <w:t>的有关规定，为更好地做到公开、公平、公正，结合本次招标的特点，特制定本评标办法。评标小组用</w:t>
      </w:r>
      <w:r>
        <w:rPr>
          <w:rFonts w:hint="eastAsia" w:ascii="宋体" w:hAnsi="宋体" w:cs="宋体"/>
          <w:color w:val="auto"/>
          <w:kern w:val="0"/>
          <w:szCs w:val="21"/>
        </w:rPr>
        <w:t>综合评分法</w:t>
      </w:r>
      <w:r>
        <w:rPr>
          <w:rFonts w:ascii="宋体" w:hAnsi="宋体"/>
          <w:color w:val="auto"/>
          <w:kern w:val="0"/>
          <w:szCs w:val="21"/>
        </w:rPr>
        <w:t>对招标项目作出评标结论。</w:t>
      </w:r>
    </w:p>
    <w:p>
      <w:pPr>
        <w:widowControl/>
        <w:spacing w:line="360" w:lineRule="auto"/>
        <w:ind w:firstLine="422"/>
        <w:jc w:val="left"/>
        <w:rPr>
          <w:rFonts w:ascii="Times New Roman" w:hAnsi="Times New Roman"/>
          <w:b/>
          <w:color w:val="auto"/>
          <w:kern w:val="0"/>
          <w:szCs w:val="21"/>
        </w:rPr>
      </w:pPr>
      <w:bookmarkStart w:id="98" w:name="_Toc17826"/>
      <w:bookmarkEnd w:id="98"/>
      <w:r>
        <w:rPr>
          <w:rFonts w:ascii="宋体" w:hAnsi="宋体"/>
          <w:b/>
          <w:color w:val="auto"/>
          <w:kern w:val="0"/>
          <w:szCs w:val="21"/>
        </w:rPr>
        <w:t>一、评审程序</w:t>
      </w:r>
    </w:p>
    <w:p>
      <w:pPr>
        <w:widowControl/>
        <w:spacing w:line="360" w:lineRule="auto"/>
        <w:ind w:firstLine="420"/>
        <w:jc w:val="left"/>
        <w:rPr>
          <w:rFonts w:ascii="Times New Roman" w:hAnsi="Times New Roman" w:cs="宋体"/>
          <w:bCs/>
          <w:color w:val="auto"/>
          <w:kern w:val="0"/>
          <w:szCs w:val="21"/>
        </w:rPr>
      </w:pPr>
      <w:r>
        <w:rPr>
          <w:rFonts w:hint="eastAsia" w:ascii="宋体" w:hAnsi="宋体" w:cs="宋体"/>
          <w:bCs/>
          <w:color w:val="auto"/>
          <w:kern w:val="0"/>
          <w:szCs w:val="21"/>
        </w:rPr>
        <w:t>评标小组以开标、评标、询标情况为基本依据，按照招标文件的规定，对各投标人的投标文件分资格部分、商务技术部分、投标报价三个部分按以下程序进行分析、评议：</w:t>
      </w:r>
    </w:p>
    <w:p>
      <w:pPr>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一）对所有投标人的资格响应文件进行审查并以开标当日为准对投标人“信用中国”网站（www.creditchina.gov.cn）、中国政府采购网（www.ccgp.gov.cn）信用记录情况进行查询并对信用记录进行载图，根据义行服管〔2017〕17号）的规定，对投标人的综合信用报告评级进查询并进行截图。</w:t>
      </w:r>
    </w:p>
    <w:p>
      <w:pPr>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（二）对通过资格性审查合格的投标标人的商务技术响应文件进行符合性审查；</w:t>
      </w:r>
    </w:p>
    <w:p>
      <w:pPr>
        <w:widowControl/>
        <w:spacing w:line="360" w:lineRule="auto"/>
        <w:ind w:firstLine="420"/>
        <w:jc w:val="left"/>
        <w:rPr>
          <w:rFonts w:hint="eastAsia" w:ascii="Times New Roman" w:hAnsi="Times New Roman" w:cs="宋体"/>
          <w:bCs/>
          <w:color w:val="auto"/>
          <w:kern w:val="0"/>
          <w:szCs w:val="21"/>
        </w:rPr>
      </w:pPr>
      <w:r>
        <w:rPr>
          <w:rFonts w:hint="eastAsia" w:ascii="宋体" w:hAnsi="宋体" w:cs="宋体"/>
          <w:bCs/>
          <w:color w:val="auto"/>
          <w:kern w:val="0"/>
          <w:szCs w:val="21"/>
        </w:rPr>
        <w:t>（三）对资格和商务技术标有效的投标单位的商务技术标进行评分，计算出各资格和商务技术标有效投标单位的技术得分（详见评分细则）</w:t>
      </w:r>
    </w:p>
    <w:p>
      <w:pPr>
        <w:widowControl/>
        <w:spacing w:line="360" w:lineRule="auto"/>
        <w:ind w:firstLine="420"/>
        <w:jc w:val="left"/>
        <w:rPr>
          <w:rFonts w:hint="eastAsia" w:ascii="Times New Roman" w:hAnsi="Times New Roman" w:cs="宋体"/>
          <w:bCs/>
          <w:color w:val="auto"/>
          <w:kern w:val="0"/>
          <w:szCs w:val="21"/>
        </w:rPr>
      </w:pPr>
      <w:r>
        <w:rPr>
          <w:rFonts w:hint="eastAsia" w:ascii="宋体" w:hAnsi="宋体" w:cs="宋体"/>
          <w:bCs/>
          <w:color w:val="auto"/>
          <w:kern w:val="0"/>
          <w:szCs w:val="21"/>
        </w:rPr>
        <w:t>（四）对技术标有效的投标单位的投标报价在“政采云”平台上予以公开。</w:t>
      </w:r>
    </w:p>
    <w:p>
      <w:pPr>
        <w:widowControl/>
        <w:spacing w:line="360" w:lineRule="auto"/>
        <w:ind w:firstLine="420"/>
        <w:jc w:val="left"/>
        <w:rPr>
          <w:rFonts w:hint="eastAsia" w:ascii="Times New Roman" w:hAnsi="Times New Roman" w:cs="宋体"/>
          <w:bCs/>
          <w:color w:val="auto"/>
          <w:kern w:val="0"/>
          <w:szCs w:val="21"/>
        </w:rPr>
      </w:pPr>
      <w:r>
        <w:rPr>
          <w:rFonts w:hint="eastAsia" w:ascii="宋体" w:hAnsi="宋体" w:cs="宋体"/>
          <w:bCs/>
          <w:color w:val="auto"/>
          <w:kern w:val="0"/>
          <w:szCs w:val="21"/>
        </w:rPr>
        <w:t>（五）评标委员会对技术标有效的投标单位进行投标报价部分评审，确定投标报价评审有效投标单位。</w:t>
      </w:r>
    </w:p>
    <w:p>
      <w:pPr>
        <w:spacing w:line="360" w:lineRule="auto"/>
        <w:ind w:firstLine="420" w:firstLineChars="200"/>
        <w:jc w:val="left"/>
        <w:rPr>
          <w:rFonts w:hint="eastAsia" w:ascii="Times New Roman" w:hAnsi="Times New Roman"/>
          <w:bCs/>
          <w:color w:val="auto"/>
          <w:kern w:val="0"/>
          <w:szCs w:val="21"/>
        </w:rPr>
      </w:pPr>
      <w:r>
        <w:rPr>
          <w:rFonts w:hint="eastAsia" w:ascii="宋体" w:hAnsi="宋体" w:cs="宋体"/>
          <w:bCs/>
          <w:color w:val="auto"/>
          <w:kern w:val="0"/>
          <w:szCs w:val="21"/>
        </w:rPr>
        <w:t>（六）</w:t>
      </w:r>
      <w:r>
        <w:rPr>
          <w:rFonts w:hint="eastAsia" w:ascii="宋体" w:hAnsi="宋体" w:cs="宋体"/>
          <w:color w:val="auto"/>
          <w:kern w:val="0"/>
          <w:szCs w:val="21"/>
        </w:rPr>
        <w:t>对通过报价评审有效的投标人,由政采云系统计算出其报价分及总得分，并由评标委员会进行确认；</w:t>
      </w:r>
      <w:r>
        <w:rPr>
          <w:rFonts w:hint="eastAsia" w:ascii="宋体" w:hAnsi="宋体" w:cs="宋体"/>
          <w:bCs/>
          <w:color w:val="auto"/>
          <w:kern w:val="0"/>
          <w:szCs w:val="21"/>
        </w:rPr>
        <w:t>（详见评分细则）</w:t>
      </w:r>
    </w:p>
    <w:p>
      <w:pPr>
        <w:widowControl/>
        <w:spacing w:line="360" w:lineRule="auto"/>
        <w:ind w:firstLine="422"/>
        <w:jc w:val="left"/>
        <w:rPr>
          <w:rFonts w:ascii="Times New Roman" w:hAnsi="Times New Roman" w:cs="宋体"/>
          <w:bCs/>
          <w:color w:val="auto"/>
          <w:kern w:val="0"/>
          <w:szCs w:val="21"/>
        </w:rPr>
      </w:pPr>
      <w:r>
        <w:rPr>
          <w:rFonts w:hint="eastAsia" w:ascii="宋体" w:hAnsi="宋体" w:cs="宋体"/>
          <w:bCs/>
          <w:color w:val="auto"/>
          <w:kern w:val="0"/>
          <w:szCs w:val="21"/>
        </w:rPr>
        <w:t>（七）确定中标人</w:t>
      </w:r>
    </w:p>
    <w:p>
      <w:pPr>
        <w:widowControl/>
        <w:spacing w:line="360" w:lineRule="auto"/>
        <w:ind w:firstLine="422"/>
        <w:jc w:val="left"/>
        <w:rPr>
          <w:rFonts w:hint="eastAsia" w:ascii="Times New Roman" w:hAnsi="Times New Roman" w:cs="宋体"/>
          <w:bCs/>
          <w:color w:val="auto"/>
          <w:kern w:val="0"/>
          <w:szCs w:val="21"/>
        </w:rPr>
      </w:pPr>
      <w:r>
        <w:rPr>
          <w:rFonts w:hint="eastAsia" w:ascii="Times New Roman" w:hAnsi="Times New Roman"/>
          <w:bCs/>
          <w:color w:val="auto"/>
          <w:kern w:val="0"/>
          <w:szCs w:val="21"/>
        </w:rPr>
        <w:t>1</w:t>
      </w:r>
      <w:r>
        <w:rPr>
          <w:rFonts w:hint="eastAsia" w:ascii="宋体" w:hAnsi="宋体" w:cs="宋体"/>
          <w:bCs/>
          <w:color w:val="auto"/>
          <w:kern w:val="0"/>
          <w:szCs w:val="21"/>
        </w:rPr>
        <w:t>、首先，评标委员按综合得分从高到低顺序进行排列；得分相同的，按投标报价由低到高顺序排列；得分且投标报价相同的，按技术分从高到低顺序排列，技术分也相同的，由采购人代表采用公共资源交易中心抽取程序随机确定排列顺序。</w:t>
      </w:r>
    </w:p>
    <w:p>
      <w:pPr>
        <w:widowControl/>
        <w:spacing w:line="360" w:lineRule="auto"/>
        <w:ind w:firstLine="422"/>
        <w:jc w:val="left"/>
        <w:rPr>
          <w:rFonts w:hint="eastAsia" w:ascii="Times New Roman" w:hAnsi="Times New Roman" w:cs="宋体"/>
          <w:bCs/>
          <w:color w:val="auto"/>
          <w:kern w:val="0"/>
          <w:szCs w:val="21"/>
        </w:rPr>
      </w:pPr>
      <w:r>
        <w:rPr>
          <w:rFonts w:hint="eastAsia" w:ascii="Times New Roman" w:hAnsi="Times New Roman"/>
          <w:bCs/>
          <w:color w:val="auto"/>
          <w:kern w:val="0"/>
          <w:szCs w:val="21"/>
        </w:rPr>
        <w:t>2</w:t>
      </w:r>
      <w:r>
        <w:rPr>
          <w:rFonts w:hint="eastAsia" w:ascii="宋体" w:hAnsi="宋体" w:cs="宋体"/>
          <w:bCs/>
          <w:color w:val="auto"/>
          <w:kern w:val="0"/>
          <w:szCs w:val="21"/>
        </w:rPr>
        <w:t>、其次，评标委员会直接确定排名第一的投标单位为中标单位。</w:t>
      </w:r>
    </w:p>
    <w:p>
      <w:pPr>
        <w:widowControl/>
        <w:spacing w:line="360" w:lineRule="auto"/>
        <w:ind w:firstLine="422"/>
        <w:jc w:val="left"/>
        <w:rPr>
          <w:rFonts w:hint="eastAsia" w:ascii="Times New Roman" w:hAnsi="Times New Roman" w:cs="宋体"/>
          <w:bCs/>
          <w:color w:val="auto"/>
          <w:kern w:val="0"/>
          <w:szCs w:val="21"/>
        </w:rPr>
      </w:pPr>
      <w:r>
        <w:rPr>
          <w:rFonts w:hint="eastAsia" w:ascii="宋体" w:hAnsi="宋体" w:cs="宋体"/>
          <w:bCs/>
          <w:color w:val="auto"/>
          <w:kern w:val="0"/>
          <w:szCs w:val="21"/>
        </w:rPr>
        <w:t>（八）完成评标报告</w:t>
      </w:r>
    </w:p>
    <w:p>
      <w:pPr>
        <w:widowControl/>
        <w:spacing w:line="360" w:lineRule="auto"/>
        <w:ind w:firstLine="422"/>
        <w:jc w:val="left"/>
        <w:rPr>
          <w:rFonts w:hint="eastAsia" w:ascii="Times New Roman" w:hAnsi="Times New Roman" w:cs="宋体"/>
          <w:bCs/>
          <w:color w:val="auto"/>
          <w:kern w:val="0"/>
          <w:szCs w:val="21"/>
        </w:rPr>
      </w:pPr>
      <w:r>
        <w:rPr>
          <w:rFonts w:hint="eastAsia" w:ascii="宋体" w:hAnsi="宋体" w:cs="宋体"/>
          <w:bCs/>
          <w:color w:val="auto"/>
          <w:kern w:val="0"/>
          <w:szCs w:val="21"/>
        </w:rPr>
        <w:t>评标委员会根据评审相关情况出具评标报告。</w:t>
      </w:r>
    </w:p>
    <w:p>
      <w:pPr>
        <w:widowControl/>
        <w:spacing w:line="360" w:lineRule="auto"/>
        <w:ind w:firstLine="422"/>
        <w:jc w:val="left"/>
        <w:rPr>
          <w:rFonts w:hint="eastAsia" w:ascii="Times New Roman" w:hAnsi="Times New Roman" w:cs="宋体"/>
          <w:b/>
          <w:color w:val="auto"/>
          <w:kern w:val="0"/>
          <w:szCs w:val="21"/>
        </w:rPr>
      </w:pPr>
      <w:r>
        <w:rPr>
          <w:rFonts w:hint="eastAsia" w:ascii="宋体" w:hAnsi="宋体" w:cs="宋体"/>
          <w:b/>
          <w:color w:val="auto"/>
          <w:kern w:val="0"/>
          <w:szCs w:val="21"/>
        </w:rPr>
        <w:t>注：确定的中标人放弃中标等情况的处理：</w:t>
      </w:r>
    </w:p>
    <w:p>
      <w:pPr>
        <w:widowControl/>
        <w:spacing w:line="360" w:lineRule="auto"/>
        <w:ind w:firstLine="422"/>
        <w:jc w:val="left"/>
        <w:rPr>
          <w:rFonts w:hint="eastAsia" w:ascii="Times New Roman" w:hAnsi="Times New Roman" w:cs="宋体"/>
          <w:bCs/>
          <w:color w:val="auto"/>
          <w:kern w:val="0"/>
          <w:szCs w:val="21"/>
        </w:rPr>
      </w:pPr>
      <w:r>
        <w:rPr>
          <w:rFonts w:hint="eastAsia" w:ascii="宋体" w:hAnsi="宋体" w:cs="宋体"/>
          <w:b/>
          <w:color w:val="auto"/>
          <w:kern w:val="0"/>
          <w:szCs w:val="21"/>
        </w:rPr>
        <w:t>当确定的中标人放弃中标，因不可抗力提出不能履行合同，或者质疑投诉成立，取消中标人资格的，都不再确定其余投标人作为中标人。</w:t>
      </w:r>
    </w:p>
    <w:p>
      <w:pPr>
        <w:widowControl/>
        <w:spacing w:line="360" w:lineRule="auto"/>
        <w:ind w:firstLine="422"/>
        <w:jc w:val="left"/>
        <w:rPr>
          <w:rFonts w:hint="eastAsia" w:ascii="Times New Roman" w:hAnsi="Times New Roman"/>
          <w:b/>
          <w:color w:val="auto"/>
          <w:kern w:val="0"/>
          <w:szCs w:val="21"/>
        </w:rPr>
      </w:pPr>
      <w:r>
        <w:rPr>
          <w:rFonts w:ascii="宋体" w:hAnsi="宋体"/>
          <w:b/>
          <w:color w:val="auto"/>
          <w:kern w:val="0"/>
          <w:szCs w:val="21"/>
        </w:rPr>
        <w:t>二、评审办法</w:t>
      </w:r>
    </w:p>
    <w:p>
      <w:pPr>
        <w:spacing w:line="360" w:lineRule="auto"/>
        <w:ind w:firstLine="422"/>
        <w:outlineLvl w:val="2"/>
        <w:rPr>
          <w:rFonts w:cs="Calibri"/>
          <w:b/>
          <w:color w:val="auto"/>
          <w:kern w:val="0"/>
          <w:szCs w:val="21"/>
        </w:rPr>
      </w:pPr>
      <w:bookmarkStart w:id="99" w:name="_Toc8461"/>
      <w:bookmarkEnd w:id="99"/>
      <w:bookmarkStart w:id="100" w:name="_Toc29286"/>
      <w:bookmarkEnd w:id="100"/>
      <w:bookmarkStart w:id="101" w:name="_Toc34950024"/>
      <w:r>
        <w:rPr>
          <w:rFonts w:cs="Calibri"/>
          <w:b/>
          <w:color w:val="auto"/>
          <w:kern w:val="0"/>
          <w:szCs w:val="21"/>
        </w:rPr>
        <w:t>1</w:t>
      </w:r>
      <w:r>
        <w:rPr>
          <w:rFonts w:ascii="宋体" w:hAnsi="宋体" w:cs="Calibri"/>
          <w:b/>
          <w:color w:val="auto"/>
          <w:kern w:val="0"/>
          <w:szCs w:val="21"/>
        </w:rPr>
        <w:t>、</w:t>
      </w:r>
      <w:bookmarkEnd w:id="101"/>
      <w:r>
        <w:rPr>
          <w:rFonts w:hint="eastAsia" w:ascii="宋体" w:hAnsi="宋体" w:cs="Calibri"/>
          <w:b/>
          <w:color w:val="auto"/>
          <w:kern w:val="0"/>
          <w:szCs w:val="21"/>
        </w:rPr>
        <w:t>商务技术文件</w:t>
      </w:r>
      <w:r>
        <w:rPr>
          <w:rFonts w:ascii="宋体" w:hAnsi="宋体" w:cs="Calibri"/>
          <w:b/>
          <w:color w:val="auto"/>
          <w:kern w:val="0"/>
          <w:szCs w:val="21"/>
        </w:rPr>
        <w:t>评审</w:t>
      </w:r>
    </w:p>
    <w:p>
      <w:pPr>
        <w:spacing w:line="360" w:lineRule="auto"/>
        <w:ind w:firstLine="420"/>
        <w:rPr>
          <w:rFonts w:cs="Calibri"/>
          <w:color w:val="auto"/>
          <w:szCs w:val="21"/>
        </w:rPr>
      </w:pPr>
      <w:r>
        <w:rPr>
          <w:rFonts w:hint="eastAsia" w:ascii="宋体" w:hAnsi="宋体" w:cs="Calibri"/>
          <w:color w:val="auto"/>
          <w:szCs w:val="21"/>
        </w:rPr>
        <w:t>商务</w:t>
      </w:r>
      <w:r>
        <w:rPr>
          <w:rFonts w:ascii="宋体" w:hAnsi="宋体" w:cs="Calibri"/>
          <w:color w:val="auto"/>
          <w:szCs w:val="21"/>
        </w:rPr>
        <w:t>技术分满分为</w:t>
      </w:r>
      <w:r>
        <w:rPr>
          <w:rFonts w:hint="eastAsia" w:cs="Calibri"/>
          <w:color w:val="auto"/>
          <w:szCs w:val="21"/>
        </w:rPr>
        <w:t>70</w:t>
      </w:r>
      <w:r>
        <w:rPr>
          <w:rFonts w:ascii="宋体" w:hAnsi="宋体" w:cs="Calibri"/>
          <w:color w:val="auto"/>
          <w:szCs w:val="21"/>
        </w:rPr>
        <w:t>分，分值分配见表格。</w:t>
      </w:r>
      <w:r>
        <w:rPr>
          <w:rFonts w:hint="eastAsia" w:ascii="宋体" w:hAnsi="宋体" w:cs="Calibri"/>
          <w:color w:val="auto"/>
          <w:szCs w:val="21"/>
        </w:rPr>
        <w:t>评标委员会根据评分细则，对各投标人的商务技术响应文件进行书面审核和评论后，由各成员独立给分，打分时保留小数</w:t>
      </w:r>
      <w:r>
        <w:rPr>
          <w:rFonts w:hint="eastAsia" w:cs="Calibri"/>
          <w:color w:val="auto"/>
          <w:szCs w:val="21"/>
        </w:rPr>
        <w:t>1</w:t>
      </w:r>
      <w:r>
        <w:rPr>
          <w:rFonts w:hint="eastAsia" w:ascii="宋体" w:hAnsi="宋体" w:cs="Calibri"/>
          <w:color w:val="auto"/>
          <w:szCs w:val="21"/>
        </w:rPr>
        <w:t>位，每人一份评分表，并签名。</w:t>
      </w:r>
      <w:r>
        <w:rPr>
          <w:rFonts w:ascii="宋体" w:hAnsi="宋体" w:cs="Calibri"/>
          <w:color w:val="auto"/>
          <w:szCs w:val="21"/>
        </w:rPr>
        <w:t>在统计得分时，如果发现某一单项评分超过评分标准规定的分值范围，则该张评分表无效。投标人最终得分为评标委员会所有成员的有效评分的算术平均值，计算时保留小数</w:t>
      </w:r>
      <w:r>
        <w:rPr>
          <w:rFonts w:cs="Calibri"/>
          <w:color w:val="auto"/>
          <w:szCs w:val="21"/>
        </w:rPr>
        <w:t>2</w:t>
      </w:r>
      <w:r>
        <w:rPr>
          <w:rFonts w:ascii="宋体" w:hAnsi="宋体" w:cs="Calibri"/>
          <w:color w:val="auto"/>
          <w:szCs w:val="21"/>
        </w:rPr>
        <w:t>位</w:t>
      </w:r>
      <w:r>
        <w:rPr>
          <w:rFonts w:hint="eastAsia" w:cs="Calibri"/>
          <w:color w:val="auto"/>
          <w:szCs w:val="21"/>
        </w:rPr>
        <w:t>(</w:t>
      </w:r>
      <w:r>
        <w:rPr>
          <w:rFonts w:hint="eastAsia" w:ascii="宋体" w:hAnsi="宋体" w:cs="Calibri"/>
          <w:color w:val="auto"/>
          <w:szCs w:val="21"/>
        </w:rPr>
        <w:t>第三位四舍五入</w:t>
      </w:r>
      <w:r>
        <w:rPr>
          <w:rFonts w:hint="eastAsia" w:cs="Calibri"/>
          <w:color w:val="auto"/>
          <w:szCs w:val="21"/>
        </w:rPr>
        <w:t>)</w:t>
      </w:r>
      <w:r>
        <w:rPr>
          <w:rFonts w:ascii="宋体" w:hAnsi="宋体" w:cs="Calibri"/>
          <w:color w:val="auto"/>
          <w:szCs w:val="21"/>
        </w:rPr>
        <w:t>。</w:t>
      </w:r>
    </w:p>
    <w:p>
      <w:pPr>
        <w:spacing w:line="400" w:lineRule="exact"/>
        <w:jc w:val="center"/>
        <w:rPr>
          <w:rFonts w:cs="Calibri"/>
          <w:b/>
          <w:color w:val="auto"/>
          <w:kern w:val="0"/>
          <w:sz w:val="24"/>
          <w:szCs w:val="24"/>
        </w:rPr>
      </w:pPr>
      <w:r>
        <w:rPr>
          <w:rFonts w:cs="Calibri"/>
          <w:b/>
          <w:color w:val="auto"/>
          <w:kern w:val="0"/>
          <w:sz w:val="24"/>
          <w:szCs w:val="24"/>
        </w:rPr>
        <w:t xml:space="preserve"> </w:t>
      </w:r>
    </w:p>
    <w:p>
      <w:pPr>
        <w:spacing w:line="400" w:lineRule="exact"/>
        <w:jc w:val="center"/>
        <w:rPr>
          <w:rFonts w:cs="Calibri"/>
          <w:b/>
          <w:color w:val="auto"/>
          <w:kern w:val="0"/>
          <w:sz w:val="24"/>
          <w:szCs w:val="24"/>
        </w:rPr>
      </w:pPr>
      <w:r>
        <w:rPr>
          <w:rFonts w:ascii="宋体" w:hAnsi="宋体" w:cs="Calibri"/>
          <w:b/>
          <w:color w:val="auto"/>
          <w:kern w:val="0"/>
          <w:sz w:val="24"/>
          <w:szCs w:val="24"/>
        </w:rPr>
        <w:t>评分标准</w:t>
      </w:r>
    </w:p>
    <w:tbl>
      <w:tblPr>
        <w:tblStyle w:val="15"/>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541"/>
        <w:gridCol w:w="949"/>
        <w:gridCol w:w="6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236"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rPr>
                <w:rFonts w:ascii="新宋体" w:hAnsi="新宋体" w:eastAsia="新宋体"/>
                <w:b/>
                <w:color w:val="auto"/>
                <w:kern w:val="0"/>
                <w:szCs w:val="21"/>
              </w:rPr>
            </w:pPr>
            <w:bookmarkStart w:id="102" w:name="_Toc34950025"/>
            <w:r>
              <w:rPr>
                <w:rFonts w:hint="eastAsia" w:ascii="新宋体" w:hAnsi="新宋体" w:eastAsia="新宋体"/>
                <w:b/>
                <w:color w:val="auto"/>
                <w:kern w:val="0"/>
                <w:szCs w:val="21"/>
              </w:rPr>
              <w:t>序号</w:t>
            </w:r>
            <w:bookmarkEnd w:id="102"/>
          </w:p>
        </w:tc>
        <w:tc>
          <w:tcPr>
            <w:tcW w:w="1541" w:type="dxa"/>
            <w:tcBorders>
              <w:top w:val="single" w:color="auto" w:sz="4" w:space="0"/>
              <w:left w:val="nil"/>
              <w:bottom w:val="single" w:color="auto" w:sz="4" w:space="0"/>
              <w:right w:val="single" w:color="auto" w:sz="4" w:space="0"/>
            </w:tcBorders>
            <w:noWrap w:val="0"/>
            <w:vAlign w:val="center"/>
          </w:tcPr>
          <w:p>
            <w:pPr>
              <w:widowControl/>
              <w:spacing w:line="288" w:lineRule="auto"/>
              <w:jc w:val="center"/>
              <w:rPr>
                <w:rFonts w:ascii="新宋体" w:hAnsi="新宋体" w:eastAsia="新宋体"/>
                <w:b/>
                <w:color w:val="auto"/>
                <w:kern w:val="0"/>
                <w:szCs w:val="21"/>
              </w:rPr>
            </w:pPr>
            <w:r>
              <w:rPr>
                <w:rFonts w:hint="eastAsia" w:ascii="新宋体" w:hAnsi="新宋体" w:eastAsia="新宋体"/>
                <w:b/>
                <w:color w:val="auto"/>
                <w:kern w:val="0"/>
                <w:szCs w:val="21"/>
              </w:rPr>
              <w:t>评分内容</w:t>
            </w:r>
          </w:p>
        </w:tc>
        <w:tc>
          <w:tcPr>
            <w:tcW w:w="949" w:type="dxa"/>
            <w:tcBorders>
              <w:top w:val="single" w:color="auto" w:sz="4" w:space="0"/>
              <w:left w:val="nil"/>
              <w:bottom w:val="single" w:color="auto" w:sz="4" w:space="0"/>
              <w:right w:val="single" w:color="auto" w:sz="4" w:space="0"/>
            </w:tcBorders>
            <w:noWrap w:val="0"/>
            <w:vAlign w:val="center"/>
          </w:tcPr>
          <w:p>
            <w:pPr>
              <w:widowControl/>
              <w:spacing w:line="288" w:lineRule="auto"/>
              <w:jc w:val="center"/>
              <w:rPr>
                <w:rFonts w:ascii="新宋体" w:hAnsi="新宋体" w:eastAsia="新宋体"/>
                <w:b/>
                <w:color w:val="auto"/>
                <w:kern w:val="0"/>
                <w:szCs w:val="21"/>
              </w:rPr>
            </w:pPr>
            <w:r>
              <w:rPr>
                <w:rFonts w:hint="eastAsia" w:ascii="新宋体" w:hAnsi="新宋体" w:eastAsia="新宋体"/>
                <w:b/>
                <w:color w:val="auto"/>
                <w:kern w:val="0"/>
                <w:szCs w:val="21"/>
              </w:rPr>
              <w:t>分值（分）</w:t>
            </w: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jc w:val="center"/>
              <w:rPr>
                <w:rFonts w:ascii="新宋体" w:hAnsi="新宋体" w:eastAsia="新宋体"/>
                <w:b/>
                <w:color w:val="auto"/>
                <w:kern w:val="0"/>
                <w:szCs w:val="21"/>
              </w:rPr>
            </w:pPr>
            <w:r>
              <w:rPr>
                <w:rFonts w:hint="eastAsia" w:ascii="新宋体" w:hAnsi="新宋体" w:eastAsia="新宋体"/>
                <w:b/>
                <w:color w:val="auto"/>
                <w:kern w:val="0"/>
                <w:szCs w:val="21"/>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188" w:hRule="atLeast"/>
          <w:jc w:val="center"/>
        </w:trPr>
        <w:tc>
          <w:tcPr>
            <w:tcW w:w="777" w:type="dxa"/>
            <w:vMerge w:val="restart"/>
            <w:tcBorders>
              <w:top w:val="nil"/>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1</w:t>
            </w:r>
          </w:p>
        </w:tc>
        <w:tc>
          <w:tcPr>
            <w:tcW w:w="1541" w:type="dxa"/>
            <w:vMerge w:val="restart"/>
            <w:tcBorders>
              <w:top w:val="nil"/>
              <w:left w:val="nil"/>
              <w:bottom w:val="single" w:color="auto" w:sz="4" w:space="0"/>
              <w:right w:val="single" w:color="auto" w:sz="4" w:space="0"/>
            </w:tcBorders>
            <w:noWrap w:val="0"/>
            <w:vAlign w:val="center"/>
          </w:tcPr>
          <w:p>
            <w:pPr>
              <w:spacing w:line="288" w:lineRule="auto"/>
              <w:jc w:val="center"/>
              <w:rPr>
                <w:rFonts w:ascii="宋体" w:hAnsi="宋体" w:cs="Calibri"/>
                <w:color w:val="auto"/>
                <w:kern w:val="0"/>
                <w:szCs w:val="21"/>
              </w:rPr>
            </w:pPr>
            <w:r>
              <w:rPr>
                <w:rFonts w:hint="eastAsia" w:ascii="宋体" w:hAnsi="宋体" w:cs="Calibri"/>
                <w:color w:val="auto"/>
                <w:kern w:val="0"/>
                <w:szCs w:val="21"/>
              </w:rPr>
              <w:t>服务方案</w:t>
            </w:r>
          </w:p>
          <w:p>
            <w:pPr>
              <w:spacing w:line="288" w:lineRule="auto"/>
              <w:jc w:val="center"/>
              <w:rPr>
                <w:rFonts w:ascii="宋体" w:hAnsi="宋体" w:cs="Calibri"/>
                <w:color w:val="auto"/>
                <w:szCs w:val="21"/>
              </w:rPr>
            </w:pPr>
            <w:r>
              <w:rPr>
                <w:rFonts w:hint="eastAsia" w:ascii="Times New Roman" w:hAnsi="Times New Roman" w:cs="Calibri"/>
                <w:color w:val="auto"/>
                <w:szCs w:val="21"/>
              </w:rPr>
              <w:t>（主观分）</w:t>
            </w:r>
          </w:p>
        </w:tc>
        <w:tc>
          <w:tcPr>
            <w:tcW w:w="949"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0.0-5.0</w:t>
            </w: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根据本项目要求投标文件中提供服务总体模式、配套措施、对服务地点各个区域详细的安全保卫分析、日后的工作标准，进行评分。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5"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color w:val="auto"/>
                <w:szCs w:val="21"/>
              </w:rPr>
            </w:pPr>
          </w:p>
        </w:tc>
        <w:tc>
          <w:tcPr>
            <w:tcW w:w="949"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0.0-5.0</w:t>
            </w: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根据服务内容的标准及程序的合理性、可操作性、针对性，进行评分。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35" w:hRule="atLeast"/>
          <w:jc w:val="center"/>
        </w:trPr>
        <w:tc>
          <w:tcPr>
            <w:tcW w:w="777" w:type="dxa"/>
            <w:vMerge w:val="restart"/>
            <w:tcBorders>
              <w:top w:val="nil"/>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2</w:t>
            </w:r>
          </w:p>
        </w:tc>
        <w:tc>
          <w:tcPr>
            <w:tcW w:w="1541" w:type="dxa"/>
            <w:vMerge w:val="restart"/>
            <w:tcBorders>
              <w:top w:val="nil"/>
              <w:left w:val="nil"/>
              <w:bottom w:val="single" w:color="auto" w:sz="4" w:space="0"/>
              <w:right w:val="single" w:color="auto" w:sz="4" w:space="0"/>
            </w:tcBorders>
            <w:noWrap w:val="0"/>
            <w:vAlign w:val="center"/>
          </w:tcPr>
          <w:p>
            <w:pPr>
              <w:widowControl/>
              <w:spacing w:line="288" w:lineRule="auto"/>
              <w:jc w:val="center"/>
              <w:rPr>
                <w:rFonts w:ascii="宋体" w:hAnsi="宋体"/>
                <w:color w:val="auto"/>
                <w:kern w:val="0"/>
                <w:szCs w:val="21"/>
              </w:rPr>
            </w:pPr>
            <w:r>
              <w:rPr>
                <w:rFonts w:hint="eastAsia" w:ascii="宋体" w:hAnsi="宋体"/>
                <w:color w:val="auto"/>
                <w:kern w:val="0"/>
                <w:szCs w:val="21"/>
              </w:rPr>
              <w:t>管理制度</w:t>
            </w:r>
          </w:p>
          <w:p>
            <w:pPr>
              <w:spacing w:line="288" w:lineRule="auto"/>
              <w:jc w:val="center"/>
              <w:rPr>
                <w:rFonts w:ascii="宋体" w:hAnsi="宋体" w:cs="Calibri"/>
                <w:color w:val="auto"/>
                <w:kern w:val="0"/>
                <w:szCs w:val="21"/>
              </w:rPr>
            </w:pPr>
            <w:r>
              <w:rPr>
                <w:rFonts w:hint="eastAsia" w:ascii="宋体" w:hAnsi="宋体" w:cs="Calibri"/>
                <w:color w:val="auto"/>
                <w:kern w:val="0"/>
                <w:szCs w:val="21"/>
              </w:rPr>
              <w:t>（主观分）</w:t>
            </w:r>
          </w:p>
        </w:tc>
        <w:tc>
          <w:tcPr>
            <w:tcW w:w="949" w:type="dxa"/>
            <w:vMerge w:val="restart"/>
            <w:tcBorders>
              <w:top w:val="nil"/>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0.0-10.0</w:t>
            </w: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根据投标人制定的有关规章制度进行打分（0-</w:t>
            </w:r>
            <w:r>
              <w:rPr>
                <w:rFonts w:hint="eastAsia" w:ascii="Times New Roman" w:hAnsi="Times New Roman"/>
                <w:color w:val="auto"/>
                <w:szCs w:val="21"/>
                <w:lang w:val="en-US" w:eastAsia="zh-CN"/>
              </w:rPr>
              <w:t>3</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76"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color w:val="auto"/>
                <w:kern w:val="0"/>
                <w:szCs w:val="21"/>
              </w:rPr>
            </w:pPr>
          </w:p>
        </w:tc>
        <w:tc>
          <w:tcPr>
            <w:tcW w:w="949"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根据投标人制定的内部管理制度进行打分（0-</w:t>
            </w:r>
            <w:r>
              <w:rPr>
                <w:rFonts w:hint="eastAsia" w:ascii="Times New Roman" w:hAnsi="Times New Roman"/>
                <w:color w:val="auto"/>
                <w:szCs w:val="21"/>
                <w:lang w:val="en-US" w:eastAsia="zh-CN"/>
              </w:rPr>
              <w:t>3</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76"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color w:val="auto"/>
                <w:kern w:val="0"/>
                <w:szCs w:val="21"/>
              </w:rPr>
            </w:pPr>
          </w:p>
        </w:tc>
        <w:tc>
          <w:tcPr>
            <w:tcW w:w="949"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根据投标人制定的信息化管理制度进行打分（0-2</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21"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color w:val="auto"/>
                <w:kern w:val="0"/>
                <w:szCs w:val="21"/>
              </w:rPr>
            </w:pPr>
          </w:p>
        </w:tc>
        <w:tc>
          <w:tcPr>
            <w:tcW w:w="949"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根据投标人制定的质量控制标准进行打分（0-2</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541" w:hRule="atLeast"/>
          <w:jc w:val="center"/>
        </w:trPr>
        <w:tc>
          <w:tcPr>
            <w:tcW w:w="777" w:type="dxa"/>
            <w:vMerge w:val="restart"/>
            <w:tcBorders>
              <w:top w:val="nil"/>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3</w:t>
            </w:r>
          </w:p>
        </w:tc>
        <w:tc>
          <w:tcPr>
            <w:tcW w:w="1541" w:type="dxa"/>
            <w:vMerge w:val="restart"/>
            <w:tcBorders>
              <w:top w:val="nil"/>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s="Calibri"/>
                <w:color w:val="auto"/>
                <w:szCs w:val="21"/>
              </w:rPr>
              <w:t>项目负责人资信情况</w:t>
            </w:r>
          </w:p>
          <w:p>
            <w:pPr>
              <w:spacing w:line="288" w:lineRule="auto"/>
              <w:jc w:val="center"/>
              <w:rPr>
                <w:rFonts w:ascii="Times New Roman" w:hAnsi="Times New Roman" w:cs="Calibri"/>
                <w:color w:val="auto"/>
                <w:szCs w:val="21"/>
              </w:rPr>
            </w:pPr>
            <w:r>
              <w:rPr>
                <w:rFonts w:hint="eastAsia" w:ascii="Times New Roman" w:hAnsi="Times New Roman" w:cs="Calibri"/>
                <w:color w:val="auto"/>
                <w:szCs w:val="21"/>
              </w:rPr>
              <w:t>（客观分）</w:t>
            </w:r>
          </w:p>
        </w:tc>
        <w:tc>
          <w:tcPr>
            <w:tcW w:w="949" w:type="dxa"/>
            <w:vMerge w:val="restart"/>
            <w:tcBorders>
              <w:top w:val="nil"/>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0.0-8.0</w:t>
            </w: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s="Calibri"/>
                <w:color w:val="auto"/>
                <w:szCs w:val="21"/>
              </w:rPr>
              <w:t>项目负责人</w:t>
            </w:r>
            <w:r>
              <w:rPr>
                <w:rFonts w:hint="eastAsia" w:ascii="Times New Roman" w:hAnsi="Times New Roman"/>
                <w:color w:val="auto"/>
                <w:szCs w:val="21"/>
              </w:rPr>
              <w:t>具备大学本科（含）以上学历的得3</w:t>
            </w:r>
            <w:r>
              <w:rPr>
                <w:rFonts w:hint="eastAsia" w:ascii="宋体" w:hAnsi="宋体"/>
                <w:color w:val="auto"/>
                <w:szCs w:val="21"/>
              </w:rPr>
              <w:t>分，专科学历得</w:t>
            </w:r>
            <w:r>
              <w:rPr>
                <w:rFonts w:hint="eastAsia" w:ascii="Times New Roman" w:hAnsi="Times New Roman"/>
                <w:color w:val="auto"/>
                <w:szCs w:val="21"/>
              </w:rPr>
              <w:t>2</w:t>
            </w:r>
            <w:r>
              <w:rPr>
                <w:rFonts w:hint="eastAsia" w:ascii="宋体" w:hAnsi="宋体"/>
                <w:color w:val="auto"/>
                <w:szCs w:val="21"/>
              </w:rPr>
              <w:t>分，不是的不得分；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541"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949"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s="Calibri"/>
                <w:color w:val="auto"/>
                <w:szCs w:val="21"/>
              </w:rPr>
              <w:t>项目负责人</w:t>
            </w:r>
            <w:r>
              <w:rPr>
                <w:rFonts w:hint="eastAsia" w:ascii="Times New Roman" w:hAnsi="Times New Roman"/>
                <w:color w:val="auto"/>
                <w:szCs w:val="21"/>
              </w:rPr>
              <w:t>具有8</w:t>
            </w:r>
            <w:r>
              <w:rPr>
                <w:rFonts w:hint="eastAsia" w:ascii="宋体" w:hAnsi="宋体"/>
                <w:color w:val="auto"/>
                <w:szCs w:val="21"/>
              </w:rPr>
              <w:t>年以上保安服务经验的得</w:t>
            </w:r>
            <w:r>
              <w:rPr>
                <w:rFonts w:hint="eastAsia" w:ascii="Times New Roman" w:hAnsi="Times New Roman"/>
                <w:color w:val="auto"/>
                <w:szCs w:val="21"/>
              </w:rPr>
              <w:t>3</w:t>
            </w:r>
            <w:r>
              <w:rPr>
                <w:rFonts w:hint="eastAsia" w:ascii="宋体" w:hAnsi="宋体"/>
                <w:color w:val="auto"/>
                <w:szCs w:val="21"/>
              </w:rPr>
              <w:t>分（提供项目负责人保安证复印件，根据保安证发放时间判断；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541"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949"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s="Calibri"/>
                <w:color w:val="auto"/>
                <w:szCs w:val="21"/>
              </w:rPr>
              <w:t>项目负责人</w:t>
            </w:r>
            <w:r>
              <w:rPr>
                <w:rFonts w:hint="eastAsia" w:ascii="Times New Roman" w:hAnsi="Times New Roman"/>
                <w:color w:val="auto"/>
                <w:szCs w:val="21"/>
              </w:rPr>
              <w:t>具有一级保安员资格的，得2</w:t>
            </w:r>
            <w:r>
              <w:rPr>
                <w:rFonts w:hint="eastAsia" w:ascii="宋体" w:hAnsi="宋体"/>
                <w:color w:val="auto"/>
                <w:szCs w:val="21"/>
              </w:rPr>
              <w:t>分，提供资格证书，不是的不得分。提供最近</w:t>
            </w:r>
            <w:r>
              <w:rPr>
                <w:rFonts w:hint="eastAsia" w:ascii="Times New Roman" w:hAnsi="Times New Roman"/>
                <w:color w:val="auto"/>
                <w:szCs w:val="21"/>
              </w:rPr>
              <w:t>3</w:t>
            </w:r>
            <w:r>
              <w:rPr>
                <w:rFonts w:hint="eastAsia" w:ascii="宋体" w:hAnsi="宋体"/>
                <w:color w:val="auto"/>
                <w:szCs w:val="21"/>
              </w:rPr>
              <w:t>个月在本单位缴纳的社保清单。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jc w:val="center"/>
        </w:trPr>
        <w:tc>
          <w:tcPr>
            <w:tcW w:w="777" w:type="dxa"/>
            <w:vMerge w:val="restart"/>
            <w:tcBorders>
              <w:top w:val="nil"/>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4</w:t>
            </w:r>
          </w:p>
          <w:p>
            <w:pPr>
              <w:widowControl/>
              <w:spacing w:line="288" w:lineRule="auto"/>
              <w:jc w:val="center"/>
              <w:rPr>
                <w:rFonts w:ascii="Times New Roman" w:hAnsi="Times New Roman"/>
                <w:color w:val="auto"/>
                <w:szCs w:val="21"/>
              </w:rPr>
            </w:pPr>
          </w:p>
        </w:tc>
        <w:tc>
          <w:tcPr>
            <w:tcW w:w="1541" w:type="dxa"/>
            <w:vMerge w:val="restart"/>
            <w:tcBorders>
              <w:top w:val="nil"/>
              <w:left w:val="nil"/>
              <w:bottom w:val="single" w:color="auto" w:sz="4" w:space="0"/>
              <w:right w:val="single" w:color="auto" w:sz="4" w:space="0"/>
            </w:tcBorders>
            <w:noWrap w:val="0"/>
            <w:vAlign w:val="center"/>
          </w:tcPr>
          <w:p>
            <w:pPr>
              <w:spacing w:line="288" w:lineRule="auto"/>
              <w:jc w:val="center"/>
              <w:rPr>
                <w:rFonts w:ascii="宋体" w:hAnsi="宋体" w:cs="Calibri"/>
                <w:color w:val="auto"/>
                <w:kern w:val="0"/>
                <w:szCs w:val="21"/>
              </w:rPr>
            </w:pPr>
            <w:r>
              <w:rPr>
                <w:rFonts w:hint="eastAsia" w:ascii="宋体" w:hAnsi="宋体" w:cs="Calibri"/>
                <w:color w:val="auto"/>
                <w:kern w:val="0"/>
                <w:szCs w:val="21"/>
              </w:rPr>
              <w:t>服务团队人员配备</w:t>
            </w:r>
          </w:p>
          <w:p>
            <w:pPr>
              <w:jc w:val="center"/>
              <w:rPr>
                <w:rFonts w:ascii="宋体" w:hAnsi="宋体" w:cs="Calibri"/>
                <w:color w:val="auto"/>
                <w:szCs w:val="21"/>
              </w:rPr>
            </w:pPr>
            <w:r>
              <w:rPr>
                <w:rFonts w:hint="eastAsia" w:ascii="Times New Roman" w:hAnsi="Times New Roman" w:cs="Calibri"/>
                <w:color w:val="auto"/>
                <w:szCs w:val="21"/>
              </w:rPr>
              <w:t>（主观分）</w:t>
            </w:r>
          </w:p>
        </w:tc>
        <w:tc>
          <w:tcPr>
            <w:tcW w:w="949" w:type="dxa"/>
            <w:vMerge w:val="restart"/>
            <w:tcBorders>
              <w:top w:val="nil"/>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0.0-9.0</w:t>
            </w: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根据拟投入人员年龄，根据投入人员的年龄组成评分（0-3</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color w:val="auto"/>
                <w:szCs w:val="21"/>
              </w:rPr>
            </w:pPr>
          </w:p>
        </w:tc>
        <w:tc>
          <w:tcPr>
            <w:tcW w:w="949"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根据拟投入人员学历，依据投入人员的学历高低评分（0-3</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color w:val="auto"/>
                <w:szCs w:val="21"/>
              </w:rPr>
            </w:pPr>
          </w:p>
        </w:tc>
        <w:tc>
          <w:tcPr>
            <w:tcW w:w="949"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根据拟投入人员保安服务经验，（提供投入人员保安证复印件，根据保安证发放时间判断）（0-3</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4" w:hRule="atLeast"/>
          <w:jc w:val="center"/>
        </w:trPr>
        <w:tc>
          <w:tcPr>
            <w:tcW w:w="777" w:type="dxa"/>
            <w:vMerge w:val="restart"/>
            <w:tcBorders>
              <w:top w:val="nil"/>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5</w:t>
            </w:r>
          </w:p>
          <w:p>
            <w:pPr>
              <w:widowControl/>
              <w:spacing w:line="288" w:lineRule="auto"/>
              <w:jc w:val="center"/>
              <w:rPr>
                <w:rFonts w:ascii="Times New Roman" w:hAnsi="Times New Roman"/>
                <w:color w:val="auto"/>
                <w:szCs w:val="21"/>
              </w:rPr>
            </w:pPr>
          </w:p>
        </w:tc>
        <w:tc>
          <w:tcPr>
            <w:tcW w:w="1541" w:type="dxa"/>
            <w:vMerge w:val="restart"/>
            <w:tcBorders>
              <w:top w:val="nil"/>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kern w:val="0"/>
                <w:szCs w:val="21"/>
              </w:rPr>
            </w:pPr>
            <w:r>
              <w:rPr>
                <w:rFonts w:hint="eastAsia" w:ascii="Times New Roman" w:hAnsi="Times New Roman" w:cs="Calibri"/>
                <w:color w:val="auto"/>
                <w:kern w:val="0"/>
                <w:szCs w:val="21"/>
              </w:rPr>
              <w:t>机构设置、人员安排、管理及培训</w:t>
            </w:r>
          </w:p>
          <w:p>
            <w:pPr>
              <w:spacing w:line="288" w:lineRule="auto"/>
              <w:jc w:val="center"/>
              <w:rPr>
                <w:rFonts w:ascii="Times New Roman" w:hAnsi="Times New Roman" w:cs="Calibri"/>
                <w:color w:val="auto"/>
                <w:kern w:val="0"/>
                <w:szCs w:val="21"/>
              </w:rPr>
            </w:pPr>
            <w:r>
              <w:rPr>
                <w:rFonts w:hint="eastAsia" w:ascii="Times New Roman" w:hAnsi="Times New Roman" w:cs="Calibri"/>
                <w:color w:val="auto"/>
                <w:kern w:val="0"/>
                <w:szCs w:val="21"/>
              </w:rPr>
              <w:t>（主观分）</w:t>
            </w:r>
          </w:p>
        </w:tc>
        <w:tc>
          <w:tcPr>
            <w:tcW w:w="949"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0.0-2.0</w:t>
            </w: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根据投标人设置的组织架构进行打分（0-2</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6"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kern w:val="0"/>
                <w:szCs w:val="21"/>
              </w:rPr>
            </w:pPr>
          </w:p>
        </w:tc>
        <w:tc>
          <w:tcPr>
            <w:tcW w:w="949"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0.0-2.0</w:t>
            </w: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根据投标人提出的本项目人员配置进行打分（0-2</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47"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kern w:val="0"/>
                <w:szCs w:val="21"/>
              </w:rPr>
            </w:pPr>
          </w:p>
        </w:tc>
        <w:tc>
          <w:tcPr>
            <w:tcW w:w="949"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0.0-2.0</w:t>
            </w: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ascii="Times New Roman" w:hAnsi="Times New Roman"/>
                <w:color w:val="auto"/>
                <w:szCs w:val="21"/>
              </w:rPr>
            </w:pPr>
            <w:r>
              <w:rPr>
                <w:rFonts w:hint="eastAsia" w:ascii="Times New Roman" w:hAnsi="Times New Roman"/>
                <w:color w:val="auto"/>
                <w:szCs w:val="21"/>
              </w:rPr>
              <w:t>根据投标人设定的岗位职能进行打分（0-2</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7"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6</w:t>
            </w:r>
          </w:p>
        </w:tc>
        <w:tc>
          <w:tcPr>
            <w:tcW w:w="1541"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kern w:val="0"/>
                <w:szCs w:val="21"/>
              </w:rPr>
            </w:pPr>
            <w:r>
              <w:rPr>
                <w:rFonts w:hint="eastAsia" w:ascii="Times New Roman" w:hAnsi="Times New Roman" w:cs="Calibri"/>
                <w:color w:val="auto"/>
                <w:kern w:val="0"/>
                <w:szCs w:val="21"/>
              </w:rPr>
              <w:t>日常作业程序</w:t>
            </w:r>
          </w:p>
          <w:p>
            <w:pPr>
              <w:spacing w:line="288" w:lineRule="auto"/>
              <w:jc w:val="center"/>
              <w:rPr>
                <w:rFonts w:ascii="Times New Roman" w:hAnsi="Times New Roman" w:cs="Calibri"/>
                <w:color w:val="auto"/>
                <w:kern w:val="0"/>
                <w:szCs w:val="21"/>
              </w:rPr>
            </w:pPr>
            <w:r>
              <w:rPr>
                <w:rFonts w:hint="eastAsia" w:ascii="Times New Roman" w:hAnsi="Times New Roman" w:cs="Calibri"/>
                <w:color w:val="auto"/>
                <w:kern w:val="0"/>
                <w:szCs w:val="21"/>
              </w:rPr>
              <w:t>（主观分）</w:t>
            </w:r>
          </w:p>
        </w:tc>
        <w:tc>
          <w:tcPr>
            <w:tcW w:w="949"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0.0-5.0</w:t>
            </w:r>
          </w:p>
        </w:tc>
        <w:tc>
          <w:tcPr>
            <w:tcW w:w="6740" w:type="dxa"/>
            <w:tcBorders>
              <w:top w:val="single" w:color="auto" w:sz="4" w:space="0"/>
              <w:left w:val="nil"/>
              <w:bottom w:val="single" w:color="auto" w:sz="4" w:space="0"/>
              <w:right w:val="single" w:color="auto" w:sz="4" w:space="0"/>
            </w:tcBorders>
            <w:noWrap w:val="0"/>
            <w:vAlign w:val="center"/>
          </w:tcPr>
          <w:p>
            <w:pPr>
              <w:spacing w:line="288" w:lineRule="auto"/>
              <w:rPr>
                <w:rFonts w:ascii="Times New Roman" w:hAnsi="Times New Roman" w:cs="Calibri"/>
                <w:color w:val="auto"/>
                <w:szCs w:val="21"/>
              </w:rPr>
            </w:pPr>
            <w:r>
              <w:rPr>
                <w:rFonts w:hint="eastAsia" w:ascii="Times New Roman" w:hAnsi="Times New Roman" w:cs="Calibri"/>
                <w:color w:val="auto"/>
                <w:szCs w:val="21"/>
              </w:rPr>
              <w:t>投标人的日常工作程序、工作内容（具备维护日常秩序、消防安全、常态化巡逻等各项活动，调解纠纷，疏导人流等）全面性（</w:t>
            </w:r>
            <w:r>
              <w:rPr>
                <w:rFonts w:hint="eastAsia" w:ascii="Times New Roman" w:hAnsi="Times New Roman"/>
                <w:color w:val="auto"/>
                <w:szCs w:val="21"/>
              </w:rPr>
              <w:t>0-5</w:t>
            </w:r>
            <w:r>
              <w:rPr>
                <w:rFonts w:hint="eastAsia" w:ascii="宋体" w:hAnsi="宋体" w:cs="Calibri"/>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7"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7</w:t>
            </w:r>
          </w:p>
        </w:tc>
        <w:tc>
          <w:tcPr>
            <w:tcW w:w="1541"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kern w:val="0"/>
                <w:szCs w:val="21"/>
              </w:rPr>
            </w:pPr>
            <w:r>
              <w:rPr>
                <w:rFonts w:hint="eastAsia" w:ascii="Times New Roman" w:hAnsi="Times New Roman" w:cs="Calibri"/>
                <w:color w:val="auto"/>
                <w:kern w:val="0"/>
                <w:szCs w:val="21"/>
              </w:rPr>
              <w:t>安全服务承诺</w:t>
            </w:r>
          </w:p>
          <w:p>
            <w:pPr>
              <w:spacing w:line="288" w:lineRule="auto"/>
              <w:jc w:val="center"/>
              <w:rPr>
                <w:rFonts w:ascii="Times New Roman" w:hAnsi="Times New Roman" w:cs="Calibri"/>
                <w:color w:val="auto"/>
                <w:kern w:val="0"/>
                <w:szCs w:val="21"/>
              </w:rPr>
            </w:pPr>
            <w:r>
              <w:rPr>
                <w:rFonts w:hint="eastAsia" w:ascii="Times New Roman" w:hAnsi="Times New Roman" w:cs="Calibri"/>
                <w:color w:val="auto"/>
                <w:kern w:val="0"/>
                <w:szCs w:val="21"/>
              </w:rPr>
              <w:t>（主观分）</w:t>
            </w:r>
          </w:p>
        </w:tc>
        <w:tc>
          <w:tcPr>
            <w:tcW w:w="949"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0.0-4.0</w:t>
            </w:r>
          </w:p>
        </w:tc>
        <w:tc>
          <w:tcPr>
            <w:tcW w:w="6740" w:type="dxa"/>
            <w:tcBorders>
              <w:top w:val="single" w:color="auto" w:sz="4" w:space="0"/>
              <w:left w:val="nil"/>
              <w:bottom w:val="single" w:color="auto" w:sz="4" w:space="0"/>
              <w:right w:val="single" w:color="auto" w:sz="4" w:space="0"/>
            </w:tcBorders>
            <w:noWrap w:val="0"/>
            <w:vAlign w:val="center"/>
          </w:tcPr>
          <w:p>
            <w:pPr>
              <w:spacing w:line="288" w:lineRule="auto"/>
              <w:rPr>
                <w:rFonts w:ascii="Times New Roman" w:hAnsi="Times New Roman" w:cs="Calibri"/>
                <w:color w:val="auto"/>
                <w:szCs w:val="21"/>
              </w:rPr>
            </w:pPr>
            <w:r>
              <w:rPr>
                <w:rFonts w:hint="eastAsia" w:ascii="Times New Roman" w:hAnsi="Times New Roman" w:cs="Calibri"/>
                <w:color w:val="auto"/>
                <w:szCs w:val="21"/>
              </w:rPr>
              <w:t>根据安全服务承诺进行打分，包含保安安全工作安全相关承诺（</w:t>
            </w:r>
            <w:r>
              <w:rPr>
                <w:rFonts w:hint="eastAsia" w:ascii="Times New Roman" w:hAnsi="Times New Roman"/>
                <w:color w:val="auto"/>
                <w:szCs w:val="21"/>
              </w:rPr>
              <w:t>0-4</w:t>
            </w:r>
            <w:r>
              <w:rPr>
                <w:rFonts w:hint="eastAsia" w:ascii="宋体" w:hAnsi="宋体" w:cs="Calibri"/>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634" w:hRule="atLeast"/>
          <w:jc w:val="center"/>
        </w:trPr>
        <w:tc>
          <w:tcPr>
            <w:tcW w:w="777" w:type="dxa"/>
            <w:vMerge w:val="restart"/>
            <w:tcBorders>
              <w:top w:val="nil"/>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8</w:t>
            </w:r>
          </w:p>
        </w:tc>
        <w:tc>
          <w:tcPr>
            <w:tcW w:w="1541" w:type="dxa"/>
            <w:vMerge w:val="restart"/>
            <w:tcBorders>
              <w:top w:val="nil"/>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kern w:val="0"/>
                <w:szCs w:val="21"/>
              </w:rPr>
            </w:pPr>
            <w:r>
              <w:rPr>
                <w:rFonts w:hint="eastAsia" w:ascii="Times New Roman" w:hAnsi="Times New Roman" w:cs="Calibri"/>
                <w:color w:val="auto"/>
                <w:kern w:val="0"/>
                <w:szCs w:val="21"/>
              </w:rPr>
              <w:t>设备配置</w:t>
            </w:r>
          </w:p>
          <w:p>
            <w:pPr>
              <w:spacing w:line="288" w:lineRule="auto"/>
              <w:jc w:val="center"/>
              <w:rPr>
                <w:rFonts w:ascii="Times New Roman" w:hAnsi="Times New Roman" w:cs="Calibri"/>
                <w:color w:val="auto"/>
                <w:kern w:val="0"/>
                <w:szCs w:val="21"/>
              </w:rPr>
            </w:pPr>
            <w:r>
              <w:rPr>
                <w:rFonts w:hint="eastAsia" w:ascii="Times New Roman" w:hAnsi="Times New Roman" w:cs="Calibri"/>
                <w:color w:val="auto"/>
                <w:kern w:val="0"/>
                <w:szCs w:val="21"/>
              </w:rPr>
              <w:t>（主观分）</w:t>
            </w:r>
          </w:p>
        </w:tc>
        <w:tc>
          <w:tcPr>
            <w:tcW w:w="949" w:type="dxa"/>
            <w:vMerge w:val="restart"/>
            <w:tcBorders>
              <w:top w:val="nil"/>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0.0-6.0</w:t>
            </w:r>
          </w:p>
        </w:tc>
        <w:tc>
          <w:tcPr>
            <w:tcW w:w="6740" w:type="dxa"/>
            <w:tcBorders>
              <w:top w:val="single" w:color="auto" w:sz="4" w:space="0"/>
              <w:left w:val="nil"/>
              <w:bottom w:val="single" w:color="auto" w:sz="4" w:space="0"/>
              <w:right w:val="single" w:color="auto" w:sz="4" w:space="0"/>
            </w:tcBorders>
            <w:noWrap w:val="0"/>
            <w:vAlign w:val="center"/>
          </w:tcPr>
          <w:p>
            <w:pPr>
              <w:widowControl/>
              <w:spacing w:line="288" w:lineRule="auto"/>
              <w:rPr>
                <w:rFonts w:cs="Calibri"/>
                <w:color w:val="auto"/>
                <w:kern w:val="0"/>
                <w:szCs w:val="21"/>
              </w:rPr>
            </w:pPr>
            <w:r>
              <w:rPr>
                <w:rFonts w:cs="Calibri"/>
                <w:color w:val="auto"/>
                <w:kern w:val="0"/>
                <w:szCs w:val="21"/>
              </w:rPr>
              <w:t>针对本项目保安服务特性，与</w:t>
            </w:r>
            <w:r>
              <w:rPr>
                <w:rFonts w:hint="eastAsia" w:ascii="宋体" w:hAnsi="宋体" w:cs="Calibri"/>
                <w:color w:val="auto"/>
                <w:kern w:val="0"/>
                <w:szCs w:val="21"/>
              </w:rPr>
              <w:t>采购人</w:t>
            </w:r>
            <w:r>
              <w:rPr>
                <w:rFonts w:cs="Calibri"/>
                <w:color w:val="auto"/>
                <w:kern w:val="0"/>
                <w:szCs w:val="21"/>
              </w:rPr>
              <w:t>实际相结合，投标人需提供装备器材、设备清单。</w:t>
            </w:r>
          </w:p>
          <w:p>
            <w:pPr>
              <w:widowControl/>
              <w:numPr>
                <w:ilvl w:val="0"/>
                <w:numId w:val="5"/>
              </w:numPr>
              <w:spacing w:line="288" w:lineRule="auto"/>
              <w:rPr>
                <w:rFonts w:ascii="Times New Roman" w:hAnsi="Times New Roman" w:cs="Calibri"/>
                <w:color w:val="auto"/>
                <w:szCs w:val="21"/>
              </w:rPr>
            </w:pPr>
            <w:r>
              <w:rPr>
                <w:rFonts w:cs="Calibri"/>
                <w:color w:val="auto"/>
                <w:kern w:val="0"/>
                <w:szCs w:val="21"/>
              </w:rPr>
              <w:t>装备器材质量，根据装备器材的使用动能等进行评分（0-</w:t>
            </w:r>
            <w:r>
              <w:rPr>
                <w:rFonts w:hint="eastAsia" w:cs="Calibri"/>
                <w:color w:val="auto"/>
                <w:kern w:val="0"/>
                <w:szCs w:val="21"/>
              </w:rPr>
              <w:t>2</w:t>
            </w:r>
            <w:r>
              <w:rPr>
                <w:rFonts w:cs="Calibri"/>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534"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kern w:val="0"/>
                <w:szCs w:val="21"/>
              </w:rPr>
            </w:pPr>
          </w:p>
        </w:tc>
        <w:tc>
          <w:tcPr>
            <w:tcW w:w="949"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6740" w:type="dxa"/>
            <w:tcBorders>
              <w:top w:val="single" w:color="auto" w:sz="4" w:space="0"/>
              <w:left w:val="nil"/>
              <w:bottom w:val="single" w:color="auto" w:sz="4" w:space="0"/>
              <w:right w:val="single" w:color="auto" w:sz="4" w:space="0"/>
            </w:tcBorders>
            <w:noWrap w:val="0"/>
            <w:vAlign w:val="center"/>
          </w:tcPr>
          <w:p>
            <w:pPr>
              <w:widowControl/>
              <w:numPr>
                <w:ilvl w:val="0"/>
                <w:numId w:val="5"/>
              </w:numPr>
              <w:spacing w:line="288" w:lineRule="auto"/>
              <w:rPr>
                <w:rFonts w:ascii="宋体" w:hAnsi="宋体" w:cs="Calibri"/>
                <w:color w:val="auto"/>
                <w:kern w:val="0"/>
                <w:szCs w:val="21"/>
              </w:rPr>
            </w:pPr>
            <w:r>
              <w:rPr>
                <w:rFonts w:cs="Calibri"/>
                <w:color w:val="auto"/>
                <w:kern w:val="0"/>
                <w:szCs w:val="21"/>
              </w:rPr>
              <w:t>设备清单，根据投入的设备数量（需与招标要求相匹配）进行评分（0-</w:t>
            </w:r>
            <w:r>
              <w:rPr>
                <w:rFonts w:hint="eastAsia" w:cs="Calibri"/>
                <w:color w:val="auto"/>
                <w:kern w:val="0"/>
                <w:szCs w:val="21"/>
              </w:rPr>
              <w:t>2</w:t>
            </w:r>
            <w:r>
              <w:rPr>
                <w:rFonts w:cs="Calibri"/>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9" w:hRule="atLeast"/>
          <w:jc w:val="center"/>
        </w:trPr>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154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kern w:val="0"/>
                <w:szCs w:val="21"/>
              </w:rPr>
            </w:pPr>
          </w:p>
        </w:tc>
        <w:tc>
          <w:tcPr>
            <w:tcW w:w="949"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cs="Calibri"/>
                <w:color w:val="auto"/>
                <w:szCs w:val="21"/>
              </w:rPr>
            </w:pPr>
          </w:p>
        </w:tc>
        <w:tc>
          <w:tcPr>
            <w:tcW w:w="6740" w:type="dxa"/>
            <w:tcBorders>
              <w:top w:val="single" w:color="auto" w:sz="4" w:space="0"/>
              <w:left w:val="nil"/>
              <w:bottom w:val="single" w:color="auto" w:sz="4" w:space="0"/>
              <w:right w:val="single" w:color="auto" w:sz="4" w:space="0"/>
            </w:tcBorders>
            <w:noWrap w:val="0"/>
            <w:vAlign w:val="center"/>
          </w:tcPr>
          <w:p>
            <w:pPr>
              <w:spacing w:line="288" w:lineRule="auto"/>
              <w:rPr>
                <w:rFonts w:ascii="宋体" w:hAnsi="宋体" w:cs="Calibri"/>
                <w:color w:val="auto"/>
                <w:kern w:val="0"/>
                <w:szCs w:val="21"/>
              </w:rPr>
            </w:pPr>
            <w:r>
              <w:rPr>
                <w:rFonts w:hint="eastAsia" w:cs="Calibri"/>
                <w:color w:val="auto"/>
                <w:kern w:val="0"/>
                <w:szCs w:val="21"/>
              </w:rPr>
              <w:t>3</w:t>
            </w:r>
            <w:r>
              <w:rPr>
                <w:rFonts w:hint="eastAsia" w:ascii="宋体" w:hAnsi="宋体" w:cs="Calibri"/>
                <w:color w:val="auto"/>
                <w:kern w:val="0"/>
                <w:szCs w:val="21"/>
              </w:rPr>
              <w:t>、</w:t>
            </w:r>
            <w:r>
              <w:rPr>
                <w:rFonts w:cs="Calibri"/>
                <w:color w:val="auto"/>
                <w:kern w:val="0"/>
                <w:szCs w:val="21"/>
              </w:rPr>
              <w:t>根据设备的新旧程度、使用年限进行评分（0-</w:t>
            </w:r>
            <w:r>
              <w:rPr>
                <w:rFonts w:hint="eastAsia" w:cs="Calibri"/>
                <w:color w:val="auto"/>
                <w:kern w:val="0"/>
                <w:szCs w:val="21"/>
              </w:rPr>
              <w:t>2</w:t>
            </w:r>
            <w:r>
              <w:rPr>
                <w:rFonts w:cs="Calibri"/>
                <w:color w:val="auto"/>
                <w:kern w:val="0"/>
                <w:szCs w:val="21"/>
              </w:rPr>
              <w:t>分）</w:t>
            </w:r>
            <w:r>
              <w:rPr>
                <w:rFonts w:hint="eastAsia" w:ascii="宋体" w:hAnsi="宋体" w:cs="Calibri"/>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7"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9</w:t>
            </w:r>
          </w:p>
        </w:tc>
        <w:tc>
          <w:tcPr>
            <w:tcW w:w="1541"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宋体" w:hAnsi="宋体" w:cs="Calibri"/>
                <w:color w:val="auto"/>
                <w:kern w:val="0"/>
                <w:szCs w:val="21"/>
              </w:rPr>
            </w:pPr>
            <w:r>
              <w:rPr>
                <w:rFonts w:hint="eastAsia" w:ascii="宋体" w:hAnsi="宋体" w:cs="Calibri"/>
                <w:color w:val="auto"/>
                <w:kern w:val="0"/>
                <w:szCs w:val="21"/>
              </w:rPr>
              <w:t>合理化建议</w:t>
            </w:r>
          </w:p>
          <w:p>
            <w:pPr>
              <w:spacing w:line="288" w:lineRule="auto"/>
              <w:jc w:val="center"/>
              <w:rPr>
                <w:rFonts w:ascii="宋体" w:hAnsi="宋体" w:cs="Calibri"/>
                <w:color w:val="auto"/>
                <w:szCs w:val="21"/>
              </w:rPr>
            </w:pPr>
            <w:r>
              <w:rPr>
                <w:rFonts w:hint="eastAsia" w:ascii="Times New Roman" w:hAnsi="Times New Roman" w:cs="Calibri"/>
                <w:color w:val="auto"/>
                <w:szCs w:val="21"/>
              </w:rPr>
              <w:t>（主观分）</w:t>
            </w:r>
          </w:p>
        </w:tc>
        <w:tc>
          <w:tcPr>
            <w:tcW w:w="949"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0.0-4.0</w:t>
            </w:r>
          </w:p>
        </w:tc>
        <w:tc>
          <w:tcPr>
            <w:tcW w:w="6740" w:type="dxa"/>
            <w:tcBorders>
              <w:top w:val="single" w:color="auto" w:sz="4" w:space="0"/>
              <w:left w:val="nil"/>
              <w:bottom w:val="single" w:color="auto" w:sz="4" w:space="0"/>
              <w:right w:val="single" w:color="auto" w:sz="4" w:space="0"/>
            </w:tcBorders>
            <w:noWrap w:val="0"/>
            <w:vAlign w:val="center"/>
          </w:tcPr>
          <w:p>
            <w:pPr>
              <w:spacing w:line="288" w:lineRule="auto"/>
              <w:rPr>
                <w:rFonts w:ascii="Times New Roman" w:hAnsi="Times New Roman" w:cs="Calibri"/>
                <w:color w:val="auto"/>
                <w:szCs w:val="21"/>
              </w:rPr>
            </w:pPr>
            <w:r>
              <w:rPr>
                <w:rFonts w:hint="eastAsia" w:ascii="宋体" w:hAnsi="宋体" w:cs="Calibri"/>
                <w:color w:val="auto"/>
                <w:kern w:val="0"/>
                <w:szCs w:val="21"/>
              </w:rPr>
              <w:t>投标人提出的合理化建议（如管理制度的优化及考核，保安岗位的设置，编排运营和非运营时段、早及日间和夜间保安力量的配比等），合理化建议对项目实施有积极意义，具有可行性，并有相应的保证措施的每项得</w:t>
            </w:r>
            <w:r>
              <w:rPr>
                <w:rFonts w:hint="eastAsia" w:cs="Calibri"/>
                <w:color w:val="auto"/>
                <w:kern w:val="0"/>
                <w:szCs w:val="21"/>
              </w:rPr>
              <w:t>1</w:t>
            </w:r>
            <w:r>
              <w:rPr>
                <w:rFonts w:hint="eastAsia" w:ascii="宋体" w:hAnsi="宋体" w:cs="Calibri"/>
                <w:color w:val="auto"/>
                <w:kern w:val="0"/>
                <w:szCs w:val="21"/>
              </w:rPr>
              <w:t>分，最高得</w:t>
            </w:r>
            <w:r>
              <w:rPr>
                <w:rFonts w:hint="eastAsia" w:cs="Calibri"/>
                <w:color w:val="auto"/>
                <w:kern w:val="0"/>
                <w:szCs w:val="21"/>
              </w:rPr>
              <w:t>4</w:t>
            </w:r>
            <w:r>
              <w:rPr>
                <w:rFonts w:hint="eastAsia" w:ascii="宋体" w:hAnsi="宋体" w:cs="Calibri"/>
                <w:color w:val="auto"/>
                <w:kern w:val="0"/>
                <w:szCs w:val="21"/>
              </w:rPr>
              <w:t>分</w:t>
            </w:r>
            <w:r>
              <w:rPr>
                <w:rFonts w:hint="eastAsia" w:ascii="Times New Roman" w:hAnsi="Times New Roman" w:cs="Calibri"/>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1005"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10</w:t>
            </w:r>
          </w:p>
        </w:tc>
        <w:tc>
          <w:tcPr>
            <w:tcW w:w="1541"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s="Calibri"/>
                <w:color w:val="auto"/>
                <w:szCs w:val="21"/>
              </w:rPr>
              <w:t>预备应急力量（主观分）</w:t>
            </w:r>
          </w:p>
        </w:tc>
        <w:tc>
          <w:tcPr>
            <w:tcW w:w="949"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0.0-4.0</w:t>
            </w:r>
          </w:p>
        </w:tc>
        <w:tc>
          <w:tcPr>
            <w:tcW w:w="6740" w:type="dxa"/>
            <w:tcBorders>
              <w:top w:val="single" w:color="auto" w:sz="4" w:space="0"/>
              <w:left w:val="nil"/>
              <w:bottom w:val="single" w:color="auto" w:sz="4" w:space="0"/>
              <w:right w:val="single" w:color="auto" w:sz="4" w:space="0"/>
            </w:tcBorders>
            <w:noWrap w:val="0"/>
            <w:vAlign w:val="center"/>
          </w:tcPr>
          <w:p>
            <w:pPr>
              <w:spacing w:line="288" w:lineRule="auto"/>
              <w:rPr>
                <w:rFonts w:ascii="Times New Roman" w:hAnsi="Times New Roman" w:cs="Calibri"/>
                <w:color w:val="auto"/>
                <w:szCs w:val="21"/>
              </w:rPr>
            </w:pPr>
            <w:r>
              <w:rPr>
                <w:rFonts w:hint="eastAsia" w:ascii="Times New Roman" w:hAnsi="Times New Roman" w:cs="Calibri"/>
                <w:color w:val="auto"/>
                <w:szCs w:val="21"/>
              </w:rPr>
              <w:t>投标人根据本项目的需求和特点，提供预备应急方案、预备应急人员和机构等；配备专业应急力量，对标公安应急处置要求，快速抵达应急现场、参与处置等情况，进行评分</w:t>
            </w:r>
            <w:r>
              <w:rPr>
                <w:rFonts w:hint="eastAsia" w:ascii="宋体" w:hAnsi="宋体" w:cs="Calibri"/>
                <w:color w:val="auto"/>
                <w:kern w:val="0"/>
                <w:szCs w:val="21"/>
              </w:rPr>
              <w:t>（</w:t>
            </w:r>
            <w:r>
              <w:rPr>
                <w:rFonts w:hint="eastAsia" w:cs="Calibri"/>
                <w:color w:val="auto"/>
                <w:kern w:val="0"/>
                <w:szCs w:val="21"/>
              </w:rPr>
              <w:t>0-4</w:t>
            </w:r>
            <w:r>
              <w:rPr>
                <w:rFonts w:hint="eastAsia" w:ascii="宋体" w:hAnsi="宋体" w:cs="Calibri"/>
                <w:color w:val="auto"/>
                <w:kern w:val="0"/>
                <w:szCs w:val="21"/>
              </w:rPr>
              <w:t>分）</w:t>
            </w:r>
            <w:r>
              <w:rPr>
                <w:rFonts w:hint="eastAsia" w:ascii="Times New Roman" w:hAnsi="Times New Roman" w:cs="Calibri"/>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7"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Times New Roman" w:hAnsi="Times New Roman"/>
                <w:color w:val="auto"/>
                <w:szCs w:val="21"/>
              </w:rPr>
            </w:pPr>
            <w:r>
              <w:rPr>
                <w:rFonts w:hint="eastAsia" w:ascii="Times New Roman" w:hAnsi="Times New Roman"/>
                <w:color w:val="auto"/>
                <w:szCs w:val="21"/>
              </w:rPr>
              <w:t>11</w:t>
            </w:r>
          </w:p>
        </w:tc>
        <w:tc>
          <w:tcPr>
            <w:tcW w:w="1541"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s="Calibri"/>
                <w:color w:val="auto"/>
                <w:szCs w:val="21"/>
              </w:rPr>
              <w:t>成功案例及业绩（客观分）</w:t>
            </w:r>
          </w:p>
        </w:tc>
        <w:tc>
          <w:tcPr>
            <w:tcW w:w="949" w:type="dxa"/>
            <w:tcBorders>
              <w:top w:val="single" w:color="auto" w:sz="4" w:space="0"/>
              <w:left w:val="nil"/>
              <w:bottom w:val="single" w:color="auto" w:sz="4" w:space="0"/>
              <w:right w:val="single" w:color="auto" w:sz="4" w:space="0"/>
            </w:tcBorders>
            <w:noWrap w:val="0"/>
            <w:vAlign w:val="center"/>
          </w:tcPr>
          <w:p>
            <w:pPr>
              <w:spacing w:line="288" w:lineRule="auto"/>
              <w:jc w:val="center"/>
              <w:rPr>
                <w:rFonts w:ascii="Times New Roman" w:hAnsi="Times New Roman" w:cs="Calibri"/>
                <w:color w:val="auto"/>
                <w:szCs w:val="21"/>
              </w:rPr>
            </w:pPr>
            <w:r>
              <w:rPr>
                <w:rFonts w:hint="eastAsia" w:ascii="Times New Roman" w:hAnsi="Times New Roman"/>
                <w:color w:val="auto"/>
                <w:szCs w:val="21"/>
              </w:rPr>
              <w:t>0.0-4.0</w:t>
            </w:r>
          </w:p>
        </w:tc>
        <w:tc>
          <w:tcPr>
            <w:tcW w:w="6740" w:type="dxa"/>
            <w:tcBorders>
              <w:top w:val="single" w:color="auto" w:sz="4" w:space="0"/>
              <w:left w:val="nil"/>
              <w:bottom w:val="single" w:color="auto" w:sz="4" w:space="0"/>
              <w:right w:val="single" w:color="auto" w:sz="4" w:space="0"/>
            </w:tcBorders>
            <w:noWrap w:val="0"/>
            <w:vAlign w:val="center"/>
          </w:tcPr>
          <w:p>
            <w:pPr>
              <w:spacing w:line="288" w:lineRule="auto"/>
              <w:jc w:val="left"/>
              <w:rPr>
                <w:rFonts w:ascii="Times New Roman" w:hAnsi="Times New Roman" w:cs="Calibri"/>
                <w:color w:val="auto"/>
                <w:szCs w:val="21"/>
              </w:rPr>
            </w:pPr>
            <w:r>
              <w:rPr>
                <w:rFonts w:hint="eastAsia" w:ascii="Times New Roman" w:hAnsi="Times New Roman" w:cs="Calibri"/>
                <w:color w:val="auto"/>
                <w:szCs w:val="21"/>
              </w:rPr>
              <w:t>投标人自</w:t>
            </w:r>
            <w:r>
              <w:rPr>
                <w:rFonts w:hint="eastAsia" w:ascii="Times New Roman" w:hAnsi="Times New Roman"/>
                <w:color w:val="auto"/>
                <w:szCs w:val="21"/>
              </w:rPr>
              <w:t>2018</w:t>
            </w:r>
            <w:r>
              <w:rPr>
                <w:rFonts w:hint="eastAsia" w:ascii="宋体" w:hAnsi="宋体" w:cs="Calibri"/>
                <w:color w:val="auto"/>
                <w:szCs w:val="21"/>
              </w:rPr>
              <w:t>年</w:t>
            </w:r>
            <w:r>
              <w:rPr>
                <w:rFonts w:hint="eastAsia" w:ascii="Times New Roman" w:hAnsi="Times New Roman"/>
                <w:color w:val="auto"/>
                <w:szCs w:val="21"/>
              </w:rPr>
              <w:t>1</w:t>
            </w:r>
            <w:r>
              <w:rPr>
                <w:rFonts w:hint="eastAsia" w:ascii="宋体" w:hAnsi="宋体" w:cs="Calibri"/>
                <w:color w:val="auto"/>
                <w:szCs w:val="21"/>
              </w:rPr>
              <w:t>月</w:t>
            </w:r>
            <w:r>
              <w:rPr>
                <w:rFonts w:hint="eastAsia" w:ascii="Times New Roman" w:hAnsi="Times New Roman"/>
                <w:color w:val="auto"/>
                <w:szCs w:val="21"/>
              </w:rPr>
              <w:t>1</w:t>
            </w:r>
            <w:r>
              <w:rPr>
                <w:rFonts w:hint="eastAsia" w:ascii="宋体" w:hAnsi="宋体" w:cs="Calibri"/>
                <w:color w:val="auto"/>
                <w:szCs w:val="21"/>
              </w:rPr>
              <w:t>日以来承担过相关保安服务（临时活动安保护除外）业绩的，每个有效业绩得</w:t>
            </w:r>
            <w:r>
              <w:rPr>
                <w:rFonts w:hint="eastAsia" w:ascii="Times New Roman" w:hAnsi="Times New Roman"/>
                <w:color w:val="auto"/>
                <w:szCs w:val="21"/>
              </w:rPr>
              <w:t>1</w:t>
            </w:r>
            <w:r>
              <w:rPr>
                <w:rFonts w:hint="eastAsia" w:ascii="宋体" w:hAnsi="宋体" w:cs="Calibri"/>
                <w:color w:val="auto"/>
                <w:szCs w:val="21"/>
              </w:rPr>
              <w:t>分，最高得</w:t>
            </w:r>
            <w:r>
              <w:rPr>
                <w:rFonts w:hint="eastAsia" w:ascii="Times New Roman" w:hAnsi="Times New Roman"/>
                <w:color w:val="auto"/>
                <w:szCs w:val="21"/>
              </w:rPr>
              <w:t>4</w:t>
            </w:r>
            <w:r>
              <w:rPr>
                <w:rFonts w:hint="eastAsia" w:ascii="宋体" w:hAnsi="宋体" w:cs="Calibri"/>
                <w:color w:val="auto"/>
                <w:szCs w:val="21"/>
              </w:rPr>
              <w:t>分（需提供相应的服务合同并加盖单位公章），未提供者不得分。</w:t>
            </w:r>
          </w:p>
        </w:tc>
      </w:tr>
    </w:tbl>
    <w:p>
      <w:pPr>
        <w:spacing w:before="143" w:beforeLines="50" w:line="360" w:lineRule="auto"/>
        <w:ind w:firstLine="422"/>
        <w:outlineLvl w:val="2"/>
        <w:rPr>
          <w:rFonts w:cs="Calibri"/>
          <w:b/>
          <w:color w:val="auto"/>
          <w:kern w:val="0"/>
          <w:szCs w:val="21"/>
        </w:rPr>
      </w:pPr>
      <w:r>
        <w:rPr>
          <w:rFonts w:cs="Calibri"/>
          <w:b/>
          <w:color w:val="auto"/>
          <w:kern w:val="0"/>
          <w:szCs w:val="21"/>
        </w:rPr>
        <w:t>2</w:t>
      </w:r>
      <w:r>
        <w:rPr>
          <w:rFonts w:ascii="宋体" w:hAnsi="宋体" w:cs="Calibri"/>
          <w:b/>
          <w:color w:val="auto"/>
          <w:kern w:val="0"/>
          <w:szCs w:val="21"/>
        </w:rPr>
        <w:t>、商务标评审</w:t>
      </w:r>
    </w:p>
    <w:p>
      <w:pPr>
        <w:widowControl/>
        <w:spacing w:line="360" w:lineRule="auto"/>
        <w:ind w:firstLine="422"/>
        <w:jc w:val="left"/>
        <w:rPr>
          <w:rFonts w:ascii="Times New Roman" w:hAnsi="Times New Roman"/>
          <w:b/>
          <w:color w:val="auto"/>
          <w:kern w:val="0"/>
          <w:szCs w:val="21"/>
        </w:rPr>
      </w:pPr>
      <w:r>
        <w:rPr>
          <w:rFonts w:ascii="Times New Roman" w:hAnsi="Times New Roman"/>
          <w:b/>
          <w:color w:val="auto"/>
          <w:kern w:val="0"/>
          <w:szCs w:val="21"/>
        </w:rPr>
        <w:t xml:space="preserve">2.1 </w:t>
      </w:r>
      <w:r>
        <w:rPr>
          <w:rFonts w:ascii="宋体" w:hAnsi="宋体"/>
          <w:b/>
          <w:color w:val="auto"/>
          <w:kern w:val="0"/>
          <w:szCs w:val="21"/>
        </w:rPr>
        <w:t>按以下步骤确定进入算术平均值计算的范围：</w:t>
      </w:r>
    </w:p>
    <w:p>
      <w:pPr>
        <w:spacing w:line="360" w:lineRule="auto"/>
        <w:ind w:firstLine="422"/>
        <w:rPr>
          <w:rFonts w:cs="Calibri"/>
          <w:b/>
          <w:color w:val="auto"/>
          <w:szCs w:val="21"/>
        </w:rPr>
      </w:pPr>
      <w:r>
        <w:rPr>
          <w:rFonts w:ascii="宋体" w:hAnsi="宋体" w:cs="Calibri"/>
          <w:b/>
          <w:color w:val="auto"/>
          <w:szCs w:val="21"/>
        </w:rPr>
        <w:t>（</w:t>
      </w:r>
      <w:r>
        <w:rPr>
          <w:rFonts w:cs="Calibri"/>
          <w:b/>
          <w:color w:val="auto"/>
          <w:szCs w:val="21"/>
        </w:rPr>
        <w:t>1</w:t>
      </w:r>
      <w:r>
        <w:rPr>
          <w:rFonts w:ascii="宋体" w:hAnsi="宋体" w:cs="Calibri"/>
          <w:b/>
          <w:color w:val="auto"/>
          <w:szCs w:val="21"/>
        </w:rPr>
        <w:t>）甄别异常报价：有下列情况之一的投标报价不进入商务分计算环节：</w:t>
      </w:r>
    </w:p>
    <w:p>
      <w:pPr>
        <w:spacing w:line="360" w:lineRule="auto"/>
        <w:ind w:firstLine="420"/>
        <w:rPr>
          <w:rFonts w:cs="Calibri"/>
          <w:color w:val="auto"/>
          <w:kern w:val="0"/>
          <w:szCs w:val="21"/>
        </w:rPr>
      </w:pPr>
      <w:r>
        <w:rPr>
          <w:rFonts w:cs="Calibri"/>
          <w:color w:val="auto"/>
          <w:szCs w:val="21"/>
        </w:rPr>
        <w:t>①</w:t>
      </w:r>
      <w:r>
        <w:rPr>
          <w:rFonts w:ascii="宋体" w:hAnsi="宋体" w:cs="Calibri"/>
          <w:color w:val="auto"/>
          <w:szCs w:val="21"/>
        </w:rPr>
        <w:t>技术标审查不通过单位的投标报价；</w:t>
      </w:r>
    </w:p>
    <w:p>
      <w:pPr>
        <w:spacing w:line="360" w:lineRule="auto"/>
        <w:ind w:firstLine="420"/>
        <w:rPr>
          <w:rFonts w:ascii="宋体" w:hAnsi="宋体" w:cs="Calibri"/>
          <w:color w:val="auto"/>
          <w:szCs w:val="21"/>
        </w:rPr>
      </w:pPr>
      <w:r>
        <w:rPr>
          <w:rFonts w:hint="eastAsia" w:ascii="宋体" w:hAnsi="宋体" w:cs="Calibri"/>
          <w:color w:val="auto"/>
          <w:szCs w:val="21"/>
        </w:rPr>
        <w:t>②投标报价高于最高限价或投标报价低于企业成本价或未填报企业成本价的</w:t>
      </w:r>
      <w:r>
        <w:rPr>
          <w:rFonts w:ascii="宋体" w:hAnsi="宋体" w:cs="Calibri"/>
          <w:color w:val="auto"/>
          <w:szCs w:val="21"/>
        </w:rPr>
        <w:t>；</w:t>
      </w:r>
      <w:r>
        <w:rPr>
          <w:rFonts w:hint="eastAsia" w:ascii="宋体" w:hAnsi="宋体" w:cs="Calibri"/>
          <w:color w:val="auto"/>
          <w:szCs w:val="21"/>
        </w:rPr>
        <w:t xml:space="preserve"> </w:t>
      </w:r>
    </w:p>
    <w:p>
      <w:pPr>
        <w:spacing w:line="360" w:lineRule="auto"/>
        <w:ind w:firstLine="420"/>
        <w:rPr>
          <w:rFonts w:hint="eastAsia" w:cs="Calibri"/>
          <w:color w:val="auto"/>
          <w:szCs w:val="21"/>
        </w:rPr>
      </w:pPr>
      <w:r>
        <w:rPr>
          <w:rFonts w:hint="eastAsia" w:ascii="宋体" w:hAnsi="宋体" w:cs="Calibri"/>
          <w:color w:val="auto"/>
          <w:szCs w:val="21"/>
        </w:rPr>
        <w:t>③</w:t>
      </w:r>
      <w:r>
        <w:rPr>
          <w:rFonts w:ascii="宋体" w:hAnsi="宋体" w:cs="Calibri"/>
          <w:color w:val="auto"/>
          <w:szCs w:val="21"/>
        </w:rPr>
        <w:t>分析总报价及各个分项报价是否合理、报价范围是否完整、有否重大错漏项、是否超过最高限价。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列为异常报价，确定该投标为无效标。</w:t>
      </w:r>
    </w:p>
    <w:p>
      <w:pPr>
        <w:spacing w:line="360" w:lineRule="auto"/>
        <w:ind w:firstLine="422"/>
        <w:rPr>
          <w:rFonts w:cs="Calibri"/>
          <w:b/>
          <w:color w:val="auto"/>
          <w:szCs w:val="21"/>
        </w:rPr>
      </w:pPr>
      <w:r>
        <w:rPr>
          <w:rFonts w:cs="Calibri"/>
          <w:b/>
          <w:color w:val="auto"/>
          <w:szCs w:val="21"/>
        </w:rPr>
        <w:t>2.2</w:t>
      </w:r>
      <w:r>
        <w:rPr>
          <w:rFonts w:ascii="宋体" w:hAnsi="宋体" w:cs="Calibri"/>
          <w:b/>
          <w:color w:val="auto"/>
          <w:szCs w:val="21"/>
        </w:rPr>
        <w:t>商务标详细评审（</w:t>
      </w:r>
      <w:r>
        <w:rPr>
          <w:rFonts w:hint="eastAsia" w:cs="Calibri"/>
          <w:b/>
          <w:color w:val="auto"/>
          <w:szCs w:val="21"/>
          <w:u w:val="single"/>
        </w:rPr>
        <w:t>30</w:t>
      </w:r>
      <w:r>
        <w:rPr>
          <w:rFonts w:ascii="宋体" w:hAnsi="宋体" w:cs="Calibri"/>
          <w:b/>
          <w:color w:val="auto"/>
          <w:szCs w:val="21"/>
        </w:rPr>
        <w:t>分）</w:t>
      </w:r>
    </w:p>
    <w:p>
      <w:pPr>
        <w:spacing w:line="360" w:lineRule="auto"/>
        <w:ind w:firstLine="420"/>
        <w:rPr>
          <w:rFonts w:cs="Calibri"/>
          <w:color w:val="auto"/>
          <w:szCs w:val="21"/>
        </w:rPr>
      </w:pPr>
      <w:r>
        <w:rPr>
          <w:rFonts w:ascii="宋体" w:hAnsi="宋体" w:cs="Calibri"/>
          <w:color w:val="auto"/>
          <w:szCs w:val="21"/>
        </w:rPr>
        <w:t>（</w:t>
      </w:r>
      <w:r>
        <w:rPr>
          <w:rFonts w:cs="Calibri"/>
          <w:color w:val="auto"/>
          <w:szCs w:val="21"/>
        </w:rPr>
        <w:t>1</w:t>
      </w:r>
      <w:r>
        <w:rPr>
          <w:rFonts w:ascii="宋体" w:hAnsi="宋体" w:cs="Calibri"/>
          <w:color w:val="auto"/>
          <w:szCs w:val="21"/>
        </w:rPr>
        <w:t>）评标基准价以满足招标文件要求且投标价格最低的投标报价为评标基准价，其商务报价分为</w:t>
      </w:r>
      <w:r>
        <w:rPr>
          <w:rFonts w:hint="eastAsia" w:cs="Calibri"/>
          <w:color w:val="auto"/>
          <w:szCs w:val="21"/>
        </w:rPr>
        <w:t>30</w:t>
      </w:r>
      <w:r>
        <w:rPr>
          <w:rFonts w:ascii="宋体" w:hAnsi="宋体" w:cs="Calibri"/>
          <w:color w:val="auto"/>
          <w:szCs w:val="21"/>
        </w:rPr>
        <w:t>分。</w:t>
      </w:r>
    </w:p>
    <w:p>
      <w:pPr>
        <w:spacing w:line="360" w:lineRule="auto"/>
        <w:ind w:firstLine="420"/>
        <w:rPr>
          <w:rFonts w:cs="Calibri"/>
          <w:color w:val="auto"/>
          <w:szCs w:val="21"/>
        </w:rPr>
      </w:pPr>
      <w:r>
        <w:rPr>
          <w:rFonts w:ascii="宋体" w:hAnsi="宋体" w:cs="Calibri"/>
          <w:color w:val="auto"/>
          <w:szCs w:val="21"/>
        </w:rPr>
        <w:t>（</w:t>
      </w:r>
      <w:r>
        <w:rPr>
          <w:rFonts w:cs="Calibri"/>
          <w:color w:val="auto"/>
          <w:szCs w:val="21"/>
        </w:rPr>
        <w:t>2</w:t>
      </w:r>
      <w:r>
        <w:rPr>
          <w:rFonts w:ascii="宋体" w:hAnsi="宋体" w:cs="Calibri"/>
          <w:color w:val="auto"/>
          <w:szCs w:val="21"/>
        </w:rPr>
        <w:t>）商务得分计算。</w:t>
      </w:r>
    </w:p>
    <w:p>
      <w:pPr>
        <w:spacing w:line="360" w:lineRule="auto"/>
        <w:ind w:firstLine="420"/>
        <w:rPr>
          <w:rFonts w:cs="Calibri"/>
          <w:color w:val="auto"/>
          <w:szCs w:val="21"/>
        </w:rPr>
      </w:pPr>
      <w:r>
        <w:rPr>
          <w:rFonts w:ascii="宋体" w:hAnsi="宋体" w:cs="Calibri"/>
          <w:color w:val="auto"/>
          <w:szCs w:val="21"/>
        </w:rPr>
        <w:t>商务得分</w:t>
      </w:r>
      <w:r>
        <w:rPr>
          <w:rFonts w:cs="Calibri"/>
          <w:color w:val="auto"/>
          <w:szCs w:val="21"/>
        </w:rPr>
        <w:t>=</w:t>
      </w:r>
      <w:r>
        <w:rPr>
          <w:rFonts w:ascii="宋体" w:hAnsi="宋体" w:cs="Calibri"/>
          <w:color w:val="auto"/>
          <w:szCs w:val="21"/>
        </w:rPr>
        <w:t>（评标基准价</w:t>
      </w:r>
      <w:r>
        <w:rPr>
          <w:rFonts w:cs="Calibri"/>
          <w:color w:val="auto"/>
          <w:szCs w:val="21"/>
        </w:rPr>
        <w:t>/</w:t>
      </w:r>
      <w:r>
        <w:rPr>
          <w:rFonts w:ascii="宋体" w:hAnsi="宋体" w:cs="Calibri"/>
          <w:color w:val="auto"/>
          <w:szCs w:val="21"/>
        </w:rPr>
        <w:t>投标报价）</w:t>
      </w:r>
      <w:r>
        <w:rPr>
          <w:rFonts w:cs="Calibri"/>
          <w:color w:val="auto"/>
          <w:szCs w:val="21"/>
        </w:rPr>
        <w:t>×</w:t>
      </w:r>
      <w:r>
        <w:rPr>
          <w:rFonts w:hint="eastAsia" w:cs="Calibri"/>
          <w:color w:val="auto"/>
          <w:szCs w:val="21"/>
        </w:rPr>
        <w:t>30</w:t>
      </w:r>
      <w:r>
        <w:rPr>
          <w:rFonts w:cs="Calibri"/>
          <w:color w:val="auto"/>
          <w:szCs w:val="21"/>
        </w:rPr>
        <w:t>%×100</w:t>
      </w:r>
      <w:r>
        <w:rPr>
          <w:rFonts w:ascii="宋体" w:hAnsi="宋体" w:cs="Calibri"/>
          <w:color w:val="auto"/>
          <w:szCs w:val="21"/>
        </w:rPr>
        <w:t>，保留小数</w:t>
      </w:r>
      <w:r>
        <w:rPr>
          <w:rFonts w:cs="Calibri"/>
          <w:color w:val="auto"/>
          <w:szCs w:val="21"/>
        </w:rPr>
        <w:t>2</w:t>
      </w:r>
      <w:r>
        <w:rPr>
          <w:rFonts w:ascii="宋体" w:hAnsi="宋体" w:cs="Calibri"/>
          <w:color w:val="auto"/>
          <w:szCs w:val="21"/>
        </w:rPr>
        <w:t>位（四舍五入）。</w:t>
      </w:r>
    </w:p>
    <w:p>
      <w:pPr>
        <w:spacing w:line="360" w:lineRule="auto"/>
        <w:ind w:firstLine="420"/>
        <w:rPr>
          <w:rFonts w:cs="Calibri"/>
          <w:b/>
          <w:bCs/>
          <w:color w:val="auto"/>
          <w:szCs w:val="21"/>
        </w:rPr>
      </w:pPr>
      <w:r>
        <w:rPr>
          <w:rFonts w:ascii="宋体" w:hAnsi="宋体" w:cs="Calibri"/>
          <w:b/>
          <w:bCs/>
          <w:color w:val="auto"/>
          <w:szCs w:val="21"/>
        </w:rPr>
        <w:t>注：对于小型和微型企业</w:t>
      </w:r>
      <w:r>
        <w:rPr>
          <w:rFonts w:hint="eastAsia" w:ascii="宋体" w:hAnsi="宋体" w:cs="Calibri"/>
          <w:b/>
          <w:bCs/>
          <w:color w:val="auto"/>
          <w:szCs w:val="21"/>
        </w:rPr>
        <w:t>产品</w:t>
      </w:r>
      <w:r>
        <w:rPr>
          <w:rFonts w:ascii="宋体" w:hAnsi="宋体" w:cs="Calibri"/>
          <w:b/>
          <w:bCs/>
          <w:color w:val="auto"/>
          <w:szCs w:val="21"/>
        </w:rPr>
        <w:t>的价格给予</w:t>
      </w:r>
      <w:r>
        <w:rPr>
          <w:rFonts w:cs="Calibri"/>
          <w:b/>
          <w:bCs/>
          <w:color w:val="auto"/>
          <w:szCs w:val="21"/>
        </w:rPr>
        <w:t>6%</w:t>
      </w:r>
      <w:r>
        <w:rPr>
          <w:rFonts w:ascii="宋体" w:hAnsi="宋体" w:cs="Calibri"/>
          <w:b/>
          <w:bCs/>
          <w:color w:val="auto"/>
          <w:szCs w:val="21"/>
        </w:rPr>
        <w:t>的扣除，用扣除后的价格参与评审，是否给予价格扣除按前附表</w:t>
      </w:r>
      <w:r>
        <w:rPr>
          <w:rFonts w:cs="Calibri"/>
          <w:b/>
          <w:bCs/>
          <w:color w:val="auto"/>
          <w:szCs w:val="21"/>
        </w:rPr>
        <w:t>“</w:t>
      </w:r>
      <w:r>
        <w:rPr>
          <w:rFonts w:ascii="宋体" w:hAnsi="宋体" w:cs="Calibri"/>
          <w:b/>
          <w:bCs/>
          <w:color w:val="auto"/>
          <w:szCs w:val="21"/>
        </w:rPr>
        <w:t>小微企业有关规定</w:t>
      </w:r>
      <w:r>
        <w:rPr>
          <w:rFonts w:cs="Calibri"/>
          <w:b/>
          <w:bCs/>
          <w:color w:val="auto"/>
          <w:szCs w:val="21"/>
        </w:rPr>
        <w:t>”</w:t>
      </w:r>
      <w:r>
        <w:rPr>
          <w:rFonts w:ascii="宋体" w:hAnsi="宋体" w:cs="Calibri"/>
          <w:b/>
          <w:bCs/>
          <w:color w:val="auto"/>
          <w:szCs w:val="21"/>
        </w:rPr>
        <w:t>要求认定，此项由评标委员会集体核实后统一打分。</w:t>
      </w:r>
    </w:p>
    <w:p>
      <w:pPr>
        <w:spacing w:line="360" w:lineRule="auto"/>
        <w:ind w:firstLine="422"/>
        <w:outlineLvl w:val="2"/>
        <w:rPr>
          <w:rFonts w:cs="Calibri"/>
          <w:b/>
          <w:color w:val="auto"/>
          <w:kern w:val="0"/>
          <w:szCs w:val="21"/>
        </w:rPr>
      </w:pPr>
      <w:bookmarkStart w:id="103" w:name="_Toc11926"/>
      <w:bookmarkEnd w:id="103"/>
      <w:bookmarkStart w:id="104" w:name="_Toc6118"/>
      <w:bookmarkEnd w:id="104"/>
      <w:bookmarkStart w:id="105" w:name="_Toc34950026"/>
      <w:r>
        <w:rPr>
          <w:rFonts w:cs="Calibri"/>
          <w:b/>
          <w:color w:val="auto"/>
          <w:kern w:val="0"/>
          <w:szCs w:val="21"/>
        </w:rPr>
        <w:t>3</w:t>
      </w:r>
      <w:r>
        <w:rPr>
          <w:rFonts w:ascii="宋体" w:hAnsi="宋体" w:cs="Calibri"/>
          <w:b/>
          <w:color w:val="auto"/>
          <w:kern w:val="0"/>
          <w:szCs w:val="21"/>
        </w:rPr>
        <w:t>、计算总分（满分为</w:t>
      </w:r>
      <w:r>
        <w:rPr>
          <w:rFonts w:cs="Calibri"/>
          <w:b/>
          <w:color w:val="auto"/>
          <w:kern w:val="0"/>
          <w:szCs w:val="21"/>
        </w:rPr>
        <w:t>100</w:t>
      </w:r>
      <w:r>
        <w:rPr>
          <w:rFonts w:ascii="宋体" w:hAnsi="宋体" w:cs="Calibri"/>
          <w:b/>
          <w:color w:val="auto"/>
          <w:kern w:val="0"/>
          <w:szCs w:val="21"/>
        </w:rPr>
        <w:t>分）</w:t>
      </w:r>
      <w:bookmarkEnd w:id="105"/>
    </w:p>
    <w:p>
      <w:pPr>
        <w:widowControl/>
        <w:spacing w:line="360" w:lineRule="auto"/>
        <w:ind w:firstLine="420"/>
        <w:jc w:val="left"/>
        <w:rPr>
          <w:rFonts w:ascii="Times New Roman" w:hAnsi="Times New Roman"/>
          <w:color w:val="auto"/>
          <w:kern w:val="0"/>
          <w:szCs w:val="21"/>
        </w:rPr>
      </w:pPr>
      <w:r>
        <w:rPr>
          <w:rFonts w:ascii="Times New Roman" w:hAnsi="Times New Roman"/>
          <w:color w:val="auto"/>
          <w:kern w:val="0"/>
          <w:szCs w:val="21"/>
        </w:rPr>
        <w:t xml:space="preserve">   </w:t>
      </w:r>
      <w:r>
        <w:rPr>
          <w:rFonts w:ascii="宋体" w:hAnsi="宋体"/>
          <w:color w:val="auto"/>
          <w:kern w:val="0"/>
          <w:szCs w:val="21"/>
        </w:rPr>
        <w:t>计算方法：投标人总得分</w:t>
      </w:r>
      <w:r>
        <w:rPr>
          <w:rFonts w:ascii="Times New Roman" w:hAnsi="Times New Roman"/>
          <w:color w:val="auto"/>
          <w:kern w:val="0"/>
          <w:szCs w:val="21"/>
        </w:rPr>
        <w:t xml:space="preserve"> = </w:t>
      </w:r>
      <w:r>
        <w:rPr>
          <w:rFonts w:ascii="宋体" w:hAnsi="宋体"/>
          <w:color w:val="auto"/>
          <w:kern w:val="0"/>
          <w:szCs w:val="21"/>
        </w:rPr>
        <w:t>技术标评审得分</w:t>
      </w:r>
      <w:r>
        <w:rPr>
          <w:rFonts w:ascii="Times New Roman" w:hAnsi="Times New Roman"/>
          <w:color w:val="auto"/>
          <w:kern w:val="0"/>
          <w:szCs w:val="21"/>
        </w:rPr>
        <w:t xml:space="preserve">+ </w:t>
      </w:r>
      <w:r>
        <w:rPr>
          <w:rFonts w:ascii="宋体" w:hAnsi="宋体"/>
          <w:color w:val="auto"/>
          <w:kern w:val="0"/>
          <w:szCs w:val="21"/>
        </w:rPr>
        <w:t>商务标评审得分</w:t>
      </w:r>
    </w:p>
    <w:p>
      <w:pPr>
        <w:spacing w:line="360" w:lineRule="auto"/>
        <w:ind w:firstLine="422"/>
        <w:outlineLvl w:val="2"/>
        <w:rPr>
          <w:rFonts w:cs="Calibri"/>
          <w:b/>
          <w:color w:val="auto"/>
          <w:kern w:val="0"/>
          <w:szCs w:val="21"/>
        </w:rPr>
      </w:pPr>
      <w:bookmarkStart w:id="106" w:name="_Toc34950027"/>
      <w:bookmarkEnd w:id="106"/>
      <w:bookmarkStart w:id="107" w:name="_Toc21373"/>
      <w:bookmarkEnd w:id="107"/>
      <w:bookmarkStart w:id="108" w:name="_Toc3571"/>
      <w:r>
        <w:rPr>
          <w:rFonts w:cs="Calibri"/>
          <w:b/>
          <w:color w:val="auto"/>
          <w:kern w:val="0"/>
          <w:szCs w:val="21"/>
        </w:rPr>
        <w:t>4</w:t>
      </w:r>
      <w:r>
        <w:rPr>
          <w:rFonts w:ascii="宋体" w:hAnsi="宋体" w:cs="Calibri"/>
          <w:b/>
          <w:color w:val="auto"/>
          <w:kern w:val="0"/>
          <w:szCs w:val="21"/>
        </w:rPr>
        <w:t>、推荐中标候选人，完成评标报告</w:t>
      </w:r>
      <w:bookmarkEnd w:id="108"/>
    </w:p>
    <w:p>
      <w:pPr>
        <w:spacing w:line="360" w:lineRule="auto"/>
        <w:ind w:firstLine="420"/>
        <w:rPr>
          <w:rFonts w:cs="Calibri"/>
          <w:color w:val="auto"/>
          <w:szCs w:val="21"/>
        </w:rPr>
      </w:pPr>
      <w:r>
        <w:rPr>
          <w:rFonts w:ascii="宋体" w:hAnsi="宋体" w:cs="Calibri"/>
          <w:color w:val="auto"/>
          <w:szCs w:val="21"/>
        </w:rPr>
        <w:t>（</w:t>
      </w:r>
      <w:r>
        <w:rPr>
          <w:rFonts w:cs="Calibri"/>
          <w:color w:val="auto"/>
          <w:szCs w:val="21"/>
        </w:rPr>
        <w:t>1</w:t>
      </w:r>
      <w:r>
        <w:rPr>
          <w:rFonts w:ascii="宋体" w:hAnsi="宋体" w:cs="Calibri"/>
          <w:color w:val="auto"/>
          <w:szCs w:val="21"/>
        </w:rPr>
        <w:t>）推荐中标候选人</w:t>
      </w:r>
    </w:p>
    <w:p>
      <w:pPr>
        <w:spacing w:line="360" w:lineRule="auto"/>
        <w:ind w:firstLine="420"/>
        <w:rPr>
          <w:rFonts w:cs="Calibri"/>
          <w:color w:val="auto"/>
          <w:szCs w:val="21"/>
        </w:rPr>
      </w:pPr>
      <w:r>
        <w:rPr>
          <w:rFonts w:ascii="宋体" w:hAnsi="宋体" w:cs="Calibri"/>
          <w:color w:val="auto"/>
          <w:szCs w:val="21"/>
        </w:rPr>
        <w:t>评标委员会完成评标后，按总得分由高到低排定顺序（得分相同的，按投标报价由低到高顺序排列；得分且投标报价相同的，按技术分由高到低顺序排列，技术分也相同的，由采购人代表使用交易中心抽取程序随机抽取决定排序），评标委员会根据以上排序直接确定第一名的</w:t>
      </w:r>
      <w:r>
        <w:rPr>
          <w:rFonts w:hint="eastAsia" w:ascii="宋体" w:hAnsi="宋体" w:cs="Calibri"/>
          <w:color w:val="auto"/>
          <w:szCs w:val="21"/>
        </w:rPr>
        <w:t>投标人</w:t>
      </w:r>
      <w:r>
        <w:rPr>
          <w:rFonts w:ascii="宋体" w:hAnsi="宋体" w:cs="Calibri"/>
          <w:color w:val="auto"/>
          <w:szCs w:val="21"/>
        </w:rPr>
        <w:t>为中标人。</w:t>
      </w:r>
    </w:p>
    <w:p>
      <w:pPr>
        <w:spacing w:line="360" w:lineRule="auto"/>
        <w:ind w:firstLine="420"/>
        <w:rPr>
          <w:rFonts w:cs="Calibri"/>
          <w:color w:val="auto"/>
          <w:szCs w:val="21"/>
        </w:rPr>
      </w:pPr>
      <w:r>
        <w:rPr>
          <w:rFonts w:ascii="宋体" w:hAnsi="宋体" w:cs="Calibri"/>
          <w:color w:val="auto"/>
          <w:szCs w:val="21"/>
        </w:rPr>
        <w:t>当确定的中标人放弃中标，因不可抗力提出不能履行合同，重新组织招标。</w:t>
      </w:r>
    </w:p>
    <w:p>
      <w:pPr>
        <w:spacing w:line="360" w:lineRule="auto"/>
        <w:ind w:firstLine="420"/>
        <w:rPr>
          <w:rFonts w:cs="Calibri"/>
          <w:color w:val="auto"/>
          <w:szCs w:val="21"/>
        </w:rPr>
      </w:pPr>
      <w:r>
        <w:rPr>
          <w:rFonts w:ascii="宋体" w:hAnsi="宋体" w:cs="Calibri"/>
          <w:color w:val="auto"/>
          <w:szCs w:val="21"/>
        </w:rPr>
        <w:t>（</w:t>
      </w:r>
      <w:r>
        <w:rPr>
          <w:rFonts w:cs="Calibri"/>
          <w:color w:val="auto"/>
          <w:szCs w:val="21"/>
        </w:rPr>
        <w:t>2</w:t>
      </w:r>
      <w:r>
        <w:rPr>
          <w:rFonts w:ascii="宋体" w:hAnsi="宋体" w:cs="Calibri"/>
          <w:color w:val="auto"/>
          <w:szCs w:val="21"/>
        </w:rPr>
        <w:t>）完成评标报告</w:t>
      </w:r>
    </w:p>
    <w:p>
      <w:pPr>
        <w:widowControl/>
        <w:spacing w:line="360" w:lineRule="auto"/>
        <w:ind w:firstLine="420"/>
        <w:jc w:val="left"/>
        <w:rPr>
          <w:rFonts w:ascii="Times New Roman" w:hAnsi="Times New Roman" w:cs="宋体"/>
          <w:bCs/>
          <w:color w:val="auto"/>
          <w:kern w:val="0"/>
          <w:szCs w:val="21"/>
        </w:rPr>
      </w:pPr>
      <w:r>
        <w:rPr>
          <w:rFonts w:ascii="宋体" w:hAnsi="宋体"/>
          <w:color w:val="auto"/>
          <w:kern w:val="0"/>
          <w:szCs w:val="21"/>
        </w:rPr>
        <w:t>评标委员会向采购人提出评标报告，内容包括评标过程、投标人的优劣对比分析、中标候选人推荐情况、基本结论、存在的问题和评标专家的不同意见。评标报告应经评标委员会所有专家签字，在评标结束时当场提交给采购人</w:t>
      </w:r>
      <w:r>
        <w:rPr>
          <w:rFonts w:ascii="宋体" w:hAnsi="宋体"/>
          <w:color w:val="auto"/>
          <w:szCs w:val="21"/>
        </w:rPr>
        <w:t>。</w:t>
      </w:r>
    </w:p>
    <w:p>
      <w:pPr>
        <w:widowControl/>
        <w:spacing w:beforeAutospacing="1" w:afterAutospacing="1" w:line="360" w:lineRule="auto"/>
        <w:jc w:val="left"/>
        <w:rPr>
          <w:rFonts w:cs="Calibri"/>
          <w:b/>
          <w:color w:val="auto"/>
          <w:sz w:val="32"/>
          <w:szCs w:val="32"/>
        </w:rPr>
        <w:sectPr>
          <w:pgSz w:w="11906" w:h="16838"/>
          <w:pgMar w:top="1417" w:right="1134" w:bottom="1417" w:left="1134" w:header="851" w:footer="992" w:gutter="0"/>
          <w:cols w:space="720" w:num="1"/>
          <w:titlePg/>
          <w:docGrid w:type="lines" w:linePitch="286" w:charSpace="0"/>
        </w:sectPr>
      </w:pPr>
    </w:p>
    <w:p>
      <w:pPr>
        <w:keepNext/>
        <w:keepLines/>
        <w:spacing w:line="576" w:lineRule="auto"/>
        <w:jc w:val="center"/>
        <w:outlineLvl w:val="0"/>
        <w:rPr>
          <w:rFonts w:hint="eastAsia" w:cs="Calibri"/>
          <w:b/>
          <w:color w:val="auto"/>
          <w:sz w:val="36"/>
          <w:szCs w:val="36"/>
        </w:rPr>
      </w:pPr>
      <w:bookmarkStart w:id="109" w:name="_Toc28883"/>
      <w:bookmarkEnd w:id="109"/>
      <w:bookmarkStart w:id="110" w:name="_Toc13054"/>
      <w:r>
        <w:rPr>
          <w:rFonts w:ascii="宋体" w:hAnsi="宋体" w:cs="Calibri"/>
          <w:b/>
          <w:color w:val="auto"/>
          <w:sz w:val="32"/>
          <w:szCs w:val="32"/>
        </w:rPr>
        <w:t>第七</w:t>
      </w:r>
      <w:bookmarkEnd w:id="110"/>
      <w:r>
        <w:rPr>
          <w:rFonts w:hint="eastAsia" w:ascii="宋体" w:hAnsi="宋体" w:cs="Calibri"/>
          <w:b/>
          <w:color w:val="auto"/>
          <w:sz w:val="32"/>
          <w:szCs w:val="32"/>
        </w:rPr>
        <w:t>章 合同</w:t>
      </w:r>
      <w:r>
        <w:rPr>
          <w:rFonts w:ascii="宋体" w:hAnsi="宋体" w:cs="Calibri"/>
          <w:b/>
          <w:color w:val="auto"/>
          <w:sz w:val="32"/>
          <w:szCs w:val="32"/>
        </w:rPr>
        <w:t>主要条款</w:t>
      </w:r>
    </w:p>
    <w:p>
      <w:pPr>
        <w:keepNext/>
        <w:keepLines/>
        <w:spacing w:before="120" w:after="120"/>
        <w:jc w:val="center"/>
        <w:outlineLvl w:val="0"/>
        <w:rPr>
          <w:rFonts w:cs="Calibri"/>
          <w:b/>
          <w:color w:val="auto"/>
          <w:kern w:val="0"/>
          <w:sz w:val="36"/>
          <w:szCs w:val="36"/>
        </w:rPr>
      </w:pPr>
      <w:bookmarkStart w:id="111" w:name="_Toc270168500"/>
      <w:bookmarkEnd w:id="111"/>
      <w:bookmarkStart w:id="112" w:name="_Toc25905"/>
      <w:r>
        <w:rPr>
          <w:rFonts w:ascii="宋体" w:hAnsi="宋体" w:cs="Calibri"/>
          <w:b/>
          <w:color w:val="auto"/>
          <w:kern w:val="0"/>
          <w:sz w:val="28"/>
          <w:szCs w:val="28"/>
        </w:rPr>
        <w:t>义乌市政府采购合同（样本）</w:t>
      </w:r>
      <w:bookmarkEnd w:id="112"/>
    </w:p>
    <w:p>
      <w:pPr>
        <w:spacing w:line="360" w:lineRule="auto"/>
        <w:ind w:firstLine="480"/>
        <w:rPr>
          <w:rFonts w:ascii="Times New Roman" w:hAnsi="Times New Roman"/>
          <w:color w:val="auto"/>
          <w:kern w:val="0"/>
          <w:szCs w:val="21"/>
        </w:rPr>
      </w:pPr>
      <w:r>
        <w:rPr>
          <w:rFonts w:ascii="宋体" w:hAnsi="宋体"/>
          <w:color w:val="auto"/>
          <w:kern w:val="0"/>
          <w:szCs w:val="21"/>
        </w:rPr>
        <w:t>甲方：</w:t>
      </w:r>
      <w:r>
        <w:rPr>
          <w:rFonts w:ascii="Times New Roman" w:hAnsi="Times New Roman"/>
          <w:color w:val="auto"/>
          <w:kern w:val="0"/>
          <w:szCs w:val="21"/>
        </w:rPr>
        <w:t>________________________________</w:t>
      </w:r>
    </w:p>
    <w:p>
      <w:pPr>
        <w:spacing w:line="360" w:lineRule="auto"/>
        <w:ind w:firstLine="480"/>
        <w:rPr>
          <w:rFonts w:ascii="Times New Roman" w:hAnsi="Times New Roman"/>
          <w:color w:val="auto"/>
          <w:kern w:val="0"/>
          <w:szCs w:val="21"/>
        </w:rPr>
      </w:pPr>
      <w:r>
        <w:rPr>
          <w:rFonts w:ascii="宋体" w:hAnsi="宋体"/>
          <w:color w:val="auto"/>
          <w:kern w:val="0"/>
          <w:szCs w:val="21"/>
        </w:rPr>
        <w:t>乙方：</w:t>
      </w:r>
      <w:r>
        <w:rPr>
          <w:rFonts w:ascii="Times New Roman" w:hAnsi="Times New Roman"/>
          <w:color w:val="auto"/>
          <w:kern w:val="0"/>
          <w:szCs w:val="21"/>
        </w:rPr>
        <w:t>________________________________</w:t>
      </w:r>
    </w:p>
    <w:p>
      <w:pPr>
        <w:spacing w:line="360" w:lineRule="auto"/>
        <w:ind w:firstLine="560" w:firstLineChars="200"/>
        <w:rPr>
          <w:rFonts w:ascii="Times New Roman" w:hAnsi="Times New Roman"/>
          <w:color w:val="auto"/>
          <w:kern w:val="0"/>
          <w:sz w:val="28"/>
          <w:szCs w:val="28"/>
        </w:rPr>
      </w:pPr>
      <w:r>
        <w:rPr>
          <w:rFonts w:ascii="宋体" w:hAnsi="宋体"/>
          <w:color w:val="auto"/>
          <w:kern w:val="0"/>
          <w:sz w:val="28"/>
          <w:szCs w:val="28"/>
        </w:rPr>
        <w:t>甲、乙双方根据</w:t>
      </w:r>
      <w:r>
        <w:rPr>
          <w:rFonts w:ascii="Times New Roman" w:hAnsi="Times New Roman"/>
          <w:color w:val="auto"/>
          <w:kern w:val="0"/>
          <w:sz w:val="28"/>
          <w:szCs w:val="28"/>
          <w:u w:val="single"/>
        </w:rPr>
        <w:t xml:space="preserve">     </w:t>
      </w:r>
      <w:r>
        <w:rPr>
          <w:rFonts w:ascii="宋体" w:hAnsi="宋体"/>
          <w:color w:val="auto"/>
          <w:kern w:val="0"/>
          <w:sz w:val="28"/>
          <w:szCs w:val="28"/>
        </w:rPr>
        <w:t>年</w:t>
      </w:r>
      <w:r>
        <w:rPr>
          <w:rFonts w:ascii="Times New Roman" w:hAnsi="Times New Roman"/>
          <w:color w:val="auto"/>
          <w:kern w:val="0"/>
          <w:sz w:val="28"/>
          <w:szCs w:val="28"/>
        </w:rPr>
        <w:t>____</w:t>
      </w:r>
      <w:r>
        <w:rPr>
          <w:rFonts w:ascii="宋体" w:hAnsi="宋体"/>
          <w:color w:val="auto"/>
          <w:kern w:val="0"/>
          <w:sz w:val="28"/>
          <w:szCs w:val="28"/>
        </w:rPr>
        <w:t>月</w:t>
      </w:r>
      <w:r>
        <w:rPr>
          <w:rFonts w:ascii="Times New Roman" w:hAnsi="Times New Roman"/>
          <w:color w:val="auto"/>
          <w:kern w:val="0"/>
          <w:sz w:val="28"/>
          <w:szCs w:val="28"/>
        </w:rPr>
        <w:t>____</w:t>
      </w:r>
      <w:r>
        <w:rPr>
          <w:rFonts w:ascii="宋体" w:hAnsi="宋体"/>
          <w:color w:val="auto"/>
          <w:kern w:val="0"/>
          <w:sz w:val="28"/>
          <w:szCs w:val="28"/>
        </w:rPr>
        <w:t>日</w:t>
      </w:r>
      <w:r>
        <w:rPr>
          <w:rFonts w:hint="eastAsia" w:ascii="宋体" w:hAnsi="宋体" w:cs="Calibri"/>
          <w:color w:val="auto"/>
          <w:kern w:val="0"/>
          <w:sz w:val="28"/>
          <w:szCs w:val="28"/>
          <w:u w:val="single"/>
        </w:rPr>
        <w:t>行政一号楼、矛调中心</w:t>
      </w:r>
      <w:r>
        <w:rPr>
          <w:rFonts w:hint="eastAsia" w:ascii="Times New Roman" w:hAnsi="Times New Roman"/>
          <w:color w:val="auto"/>
          <w:kern w:val="0"/>
          <w:sz w:val="28"/>
          <w:szCs w:val="28"/>
          <w:u w:val="single"/>
        </w:rPr>
        <w:t>2021-2022</w:t>
      </w:r>
      <w:r>
        <w:rPr>
          <w:rFonts w:hint="eastAsia" w:ascii="宋体" w:hAnsi="宋体" w:cs="Calibri"/>
          <w:color w:val="auto"/>
          <w:kern w:val="0"/>
          <w:sz w:val="28"/>
          <w:szCs w:val="28"/>
          <w:u w:val="single"/>
        </w:rPr>
        <w:t>年保安服务</w:t>
      </w:r>
      <w:r>
        <w:rPr>
          <w:rFonts w:ascii="宋体" w:hAnsi="宋体"/>
          <w:color w:val="auto"/>
          <w:kern w:val="0"/>
          <w:sz w:val="28"/>
          <w:szCs w:val="28"/>
        </w:rPr>
        <w:t>项目成交结果和招标文件的要求，依据《中华人民共和国民法典》并经双方协调一致，订立本采购合同。</w:t>
      </w:r>
    </w:p>
    <w:p>
      <w:pPr>
        <w:spacing w:line="360" w:lineRule="auto"/>
        <w:ind w:firstLine="480"/>
        <w:rPr>
          <w:rFonts w:ascii="Times New Roman" w:hAnsi="Times New Roman"/>
          <w:b/>
          <w:color w:val="auto"/>
          <w:kern w:val="0"/>
          <w:sz w:val="28"/>
          <w:szCs w:val="28"/>
        </w:rPr>
      </w:pPr>
      <w:r>
        <w:rPr>
          <w:rFonts w:ascii="宋体" w:hAnsi="宋体"/>
          <w:b/>
          <w:color w:val="auto"/>
          <w:kern w:val="0"/>
          <w:sz w:val="28"/>
          <w:szCs w:val="28"/>
        </w:rPr>
        <w:t>一、合同文件组成</w:t>
      </w:r>
    </w:p>
    <w:p>
      <w:pPr>
        <w:spacing w:line="360" w:lineRule="auto"/>
        <w:ind w:firstLine="480"/>
        <w:rPr>
          <w:rFonts w:ascii="Times New Roman" w:hAnsi="Times New Roman"/>
          <w:color w:val="auto"/>
          <w:kern w:val="0"/>
          <w:sz w:val="28"/>
          <w:szCs w:val="28"/>
        </w:rPr>
      </w:pPr>
      <w:r>
        <w:rPr>
          <w:rFonts w:ascii="宋体" w:hAnsi="宋体"/>
          <w:color w:val="auto"/>
          <w:kern w:val="0"/>
          <w:sz w:val="28"/>
          <w:szCs w:val="28"/>
        </w:rPr>
        <w:t>招标文件及其补充文件、询标承诺、询疑答复、投标响应文件、双方来函。合同文件组成的所有内容是构成合同不可分割的部分，与合同具有同等法律效力。</w:t>
      </w:r>
    </w:p>
    <w:p>
      <w:pPr>
        <w:spacing w:line="360" w:lineRule="auto"/>
        <w:ind w:firstLine="480"/>
        <w:rPr>
          <w:rFonts w:ascii="Times New Roman" w:hAnsi="Times New Roman"/>
          <w:b/>
          <w:color w:val="auto"/>
          <w:kern w:val="0"/>
          <w:sz w:val="28"/>
          <w:szCs w:val="28"/>
        </w:rPr>
      </w:pPr>
      <w:r>
        <w:rPr>
          <w:rFonts w:hint="eastAsia" w:ascii="宋体" w:hAnsi="宋体" w:cs="Calibri"/>
          <w:b/>
          <w:color w:val="auto"/>
          <w:kern w:val="0"/>
          <w:sz w:val="28"/>
          <w:szCs w:val="28"/>
        </w:rPr>
        <w:t>二、</w:t>
      </w:r>
      <w:r>
        <w:rPr>
          <w:rFonts w:ascii="宋体" w:hAnsi="宋体"/>
          <w:b/>
          <w:color w:val="auto"/>
          <w:kern w:val="0"/>
          <w:sz w:val="28"/>
          <w:szCs w:val="28"/>
        </w:rPr>
        <w:t>合同金额</w:t>
      </w:r>
    </w:p>
    <w:p>
      <w:pPr>
        <w:snapToGrid w:val="0"/>
        <w:spacing w:before="120" w:after="120" w:line="360" w:lineRule="auto"/>
        <w:ind w:left="78" w:leftChars="37" w:firstLine="560" w:firstLineChars="200"/>
        <w:rPr>
          <w:rFonts w:ascii="Times New Roman" w:hAnsi="Times New Roman"/>
          <w:color w:val="auto"/>
          <w:kern w:val="0"/>
          <w:sz w:val="28"/>
          <w:szCs w:val="28"/>
        </w:rPr>
      </w:pPr>
      <w:r>
        <w:rPr>
          <w:rFonts w:hint="eastAsia" w:ascii="宋体" w:hAnsi="宋体" w:cs="Calibri"/>
          <w:color w:val="auto"/>
          <w:kern w:val="0"/>
          <w:sz w:val="28"/>
          <w:szCs w:val="28"/>
        </w:rPr>
        <w:t>本项目</w:t>
      </w:r>
      <w:r>
        <w:rPr>
          <w:rFonts w:ascii="宋体" w:hAnsi="宋体"/>
          <w:color w:val="auto"/>
          <w:kern w:val="0"/>
          <w:sz w:val="28"/>
          <w:szCs w:val="28"/>
        </w:rPr>
        <w:t>保安服务费</w:t>
      </w:r>
      <w:r>
        <w:rPr>
          <w:rFonts w:hint="eastAsia" w:ascii="宋体" w:hAnsi="宋体" w:cs="Calibri"/>
          <w:color w:val="auto"/>
          <w:kern w:val="0"/>
          <w:sz w:val="28"/>
          <w:szCs w:val="28"/>
        </w:rPr>
        <w:t>两年共计</w:t>
      </w:r>
      <w:r>
        <w:rPr>
          <w:rFonts w:hint="eastAsia" w:ascii="Times New Roman" w:hAnsi="Times New Roman" w:cs="Calibri"/>
          <w:color w:val="auto"/>
          <w:kern w:val="0"/>
          <w:sz w:val="28"/>
          <w:szCs w:val="28"/>
          <w:u w:val="single"/>
        </w:rPr>
        <w:t xml:space="preserve">      </w:t>
      </w:r>
      <w:r>
        <w:rPr>
          <w:rFonts w:hint="eastAsia" w:ascii="宋体" w:hAnsi="宋体" w:cs="Calibri"/>
          <w:color w:val="auto"/>
          <w:kern w:val="0"/>
          <w:sz w:val="28"/>
          <w:szCs w:val="28"/>
        </w:rPr>
        <w:t>万元。</w:t>
      </w:r>
    </w:p>
    <w:p>
      <w:pPr>
        <w:snapToGrid w:val="0"/>
        <w:spacing w:before="120" w:after="120" w:line="360" w:lineRule="auto"/>
        <w:ind w:left="78" w:leftChars="37" w:firstLine="560" w:firstLineChars="200"/>
        <w:rPr>
          <w:rFonts w:ascii="Times New Roman" w:hAnsi="Times New Roman"/>
          <w:color w:val="auto"/>
          <w:kern w:val="0"/>
          <w:sz w:val="28"/>
          <w:szCs w:val="28"/>
        </w:rPr>
      </w:pPr>
      <w:r>
        <w:rPr>
          <w:rFonts w:hint="eastAsia" w:ascii="宋体" w:hAnsi="宋体" w:cs="Calibri"/>
          <w:color w:val="auto"/>
          <w:kern w:val="0"/>
          <w:sz w:val="28"/>
          <w:szCs w:val="28"/>
        </w:rPr>
        <w:t>付款时</w:t>
      </w:r>
      <w:r>
        <w:rPr>
          <w:rFonts w:ascii="宋体" w:hAnsi="宋体"/>
          <w:color w:val="auto"/>
          <w:kern w:val="0"/>
          <w:sz w:val="28"/>
          <w:szCs w:val="28"/>
        </w:rPr>
        <w:t>须由乙方开具正式增值税发票。</w:t>
      </w:r>
    </w:p>
    <w:p>
      <w:pPr>
        <w:snapToGrid w:val="0"/>
        <w:spacing w:before="120" w:after="120" w:line="360" w:lineRule="auto"/>
        <w:ind w:left="78" w:leftChars="37" w:firstLine="562" w:firstLineChars="200"/>
        <w:rPr>
          <w:rFonts w:ascii="Times New Roman" w:hAnsi="Times New Roman"/>
          <w:b/>
          <w:bCs/>
          <w:color w:val="auto"/>
          <w:kern w:val="0"/>
          <w:sz w:val="28"/>
          <w:szCs w:val="28"/>
        </w:rPr>
      </w:pPr>
      <w:r>
        <w:rPr>
          <w:rFonts w:ascii="宋体" w:hAnsi="宋体"/>
          <w:b/>
          <w:bCs/>
          <w:color w:val="auto"/>
          <w:kern w:val="0"/>
          <w:sz w:val="28"/>
          <w:szCs w:val="28"/>
        </w:rPr>
        <w:t>三、保安服务内容</w:t>
      </w:r>
    </w:p>
    <w:p>
      <w:pPr>
        <w:snapToGrid w:val="0"/>
        <w:spacing w:before="120" w:after="120" w:line="360" w:lineRule="auto"/>
        <w:ind w:left="78" w:leftChars="37" w:firstLine="560" w:firstLineChars="200"/>
        <w:rPr>
          <w:rFonts w:ascii="Times New Roman" w:hAnsi="Times New Roman"/>
          <w:color w:val="auto"/>
          <w:kern w:val="0"/>
          <w:sz w:val="28"/>
          <w:szCs w:val="28"/>
        </w:rPr>
      </w:pPr>
      <w:r>
        <w:rPr>
          <w:rFonts w:ascii="宋体" w:hAnsi="宋体"/>
          <w:color w:val="auto"/>
          <w:kern w:val="0"/>
          <w:sz w:val="28"/>
          <w:szCs w:val="28"/>
        </w:rPr>
        <w:t>根据甲方确认的《安全防范方案》，乙方向甲方提供保安服务，并按照乙方的管理模式对保安队员进行管理，依据确认的岗位职责要求，执行安全防范任务，承担相应的保安服务责任。</w:t>
      </w:r>
    </w:p>
    <w:p>
      <w:pPr>
        <w:snapToGrid w:val="0"/>
        <w:spacing w:before="120" w:after="120" w:line="360" w:lineRule="auto"/>
        <w:ind w:firstLine="562" w:firstLineChars="200"/>
        <w:rPr>
          <w:rFonts w:ascii="Times New Roman" w:hAnsi="Times New Roman"/>
          <w:b/>
          <w:bCs/>
          <w:color w:val="auto"/>
          <w:kern w:val="0"/>
          <w:sz w:val="28"/>
          <w:szCs w:val="28"/>
        </w:rPr>
      </w:pPr>
      <w:r>
        <w:rPr>
          <w:rFonts w:ascii="宋体" w:hAnsi="宋体"/>
          <w:b/>
          <w:bCs/>
          <w:color w:val="auto"/>
          <w:kern w:val="0"/>
          <w:sz w:val="28"/>
          <w:szCs w:val="28"/>
        </w:rPr>
        <w:t>四、甲方责任</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1</w:t>
      </w:r>
      <w:r>
        <w:rPr>
          <w:rFonts w:ascii="宋体" w:hAnsi="宋体"/>
          <w:color w:val="auto"/>
          <w:kern w:val="0"/>
          <w:sz w:val="28"/>
          <w:szCs w:val="28"/>
        </w:rPr>
        <w:t>．为乙方保安人员提供必备的工作条件，包括值班室、办公桌椅、通讯联络工具、组织训练学习的场所等。</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2</w:t>
      </w:r>
      <w:r>
        <w:rPr>
          <w:rFonts w:ascii="宋体" w:hAnsi="宋体"/>
          <w:color w:val="auto"/>
          <w:kern w:val="0"/>
          <w:sz w:val="28"/>
          <w:szCs w:val="28"/>
        </w:rPr>
        <w:t>．配备符合国家要求的消防设施，对乙方提出的安全防范隐患报告应及时答复和改进。制定并执行内部安全防范规章制度，教育本单位员工配合和支持乙方保安人员履行保安职责。。</w:t>
      </w:r>
    </w:p>
    <w:p>
      <w:pPr>
        <w:snapToGrid w:val="0"/>
        <w:spacing w:before="120" w:after="120" w:line="360" w:lineRule="auto"/>
        <w:ind w:firstLine="562" w:firstLineChars="200"/>
        <w:rPr>
          <w:rFonts w:ascii="Times New Roman" w:hAnsi="Times New Roman"/>
          <w:b/>
          <w:bCs/>
          <w:color w:val="auto"/>
          <w:kern w:val="0"/>
          <w:sz w:val="28"/>
          <w:szCs w:val="28"/>
        </w:rPr>
      </w:pPr>
      <w:r>
        <w:rPr>
          <w:rFonts w:ascii="宋体" w:hAnsi="宋体"/>
          <w:b/>
          <w:bCs/>
          <w:color w:val="auto"/>
          <w:kern w:val="0"/>
          <w:sz w:val="28"/>
          <w:szCs w:val="28"/>
        </w:rPr>
        <w:t>五、乙方责任</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1</w:t>
      </w:r>
      <w:r>
        <w:rPr>
          <w:rFonts w:ascii="宋体" w:hAnsi="宋体"/>
          <w:color w:val="auto"/>
          <w:kern w:val="0"/>
          <w:sz w:val="28"/>
          <w:szCs w:val="28"/>
        </w:rPr>
        <w:t>．乙方拟派</w:t>
      </w:r>
      <w:r>
        <w:rPr>
          <w:rFonts w:hint="eastAsia" w:ascii="Times New Roman" w:hAnsi="Times New Roman"/>
          <w:color w:val="auto"/>
          <w:kern w:val="0"/>
          <w:sz w:val="28"/>
          <w:szCs w:val="28"/>
        </w:rPr>
        <w:t>53</w:t>
      </w:r>
      <w:r>
        <w:rPr>
          <w:rFonts w:hint="eastAsia" w:ascii="宋体" w:hAnsi="宋体" w:cs="Calibri"/>
          <w:color w:val="auto"/>
          <w:kern w:val="0"/>
          <w:sz w:val="28"/>
          <w:szCs w:val="28"/>
        </w:rPr>
        <w:t>名（行政一号楼</w:t>
      </w:r>
      <w:r>
        <w:rPr>
          <w:rFonts w:hint="eastAsia" w:ascii="Times New Roman" w:hAnsi="Times New Roman"/>
          <w:color w:val="auto"/>
          <w:kern w:val="0"/>
          <w:sz w:val="28"/>
          <w:szCs w:val="28"/>
        </w:rPr>
        <w:t>40</w:t>
      </w:r>
      <w:r>
        <w:rPr>
          <w:rFonts w:hint="eastAsia" w:ascii="宋体" w:hAnsi="宋体" w:cs="Calibri"/>
          <w:color w:val="auto"/>
          <w:kern w:val="0"/>
          <w:sz w:val="28"/>
          <w:szCs w:val="28"/>
        </w:rPr>
        <w:t>名，矛调中心</w:t>
      </w:r>
      <w:r>
        <w:rPr>
          <w:rFonts w:hint="eastAsia" w:ascii="Times New Roman" w:hAnsi="Times New Roman"/>
          <w:color w:val="auto"/>
          <w:kern w:val="0"/>
          <w:sz w:val="28"/>
          <w:szCs w:val="28"/>
        </w:rPr>
        <w:t>13</w:t>
      </w:r>
      <w:r>
        <w:rPr>
          <w:rFonts w:hint="eastAsia" w:ascii="宋体" w:hAnsi="宋体" w:cs="Calibri"/>
          <w:color w:val="auto"/>
          <w:kern w:val="0"/>
          <w:sz w:val="28"/>
          <w:szCs w:val="28"/>
        </w:rPr>
        <w:t>名）</w:t>
      </w:r>
      <w:r>
        <w:rPr>
          <w:rFonts w:ascii="宋体" w:hAnsi="宋体"/>
          <w:color w:val="auto"/>
          <w:kern w:val="0"/>
          <w:sz w:val="28"/>
          <w:szCs w:val="28"/>
        </w:rPr>
        <w:t>保安员负责甲方的安全护卫工作</w:t>
      </w:r>
      <w:r>
        <w:rPr>
          <w:rFonts w:hint="eastAsia" w:ascii="宋体" w:hAnsi="宋体" w:cs="Calibri"/>
          <w:color w:val="auto"/>
          <w:kern w:val="0"/>
          <w:sz w:val="28"/>
          <w:szCs w:val="28"/>
        </w:rPr>
        <w:t>，并保证保安队伍的相对稳定</w:t>
      </w:r>
      <w:r>
        <w:rPr>
          <w:rFonts w:ascii="宋体" w:hAnsi="宋体"/>
          <w:color w:val="auto"/>
          <w:kern w:val="0"/>
          <w:sz w:val="28"/>
          <w:szCs w:val="28"/>
        </w:rPr>
        <w:t>。</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2</w:t>
      </w:r>
      <w:r>
        <w:rPr>
          <w:rFonts w:ascii="宋体" w:hAnsi="宋体"/>
          <w:color w:val="auto"/>
          <w:kern w:val="0"/>
          <w:sz w:val="28"/>
          <w:szCs w:val="28"/>
        </w:rPr>
        <w:t>．保安员应严格履行《安全防范方案》规定的岗位职责要求，并遵守甲方符合法律规定的各项规章制度</w:t>
      </w:r>
      <w:r>
        <w:rPr>
          <w:rFonts w:hint="eastAsia" w:ascii="宋体" w:hAnsi="宋体" w:cs="Calibri"/>
          <w:color w:val="auto"/>
          <w:kern w:val="0"/>
          <w:sz w:val="28"/>
          <w:szCs w:val="28"/>
        </w:rPr>
        <w:t>和工作安排</w:t>
      </w:r>
      <w:r>
        <w:rPr>
          <w:rFonts w:ascii="宋体" w:hAnsi="宋体"/>
          <w:color w:val="auto"/>
          <w:kern w:val="0"/>
          <w:sz w:val="28"/>
          <w:szCs w:val="28"/>
        </w:rPr>
        <w:t>。</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 xml:space="preserve"> 3</w:t>
      </w:r>
      <w:r>
        <w:rPr>
          <w:rFonts w:ascii="宋体" w:hAnsi="宋体"/>
          <w:color w:val="auto"/>
          <w:kern w:val="0"/>
          <w:sz w:val="28"/>
          <w:szCs w:val="28"/>
        </w:rPr>
        <w:t>．发生在执勤区域内的刑事案件、治安案件和治安灾害事故，及时处理并报告甲方和当地公安机关，采取措施保护发案现场，协助公安机关侦查各类治安刑事案件，依法妥善处理责任范围内的其他突发事件。</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4</w:t>
      </w:r>
      <w:r>
        <w:rPr>
          <w:rFonts w:ascii="宋体" w:hAnsi="宋体"/>
          <w:color w:val="auto"/>
          <w:kern w:val="0"/>
          <w:sz w:val="28"/>
          <w:szCs w:val="28"/>
        </w:rPr>
        <w:t>．落实防火、防盗、防破坏等安全防范措施，发现责任区域内的安全隐患，及时报告甲方并协助予以处理。</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5</w:t>
      </w:r>
      <w:r>
        <w:rPr>
          <w:rFonts w:ascii="宋体" w:hAnsi="宋体"/>
          <w:color w:val="auto"/>
          <w:kern w:val="0"/>
          <w:sz w:val="28"/>
          <w:szCs w:val="28"/>
        </w:rPr>
        <w:t>．选派的保安员必须经过正规的保安培训，无违法犯罪前科，并向甲方提供保安人员的人事档案。加强对保安员的在岗培训、监督和管理，确保安全服务的优质高效。</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6</w:t>
      </w:r>
      <w:r>
        <w:rPr>
          <w:rFonts w:ascii="宋体" w:hAnsi="宋体"/>
          <w:color w:val="auto"/>
          <w:kern w:val="0"/>
          <w:sz w:val="28"/>
          <w:szCs w:val="28"/>
        </w:rPr>
        <w:t>．为保安人员配备制服，保安装备（腰带、辣椒水、防割手套等），并负责保安员的工资发放。</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7</w:t>
      </w:r>
      <w:r>
        <w:rPr>
          <w:rFonts w:ascii="宋体" w:hAnsi="宋体"/>
          <w:color w:val="auto"/>
          <w:kern w:val="0"/>
          <w:sz w:val="28"/>
          <w:szCs w:val="28"/>
        </w:rPr>
        <w:t>．甲方提出正当理由要求乙方调换保安人员，经乙方查证属实，应在七天内予以调换。</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8.</w:t>
      </w:r>
      <w:r>
        <w:rPr>
          <w:rFonts w:hint="eastAsia" w:ascii="宋体" w:hAnsi="宋体" w:cs="Calibri"/>
          <w:color w:val="auto"/>
          <w:kern w:val="0"/>
          <w:sz w:val="28"/>
          <w:szCs w:val="28"/>
        </w:rPr>
        <w:t>乙</w:t>
      </w:r>
      <w:r>
        <w:rPr>
          <w:rFonts w:ascii="宋体" w:hAnsi="宋体"/>
          <w:color w:val="auto"/>
          <w:kern w:val="0"/>
          <w:sz w:val="28"/>
          <w:szCs w:val="28"/>
        </w:rPr>
        <w:t>方必须给所有保安购买意外伤害保险。保安人员在工作期间出现劳动争议或发生人身伤害与甲方无关，由乙方依照劳动法进行妥善处理。</w:t>
      </w:r>
    </w:p>
    <w:p>
      <w:pPr>
        <w:snapToGrid w:val="0"/>
        <w:spacing w:before="120" w:after="120" w:line="360" w:lineRule="auto"/>
        <w:ind w:firstLine="560" w:firstLineChars="200"/>
        <w:rPr>
          <w:rFonts w:ascii="Times New Roman" w:hAnsi="Times New Roman"/>
          <w:color w:val="auto"/>
          <w:kern w:val="0"/>
          <w:sz w:val="28"/>
          <w:szCs w:val="28"/>
        </w:rPr>
      </w:pPr>
      <w:r>
        <w:rPr>
          <w:rFonts w:ascii="Times New Roman" w:hAnsi="Times New Roman"/>
          <w:color w:val="auto"/>
          <w:kern w:val="0"/>
          <w:sz w:val="28"/>
          <w:szCs w:val="28"/>
        </w:rPr>
        <w:t>9.</w:t>
      </w:r>
      <w:r>
        <w:rPr>
          <w:rFonts w:ascii="宋体" w:hAnsi="宋体"/>
          <w:color w:val="auto"/>
          <w:kern w:val="0"/>
          <w:sz w:val="28"/>
          <w:szCs w:val="28"/>
        </w:rPr>
        <w:t>遵守甲方的管理规定，保证甲方财产安全的义务，确保甲方正常的办公秩序。</w:t>
      </w:r>
    </w:p>
    <w:p>
      <w:pPr>
        <w:snapToGrid w:val="0"/>
        <w:spacing w:before="120" w:after="120" w:line="360" w:lineRule="auto"/>
        <w:ind w:firstLine="480"/>
        <w:rPr>
          <w:rFonts w:ascii="Times New Roman" w:hAnsi="Times New Roman"/>
          <w:color w:val="auto"/>
          <w:kern w:val="0"/>
          <w:sz w:val="28"/>
          <w:szCs w:val="28"/>
        </w:rPr>
      </w:pPr>
      <w:r>
        <w:rPr>
          <w:rFonts w:ascii="宋体" w:hAnsi="宋体"/>
          <w:color w:val="auto"/>
          <w:kern w:val="0"/>
          <w:sz w:val="28"/>
          <w:szCs w:val="28"/>
        </w:rPr>
        <w:t>六、转包或分包</w:t>
      </w:r>
    </w:p>
    <w:p>
      <w:pPr>
        <w:spacing w:line="360" w:lineRule="auto"/>
        <w:ind w:firstLine="480"/>
        <w:rPr>
          <w:rFonts w:ascii="Times New Roman" w:hAnsi="Times New Roman"/>
          <w:color w:val="auto"/>
          <w:kern w:val="0"/>
          <w:sz w:val="28"/>
          <w:szCs w:val="28"/>
        </w:rPr>
      </w:pPr>
      <w:r>
        <w:rPr>
          <w:rFonts w:ascii="Times New Roman" w:hAnsi="Times New Roman"/>
          <w:color w:val="auto"/>
          <w:kern w:val="0"/>
          <w:sz w:val="28"/>
          <w:szCs w:val="28"/>
        </w:rPr>
        <w:t>1.</w:t>
      </w:r>
      <w:r>
        <w:rPr>
          <w:rFonts w:ascii="宋体" w:hAnsi="宋体"/>
          <w:color w:val="auto"/>
          <w:kern w:val="0"/>
          <w:sz w:val="28"/>
          <w:szCs w:val="28"/>
        </w:rPr>
        <w:t>本合同范围的服务，应由乙方直接供应，不得转包他人供应；</w:t>
      </w:r>
    </w:p>
    <w:p>
      <w:pPr>
        <w:spacing w:line="360" w:lineRule="auto"/>
        <w:ind w:firstLine="480"/>
        <w:rPr>
          <w:rFonts w:ascii="Times New Roman" w:hAnsi="Times New Roman"/>
          <w:color w:val="auto"/>
          <w:kern w:val="0"/>
          <w:sz w:val="28"/>
          <w:szCs w:val="28"/>
        </w:rPr>
      </w:pPr>
      <w:r>
        <w:rPr>
          <w:rFonts w:ascii="Times New Roman" w:hAnsi="Times New Roman"/>
          <w:color w:val="auto"/>
          <w:kern w:val="0"/>
          <w:sz w:val="28"/>
          <w:szCs w:val="28"/>
        </w:rPr>
        <w:t>2.</w:t>
      </w:r>
      <w:r>
        <w:rPr>
          <w:rFonts w:ascii="宋体" w:hAnsi="宋体"/>
          <w:color w:val="auto"/>
          <w:kern w:val="0"/>
          <w:sz w:val="28"/>
          <w:szCs w:val="28"/>
        </w:rPr>
        <w:t>乙方不得将本合同范围的服务全部或部分分包给他人供应；</w:t>
      </w:r>
    </w:p>
    <w:p>
      <w:pPr>
        <w:spacing w:line="360" w:lineRule="auto"/>
        <w:ind w:firstLine="480"/>
        <w:rPr>
          <w:rFonts w:ascii="Times New Roman" w:hAnsi="Times New Roman"/>
          <w:color w:val="auto"/>
          <w:kern w:val="0"/>
          <w:sz w:val="28"/>
          <w:szCs w:val="28"/>
        </w:rPr>
      </w:pPr>
      <w:r>
        <w:rPr>
          <w:rFonts w:ascii="Times New Roman" w:hAnsi="Times New Roman"/>
          <w:color w:val="auto"/>
          <w:kern w:val="0"/>
          <w:sz w:val="28"/>
          <w:szCs w:val="28"/>
        </w:rPr>
        <w:t>3.</w:t>
      </w:r>
      <w:r>
        <w:rPr>
          <w:rFonts w:ascii="宋体" w:hAnsi="宋体"/>
          <w:color w:val="auto"/>
          <w:kern w:val="0"/>
          <w:sz w:val="28"/>
          <w:szCs w:val="28"/>
        </w:rPr>
        <w:t>如有转包和分包行为，甲方解除合同，并追究乙方的违约责任。</w:t>
      </w:r>
    </w:p>
    <w:p>
      <w:pPr>
        <w:snapToGrid w:val="0"/>
        <w:spacing w:before="120" w:after="120" w:line="480" w:lineRule="atLeast"/>
        <w:ind w:firstLine="562" w:firstLineChars="200"/>
        <w:rPr>
          <w:rFonts w:ascii="Times New Roman" w:hAnsi="Times New Roman"/>
          <w:b/>
          <w:bCs/>
          <w:color w:val="auto"/>
          <w:kern w:val="0"/>
          <w:sz w:val="28"/>
          <w:szCs w:val="28"/>
        </w:rPr>
      </w:pPr>
      <w:r>
        <w:rPr>
          <w:rFonts w:ascii="宋体" w:hAnsi="宋体"/>
          <w:b/>
          <w:bCs/>
          <w:color w:val="auto"/>
          <w:kern w:val="0"/>
          <w:sz w:val="28"/>
          <w:szCs w:val="28"/>
        </w:rPr>
        <w:t>七、服务期限要求</w:t>
      </w:r>
    </w:p>
    <w:p>
      <w:pPr>
        <w:spacing w:line="360" w:lineRule="auto"/>
        <w:ind w:firstLine="480"/>
        <w:rPr>
          <w:rFonts w:ascii="Times New Roman" w:hAnsi="Times New Roman"/>
          <w:color w:val="auto"/>
          <w:kern w:val="0"/>
          <w:sz w:val="28"/>
          <w:szCs w:val="28"/>
        </w:rPr>
      </w:pPr>
      <w:r>
        <w:rPr>
          <w:rFonts w:ascii="宋体" w:hAnsi="宋体"/>
          <w:color w:val="auto"/>
          <w:kern w:val="0"/>
          <w:sz w:val="28"/>
          <w:szCs w:val="28"/>
        </w:rPr>
        <w:t>服务期限两年，自</w:t>
      </w:r>
      <w:r>
        <w:rPr>
          <w:rFonts w:ascii="Times New Roman" w:hAnsi="Times New Roman"/>
          <w:color w:val="auto"/>
          <w:kern w:val="0"/>
          <w:sz w:val="28"/>
          <w:szCs w:val="28"/>
        </w:rPr>
        <w:t xml:space="preserve">     </w:t>
      </w:r>
      <w:r>
        <w:rPr>
          <w:rFonts w:ascii="宋体" w:hAnsi="宋体"/>
          <w:color w:val="auto"/>
          <w:kern w:val="0"/>
          <w:sz w:val="28"/>
          <w:szCs w:val="28"/>
        </w:rPr>
        <w:t>年</w:t>
      </w:r>
      <w:r>
        <w:rPr>
          <w:rFonts w:ascii="Times New Roman" w:hAnsi="Times New Roman"/>
          <w:color w:val="auto"/>
          <w:kern w:val="0"/>
          <w:sz w:val="28"/>
          <w:szCs w:val="28"/>
        </w:rPr>
        <w:t xml:space="preserve">   </w:t>
      </w:r>
      <w:r>
        <w:rPr>
          <w:rFonts w:ascii="宋体" w:hAnsi="宋体"/>
          <w:color w:val="auto"/>
          <w:kern w:val="0"/>
          <w:sz w:val="28"/>
          <w:szCs w:val="28"/>
        </w:rPr>
        <w:t>月</w:t>
      </w:r>
      <w:r>
        <w:rPr>
          <w:rFonts w:ascii="Times New Roman" w:hAnsi="Times New Roman"/>
          <w:color w:val="auto"/>
          <w:kern w:val="0"/>
          <w:sz w:val="28"/>
          <w:szCs w:val="28"/>
        </w:rPr>
        <w:t xml:space="preserve">    </w:t>
      </w:r>
      <w:r>
        <w:rPr>
          <w:rFonts w:ascii="宋体" w:hAnsi="宋体"/>
          <w:color w:val="auto"/>
          <w:kern w:val="0"/>
          <w:sz w:val="28"/>
          <w:szCs w:val="28"/>
        </w:rPr>
        <w:t>日</w:t>
      </w:r>
      <w:r>
        <w:rPr>
          <w:rFonts w:hint="eastAsia" w:ascii="宋体" w:hAnsi="宋体" w:cs="Calibri"/>
          <w:color w:val="auto"/>
          <w:kern w:val="0"/>
          <w:sz w:val="28"/>
          <w:szCs w:val="28"/>
        </w:rPr>
        <w:t>至</w:t>
      </w:r>
      <w:r>
        <w:rPr>
          <w:rFonts w:ascii="Times New Roman" w:hAnsi="Times New Roman"/>
          <w:color w:val="auto"/>
          <w:kern w:val="0"/>
          <w:sz w:val="28"/>
          <w:szCs w:val="28"/>
        </w:rPr>
        <w:t xml:space="preserve">    </w:t>
      </w:r>
      <w:r>
        <w:rPr>
          <w:rFonts w:ascii="宋体" w:hAnsi="宋体"/>
          <w:color w:val="auto"/>
          <w:kern w:val="0"/>
          <w:sz w:val="28"/>
          <w:szCs w:val="28"/>
        </w:rPr>
        <w:t>年</w:t>
      </w:r>
      <w:r>
        <w:rPr>
          <w:rFonts w:ascii="Times New Roman" w:hAnsi="Times New Roman"/>
          <w:color w:val="auto"/>
          <w:kern w:val="0"/>
          <w:sz w:val="28"/>
          <w:szCs w:val="28"/>
        </w:rPr>
        <w:t xml:space="preserve">   </w:t>
      </w:r>
      <w:r>
        <w:rPr>
          <w:rFonts w:ascii="宋体" w:hAnsi="宋体"/>
          <w:color w:val="auto"/>
          <w:kern w:val="0"/>
          <w:sz w:val="28"/>
          <w:szCs w:val="28"/>
        </w:rPr>
        <w:t>月</w:t>
      </w:r>
      <w:r>
        <w:rPr>
          <w:rFonts w:ascii="Times New Roman" w:hAnsi="Times New Roman"/>
          <w:color w:val="auto"/>
          <w:kern w:val="0"/>
          <w:sz w:val="28"/>
          <w:szCs w:val="28"/>
        </w:rPr>
        <w:t xml:space="preserve">   </w:t>
      </w:r>
      <w:r>
        <w:rPr>
          <w:rFonts w:ascii="宋体" w:hAnsi="宋体"/>
          <w:color w:val="auto"/>
          <w:kern w:val="0"/>
          <w:sz w:val="28"/>
          <w:szCs w:val="28"/>
        </w:rPr>
        <w:t>日止。</w:t>
      </w:r>
    </w:p>
    <w:p>
      <w:pPr>
        <w:spacing w:line="360" w:lineRule="auto"/>
        <w:ind w:firstLine="480"/>
        <w:rPr>
          <w:rFonts w:ascii="Times New Roman" w:hAnsi="Times New Roman"/>
          <w:color w:val="auto"/>
          <w:kern w:val="0"/>
          <w:sz w:val="28"/>
          <w:szCs w:val="28"/>
        </w:rPr>
      </w:pPr>
      <w:r>
        <w:rPr>
          <w:rFonts w:ascii="宋体" w:hAnsi="宋体"/>
          <w:color w:val="auto"/>
          <w:kern w:val="0"/>
          <w:sz w:val="28"/>
          <w:szCs w:val="28"/>
        </w:rPr>
        <w:t>服务地点：</w:t>
      </w:r>
      <w:r>
        <w:rPr>
          <w:rFonts w:hint="eastAsia" w:ascii="宋体" w:hAnsi="宋体" w:cs="Calibri"/>
          <w:color w:val="auto"/>
          <w:kern w:val="0"/>
          <w:sz w:val="28"/>
          <w:szCs w:val="28"/>
        </w:rPr>
        <w:t>义乌市行政一号楼和义乌市矛盾纠纷调处中心。</w:t>
      </w:r>
    </w:p>
    <w:p>
      <w:pPr>
        <w:spacing w:line="360" w:lineRule="auto"/>
        <w:ind w:firstLine="480"/>
        <w:rPr>
          <w:rFonts w:ascii="Times New Roman" w:hAnsi="Times New Roman"/>
          <w:b/>
          <w:bCs/>
          <w:color w:val="auto"/>
          <w:kern w:val="0"/>
          <w:sz w:val="28"/>
          <w:szCs w:val="28"/>
        </w:rPr>
      </w:pPr>
      <w:r>
        <w:rPr>
          <w:rFonts w:ascii="宋体" w:hAnsi="宋体"/>
          <w:b/>
          <w:bCs/>
          <w:color w:val="auto"/>
          <w:kern w:val="0"/>
          <w:sz w:val="28"/>
          <w:szCs w:val="28"/>
        </w:rPr>
        <w:t>八、货款支付</w:t>
      </w:r>
    </w:p>
    <w:p>
      <w:pPr>
        <w:snapToGrid w:val="0"/>
        <w:spacing w:before="143" w:beforeLines="50" w:after="143" w:afterLines="50" w:line="360" w:lineRule="auto"/>
        <w:ind w:firstLine="480"/>
        <w:rPr>
          <w:rFonts w:hint="eastAsia" w:ascii="Times New Roman" w:hAnsi="Times New Roman"/>
          <w:color w:val="auto"/>
          <w:kern w:val="0"/>
          <w:sz w:val="28"/>
          <w:szCs w:val="28"/>
        </w:rPr>
      </w:pPr>
      <w:r>
        <w:rPr>
          <w:rFonts w:hint="eastAsia" w:ascii="Times New Roman" w:hAnsi="Times New Roman"/>
          <w:color w:val="auto"/>
          <w:kern w:val="0"/>
          <w:sz w:val="28"/>
          <w:szCs w:val="28"/>
        </w:rPr>
        <w:t>1、合同签订后15日支付合同金额10%的预付款。</w:t>
      </w:r>
    </w:p>
    <w:p>
      <w:pPr>
        <w:snapToGrid w:val="0"/>
        <w:spacing w:before="143" w:beforeLines="50" w:after="143" w:afterLines="50" w:line="360" w:lineRule="auto"/>
        <w:ind w:firstLine="480"/>
        <w:rPr>
          <w:rFonts w:ascii="Times New Roman" w:hAnsi="Times New Roman"/>
          <w:color w:val="auto"/>
          <w:kern w:val="0"/>
          <w:sz w:val="28"/>
          <w:szCs w:val="28"/>
        </w:rPr>
      </w:pPr>
      <w:r>
        <w:rPr>
          <w:rFonts w:hint="eastAsia" w:ascii="Times New Roman" w:hAnsi="Times New Roman"/>
          <w:color w:val="auto"/>
          <w:kern w:val="0"/>
          <w:sz w:val="28"/>
          <w:szCs w:val="28"/>
        </w:rPr>
        <w:t>2、剩余90%合同款按每半年平均支付，采购人于次月15日前凭合同、发票等资料将合同款划拨到中标人指定帐户。</w:t>
      </w:r>
    </w:p>
    <w:p>
      <w:pPr>
        <w:snapToGrid w:val="0"/>
        <w:spacing w:before="143" w:beforeLines="50" w:after="143" w:afterLines="50" w:line="360" w:lineRule="auto"/>
        <w:ind w:firstLine="480"/>
        <w:rPr>
          <w:rFonts w:ascii="Times New Roman" w:hAnsi="Times New Roman"/>
          <w:color w:val="auto"/>
          <w:kern w:val="0"/>
          <w:sz w:val="28"/>
          <w:szCs w:val="28"/>
        </w:rPr>
      </w:pPr>
      <w:r>
        <w:rPr>
          <w:rFonts w:ascii="宋体" w:hAnsi="宋体"/>
          <w:color w:val="auto"/>
          <w:kern w:val="0"/>
          <w:sz w:val="28"/>
          <w:szCs w:val="28"/>
        </w:rPr>
        <w:t>九、税费</w:t>
      </w:r>
    </w:p>
    <w:p>
      <w:pPr>
        <w:snapToGrid w:val="0"/>
        <w:spacing w:before="143" w:beforeLines="50" w:after="143" w:afterLines="50" w:line="360" w:lineRule="auto"/>
        <w:ind w:firstLine="560" w:firstLineChars="200"/>
        <w:rPr>
          <w:rFonts w:ascii="Times New Roman" w:hAnsi="Times New Roman"/>
          <w:color w:val="auto"/>
          <w:kern w:val="0"/>
          <w:sz w:val="28"/>
          <w:szCs w:val="28"/>
        </w:rPr>
      </w:pPr>
      <w:r>
        <w:rPr>
          <w:rFonts w:ascii="宋体" w:hAnsi="宋体"/>
          <w:color w:val="auto"/>
          <w:kern w:val="0"/>
          <w:sz w:val="28"/>
          <w:szCs w:val="28"/>
        </w:rPr>
        <w:t>本合同执行中相关的一切税费均由乙方负担。</w:t>
      </w:r>
    </w:p>
    <w:p>
      <w:pPr>
        <w:snapToGrid w:val="0"/>
        <w:spacing w:before="120" w:after="120" w:line="360" w:lineRule="auto"/>
        <w:ind w:firstLine="480"/>
        <w:rPr>
          <w:rFonts w:ascii="Times New Roman" w:hAnsi="Times New Roman"/>
          <w:color w:val="auto"/>
          <w:kern w:val="0"/>
          <w:sz w:val="28"/>
          <w:szCs w:val="28"/>
        </w:rPr>
      </w:pPr>
      <w:r>
        <w:rPr>
          <w:rFonts w:ascii="宋体" w:hAnsi="宋体"/>
          <w:color w:val="auto"/>
          <w:kern w:val="0"/>
          <w:sz w:val="28"/>
          <w:szCs w:val="28"/>
        </w:rPr>
        <w:t>十、履约验收</w:t>
      </w:r>
    </w:p>
    <w:p>
      <w:pPr>
        <w:snapToGrid w:val="0"/>
        <w:spacing w:before="120" w:after="120" w:line="360" w:lineRule="auto"/>
        <w:ind w:firstLine="480"/>
        <w:rPr>
          <w:rFonts w:ascii="Times New Roman" w:hAnsi="Times New Roman"/>
          <w:color w:val="auto"/>
          <w:kern w:val="0"/>
          <w:sz w:val="28"/>
          <w:szCs w:val="28"/>
        </w:rPr>
      </w:pPr>
      <w:r>
        <w:rPr>
          <w:rFonts w:ascii="Times New Roman" w:hAnsi="Times New Roman"/>
          <w:color w:val="auto"/>
          <w:kern w:val="0"/>
          <w:sz w:val="28"/>
          <w:szCs w:val="28"/>
        </w:rPr>
        <w:t>1.</w:t>
      </w:r>
      <w:r>
        <w:rPr>
          <w:rFonts w:ascii="宋体" w:hAnsi="宋体"/>
          <w:color w:val="auto"/>
          <w:kern w:val="0"/>
          <w:sz w:val="28"/>
          <w:szCs w:val="28"/>
        </w:rPr>
        <w:t>甲方应按《义乌市政府采购合同履约与验收管理办法》（义招管办【</w:t>
      </w:r>
      <w:r>
        <w:rPr>
          <w:rFonts w:ascii="Times New Roman" w:hAnsi="Times New Roman"/>
          <w:color w:val="auto"/>
          <w:kern w:val="0"/>
          <w:sz w:val="28"/>
          <w:szCs w:val="28"/>
        </w:rPr>
        <w:t>2008</w:t>
      </w:r>
      <w:r>
        <w:rPr>
          <w:rFonts w:ascii="宋体" w:hAnsi="宋体"/>
          <w:color w:val="auto"/>
          <w:kern w:val="0"/>
          <w:sz w:val="28"/>
          <w:szCs w:val="28"/>
        </w:rPr>
        <w:t>】</w:t>
      </w:r>
      <w:r>
        <w:rPr>
          <w:rFonts w:ascii="Times New Roman" w:hAnsi="Times New Roman"/>
          <w:color w:val="auto"/>
          <w:kern w:val="0"/>
          <w:sz w:val="28"/>
          <w:szCs w:val="28"/>
        </w:rPr>
        <w:t>32</w:t>
      </w:r>
      <w:r>
        <w:rPr>
          <w:rFonts w:ascii="宋体" w:hAnsi="宋体"/>
          <w:color w:val="auto"/>
          <w:kern w:val="0"/>
          <w:sz w:val="28"/>
          <w:szCs w:val="28"/>
        </w:rPr>
        <w:t>号）及《义乌市关于规范政府采购管理的若干意见》（义政办发【</w:t>
      </w:r>
      <w:r>
        <w:rPr>
          <w:rFonts w:ascii="Times New Roman" w:hAnsi="Times New Roman"/>
          <w:color w:val="auto"/>
          <w:kern w:val="0"/>
          <w:sz w:val="28"/>
          <w:szCs w:val="28"/>
        </w:rPr>
        <w:t>2017</w:t>
      </w:r>
      <w:r>
        <w:rPr>
          <w:rFonts w:ascii="宋体" w:hAnsi="宋体"/>
          <w:color w:val="auto"/>
          <w:kern w:val="0"/>
          <w:sz w:val="28"/>
          <w:szCs w:val="28"/>
        </w:rPr>
        <w:t>】</w:t>
      </w:r>
      <w:r>
        <w:rPr>
          <w:rFonts w:ascii="Times New Roman" w:hAnsi="Times New Roman"/>
          <w:color w:val="auto"/>
          <w:kern w:val="0"/>
          <w:sz w:val="28"/>
          <w:szCs w:val="28"/>
        </w:rPr>
        <w:t>102</w:t>
      </w:r>
      <w:r>
        <w:rPr>
          <w:rFonts w:ascii="宋体" w:hAnsi="宋体"/>
          <w:color w:val="auto"/>
          <w:kern w:val="0"/>
          <w:sz w:val="28"/>
          <w:szCs w:val="28"/>
        </w:rPr>
        <w:t>号）等有关规定，对政府采购项目履约情况予以监督并及时、认真组织验收。对国家有强制性要求的项目，还应通过国家认可的相关检测机构的验收。</w:t>
      </w:r>
    </w:p>
    <w:p>
      <w:pPr>
        <w:snapToGrid w:val="0"/>
        <w:spacing w:before="60" w:after="60" w:line="360" w:lineRule="auto"/>
        <w:ind w:firstLine="480"/>
        <w:rPr>
          <w:rFonts w:ascii="Times New Roman" w:hAnsi="Times New Roman"/>
          <w:color w:val="auto"/>
          <w:kern w:val="0"/>
          <w:sz w:val="28"/>
          <w:szCs w:val="28"/>
        </w:rPr>
      </w:pPr>
      <w:r>
        <w:rPr>
          <w:rFonts w:ascii="宋体" w:hAnsi="宋体"/>
          <w:color w:val="auto"/>
          <w:kern w:val="0"/>
          <w:sz w:val="28"/>
          <w:szCs w:val="28"/>
        </w:rPr>
        <w:t>十一、违约责任</w:t>
      </w:r>
    </w:p>
    <w:p>
      <w:pPr>
        <w:snapToGrid w:val="0"/>
        <w:spacing w:before="120" w:after="120" w:line="360" w:lineRule="auto"/>
        <w:ind w:firstLine="480"/>
        <w:rPr>
          <w:rFonts w:ascii="Times New Roman" w:hAnsi="Times New Roman"/>
          <w:color w:val="auto"/>
          <w:kern w:val="0"/>
          <w:sz w:val="28"/>
          <w:szCs w:val="28"/>
        </w:rPr>
      </w:pPr>
      <w:r>
        <w:rPr>
          <w:rFonts w:ascii="Times New Roman" w:hAnsi="Times New Roman"/>
          <w:color w:val="auto"/>
          <w:kern w:val="0"/>
          <w:sz w:val="28"/>
          <w:szCs w:val="28"/>
        </w:rPr>
        <w:t>1.</w:t>
      </w:r>
      <w:r>
        <w:rPr>
          <w:rFonts w:ascii="宋体" w:hAnsi="宋体"/>
          <w:color w:val="auto"/>
          <w:kern w:val="0"/>
          <w:sz w:val="28"/>
          <w:szCs w:val="28"/>
        </w:rPr>
        <w:t>甲方无正当理由拒绝接受服务的，甲方向乙方偿付拒收</w:t>
      </w:r>
      <w:r>
        <w:rPr>
          <w:rFonts w:hint="eastAsia" w:ascii="宋体" w:hAnsi="宋体" w:cs="Calibri"/>
          <w:color w:val="auto"/>
          <w:kern w:val="0"/>
          <w:sz w:val="28"/>
          <w:szCs w:val="28"/>
        </w:rPr>
        <w:t>服务对应部分</w:t>
      </w:r>
      <w:r>
        <w:rPr>
          <w:rFonts w:ascii="宋体" w:hAnsi="宋体"/>
          <w:color w:val="auto"/>
          <w:kern w:val="0"/>
          <w:sz w:val="28"/>
          <w:szCs w:val="28"/>
        </w:rPr>
        <w:t>合同款</w:t>
      </w:r>
      <w:r>
        <w:rPr>
          <w:rFonts w:ascii="Times New Roman" w:hAnsi="Times New Roman"/>
          <w:color w:val="auto"/>
          <w:kern w:val="0"/>
          <w:sz w:val="28"/>
          <w:szCs w:val="28"/>
          <w:u w:val="single"/>
        </w:rPr>
        <w:t xml:space="preserve">  </w:t>
      </w:r>
      <w:r>
        <w:rPr>
          <w:rFonts w:hint="eastAsia" w:ascii="Times New Roman" w:hAnsi="Times New Roman"/>
          <w:color w:val="auto"/>
          <w:kern w:val="0"/>
          <w:sz w:val="28"/>
          <w:szCs w:val="28"/>
          <w:u w:val="single"/>
        </w:rPr>
        <w:t>0.1%</w:t>
      </w:r>
      <w:r>
        <w:rPr>
          <w:rFonts w:ascii="Times New Roman" w:hAnsi="Times New Roman"/>
          <w:color w:val="auto"/>
          <w:kern w:val="0"/>
          <w:sz w:val="28"/>
          <w:szCs w:val="28"/>
          <w:u w:val="single"/>
        </w:rPr>
        <w:t xml:space="preserve">  </w:t>
      </w:r>
      <w:r>
        <w:rPr>
          <w:rFonts w:hint="eastAsia" w:ascii="宋体" w:hAnsi="宋体" w:cs="Calibri"/>
          <w:color w:val="auto"/>
          <w:kern w:val="0"/>
          <w:sz w:val="28"/>
          <w:szCs w:val="28"/>
        </w:rPr>
        <w:t>的</w:t>
      </w:r>
      <w:r>
        <w:rPr>
          <w:rFonts w:ascii="宋体" w:hAnsi="宋体"/>
          <w:color w:val="auto"/>
          <w:kern w:val="0"/>
          <w:sz w:val="28"/>
          <w:szCs w:val="28"/>
        </w:rPr>
        <w:t>违约金。</w:t>
      </w:r>
    </w:p>
    <w:p>
      <w:pPr>
        <w:snapToGrid w:val="0"/>
        <w:spacing w:before="120" w:after="120" w:line="360" w:lineRule="auto"/>
        <w:ind w:left="1039" w:leftChars="228" w:hanging="560" w:hangingChars="200"/>
        <w:rPr>
          <w:rFonts w:ascii="Times New Roman" w:hAnsi="Times New Roman" w:cs="Calibri"/>
          <w:color w:val="auto"/>
          <w:kern w:val="0"/>
          <w:sz w:val="28"/>
          <w:szCs w:val="28"/>
        </w:rPr>
      </w:pPr>
      <w:r>
        <w:rPr>
          <w:rFonts w:hint="eastAsia" w:ascii="Times New Roman" w:hAnsi="Times New Roman"/>
          <w:color w:val="auto"/>
          <w:kern w:val="0"/>
          <w:sz w:val="28"/>
          <w:szCs w:val="28"/>
        </w:rPr>
        <w:t>2</w:t>
      </w:r>
      <w:r>
        <w:rPr>
          <w:rFonts w:ascii="Times New Roman" w:hAnsi="Times New Roman"/>
          <w:color w:val="auto"/>
          <w:kern w:val="0"/>
          <w:sz w:val="28"/>
          <w:szCs w:val="28"/>
        </w:rPr>
        <w:t>.</w:t>
      </w:r>
      <w:r>
        <w:rPr>
          <w:rFonts w:hint="eastAsia" w:ascii="宋体" w:hAnsi="宋体" w:cs="Calibri"/>
          <w:color w:val="auto"/>
          <w:kern w:val="0"/>
          <w:sz w:val="28"/>
          <w:szCs w:val="28"/>
        </w:rPr>
        <w:t>甲方无故逾期验收和办理款项支付手续的，甲方应按逾期付款总额每日</w:t>
      </w:r>
      <w:r>
        <w:rPr>
          <w:rFonts w:ascii="Times New Roman" w:hAnsi="Times New Roman"/>
          <w:color w:val="auto"/>
          <w:kern w:val="0"/>
          <w:sz w:val="28"/>
          <w:szCs w:val="28"/>
          <w:u w:val="single"/>
        </w:rPr>
        <w:t xml:space="preserve">  </w:t>
      </w:r>
      <w:r>
        <w:rPr>
          <w:rFonts w:hint="eastAsia" w:ascii="宋体" w:hAnsi="宋体" w:cs="Calibri"/>
          <w:color w:val="auto"/>
          <w:kern w:val="0"/>
          <w:sz w:val="28"/>
          <w:szCs w:val="28"/>
        </w:rPr>
        <w:t>向乙方支付违约金。</w:t>
      </w:r>
    </w:p>
    <w:p>
      <w:pPr>
        <w:snapToGrid w:val="0"/>
        <w:spacing w:before="120" w:after="120" w:line="360" w:lineRule="auto"/>
        <w:ind w:left="1" w:firstLine="359" w:firstLineChars="171"/>
        <w:rPr>
          <w:rFonts w:hint="eastAsia" w:ascii="Times New Roman" w:hAnsi="Times New Roman"/>
          <w:color w:val="auto"/>
          <w:kern w:val="0"/>
          <w:sz w:val="28"/>
          <w:szCs w:val="28"/>
        </w:rPr>
      </w:pPr>
      <w:r>
        <w:rPr>
          <w:rFonts w:ascii="Times New Roman" w:hAnsi="Times New Roman"/>
          <w:color w:val="auto"/>
          <w:kern w:val="0"/>
          <w:szCs w:val="21"/>
        </w:rPr>
        <w:t xml:space="preserve"> </w:t>
      </w:r>
      <w:r>
        <w:rPr>
          <w:rFonts w:ascii="宋体" w:hAnsi="宋体"/>
          <w:color w:val="auto"/>
          <w:kern w:val="0"/>
          <w:szCs w:val="21"/>
        </w:rPr>
        <w:t>乙方不能按</w:t>
      </w:r>
      <w:r>
        <w:rPr>
          <w:rFonts w:hint="eastAsia" w:ascii="宋体" w:hAnsi="宋体" w:cs="Calibri"/>
          <w:color w:val="auto"/>
          <w:kern w:val="0"/>
          <w:szCs w:val="21"/>
        </w:rPr>
        <w:t>约</w:t>
      </w:r>
      <w:r>
        <w:rPr>
          <w:rFonts w:ascii="宋体" w:hAnsi="宋体"/>
          <w:color w:val="auto"/>
          <w:kern w:val="0"/>
          <w:szCs w:val="21"/>
        </w:rPr>
        <w:t>提供服务的，乙方应按合同款总额每日</w:t>
      </w:r>
      <w:r>
        <w:rPr>
          <w:rFonts w:ascii="Times New Roman" w:hAnsi="Times New Roman"/>
          <w:color w:val="auto"/>
          <w:kern w:val="0"/>
          <w:szCs w:val="21"/>
          <w:u w:val="single"/>
        </w:rPr>
        <w:t xml:space="preserve">      </w:t>
      </w:r>
      <w:r>
        <w:rPr>
          <w:rFonts w:ascii="宋体" w:hAnsi="宋体"/>
          <w:color w:val="auto"/>
          <w:kern w:val="0"/>
          <w:szCs w:val="21"/>
        </w:rPr>
        <w:t>向甲方支付违约金，由甲方从待付款中扣除。乙方逾期</w:t>
      </w:r>
      <w:r>
        <w:rPr>
          <w:rFonts w:ascii="Times New Roman" w:hAnsi="Times New Roman"/>
          <w:color w:val="auto"/>
          <w:kern w:val="0"/>
          <w:szCs w:val="21"/>
        </w:rPr>
        <w:t>10</w:t>
      </w:r>
      <w:r>
        <w:rPr>
          <w:rFonts w:ascii="宋体" w:hAnsi="宋体"/>
          <w:color w:val="auto"/>
          <w:kern w:val="0"/>
          <w:szCs w:val="21"/>
        </w:rPr>
        <w:t>个工作日仍不能</w:t>
      </w:r>
      <w:r>
        <w:rPr>
          <w:rFonts w:hint="eastAsia" w:ascii="宋体" w:hAnsi="宋体" w:cs="Calibri"/>
          <w:color w:val="auto"/>
          <w:kern w:val="0"/>
          <w:szCs w:val="21"/>
        </w:rPr>
        <w:t>按约提供服务</w:t>
      </w:r>
      <w:r>
        <w:rPr>
          <w:rFonts w:ascii="宋体" w:hAnsi="宋体"/>
          <w:color w:val="auto"/>
          <w:kern w:val="0"/>
          <w:szCs w:val="21"/>
        </w:rPr>
        <w:t>的，甲方可解除本合同。乙方因逾期或因其他违约行为导致甲方解除合同的，乙方应向甲方支付合同总额</w:t>
      </w:r>
      <w:r>
        <w:rPr>
          <w:rFonts w:ascii="Times New Roman" w:hAnsi="Times New Roman"/>
          <w:color w:val="auto"/>
          <w:kern w:val="0"/>
          <w:szCs w:val="21"/>
          <w:u w:val="single"/>
        </w:rPr>
        <w:t xml:space="preserve">     </w:t>
      </w:r>
      <w:r>
        <w:rPr>
          <w:rFonts w:ascii="宋体" w:hAnsi="宋体"/>
          <w:color w:val="auto"/>
          <w:kern w:val="0"/>
          <w:szCs w:val="21"/>
        </w:rPr>
        <w:t>的违约金，如造成甲方损失超过违约金的，超出部分由乙方继续承担赔偿责任。</w:t>
      </w:r>
    </w:p>
    <w:p>
      <w:pPr>
        <w:snapToGrid w:val="0"/>
        <w:spacing w:before="120" w:after="120" w:line="360" w:lineRule="auto"/>
        <w:ind w:firstLine="480"/>
        <w:rPr>
          <w:rFonts w:ascii="Times New Roman" w:hAnsi="Times New Roman"/>
          <w:color w:val="auto"/>
          <w:kern w:val="0"/>
          <w:sz w:val="28"/>
          <w:szCs w:val="28"/>
        </w:rPr>
      </w:pPr>
      <w:r>
        <w:rPr>
          <w:rFonts w:ascii="Times New Roman" w:hAnsi="Times New Roman"/>
          <w:color w:val="auto"/>
          <w:kern w:val="0"/>
          <w:sz w:val="28"/>
          <w:szCs w:val="28"/>
        </w:rPr>
        <w:t>4.</w:t>
      </w:r>
      <w:r>
        <w:rPr>
          <w:rFonts w:ascii="宋体" w:hAnsi="宋体"/>
          <w:color w:val="auto"/>
          <w:kern w:val="0"/>
          <w:sz w:val="28"/>
          <w:szCs w:val="28"/>
        </w:rPr>
        <w:t>未按招标文件约定派驻相关人员进行服务的，每发现一次处以</w:t>
      </w:r>
      <w:r>
        <w:rPr>
          <w:rFonts w:hint="eastAsia" w:ascii="Times New Roman" w:hAnsi="Times New Roman"/>
          <w:color w:val="auto"/>
          <w:kern w:val="0"/>
          <w:sz w:val="28"/>
          <w:szCs w:val="28"/>
        </w:rPr>
        <w:t>1000</w:t>
      </w:r>
      <w:r>
        <w:rPr>
          <w:rFonts w:hint="eastAsia" w:ascii="宋体" w:hAnsi="宋体" w:cs="Calibri"/>
          <w:color w:val="auto"/>
          <w:kern w:val="0"/>
          <w:sz w:val="28"/>
          <w:szCs w:val="28"/>
        </w:rPr>
        <w:t>元</w:t>
      </w:r>
      <w:r>
        <w:rPr>
          <w:rFonts w:ascii="宋体" w:hAnsi="宋体"/>
          <w:color w:val="auto"/>
          <w:kern w:val="0"/>
          <w:sz w:val="28"/>
          <w:szCs w:val="28"/>
        </w:rPr>
        <w:t>的违约金。</w:t>
      </w:r>
    </w:p>
    <w:p>
      <w:pPr>
        <w:snapToGrid w:val="0"/>
        <w:spacing w:before="120" w:after="120" w:line="360" w:lineRule="auto"/>
        <w:ind w:firstLine="480"/>
        <w:rPr>
          <w:rFonts w:ascii="Times New Roman" w:hAnsi="Times New Roman"/>
          <w:color w:val="auto"/>
          <w:kern w:val="0"/>
          <w:sz w:val="28"/>
          <w:szCs w:val="28"/>
        </w:rPr>
      </w:pPr>
      <w:r>
        <w:rPr>
          <w:rFonts w:ascii="宋体" w:hAnsi="宋体"/>
          <w:color w:val="auto"/>
          <w:kern w:val="0"/>
          <w:sz w:val="28"/>
          <w:szCs w:val="28"/>
        </w:rPr>
        <w:t>十二、不可抗力事件处理</w:t>
      </w:r>
    </w:p>
    <w:p>
      <w:pPr>
        <w:snapToGrid w:val="0"/>
        <w:spacing w:before="120" w:after="120" w:line="360" w:lineRule="auto"/>
        <w:ind w:firstLine="420" w:firstLineChars="150"/>
        <w:rPr>
          <w:rFonts w:ascii="Times New Roman" w:hAnsi="Times New Roman"/>
          <w:color w:val="auto"/>
          <w:kern w:val="0"/>
          <w:sz w:val="28"/>
          <w:szCs w:val="28"/>
        </w:rPr>
      </w:pPr>
      <w:r>
        <w:rPr>
          <w:rFonts w:ascii="Times New Roman" w:hAnsi="Times New Roman"/>
          <w:color w:val="auto"/>
          <w:kern w:val="0"/>
          <w:sz w:val="28"/>
          <w:szCs w:val="28"/>
        </w:rPr>
        <w:t>1.</w:t>
      </w:r>
      <w:r>
        <w:rPr>
          <w:rFonts w:ascii="宋体" w:hAnsi="宋体"/>
          <w:color w:val="auto"/>
          <w:kern w:val="0"/>
          <w:sz w:val="28"/>
          <w:szCs w:val="28"/>
        </w:rPr>
        <w:t>在合同有效期内，任何一方因不可抗力事件导致不能履行合同，则合同履行期可延长，其延长期与不可抗力影响期相同。</w:t>
      </w:r>
    </w:p>
    <w:p>
      <w:pPr>
        <w:snapToGrid w:val="0"/>
        <w:spacing w:before="120" w:after="120" w:line="360" w:lineRule="auto"/>
        <w:ind w:left="499" w:leftChars="171" w:hanging="140" w:hangingChars="50"/>
        <w:rPr>
          <w:rFonts w:ascii="Times New Roman" w:hAnsi="Times New Roman"/>
          <w:color w:val="auto"/>
          <w:kern w:val="0"/>
          <w:sz w:val="28"/>
          <w:szCs w:val="28"/>
        </w:rPr>
      </w:pPr>
      <w:r>
        <w:rPr>
          <w:rFonts w:ascii="Times New Roman" w:hAnsi="Times New Roman"/>
          <w:color w:val="auto"/>
          <w:kern w:val="0"/>
          <w:sz w:val="28"/>
          <w:szCs w:val="28"/>
        </w:rPr>
        <w:t>2.</w:t>
      </w:r>
      <w:r>
        <w:rPr>
          <w:rFonts w:ascii="宋体" w:hAnsi="宋体"/>
          <w:color w:val="auto"/>
          <w:kern w:val="0"/>
          <w:sz w:val="28"/>
          <w:szCs w:val="28"/>
        </w:rPr>
        <w:t>不可抗力事件发生后，应立即通知对方，并寄送有关权威机构出具的说明。</w:t>
      </w:r>
    </w:p>
    <w:p>
      <w:pPr>
        <w:snapToGrid w:val="0"/>
        <w:spacing w:before="120" w:after="120" w:line="360" w:lineRule="auto"/>
        <w:ind w:left="499" w:leftChars="171" w:hanging="140" w:hangingChars="50"/>
        <w:rPr>
          <w:rFonts w:ascii="Times New Roman" w:hAnsi="Times New Roman"/>
          <w:color w:val="auto"/>
          <w:kern w:val="0"/>
          <w:sz w:val="28"/>
          <w:szCs w:val="28"/>
        </w:rPr>
      </w:pPr>
      <w:r>
        <w:rPr>
          <w:rFonts w:ascii="Times New Roman" w:hAnsi="Times New Roman"/>
          <w:color w:val="auto"/>
          <w:kern w:val="0"/>
          <w:sz w:val="28"/>
          <w:szCs w:val="28"/>
        </w:rPr>
        <w:t>3.</w:t>
      </w:r>
      <w:r>
        <w:rPr>
          <w:rFonts w:ascii="宋体" w:hAnsi="宋体"/>
          <w:color w:val="auto"/>
          <w:kern w:val="0"/>
          <w:sz w:val="28"/>
          <w:szCs w:val="28"/>
        </w:rPr>
        <w:t>不可抗力事件延续</w:t>
      </w:r>
      <w:r>
        <w:rPr>
          <w:rFonts w:ascii="Times New Roman" w:hAnsi="Times New Roman"/>
          <w:color w:val="auto"/>
          <w:kern w:val="0"/>
          <w:sz w:val="28"/>
          <w:szCs w:val="28"/>
          <w:u w:val="single"/>
        </w:rPr>
        <w:t xml:space="preserve"> 120 </w:t>
      </w:r>
      <w:r>
        <w:rPr>
          <w:rFonts w:ascii="宋体" w:hAnsi="宋体"/>
          <w:color w:val="auto"/>
          <w:kern w:val="0"/>
          <w:sz w:val="28"/>
          <w:szCs w:val="28"/>
        </w:rPr>
        <w:t>天以上，双方应通过友好协商，确定是否继续履行合同。</w:t>
      </w:r>
    </w:p>
    <w:p>
      <w:pPr>
        <w:snapToGrid w:val="0"/>
        <w:spacing w:before="120" w:after="120" w:line="360" w:lineRule="auto"/>
        <w:ind w:firstLine="480"/>
        <w:rPr>
          <w:rFonts w:ascii="Times New Roman" w:hAnsi="Times New Roman"/>
          <w:color w:val="auto"/>
          <w:kern w:val="0"/>
          <w:sz w:val="28"/>
          <w:szCs w:val="28"/>
        </w:rPr>
      </w:pPr>
      <w:r>
        <w:rPr>
          <w:rFonts w:ascii="宋体" w:hAnsi="宋体"/>
          <w:color w:val="auto"/>
          <w:kern w:val="0"/>
          <w:sz w:val="28"/>
          <w:szCs w:val="28"/>
        </w:rPr>
        <w:t>十三、诉讼</w:t>
      </w:r>
    </w:p>
    <w:p>
      <w:pPr>
        <w:snapToGrid w:val="0"/>
        <w:spacing w:before="120" w:after="120" w:line="360" w:lineRule="auto"/>
        <w:ind w:firstLine="480"/>
        <w:rPr>
          <w:rFonts w:ascii="Times New Roman" w:hAnsi="Times New Roman"/>
          <w:color w:val="auto"/>
          <w:kern w:val="0"/>
          <w:sz w:val="28"/>
          <w:szCs w:val="28"/>
        </w:rPr>
      </w:pPr>
      <w:r>
        <w:rPr>
          <w:rFonts w:ascii="宋体" w:hAnsi="宋体"/>
          <w:color w:val="auto"/>
          <w:kern w:val="0"/>
          <w:sz w:val="28"/>
          <w:szCs w:val="28"/>
        </w:rPr>
        <w:t>本合同</w:t>
      </w:r>
      <w:r>
        <w:rPr>
          <w:rFonts w:hint="eastAsia" w:ascii="宋体" w:hAnsi="宋体" w:cs="Calibri"/>
          <w:color w:val="auto"/>
          <w:kern w:val="0"/>
          <w:sz w:val="28"/>
          <w:szCs w:val="28"/>
        </w:rPr>
        <w:t>履行</w:t>
      </w:r>
      <w:r>
        <w:rPr>
          <w:rFonts w:ascii="宋体" w:hAnsi="宋体"/>
          <w:color w:val="auto"/>
          <w:kern w:val="0"/>
          <w:sz w:val="28"/>
          <w:szCs w:val="28"/>
        </w:rPr>
        <w:t>地为义乌市，本合同发生争议产生的诉讼，可向</w:t>
      </w:r>
      <w:r>
        <w:rPr>
          <w:rFonts w:hint="eastAsia" w:ascii="宋体" w:hAnsi="宋体" w:cs="Calibri"/>
          <w:color w:val="auto"/>
          <w:kern w:val="0"/>
          <w:sz w:val="28"/>
          <w:szCs w:val="28"/>
        </w:rPr>
        <w:t>合同履行</w:t>
      </w:r>
      <w:r>
        <w:rPr>
          <w:rFonts w:ascii="宋体" w:hAnsi="宋体"/>
          <w:color w:val="auto"/>
          <w:kern w:val="0"/>
          <w:sz w:val="28"/>
          <w:szCs w:val="28"/>
        </w:rPr>
        <w:t>地有管辖权的法院提起诉讼。</w:t>
      </w:r>
    </w:p>
    <w:p>
      <w:pPr>
        <w:snapToGrid w:val="0"/>
        <w:spacing w:before="120" w:after="120" w:line="360" w:lineRule="auto"/>
        <w:ind w:firstLine="480"/>
        <w:rPr>
          <w:rFonts w:ascii="Times New Roman" w:hAnsi="Times New Roman"/>
          <w:color w:val="auto"/>
          <w:kern w:val="0"/>
          <w:sz w:val="28"/>
          <w:szCs w:val="28"/>
        </w:rPr>
      </w:pPr>
      <w:r>
        <w:rPr>
          <w:rFonts w:ascii="宋体" w:hAnsi="宋体"/>
          <w:color w:val="auto"/>
          <w:kern w:val="0"/>
          <w:sz w:val="28"/>
          <w:szCs w:val="28"/>
        </w:rPr>
        <w:t>十四、合同双方确认，本合同及合同约定的其它文件组成部分中的各项约定都是通过法定招标过程形成的合法成果，如果乙方的投标文件与本项目招标文件要求不一致的，履约时应以有利于甲方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napToGrid w:val="0"/>
        <w:spacing w:before="120" w:after="120" w:line="360" w:lineRule="auto"/>
        <w:ind w:firstLine="480"/>
        <w:rPr>
          <w:rFonts w:ascii="Times New Roman" w:hAnsi="Times New Roman"/>
          <w:color w:val="auto"/>
          <w:kern w:val="0"/>
          <w:sz w:val="28"/>
          <w:szCs w:val="28"/>
        </w:rPr>
      </w:pPr>
      <w:r>
        <w:rPr>
          <w:rFonts w:ascii="宋体" w:hAnsi="宋体"/>
          <w:color w:val="auto"/>
          <w:kern w:val="0"/>
          <w:sz w:val="28"/>
          <w:szCs w:val="28"/>
        </w:rPr>
        <w:t>十五、合同生效及其它</w:t>
      </w:r>
    </w:p>
    <w:p>
      <w:pPr>
        <w:snapToGrid w:val="0"/>
        <w:spacing w:before="120" w:after="120" w:line="360" w:lineRule="auto"/>
        <w:ind w:firstLine="480"/>
        <w:rPr>
          <w:rFonts w:ascii="Times New Roman" w:hAnsi="Times New Roman"/>
          <w:color w:val="auto"/>
          <w:kern w:val="0"/>
          <w:sz w:val="28"/>
          <w:szCs w:val="28"/>
        </w:rPr>
      </w:pPr>
      <w:r>
        <w:rPr>
          <w:rFonts w:ascii="Times New Roman" w:hAnsi="Times New Roman"/>
          <w:color w:val="auto"/>
          <w:kern w:val="0"/>
          <w:sz w:val="28"/>
          <w:szCs w:val="28"/>
        </w:rPr>
        <w:t>1.</w:t>
      </w:r>
      <w:r>
        <w:rPr>
          <w:rFonts w:ascii="宋体" w:hAnsi="宋体"/>
          <w:color w:val="auto"/>
          <w:kern w:val="0"/>
          <w:sz w:val="28"/>
          <w:szCs w:val="28"/>
        </w:rPr>
        <w:t>合同经双方法定代表人或授权代表签字并加盖单位公章后生效。</w:t>
      </w:r>
    </w:p>
    <w:p>
      <w:pPr>
        <w:snapToGrid w:val="0"/>
        <w:spacing w:before="120" w:after="120" w:line="360" w:lineRule="auto"/>
        <w:ind w:left="479" w:leftChars="228"/>
        <w:rPr>
          <w:rFonts w:ascii="Times New Roman" w:hAnsi="Times New Roman"/>
          <w:color w:val="auto"/>
          <w:kern w:val="0"/>
          <w:sz w:val="28"/>
          <w:szCs w:val="28"/>
        </w:rPr>
      </w:pPr>
      <w:r>
        <w:rPr>
          <w:rFonts w:ascii="Times New Roman" w:hAnsi="Times New Roman"/>
          <w:color w:val="auto"/>
          <w:kern w:val="0"/>
          <w:sz w:val="28"/>
          <w:szCs w:val="28"/>
        </w:rPr>
        <w:t>2.</w:t>
      </w:r>
      <w:r>
        <w:rPr>
          <w:rFonts w:ascii="宋体" w:hAnsi="宋体"/>
          <w:color w:val="auto"/>
          <w:kern w:val="0"/>
          <w:sz w:val="28"/>
          <w:szCs w:val="28"/>
        </w:rPr>
        <w:t>本合同未尽事宜，遵照《民法典》有关条文执行。</w:t>
      </w:r>
    </w:p>
    <w:p>
      <w:pPr>
        <w:spacing w:line="360" w:lineRule="auto"/>
        <w:ind w:firstLine="480"/>
        <w:rPr>
          <w:rFonts w:ascii="仿宋_GB2312" w:hAnsi="仿宋_GB2312" w:cs="Calibri"/>
          <w:color w:val="auto"/>
          <w:spacing w:val="-6"/>
          <w:kern w:val="0"/>
          <w:sz w:val="32"/>
          <w:szCs w:val="32"/>
          <w:u w:val="none" w:color="000000"/>
        </w:rPr>
      </w:pPr>
      <w:r>
        <w:rPr>
          <w:rFonts w:ascii="宋体" w:hAnsi="宋体"/>
          <w:color w:val="auto"/>
          <w:kern w:val="0"/>
          <w:sz w:val="28"/>
          <w:szCs w:val="28"/>
        </w:rPr>
        <w:t>十六、本合同一式</w:t>
      </w:r>
      <w:r>
        <w:rPr>
          <w:rFonts w:hint="eastAsia" w:ascii="宋体" w:hAnsi="宋体" w:cs="Calibri"/>
          <w:color w:val="auto"/>
          <w:kern w:val="0"/>
          <w:sz w:val="28"/>
          <w:szCs w:val="28"/>
        </w:rPr>
        <w:t>肆</w:t>
      </w:r>
      <w:r>
        <w:rPr>
          <w:rFonts w:ascii="宋体" w:hAnsi="宋体"/>
          <w:color w:val="auto"/>
          <w:kern w:val="0"/>
          <w:sz w:val="28"/>
          <w:szCs w:val="28"/>
        </w:rPr>
        <w:t>份，甲乙双方各执</w:t>
      </w:r>
      <w:r>
        <w:rPr>
          <w:rFonts w:hint="eastAsia" w:ascii="宋体" w:hAnsi="宋体" w:cs="Calibri"/>
          <w:color w:val="auto"/>
          <w:kern w:val="0"/>
          <w:sz w:val="28"/>
          <w:szCs w:val="28"/>
        </w:rPr>
        <w:t>壹</w:t>
      </w:r>
      <w:r>
        <w:rPr>
          <w:rFonts w:ascii="宋体" w:hAnsi="宋体"/>
          <w:color w:val="auto"/>
          <w:kern w:val="0"/>
          <w:sz w:val="28"/>
          <w:szCs w:val="28"/>
        </w:rPr>
        <w:t>份，浙江省成套招标代理有限公司执一份，义乌市财政局执一份，均具同等效力。</w:t>
      </w:r>
    </w:p>
    <w:p>
      <w:pPr>
        <w:ind w:firstLine="420" w:firstLineChars="200"/>
        <w:rPr>
          <w:rFonts w:cs="Calibri"/>
          <w:color w:val="auto"/>
          <w:kern w:val="0"/>
          <w:szCs w:val="21"/>
        </w:rPr>
      </w:pPr>
      <w:r>
        <w:rPr>
          <w:rFonts w:cs="Calibri"/>
          <w:color w:val="auto"/>
          <w:kern w:val="0"/>
          <w:szCs w:val="21"/>
        </w:rPr>
        <w:t xml:space="preserve"> </w:t>
      </w:r>
    </w:p>
    <w:tbl>
      <w:tblPr>
        <w:tblStyle w:val="15"/>
        <w:tblW w:w="9301" w:type="dxa"/>
        <w:tblInd w:w="93" w:type="dxa"/>
        <w:tblLayout w:type="fixed"/>
        <w:tblCellMar>
          <w:top w:w="80" w:type="dxa"/>
          <w:left w:w="80" w:type="dxa"/>
          <w:bottom w:w="80" w:type="dxa"/>
          <w:right w:w="80" w:type="dxa"/>
        </w:tblCellMar>
      </w:tblPr>
      <w:tblGrid>
        <w:gridCol w:w="646"/>
        <w:gridCol w:w="1416"/>
        <w:gridCol w:w="2413"/>
        <w:gridCol w:w="2413"/>
        <w:gridCol w:w="2413"/>
      </w:tblGrid>
      <w:tr>
        <w:tblPrEx>
          <w:tblCellMar>
            <w:top w:w="80" w:type="dxa"/>
            <w:left w:w="80" w:type="dxa"/>
            <w:bottom w:w="80" w:type="dxa"/>
            <w:right w:w="80" w:type="dxa"/>
          </w:tblCellMar>
        </w:tblPrEx>
        <w:trPr>
          <w:wBefore w:w="0" w:type="auto"/>
          <w:trHeight w:val="550" w:hRule="atLeast"/>
        </w:trPr>
        <w:tc>
          <w:tcPr>
            <w:tcW w:w="646" w:type="dxa"/>
            <w:vMerge w:val="restart"/>
            <w:tcBorders>
              <w:top w:val="single" w:color="000001" w:sz="12" w:space="0"/>
              <w:left w:val="single" w:color="000001" w:sz="12" w:space="0"/>
              <w:bottom w:val="single" w:color="000001" w:sz="4" w:space="0"/>
              <w:right w:val="single" w:color="000001" w:sz="4" w:space="0"/>
            </w:tcBorders>
            <w:noWrap w:val="0"/>
            <w:vAlign w:val="center"/>
          </w:tcPr>
          <w:p>
            <w:pPr>
              <w:spacing w:line="580" w:lineRule="exact"/>
              <w:ind w:left="113" w:right="113"/>
              <w:jc w:val="center"/>
              <w:rPr>
                <w:rFonts w:ascii="Times New Roman" w:hAnsi="Times New Roman"/>
                <w:color w:val="auto"/>
                <w:kern w:val="0"/>
                <w:szCs w:val="21"/>
              </w:rPr>
            </w:pPr>
            <w:r>
              <w:rPr>
                <w:rFonts w:ascii="宋体" w:hAnsi="宋体" w:cs="宋体"/>
                <w:color w:val="auto"/>
                <w:kern w:val="0"/>
                <w:sz w:val="24"/>
                <w:szCs w:val="24"/>
                <w:u w:val="none" w:color="000000"/>
              </w:rPr>
              <w:t>甲方（用水人）</w:t>
            </w:r>
          </w:p>
        </w:tc>
        <w:tc>
          <w:tcPr>
            <w:tcW w:w="1416" w:type="dxa"/>
            <w:tcBorders>
              <w:top w:val="single" w:color="000001" w:sz="12" w:space="0"/>
              <w:left w:val="nil"/>
              <w:bottom w:val="single" w:color="000001" w:sz="4" w:space="0"/>
              <w:right w:val="single" w:color="000001" w:sz="4" w:space="0"/>
            </w:tcBorders>
            <w:noWrap w:val="0"/>
            <w:vAlign w:val="center"/>
          </w:tcPr>
          <w:p>
            <w:pPr>
              <w:spacing w:line="580" w:lineRule="exact"/>
              <w:jc w:val="center"/>
              <w:rPr>
                <w:rFonts w:ascii="Times New Roman" w:hAnsi="Times New Roman"/>
                <w:color w:val="auto"/>
                <w:kern w:val="0"/>
                <w:szCs w:val="21"/>
              </w:rPr>
            </w:pPr>
            <w:r>
              <w:rPr>
                <w:rFonts w:ascii="宋体" w:hAnsi="宋体" w:cs="宋体"/>
                <w:color w:val="auto"/>
                <w:kern w:val="0"/>
                <w:sz w:val="24"/>
                <w:szCs w:val="24"/>
                <w:u w:val="none" w:color="000000"/>
              </w:rPr>
              <w:t>甲方</w:t>
            </w:r>
          </w:p>
        </w:tc>
        <w:tc>
          <w:tcPr>
            <w:tcW w:w="7239" w:type="dxa"/>
            <w:gridSpan w:val="3"/>
            <w:tcBorders>
              <w:top w:val="single" w:color="000001" w:sz="12" w:space="0"/>
              <w:left w:val="nil"/>
              <w:bottom w:val="single" w:color="000001" w:sz="4" w:space="0"/>
              <w:right w:val="single" w:color="000001" w:sz="12" w:space="0"/>
            </w:tcBorders>
            <w:noWrap w:val="0"/>
            <w:vAlign w:val="center"/>
          </w:tcPr>
          <w:p>
            <w:pPr>
              <w:spacing w:line="580" w:lineRule="exact"/>
              <w:ind w:firstLine="240"/>
              <w:rPr>
                <w:rFonts w:ascii="Times New Roman" w:hAnsi="Times New Roman"/>
                <w:color w:val="auto"/>
                <w:kern w:val="0"/>
                <w:szCs w:val="21"/>
              </w:rPr>
            </w:pPr>
            <w:r>
              <w:rPr>
                <w:rFonts w:ascii="宋体" w:hAnsi="宋体" w:cs="宋体"/>
                <w:color w:val="auto"/>
                <w:kern w:val="0"/>
                <w:sz w:val="24"/>
                <w:szCs w:val="24"/>
                <w:u w:val="none" w:color="000000"/>
              </w:rPr>
              <w:t>义乌市机关事务管理局</w:t>
            </w:r>
            <w:r>
              <w:rPr>
                <w:rFonts w:ascii="Times New Roman" w:hAnsi="Times New Roman" w:eastAsia="仿宋_GB2312"/>
                <w:color w:val="auto"/>
                <w:kern w:val="0"/>
                <w:sz w:val="24"/>
                <w:szCs w:val="24"/>
                <w:u w:val="none" w:color="000000"/>
              </w:rPr>
              <w:t xml:space="preserve">   (</w:t>
            </w:r>
            <w:r>
              <w:rPr>
                <w:rFonts w:ascii="宋体" w:hAnsi="宋体" w:cs="宋体"/>
                <w:color w:val="auto"/>
                <w:kern w:val="0"/>
                <w:sz w:val="24"/>
                <w:szCs w:val="24"/>
                <w:u w:val="none" w:color="000000"/>
              </w:rPr>
              <w:t>盖章</w:t>
            </w:r>
            <w:r>
              <w:rPr>
                <w:rFonts w:ascii="Times New Roman" w:hAnsi="Times New Roman" w:eastAsia="仿宋_GB2312"/>
                <w:color w:val="auto"/>
                <w:kern w:val="0"/>
                <w:sz w:val="24"/>
                <w:szCs w:val="24"/>
                <w:u w:val="none" w:color="000000"/>
              </w:rPr>
              <w:t>)</w:t>
            </w:r>
          </w:p>
        </w:tc>
      </w:tr>
      <w:tr>
        <w:tblPrEx>
          <w:tblCellMar>
            <w:top w:w="80" w:type="dxa"/>
            <w:left w:w="80" w:type="dxa"/>
            <w:bottom w:w="80" w:type="dxa"/>
            <w:right w:w="80" w:type="dxa"/>
          </w:tblCellMar>
        </w:tblPrEx>
        <w:trPr>
          <w:wBefore w:w="0" w:type="auto"/>
          <w:trHeight w:val="726" w:hRule="atLeast"/>
        </w:trPr>
        <w:tc>
          <w:tcPr>
            <w:tcW w:w="646" w:type="dxa"/>
            <w:vMerge w:val="continue"/>
            <w:tcBorders>
              <w:top w:val="single" w:color="000001" w:sz="12" w:space="0"/>
              <w:left w:val="single" w:color="000001" w:sz="12" w:space="0"/>
              <w:bottom w:val="single" w:color="000001" w:sz="4" w:space="0"/>
              <w:right w:val="single" w:color="000001" w:sz="4" w:space="0"/>
            </w:tcBorders>
            <w:noWrap w:val="0"/>
            <w:vAlign w:val="center"/>
          </w:tcPr>
          <w:p>
            <w:pPr>
              <w:widowControl/>
              <w:jc w:val="left"/>
              <w:rPr>
                <w:rFonts w:ascii="Times New Roman" w:hAnsi="Times New Roman"/>
                <w:color w:val="auto"/>
                <w:kern w:val="0"/>
                <w:szCs w:val="21"/>
              </w:rPr>
            </w:pPr>
          </w:p>
        </w:tc>
        <w:tc>
          <w:tcPr>
            <w:tcW w:w="1416" w:type="dxa"/>
            <w:tcBorders>
              <w:top w:val="single" w:color="000001" w:sz="4" w:space="0"/>
              <w:left w:val="nil"/>
              <w:bottom w:val="single" w:color="000001" w:sz="4" w:space="0"/>
              <w:right w:val="single" w:color="000001" w:sz="4" w:space="0"/>
            </w:tcBorders>
            <w:noWrap w:val="0"/>
            <w:vAlign w:val="center"/>
          </w:tcPr>
          <w:p>
            <w:pPr>
              <w:overflowPunct w:val="0"/>
              <w:spacing w:line="400" w:lineRule="exact"/>
              <w:jc w:val="center"/>
              <w:rPr>
                <w:rFonts w:ascii="Times New Roman" w:hAnsi="Times New Roman"/>
                <w:color w:val="auto"/>
                <w:kern w:val="0"/>
                <w:szCs w:val="21"/>
              </w:rPr>
            </w:pPr>
            <w:r>
              <w:rPr>
                <w:rFonts w:ascii="宋体" w:hAnsi="宋体" w:cs="宋体"/>
                <w:color w:val="auto"/>
                <w:kern w:val="0"/>
                <w:sz w:val="24"/>
                <w:szCs w:val="24"/>
                <w:u w:val="none" w:color="000000"/>
              </w:rPr>
              <w:t>法定代表人</w:t>
            </w:r>
          </w:p>
        </w:tc>
        <w:tc>
          <w:tcPr>
            <w:tcW w:w="2413" w:type="dxa"/>
            <w:tcBorders>
              <w:top w:val="single" w:color="000001" w:sz="4" w:space="0"/>
              <w:left w:val="nil"/>
              <w:bottom w:val="single" w:color="000001" w:sz="4" w:space="0"/>
              <w:right w:val="single" w:color="000001" w:sz="4" w:space="0"/>
            </w:tcBorders>
            <w:noWrap w:val="0"/>
            <w:vAlign w:val="center"/>
          </w:tcPr>
          <w:p>
            <w:pPr>
              <w:overflowPunct w:val="0"/>
              <w:spacing w:line="400" w:lineRule="exact"/>
              <w:jc w:val="center"/>
              <w:rPr>
                <w:rFonts w:ascii="Times New Roman" w:hAnsi="Times New Roman" w:eastAsia="仿宋_GB2312"/>
                <w:color w:val="auto"/>
                <w:kern w:val="0"/>
                <w:sz w:val="24"/>
                <w:szCs w:val="24"/>
                <w:u w:val="none" w:color="000000"/>
              </w:rPr>
            </w:pPr>
          </w:p>
          <w:p>
            <w:pPr>
              <w:overflowPunct w:val="0"/>
              <w:spacing w:line="400" w:lineRule="exact"/>
              <w:jc w:val="center"/>
              <w:rPr>
                <w:rFonts w:ascii="Times New Roman" w:hAnsi="Times New Roman"/>
                <w:color w:val="auto"/>
                <w:kern w:val="0"/>
                <w:szCs w:val="21"/>
              </w:rPr>
            </w:pPr>
            <w:r>
              <w:rPr>
                <w:rFonts w:ascii="Times New Roman" w:hAnsi="Times New Roman" w:eastAsia="仿宋_GB2312"/>
                <w:color w:val="auto"/>
                <w:kern w:val="0"/>
                <w:sz w:val="24"/>
                <w:szCs w:val="24"/>
                <w:u w:val="none" w:color="000000"/>
              </w:rPr>
              <w:t xml:space="preserve">           (</w:t>
            </w:r>
            <w:r>
              <w:rPr>
                <w:rFonts w:ascii="宋体" w:hAnsi="宋体" w:cs="宋体"/>
                <w:color w:val="auto"/>
                <w:kern w:val="0"/>
                <w:sz w:val="24"/>
                <w:szCs w:val="24"/>
                <w:u w:val="none" w:color="000000"/>
              </w:rPr>
              <w:t>签章</w:t>
            </w:r>
            <w:r>
              <w:rPr>
                <w:rFonts w:ascii="Times New Roman" w:hAnsi="Times New Roman" w:eastAsia="仿宋_GB2312"/>
                <w:color w:val="auto"/>
                <w:kern w:val="0"/>
                <w:sz w:val="24"/>
                <w:szCs w:val="24"/>
                <w:u w:val="none" w:color="000000"/>
              </w:rPr>
              <w:t>)</w:t>
            </w:r>
          </w:p>
        </w:tc>
        <w:tc>
          <w:tcPr>
            <w:tcW w:w="2413" w:type="dxa"/>
            <w:tcBorders>
              <w:top w:val="single" w:color="000001" w:sz="4" w:space="0"/>
              <w:left w:val="nil"/>
              <w:bottom w:val="single" w:color="000001" w:sz="4" w:space="0"/>
              <w:right w:val="single" w:color="000001" w:sz="4" w:space="0"/>
            </w:tcBorders>
            <w:noWrap w:val="0"/>
            <w:vAlign w:val="center"/>
          </w:tcPr>
          <w:p>
            <w:pPr>
              <w:overflowPunct w:val="0"/>
              <w:spacing w:line="400" w:lineRule="exact"/>
              <w:jc w:val="center"/>
              <w:rPr>
                <w:rFonts w:ascii="Times New Roman" w:hAnsi="Times New Roman"/>
                <w:color w:val="auto"/>
                <w:kern w:val="0"/>
                <w:szCs w:val="21"/>
              </w:rPr>
            </w:pPr>
            <w:r>
              <w:rPr>
                <w:rFonts w:ascii="宋体" w:hAnsi="宋体" w:cs="宋体"/>
                <w:color w:val="auto"/>
                <w:kern w:val="0"/>
                <w:sz w:val="24"/>
                <w:szCs w:val="24"/>
                <w:u w:val="none" w:color="000000"/>
              </w:rPr>
              <w:t>授权代表</w:t>
            </w:r>
          </w:p>
        </w:tc>
        <w:tc>
          <w:tcPr>
            <w:tcW w:w="2413" w:type="dxa"/>
            <w:tcBorders>
              <w:top w:val="single" w:color="000001" w:sz="4" w:space="0"/>
              <w:left w:val="nil"/>
              <w:bottom w:val="single" w:color="000001" w:sz="4" w:space="0"/>
              <w:right w:val="single" w:color="000001" w:sz="12" w:space="0"/>
            </w:tcBorders>
            <w:noWrap w:val="0"/>
            <w:vAlign w:val="center"/>
          </w:tcPr>
          <w:p>
            <w:pPr>
              <w:overflowPunct w:val="0"/>
              <w:spacing w:line="400" w:lineRule="exact"/>
              <w:jc w:val="center"/>
              <w:rPr>
                <w:rFonts w:ascii="Times New Roman" w:hAnsi="Times New Roman" w:eastAsia="仿宋_GB2312"/>
                <w:color w:val="auto"/>
                <w:kern w:val="0"/>
                <w:sz w:val="24"/>
                <w:szCs w:val="24"/>
                <w:u w:val="none" w:color="000000"/>
              </w:rPr>
            </w:pPr>
          </w:p>
          <w:p>
            <w:pPr>
              <w:overflowPunct w:val="0"/>
              <w:spacing w:line="400" w:lineRule="exact"/>
              <w:jc w:val="center"/>
              <w:rPr>
                <w:rFonts w:ascii="Times New Roman" w:hAnsi="Times New Roman"/>
                <w:color w:val="auto"/>
                <w:kern w:val="0"/>
                <w:szCs w:val="21"/>
              </w:rPr>
            </w:pPr>
            <w:r>
              <w:rPr>
                <w:rFonts w:ascii="Times New Roman" w:hAnsi="Times New Roman" w:eastAsia="仿宋_GB2312"/>
                <w:color w:val="auto"/>
                <w:kern w:val="0"/>
                <w:sz w:val="24"/>
                <w:szCs w:val="24"/>
                <w:u w:val="none" w:color="000000"/>
              </w:rPr>
              <w:t xml:space="preserve">            (</w:t>
            </w:r>
            <w:r>
              <w:rPr>
                <w:rFonts w:ascii="宋体" w:hAnsi="宋体" w:cs="宋体"/>
                <w:color w:val="auto"/>
                <w:kern w:val="0"/>
                <w:sz w:val="24"/>
                <w:szCs w:val="24"/>
                <w:u w:val="none" w:color="000000"/>
              </w:rPr>
              <w:t>签章</w:t>
            </w:r>
            <w:r>
              <w:rPr>
                <w:rFonts w:ascii="Times New Roman" w:hAnsi="Times New Roman" w:eastAsia="仿宋_GB2312"/>
                <w:color w:val="auto"/>
                <w:kern w:val="0"/>
                <w:sz w:val="24"/>
                <w:szCs w:val="24"/>
                <w:u w:val="none" w:color="000000"/>
              </w:rPr>
              <w:t>)</w:t>
            </w:r>
          </w:p>
        </w:tc>
      </w:tr>
      <w:tr>
        <w:tblPrEx>
          <w:tblCellMar>
            <w:top w:w="80" w:type="dxa"/>
            <w:left w:w="80" w:type="dxa"/>
            <w:bottom w:w="80" w:type="dxa"/>
            <w:right w:w="80" w:type="dxa"/>
          </w:tblCellMar>
        </w:tblPrEx>
        <w:trPr>
          <w:wBefore w:w="0" w:type="auto"/>
          <w:trHeight w:val="595" w:hRule="atLeast"/>
        </w:trPr>
        <w:tc>
          <w:tcPr>
            <w:tcW w:w="646" w:type="dxa"/>
            <w:vMerge w:val="continue"/>
            <w:tcBorders>
              <w:top w:val="single" w:color="000001" w:sz="12" w:space="0"/>
              <w:left w:val="single" w:color="000001" w:sz="12" w:space="0"/>
              <w:bottom w:val="single" w:color="000001" w:sz="4" w:space="0"/>
              <w:right w:val="single" w:color="000001" w:sz="4" w:space="0"/>
            </w:tcBorders>
            <w:noWrap w:val="0"/>
            <w:vAlign w:val="center"/>
          </w:tcPr>
          <w:p>
            <w:pPr>
              <w:widowControl/>
              <w:jc w:val="left"/>
              <w:rPr>
                <w:rFonts w:ascii="Times New Roman" w:hAnsi="Times New Roman"/>
                <w:color w:val="auto"/>
                <w:kern w:val="0"/>
                <w:szCs w:val="21"/>
              </w:rPr>
            </w:pPr>
          </w:p>
        </w:tc>
        <w:tc>
          <w:tcPr>
            <w:tcW w:w="1416" w:type="dxa"/>
            <w:tcBorders>
              <w:top w:val="single" w:color="000001" w:sz="4" w:space="0"/>
              <w:left w:val="nil"/>
              <w:bottom w:val="single" w:color="000001" w:sz="4" w:space="0"/>
              <w:right w:val="single" w:color="000001" w:sz="4" w:space="0"/>
            </w:tcBorders>
            <w:noWrap w:val="0"/>
            <w:vAlign w:val="center"/>
          </w:tcPr>
          <w:p>
            <w:pPr>
              <w:spacing w:line="580" w:lineRule="exact"/>
              <w:jc w:val="center"/>
              <w:rPr>
                <w:rFonts w:ascii="Times New Roman" w:hAnsi="Times New Roman"/>
                <w:color w:val="auto"/>
                <w:kern w:val="0"/>
                <w:szCs w:val="21"/>
              </w:rPr>
            </w:pPr>
            <w:r>
              <w:rPr>
                <w:rFonts w:ascii="宋体" w:hAnsi="宋体" w:cs="宋体"/>
                <w:color w:val="auto"/>
                <w:kern w:val="0"/>
                <w:sz w:val="24"/>
                <w:szCs w:val="24"/>
                <w:u w:val="none" w:color="000000"/>
              </w:rPr>
              <w:t>经办人</w:t>
            </w:r>
          </w:p>
        </w:tc>
        <w:tc>
          <w:tcPr>
            <w:tcW w:w="2413" w:type="dxa"/>
            <w:tcBorders>
              <w:top w:val="single" w:color="000001" w:sz="4" w:space="0"/>
              <w:left w:val="nil"/>
              <w:bottom w:val="single" w:color="000001" w:sz="4" w:space="0"/>
              <w:right w:val="single" w:color="000001" w:sz="4" w:space="0"/>
            </w:tcBorders>
            <w:noWrap w:val="0"/>
            <w:vAlign w:val="center"/>
          </w:tcPr>
          <w:p>
            <w:pPr>
              <w:spacing w:line="580" w:lineRule="exact"/>
              <w:rPr>
                <w:rFonts w:ascii="Times New Roman" w:hAnsi="Times New Roman" w:eastAsia="仿宋_GB2312"/>
                <w:color w:val="auto"/>
                <w:kern w:val="0"/>
                <w:sz w:val="24"/>
                <w:szCs w:val="24"/>
              </w:rPr>
            </w:pPr>
          </w:p>
        </w:tc>
        <w:tc>
          <w:tcPr>
            <w:tcW w:w="2413" w:type="dxa"/>
            <w:tcBorders>
              <w:top w:val="single" w:color="000001" w:sz="4" w:space="0"/>
              <w:left w:val="nil"/>
              <w:bottom w:val="single" w:color="000001" w:sz="4" w:space="0"/>
              <w:right w:val="single" w:color="000001" w:sz="4" w:space="0"/>
            </w:tcBorders>
            <w:noWrap w:val="0"/>
            <w:vAlign w:val="center"/>
          </w:tcPr>
          <w:p>
            <w:pPr>
              <w:spacing w:line="580" w:lineRule="exact"/>
              <w:jc w:val="center"/>
              <w:rPr>
                <w:rFonts w:ascii="Times New Roman" w:hAnsi="Times New Roman"/>
                <w:color w:val="auto"/>
                <w:kern w:val="0"/>
                <w:szCs w:val="21"/>
              </w:rPr>
            </w:pPr>
            <w:r>
              <w:rPr>
                <w:rFonts w:ascii="宋体" w:hAnsi="宋体" w:cs="宋体"/>
                <w:color w:val="auto"/>
                <w:kern w:val="0"/>
                <w:sz w:val="24"/>
                <w:szCs w:val="24"/>
                <w:u w:val="none" w:color="000000"/>
              </w:rPr>
              <w:t>科室负责人</w:t>
            </w:r>
          </w:p>
        </w:tc>
        <w:tc>
          <w:tcPr>
            <w:tcW w:w="2413" w:type="dxa"/>
            <w:tcBorders>
              <w:top w:val="single" w:color="000001" w:sz="4" w:space="0"/>
              <w:left w:val="nil"/>
              <w:bottom w:val="single" w:color="000001" w:sz="4" w:space="0"/>
              <w:right w:val="single" w:color="000001" w:sz="12" w:space="0"/>
            </w:tcBorders>
            <w:noWrap w:val="0"/>
            <w:vAlign w:val="center"/>
          </w:tcPr>
          <w:p>
            <w:pPr>
              <w:spacing w:line="580" w:lineRule="exact"/>
              <w:rPr>
                <w:rFonts w:ascii="Times New Roman" w:hAnsi="Times New Roman" w:eastAsia="仿宋_GB2312"/>
                <w:color w:val="auto"/>
                <w:kern w:val="0"/>
                <w:sz w:val="24"/>
                <w:szCs w:val="24"/>
              </w:rPr>
            </w:pPr>
          </w:p>
        </w:tc>
      </w:tr>
      <w:tr>
        <w:tblPrEx>
          <w:tblCellMar>
            <w:top w:w="80" w:type="dxa"/>
            <w:left w:w="80" w:type="dxa"/>
            <w:bottom w:w="80" w:type="dxa"/>
            <w:right w:w="80" w:type="dxa"/>
          </w:tblCellMar>
        </w:tblPrEx>
        <w:trPr>
          <w:wBefore w:w="0" w:type="auto"/>
          <w:trHeight w:val="90" w:hRule="atLeast"/>
        </w:trPr>
        <w:tc>
          <w:tcPr>
            <w:tcW w:w="646" w:type="dxa"/>
            <w:vMerge w:val="continue"/>
            <w:tcBorders>
              <w:top w:val="single" w:color="000001" w:sz="12" w:space="0"/>
              <w:left w:val="single" w:color="000001" w:sz="12" w:space="0"/>
              <w:bottom w:val="single" w:color="000001" w:sz="4" w:space="0"/>
              <w:right w:val="single" w:color="000001" w:sz="4" w:space="0"/>
            </w:tcBorders>
            <w:noWrap w:val="0"/>
            <w:vAlign w:val="center"/>
          </w:tcPr>
          <w:p>
            <w:pPr>
              <w:widowControl/>
              <w:jc w:val="left"/>
              <w:rPr>
                <w:rFonts w:ascii="Times New Roman" w:hAnsi="Times New Roman"/>
                <w:color w:val="auto"/>
                <w:kern w:val="0"/>
                <w:szCs w:val="21"/>
              </w:rPr>
            </w:pPr>
          </w:p>
        </w:tc>
        <w:tc>
          <w:tcPr>
            <w:tcW w:w="1416" w:type="dxa"/>
            <w:tcBorders>
              <w:top w:val="single" w:color="000001" w:sz="4" w:space="0"/>
              <w:left w:val="nil"/>
              <w:bottom w:val="single" w:color="000001" w:sz="4" w:space="0"/>
              <w:right w:val="single" w:color="000001" w:sz="4" w:space="0"/>
            </w:tcBorders>
            <w:noWrap w:val="0"/>
            <w:vAlign w:val="center"/>
          </w:tcPr>
          <w:p>
            <w:pPr>
              <w:spacing w:line="500" w:lineRule="exact"/>
              <w:jc w:val="center"/>
              <w:rPr>
                <w:rFonts w:ascii="Times New Roman" w:hAnsi="Times New Roman"/>
                <w:color w:val="auto"/>
                <w:kern w:val="0"/>
                <w:szCs w:val="21"/>
              </w:rPr>
            </w:pPr>
            <w:r>
              <w:rPr>
                <w:rFonts w:ascii="宋体" w:hAnsi="宋体" w:cs="宋体"/>
                <w:color w:val="auto"/>
                <w:kern w:val="0"/>
                <w:sz w:val="24"/>
                <w:szCs w:val="24"/>
                <w:u w:val="none" w:color="000000"/>
              </w:rPr>
              <w:t>通讯地址</w:t>
            </w:r>
          </w:p>
        </w:tc>
        <w:tc>
          <w:tcPr>
            <w:tcW w:w="7239" w:type="dxa"/>
            <w:gridSpan w:val="3"/>
            <w:tcBorders>
              <w:top w:val="single" w:color="000001" w:sz="4" w:space="0"/>
              <w:left w:val="nil"/>
              <w:bottom w:val="single" w:color="000001" w:sz="4" w:space="0"/>
              <w:right w:val="single" w:color="000001" w:sz="12" w:space="0"/>
            </w:tcBorders>
            <w:noWrap w:val="0"/>
            <w:vAlign w:val="center"/>
          </w:tcPr>
          <w:p>
            <w:pPr>
              <w:spacing w:line="500" w:lineRule="exact"/>
              <w:ind w:firstLine="120" w:firstLineChars="50"/>
              <w:rPr>
                <w:rFonts w:ascii="Times New Roman" w:hAnsi="Times New Roman"/>
                <w:color w:val="auto"/>
                <w:kern w:val="0"/>
                <w:szCs w:val="21"/>
              </w:rPr>
            </w:pPr>
            <w:r>
              <w:rPr>
                <w:rFonts w:ascii="宋体" w:hAnsi="宋体" w:cs="宋体"/>
                <w:color w:val="auto"/>
                <w:kern w:val="0"/>
                <w:sz w:val="24"/>
                <w:szCs w:val="24"/>
                <w:u w:val="none" w:color="000000"/>
              </w:rPr>
              <w:t>义乌市县前街</w:t>
            </w:r>
            <w:r>
              <w:rPr>
                <w:rFonts w:ascii="Times New Roman" w:hAnsi="Times New Roman" w:eastAsia="仿宋_GB2312"/>
                <w:color w:val="auto"/>
                <w:kern w:val="0"/>
                <w:sz w:val="24"/>
                <w:szCs w:val="24"/>
                <w:u w:val="none" w:color="000000"/>
              </w:rPr>
              <w:t>21</w:t>
            </w:r>
            <w:r>
              <w:rPr>
                <w:rFonts w:ascii="宋体" w:hAnsi="宋体" w:cs="宋体"/>
                <w:color w:val="auto"/>
                <w:kern w:val="0"/>
                <w:sz w:val="24"/>
                <w:szCs w:val="24"/>
                <w:u w:val="none" w:color="000000"/>
              </w:rPr>
              <w:t>号</w:t>
            </w:r>
          </w:p>
        </w:tc>
      </w:tr>
      <w:tr>
        <w:tblPrEx>
          <w:tblCellMar>
            <w:top w:w="80" w:type="dxa"/>
            <w:left w:w="80" w:type="dxa"/>
            <w:bottom w:w="80" w:type="dxa"/>
            <w:right w:w="80" w:type="dxa"/>
          </w:tblCellMar>
        </w:tblPrEx>
        <w:trPr>
          <w:wBefore w:w="0" w:type="auto"/>
          <w:trHeight w:val="595" w:hRule="atLeast"/>
        </w:trPr>
        <w:tc>
          <w:tcPr>
            <w:tcW w:w="646" w:type="dxa"/>
            <w:vMerge w:val="continue"/>
            <w:tcBorders>
              <w:top w:val="single" w:color="000001" w:sz="12" w:space="0"/>
              <w:left w:val="single" w:color="000001" w:sz="12" w:space="0"/>
              <w:bottom w:val="single" w:color="000001" w:sz="4" w:space="0"/>
              <w:right w:val="single" w:color="000001" w:sz="4" w:space="0"/>
            </w:tcBorders>
            <w:noWrap w:val="0"/>
            <w:vAlign w:val="center"/>
          </w:tcPr>
          <w:p>
            <w:pPr>
              <w:widowControl/>
              <w:jc w:val="left"/>
              <w:rPr>
                <w:rFonts w:ascii="Times New Roman" w:hAnsi="Times New Roman"/>
                <w:color w:val="auto"/>
                <w:kern w:val="0"/>
                <w:szCs w:val="21"/>
              </w:rPr>
            </w:pPr>
          </w:p>
        </w:tc>
        <w:tc>
          <w:tcPr>
            <w:tcW w:w="1416" w:type="dxa"/>
            <w:tcBorders>
              <w:top w:val="single" w:color="000001" w:sz="4" w:space="0"/>
              <w:left w:val="nil"/>
              <w:bottom w:val="single" w:color="000001" w:sz="4" w:space="0"/>
              <w:right w:val="single" w:color="000001" w:sz="4" w:space="0"/>
            </w:tcBorders>
            <w:noWrap w:val="0"/>
            <w:vAlign w:val="center"/>
          </w:tcPr>
          <w:p>
            <w:pPr>
              <w:spacing w:line="580" w:lineRule="exact"/>
              <w:jc w:val="center"/>
              <w:rPr>
                <w:rFonts w:ascii="Times New Roman" w:hAnsi="Times New Roman"/>
                <w:color w:val="auto"/>
                <w:kern w:val="0"/>
                <w:szCs w:val="21"/>
              </w:rPr>
            </w:pPr>
            <w:r>
              <w:rPr>
                <w:rFonts w:ascii="宋体" w:hAnsi="宋体" w:cs="宋体"/>
                <w:color w:val="auto"/>
                <w:kern w:val="0"/>
                <w:sz w:val="24"/>
                <w:szCs w:val="24"/>
                <w:u w:val="none" w:color="000000"/>
              </w:rPr>
              <w:t>电话</w:t>
            </w:r>
          </w:p>
        </w:tc>
        <w:tc>
          <w:tcPr>
            <w:tcW w:w="2413" w:type="dxa"/>
            <w:tcBorders>
              <w:top w:val="single" w:color="000001" w:sz="4" w:space="0"/>
              <w:left w:val="nil"/>
              <w:bottom w:val="single" w:color="000001" w:sz="4" w:space="0"/>
              <w:right w:val="single" w:color="000001" w:sz="4" w:space="0"/>
            </w:tcBorders>
            <w:noWrap w:val="0"/>
            <w:vAlign w:val="center"/>
          </w:tcPr>
          <w:p>
            <w:pPr>
              <w:spacing w:line="580" w:lineRule="exact"/>
              <w:jc w:val="center"/>
              <w:rPr>
                <w:rFonts w:ascii="Times New Roman" w:hAnsi="Times New Roman" w:eastAsia="仿宋_GB2312"/>
                <w:color w:val="auto"/>
                <w:kern w:val="0"/>
                <w:sz w:val="24"/>
                <w:szCs w:val="24"/>
                <w:u w:val="none" w:color="000000"/>
              </w:rPr>
            </w:pPr>
          </w:p>
        </w:tc>
        <w:tc>
          <w:tcPr>
            <w:tcW w:w="2413" w:type="dxa"/>
            <w:tcBorders>
              <w:top w:val="single" w:color="000001" w:sz="4" w:space="0"/>
              <w:left w:val="nil"/>
              <w:bottom w:val="single" w:color="000001" w:sz="4" w:space="0"/>
              <w:right w:val="single" w:color="000001" w:sz="4" w:space="0"/>
            </w:tcBorders>
            <w:noWrap w:val="0"/>
            <w:vAlign w:val="center"/>
          </w:tcPr>
          <w:p>
            <w:pPr>
              <w:spacing w:line="580" w:lineRule="exact"/>
              <w:jc w:val="center"/>
              <w:rPr>
                <w:rFonts w:ascii="Times New Roman" w:hAnsi="Times New Roman"/>
                <w:color w:val="auto"/>
                <w:kern w:val="0"/>
                <w:szCs w:val="21"/>
              </w:rPr>
            </w:pPr>
            <w:r>
              <w:rPr>
                <w:rFonts w:ascii="宋体" w:hAnsi="宋体" w:cs="宋体"/>
                <w:color w:val="auto"/>
                <w:kern w:val="0"/>
                <w:sz w:val="24"/>
                <w:szCs w:val="24"/>
                <w:u w:val="none" w:color="000000"/>
              </w:rPr>
              <w:t>邮编</w:t>
            </w:r>
          </w:p>
        </w:tc>
        <w:tc>
          <w:tcPr>
            <w:tcW w:w="2413" w:type="dxa"/>
            <w:tcBorders>
              <w:top w:val="single" w:color="000001" w:sz="4" w:space="0"/>
              <w:left w:val="nil"/>
              <w:bottom w:val="single" w:color="000001" w:sz="4" w:space="0"/>
              <w:right w:val="single" w:color="000001" w:sz="12" w:space="0"/>
            </w:tcBorders>
            <w:noWrap w:val="0"/>
            <w:vAlign w:val="center"/>
          </w:tcPr>
          <w:p>
            <w:pPr>
              <w:spacing w:line="580" w:lineRule="exact"/>
              <w:jc w:val="center"/>
              <w:rPr>
                <w:rFonts w:ascii="Times New Roman" w:hAnsi="Times New Roman"/>
                <w:color w:val="auto"/>
                <w:kern w:val="0"/>
                <w:szCs w:val="21"/>
              </w:rPr>
            </w:pPr>
            <w:r>
              <w:rPr>
                <w:rFonts w:ascii="Times New Roman" w:hAnsi="Times New Roman" w:eastAsia="仿宋_GB2312"/>
                <w:color w:val="auto"/>
                <w:kern w:val="0"/>
                <w:sz w:val="24"/>
                <w:szCs w:val="24"/>
                <w:u w:val="none" w:color="000000"/>
              </w:rPr>
              <w:t>322000</w:t>
            </w:r>
          </w:p>
        </w:tc>
      </w:tr>
      <w:tr>
        <w:tblPrEx>
          <w:tblCellMar>
            <w:top w:w="80" w:type="dxa"/>
            <w:left w:w="80" w:type="dxa"/>
            <w:bottom w:w="80" w:type="dxa"/>
            <w:right w:w="80" w:type="dxa"/>
          </w:tblCellMar>
        </w:tblPrEx>
        <w:trPr>
          <w:wBefore w:w="0" w:type="auto"/>
          <w:trHeight w:val="530" w:hRule="atLeast"/>
        </w:trPr>
        <w:tc>
          <w:tcPr>
            <w:tcW w:w="646" w:type="dxa"/>
            <w:vMerge w:val="restart"/>
            <w:tcBorders>
              <w:top w:val="nil"/>
              <w:left w:val="single" w:color="000001" w:sz="12" w:space="0"/>
              <w:bottom w:val="single" w:color="000001" w:sz="4" w:space="0"/>
              <w:right w:val="single" w:color="000001" w:sz="4" w:space="0"/>
            </w:tcBorders>
            <w:noWrap w:val="0"/>
            <w:vAlign w:val="center"/>
          </w:tcPr>
          <w:p>
            <w:pPr>
              <w:spacing w:line="580" w:lineRule="exact"/>
              <w:ind w:left="113" w:right="113"/>
              <w:jc w:val="center"/>
              <w:rPr>
                <w:rFonts w:ascii="Times New Roman" w:hAnsi="Times New Roman"/>
                <w:color w:val="auto"/>
                <w:kern w:val="0"/>
                <w:szCs w:val="21"/>
              </w:rPr>
            </w:pPr>
            <w:r>
              <w:rPr>
                <w:rFonts w:ascii="宋体" w:hAnsi="宋体" w:cs="宋体"/>
                <w:color w:val="auto"/>
                <w:kern w:val="0"/>
                <w:sz w:val="24"/>
                <w:szCs w:val="24"/>
                <w:u w:val="none" w:color="000000"/>
              </w:rPr>
              <w:t>乙方（供水人）</w:t>
            </w:r>
          </w:p>
        </w:tc>
        <w:tc>
          <w:tcPr>
            <w:tcW w:w="1416" w:type="dxa"/>
            <w:tcBorders>
              <w:top w:val="single" w:color="000001" w:sz="4" w:space="0"/>
              <w:left w:val="nil"/>
              <w:bottom w:val="single" w:color="000001" w:sz="4" w:space="0"/>
              <w:right w:val="single" w:color="000001" w:sz="4" w:space="0"/>
            </w:tcBorders>
            <w:noWrap w:val="0"/>
            <w:vAlign w:val="center"/>
          </w:tcPr>
          <w:p>
            <w:pPr>
              <w:spacing w:line="580" w:lineRule="exact"/>
              <w:jc w:val="center"/>
              <w:rPr>
                <w:rFonts w:ascii="Times New Roman" w:hAnsi="Times New Roman"/>
                <w:color w:val="auto"/>
                <w:kern w:val="0"/>
                <w:szCs w:val="21"/>
              </w:rPr>
            </w:pPr>
            <w:r>
              <w:rPr>
                <w:rFonts w:ascii="宋体" w:hAnsi="宋体" w:cs="宋体"/>
                <w:color w:val="auto"/>
                <w:kern w:val="0"/>
                <w:sz w:val="24"/>
                <w:szCs w:val="24"/>
                <w:u w:val="none" w:color="000000"/>
              </w:rPr>
              <w:t>乙方</w:t>
            </w:r>
          </w:p>
        </w:tc>
        <w:tc>
          <w:tcPr>
            <w:tcW w:w="7239" w:type="dxa"/>
            <w:gridSpan w:val="3"/>
            <w:tcBorders>
              <w:top w:val="single" w:color="000001" w:sz="4" w:space="0"/>
              <w:left w:val="nil"/>
              <w:bottom w:val="single" w:color="000001" w:sz="4" w:space="0"/>
              <w:right w:val="single" w:color="000001" w:sz="12" w:space="0"/>
            </w:tcBorders>
            <w:noWrap w:val="0"/>
            <w:vAlign w:val="center"/>
          </w:tcPr>
          <w:p>
            <w:pPr>
              <w:overflowPunct w:val="0"/>
              <w:spacing w:line="400" w:lineRule="exact"/>
              <w:jc w:val="left"/>
              <w:rPr>
                <w:rFonts w:ascii="Times New Roman" w:hAnsi="Times New Roman" w:eastAsia="仿宋_GB2312"/>
                <w:color w:val="auto"/>
                <w:kern w:val="0"/>
                <w:sz w:val="24"/>
                <w:szCs w:val="24"/>
                <w:u w:val="none" w:color="000000"/>
              </w:rPr>
            </w:pPr>
          </w:p>
        </w:tc>
      </w:tr>
      <w:tr>
        <w:tblPrEx>
          <w:tblCellMar>
            <w:top w:w="80" w:type="dxa"/>
            <w:left w:w="80" w:type="dxa"/>
            <w:bottom w:w="80" w:type="dxa"/>
            <w:right w:w="80" w:type="dxa"/>
          </w:tblCellMar>
        </w:tblPrEx>
        <w:trPr>
          <w:wBefore w:w="0" w:type="auto"/>
          <w:trHeight w:val="784" w:hRule="atLeast"/>
        </w:trPr>
        <w:tc>
          <w:tcPr>
            <w:tcW w:w="646" w:type="dxa"/>
            <w:vMerge w:val="continue"/>
            <w:tcBorders>
              <w:top w:val="nil"/>
              <w:left w:val="single" w:color="000001" w:sz="12" w:space="0"/>
              <w:bottom w:val="single" w:color="000001" w:sz="4" w:space="0"/>
              <w:right w:val="single" w:color="000001" w:sz="4" w:space="0"/>
            </w:tcBorders>
            <w:noWrap w:val="0"/>
            <w:vAlign w:val="center"/>
          </w:tcPr>
          <w:p>
            <w:pPr>
              <w:widowControl/>
              <w:jc w:val="left"/>
              <w:rPr>
                <w:rFonts w:ascii="Times New Roman" w:hAnsi="Times New Roman"/>
                <w:color w:val="auto"/>
                <w:kern w:val="0"/>
                <w:szCs w:val="21"/>
              </w:rPr>
            </w:pPr>
          </w:p>
        </w:tc>
        <w:tc>
          <w:tcPr>
            <w:tcW w:w="1416" w:type="dxa"/>
            <w:tcBorders>
              <w:top w:val="single" w:color="000001" w:sz="4" w:space="0"/>
              <w:left w:val="nil"/>
              <w:bottom w:val="single" w:color="000001" w:sz="4" w:space="0"/>
              <w:right w:val="single" w:color="000001" w:sz="4" w:space="0"/>
            </w:tcBorders>
            <w:noWrap w:val="0"/>
            <w:vAlign w:val="center"/>
          </w:tcPr>
          <w:p>
            <w:pPr>
              <w:overflowPunct w:val="0"/>
              <w:spacing w:line="400" w:lineRule="exact"/>
              <w:jc w:val="center"/>
              <w:rPr>
                <w:rFonts w:ascii="Times New Roman" w:hAnsi="Times New Roman"/>
                <w:color w:val="auto"/>
                <w:kern w:val="0"/>
                <w:szCs w:val="21"/>
              </w:rPr>
            </w:pPr>
            <w:r>
              <w:rPr>
                <w:rFonts w:ascii="宋体" w:hAnsi="宋体" w:cs="宋体"/>
                <w:color w:val="auto"/>
                <w:kern w:val="0"/>
                <w:sz w:val="24"/>
                <w:szCs w:val="24"/>
                <w:u w:val="none" w:color="000000"/>
              </w:rPr>
              <w:t>法定代表人</w:t>
            </w:r>
          </w:p>
        </w:tc>
        <w:tc>
          <w:tcPr>
            <w:tcW w:w="2413" w:type="dxa"/>
            <w:tcBorders>
              <w:top w:val="single" w:color="000001" w:sz="4" w:space="0"/>
              <w:left w:val="nil"/>
              <w:bottom w:val="single" w:color="000001" w:sz="4" w:space="0"/>
              <w:right w:val="single" w:color="000001" w:sz="4" w:space="0"/>
            </w:tcBorders>
            <w:noWrap w:val="0"/>
            <w:vAlign w:val="center"/>
          </w:tcPr>
          <w:p>
            <w:pPr>
              <w:overflowPunct w:val="0"/>
              <w:spacing w:line="400" w:lineRule="exact"/>
              <w:ind w:firstLine="1440"/>
              <w:jc w:val="left"/>
              <w:rPr>
                <w:rFonts w:ascii="Times New Roman" w:hAnsi="Times New Roman" w:eastAsia="仿宋_GB2312"/>
                <w:color w:val="auto"/>
                <w:kern w:val="0"/>
                <w:sz w:val="24"/>
                <w:szCs w:val="24"/>
                <w:u w:val="none" w:color="000000"/>
              </w:rPr>
            </w:pPr>
          </w:p>
          <w:p>
            <w:pPr>
              <w:overflowPunct w:val="0"/>
              <w:spacing w:line="400" w:lineRule="exact"/>
              <w:ind w:firstLine="1440"/>
              <w:jc w:val="left"/>
              <w:rPr>
                <w:rFonts w:ascii="Times New Roman" w:hAnsi="Times New Roman"/>
                <w:color w:val="auto"/>
                <w:kern w:val="0"/>
                <w:szCs w:val="21"/>
              </w:rPr>
            </w:pPr>
            <w:r>
              <w:rPr>
                <w:rFonts w:ascii="Times New Roman" w:hAnsi="Times New Roman" w:eastAsia="仿宋_GB2312"/>
                <w:color w:val="auto"/>
                <w:kern w:val="0"/>
                <w:sz w:val="24"/>
                <w:szCs w:val="24"/>
                <w:u w:val="none" w:color="000000"/>
              </w:rPr>
              <w:t>(</w:t>
            </w:r>
            <w:r>
              <w:rPr>
                <w:rFonts w:ascii="宋体" w:hAnsi="宋体" w:cs="宋体"/>
                <w:color w:val="auto"/>
                <w:kern w:val="0"/>
                <w:sz w:val="24"/>
                <w:szCs w:val="24"/>
                <w:u w:val="none" w:color="000000"/>
              </w:rPr>
              <w:t>签章</w:t>
            </w:r>
            <w:r>
              <w:rPr>
                <w:rFonts w:ascii="Times New Roman" w:hAnsi="Times New Roman" w:eastAsia="仿宋_GB2312"/>
                <w:color w:val="auto"/>
                <w:kern w:val="0"/>
                <w:sz w:val="24"/>
                <w:szCs w:val="24"/>
                <w:u w:val="none" w:color="000000"/>
              </w:rPr>
              <w:t>)</w:t>
            </w:r>
          </w:p>
        </w:tc>
        <w:tc>
          <w:tcPr>
            <w:tcW w:w="2413" w:type="dxa"/>
            <w:tcBorders>
              <w:top w:val="single" w:color="000001" w:sz="4" w:space="0"/>
              <w:left w:val="nil"/>
              <w:bottom w:val="single" w:color="000001" w:sz="4" w:space="0"/>
              <w:right w:val="single" w:color="000001" w:sz="4" w:space="0"/>
            </w:tcBorders>
            <w:noWrap w:val="0"/>
            <w:vAlign w:val="center"/>
          </w:tcPr>
          <w:p>
            <w:pPr>
              <w:overflowPunct w:val="0"/>
              <w:spacing w:line="400" w:lineRule="exact"/>
              <w:jc w:val="center"/>
              <w:rPr>
                <w:rFonts w:ascii="Times New Roman" w:hAnsi="Times New Roman"/>
                <w:color w:val="auto"/>
                <w:kern w:val="0"/>
                <w:szCs w:val="21"/>
              </w:rPr>
            </w:pPr>
            <w:r>
              <w:rPr>
                <w:rFonts w:ascii="宋体" w:hAnsi="宋体" w:cs="宋体"/>
                <w:color w:val="auto"/>
                <w:kern w:val="0"/>
                <w:sz w:val="24"/>
                <w:szCs w:val="24"/>
                <w:u w:val="none" w:color="000000"/>
              </w:rPr>
              <w:t>授权代表</w:t>
            </w:r>
          </w:p>
        </w:tc>
        <w:tc>
          <w:tcPr>
            <w:tcW w:w="2413" w:type="dxa"/>
            <w:tcBorders>
              <w:top w:val="single" w:color="000001" w:sz="4" w:space="0"/>
              <w:left w:val="nil"/>
              <w:bottom w:val="single" w:color="000001" w:sz="4" w:space="0"/>
              <w:right w:val="single" w:color="000001" w:sz="12" w:space="0"/>
            </w:tcBorders>
            <w:noWrap w:val="0"/>
            <w:vAlign w:val="center"/>
          </w:tcPr>
          <w:p>
            <w:pPr>
              <w:overflowPunct w:val="0"/>
              <w:spacing w:line="400" w:lineRule="exact"/>
              <w:jc w:val="left"/>
              <w:rPr>
                <w:rFonts w:ascii="Times New Roman" w:hAnsi="Times New Roman" w:eastAsia="PMingLiU"/>
                <w:color w:val="auto"/>
                <w:kern w:val="0"/>
                <w:sz w:val="24"/>
                <w:szCs w:val="24"/>
                <w:u w:val="none" w:color="000000"/>
              </w:rPr>
            </w:pPr>
          </w:p>
          <w:p>
            <w:pPr>
              <w:overflowPunct w:val="0"/>
              <w:spacing w:line="400" w:lineRule="exact"/>
              <w:jc w:val="right"/>
              <w:rPr>
                <w:rFonts w:ascii="Times New Roman" w:hAnsi="Times New Roman"/>
                <w:color w:val="auto"/>
                <w:kern w:val="0"/>
                <w:szCs w:val="21"/>
              </w:rPr>
            </w:pPr>
            <w:r>
              <w:rPr>
                <w:rFonts w:ascii="宋体" w:hAnsi="宋体" w:cs="宋体"/>
                <w:color w:val="auto"/>
                <w:kern w:val="0"/>
                <w:sz w:val="24"/>
                <w:szCs w:val="24"/>
                <w:u w:val="none" w:color="000000"/>
              </w:rPr>
              <w:t>（签章）</w:t>
            </w:r>
          </w:p>
        </w:tc>
      </w:tr>
      <w:tr>
        <w:tblPrEx>
          <w:tblCellMar>
            <w:top w:w="80" w:type="dxa"/>
            <w:left w:w="80" w:type="dxa"/>
            <w:bottom w:w="80" w:type="dxa"/>
            <w:right w:w="80" w:type="dxa"/>
          </w:tblCellMar>
        </w:tblPrEx>
        <w:trPr>
          <w:wBefore w:w="0" w:type="auto"/>
          <w:trHeight w:val="549" w:hRule="atLeast"/>
        </w:trPr>
        <w:tc>
          <w:tcPr>
            <w:tcW w:w="646" w:type="dxa"/>
            <w:vMerge w:val="continue"/>
            <w:tcBorders>
              <w:top w:val="nil"/>
              <w:left w:val="single" w:color="000001" w:sz="12" w:space="0"/>
              <w:bottom w:val="single" w:color="000001" w:sz="4" w:space="0"/>
              <w:right w:val="single" w:color="000001" w:sz="4" w:space="0"/>
            </w:tcBorders>
            <w:noWrap w:val="0"/>
            <w:vAlign w:val="center"/>
          </w:tcPr>
          <w:p>
            <w:pPr>
              <w:widowControl/>
              <w:jc w:val="left"/>
              <w:rPr>
                <w:rFonts w:ascii="Times New Roman" w:hAnsi="Times New Roman"/>
                <w:color w:val="auto"/>
                <w:kern w:val="0"/>
                <w:szCs w:val="21"/>
              </w:rPr>
            </w:pPr>
          </w:p>
        </w:tc>
        <w:tc>
          <w:tcPr>
            <w:tcW w:w="1416" w:type="dxa"/>
            <w:tcBorders>
              <w:top w:val="single" w:color="000001" w:sz="4" w:space="0"/>
              <w:left w:val="nil"/>
              <w:bottom w:val="single" w:color="000001" w:sz="4" w:space="0"/>
              <w:right w:val="single" w:color="000001" w:sz="4" w:space="0"/>
            </w:tcBorders>
            <w:noWrap w:val="0"/>
            <w:vAlign w:val="center"/>
          </w:tcPr>
          <w:p>
            <w:pPr>
              <w:spacing w:line="400" w:lineRule="exact"/>
              <w:jc w:val="center"/>
              <w:rPr>
                <w:rFonts w:ascii="Times New Roman" w:hAnsi="Times New Roman"/>
                <w:color w:val="auto"/>
                <w:kern w:val="0"/>
                <w:szCs w:val="21"/>
              </w:rPr>
            </w:pPr>
            <w:r>
              <w:rPr>
                <w:rFonts w:ascii="宋体" w:hAnsi="宋体" w:cs="宋体"/>
                <w:color w:val="auto"/>
                <w:kern w:val="0"/>
                <w:sz w:val="24"/>
                <w:szCs w:val="24"/>
                <w:u w:val="none" w:color="000000"/>
              </w:rPr>
              <w:t>联系人</w:t>
            </w:r>
          </w:p>
        </w:tc>
        <w:tc>
          <w:tcPr>
            <w:tcW w:w="2413" w:type="dxa"/>
            <w:tcBorders>
              <w:top w:val="single" w:color="000001" w:sz="4" w:space="0"/>
              <w:left w:val="nil"/>
              <w:bottom w:val="single" w:color="000001" w:sz="4" w:space="0"/>
              <w:right w:val="single" w:color="000001" w:sz="4" w:space="0"/>
            </w:tcBorders>
            <w:noWrap w:val="0"/>
            <w:vAlign w:val="center"/>
          </w:tcPr>
          <w:p>
            <w:pPr>
              <w:spacing w:line="400" w:lineRule="exact"/>
              <w:jc w:val="center"/>
              <w:rPr>
                <w:rFonts w:ascii="Times New Roman" w:hAnsi="Times New Roman" w:eastAsia="仿宋_GB2312"/>
                <w:color w:val="auto"/>
                <w:kern w:val="0"/>
                <w:sz w:val="24"/>
                <w:szCs w:val="24"/>
                <w:u w:val="none" w:color="000000"/>
              </w:rPr>
            </w:pPr>
          </w:p>
        </w:tc>
        <w:tc>
          <w:tcPr>
            <w:tcW w:w="2413" w:type="dxa"/>
            <w:tcBorders>
              <w:top w:val="single" w:color="000001" w:sz="4" w:space="0"/>
              <w:left w:val="nil"/>
              <w:bottom w:val="single" w:color="000001" w:sz="4" w:space="0"/>
              <w:right w:val="single" w:color="000001" w:sz="4" w:space="0"/>
            </w:tcBorders>
            <w:noWrap w:val="0"/>
            <w:vAlign w:val="center"/>
          </w:tcPr>
          <w:p>
            <w:pPr>
              <w:spacing w:line="400" w:lineRule="exact"/>
              <w:jc w:val="center"/>
              <w:rPr>
                <w:rFonts w:ascii="Times New Roman" w:hAnsi="Times New Roman"/>
                <w:color w:val="auto"/>
                <w:kern w:val="0"/>
                <w:szCs w:val="21"/>
              </w:rPr>
            </w:pPr>
            <w:r>
              <w:rPr>
                <w:rFonts w:ascii="宋体" w:hAnsi="宋体" w:cs="宋体"/>
                <w:color w:val="auto"/>
                <w:kern w:val="0"/>
                <w:sz w:val="24"/>
                <w:szCs w:val="24"/>
                <w:u w:val="none" w:color="000000"/>
              </w:rPr>
              <w:t>电话</w:t>
            </w:r>
          </w:p>
        </w:tc>
        <w:tc>
          <w:tcPr>
            <w:tcW w:w="2413" w:type="dxa"/>
            <w:tcBorders>
              <w:top w:val="single" w:color="000001" w:sz="4" w:space="0"/>
              <w:left w:val="nil"/>
              <w:bottom w:val="single" w:color="000001" w:sz="4" w:space="0"/>
              <w:right w:val="single" w:color="000001" w:sz="12" w:space="0"/>
            </w:tcBorders>
            <w:noWrap w:val="0"/>
            <w:vAlign w:val="center"/>
          </w:tcPr>
          <w:p>
            <w:pPr>
              <w:spacing w:line="400" w:lineRule="exact"/>
              <w:jc w:val="center"/>
              <w:rPr>
                <w:rFonts w:ascii="Times New Roman" w:hAnsi="Times New Roman" w:eastAsia="仿宋_GB2312"/>
                <w:color w:val="auto"/>
                <w:kern w:val="0"/>
                <w:sz w:val="24"/>
                <w:szCs w:val="24"/>
                <w:u w:val="none" w:color="000000"/>
              </w:rPr>
            </w:pPr>
          </w:p>
        </w:tc>
      </w:tr>
      <w:tr>
        <w:tblPrEx>
          <w:tblCellMar>
            <w:top w:w="80" w:type="dxa"/>
            <w:left w:w="80" w:type="dxa"/>
            <w:bottom w:w="80" w:type="dxa"/>
            <w:right w:w="80" w:type="dxa"/>
          </w:tblCellMar>
        </w:tblPrEx>
        <w:trPr>
          <w:wBefore w:w="0" w:type="auto"/>
          <w:trHeight w:val="619" w:hRule="atLeast"/>
        </w:trPr>
        <w:tc>
          <w:tcPr>
            <w:tcW w:w="646" w:type="dxa"/>
            <w:vMerge w:val="continue"/>
            <w:tcBorders>
              <w:top w:val="nil"/>
              <w:left w:val="single" w:color="000001" w:sz="12" w:space="0"/>
              <w:bottom w:val="single" w:color="000001" w:sz="4" w:space="0"/>
              <w:right w:val="single" w:color="000001" w:sz="4" w:space="0"/>
            </w:tcBorders>
            <w:noWrap w:val="0"/>
            <w:vAlign w:val="center"/>
          </w:tcPr>
          <w:p>
            <w:pPr>
              <w:widowControl/>
              <w:jc w:val="left"/>
              <w:rPr>
                <w:rFonts w:ascii="Times New Roman" w:hAnsi="Times New Roman"/>
                <w:color w:val="auto"/>
                <w:kern w:val="0"/>
                <w:szCs w:val="21"/>
              </w:rPr>
            </w:pPr>
          </w:p>
        </w:tc>
        <w:tc>
          <w:tcPr>
            <w:tcW w:w="1416" w:type="dxa"/>
            <w:tcBorders>
              <w:top w:val="single" w:color="000001" w:sz="4" w:space="0"/>
              <w:left w:val="nil"/>
              <w:bottom w:val="single" w:color="000001" w:sz="4" w:space="0"/>
              <w:right w:val="single" w:color="000001" w:sz="4" w:space="0"/>
            </w:tcBorders>
            <w:noWrap w:val="0"/>
            <w:vAlign w:val="center"/>
          </w:tcPr>
          <w:p>
            <w:pPr>
              <w:spacing w:line="500" w:lineRule="exact"/>
              <w:jc w:val="center"/>
              <w:rPr>
                <w:rFonts w:ascii="Times New Roman" w:hAnsi="Times New Roman"/>
                <w:color w:val="auto"/>
                <w:kern w:val="0"/>
                <w:szCs w:val="21"/>
              </w:rPr>
            </w:pPr>
            <w:r>
              <w:rPr>
                <w:rFonts w:ascii="宋体" w:hAnsi="宋体" w:cs="宋体"/>
                <w:color w:val="auto"/>
                <w:kern w:val="0"/>
                <w:sz w:val="24"/>
                <w:szCs w:val="24"/>
                <w:u w:val="none" w:color="000000"/>
              </w:rPr>
              <w:t>通讯地址</w:t>
            </w:r>
          </w:p>
        </w:tc>
        <w:tc>
          <w:tcPr>
            <w:tcW w:w="7239" w:type="dxa"/>
            <w:gridSpan w:val="3"/>
            <w:tcBorders>
              <w:top w:val="single" w:color="000001" w:sz="4" w:space="0"/>
              <w:left w:val="nil"/>
              <w:bottom w:val="single" w:color="000001" w:sz="4" w:space="0"/>
              <w:right w:val="single" w:color="000001" w:sz="12" w:space="0"/>
            </w:tcBorders>
            <w:noWrap w:val="0"/>
            <w:vAlign w:val="center"/>
          </w:tcPr>
          <w:p>
            <w:pPr>
              <w:spacing w:line="500" w:lineRule="exact"/>
              <w:rPr>
                <w:rFonts w:ascii="Times New Roman" w:hAnsi="Times New Roman" w:eastAsia="仿宋_GB2312"/>
                <w:color w:val="auto"/>
                <w:kern w:val="0"/>
                <w:sz w:val="24"/>
                <w:szCs w:val="24"/>
                <w:u w:val="none" w:color="000000"/>
              </w:rPr>
            </w:pPr>
          </w:p>
        </w:tc>
      </w:tr>
      <w:tr>
        <w:tblPrEx>
          <w:tblCellMar>
            <w:top w:w="80" w:type="dxa"/>
            <w:left w:w="80" w:type="dxa"/>
            <w:bottom w:w="80" w:type="dxa"/>
            <w:right w:w="80" w:type="dxa"/>
          </w:tblCellMar>
        </w:tblPrEx>
        <w:trPr>
          <w:wBefore w:w="0" w:type="auto"/>
          <w:trHeight w:val="566" w:hRule="atLeast"/>
        </w:trPr>
        <w:tc>
          <w:tcPr>
            <w:tcW w:w="646" w:type="dxa"/>
            <w:vMerge w:val="continue"/>
            <w:tcBorders>
              <w:top w:val="nil"/>
              <w:left w:val="single" w:color="000001" w:sz="12" w:space="0"/>
              <w:bottom w:val="single" w:color="000001" w:sz="4" w:space="0"/>
              <w:right w:val="single" w:color="000001" w:sz="4" w:space="0"/>
            </w:tcBorders>
            <w:noWrap w:val="0"/>
            <w:vAlign w:val="center"/>
          </w:tcPr>
          <w:p>
            <w:pPr>
              <w:widowControl/>
              <w:jc w:val="left"/>
              <w:rPr>
                <w:rFonts w:ascii="Times New Roman" w:hAnsi="Times New Roman"/>
                <w:color w:val="auto"/>
                <w:kern w:val="0"/>
                <w:szCs w:val="21"/>
              </w:rPr>
            </w:pPr>
          </w:p>
        </w:tc>
        <w:tc>
          <w:tcPr>
            <w:tcW w:w="1416" w:type="dxa"/>
            <w:tcBorders>
              <w:top w:val="single" w:color="000001" w:sz="4" w:space="0"/>
              <w:left w:val="nil"/>
              <w:bottom w:val="single" w:color="000001" w:sz="4" w:space="0"/>
              <w:right w:val="single" w:color="000001" w:sz="4" w:space="0"/>
            </w:tcBorders>
            <w:noWrap w:val="0"/>
            <w:vAlign w:val="center"/>
          </w:tcPr>
          <w:p>
            <w:pPr>
              <w:spacing w:line="500" w:lineRule="exact"/>
              <w:jc w:val="center"/>
              <w:rPr>
                <w:rFonts w:ascii="Times New Roman" w:hAnsi="Times New Roman"/>
                <w:color w:val="auto"/>
                <w:kern w:val="0"/>
                <w:szCs w:val="21"/>
              </w:rPr>
            </w:pPr>
            <w:r>
              <w:rPr>
                <w:rFonts w:ascii="宋体" w:hAnsi="宋体" w:cs="宋体"/>
                <w:color w:val="auto"/>
                <w:kern w:val="0"/>
                <w:sz w:val="24"/>
                <w:szCs w:val="24"/>
                <w:u w:val="none" w:color="000000"/>
              </w:rPr>
              <w:t>开户银行</w:t>
            </w:r>
          </w:p>
        </w:tc>
        <w:tc>
          <w:tcPr>
            <w:tcW w:w="7239" w:type="dxa"/>
            <w:gridSpan w:val="3"/>
            <w:tcBorders>
              <w:top w:val="single" w:color="000001" w:sz="4" w:space="0"/>
              <w:left w:val="nil"/>
              <w:bottom w:val="single" w:color="000001" w:sz="4" w:space="0"/>
              <w:right w:val="single" w:color="000001" w:sz="12" w:space="0"/>
            </w:tcBorders>
            <w:noWrap w:val="0"/>
            <w:vAlign w:val="center"/>
          </w:tcPr>
          <w:p>
            <w:pPr>
              <w:spacing w:line="500" w:lineRule="exact"/>
              <w:rPr>
                <w:rFonts w:ascii="Times New Roman" w:hAnsi="Times New Roman" w:eastAsia="仿宋_GB2312"/>
                <w:color w:val="auto"/>
                <w:kern w:val="0"/>
                <w:sz w:val="24"/>
                <w:szCs w:val="24"/>
                <w:u w:val="none" w:color="000000"/>
              </w:rPr>
            </w:pPr>
          </w:p>
        </w:tc>
      </w:tr>
      <w:tr>
        <w:tblPrEx>
          <w:tblCellMar>
            <w:top w:w="80" w:type="dxa"/>
            <w:left w:w="80" w:type="dxa"/>
            <w:bottom w:w="80" w:type="dxa"/>
            <w:right w:w="80" w:type="dxa"/>
          </w:tblCellMar>
        </w:tblPrEx>
        <w:trPr>
          <w:wBefore w:w="0" w:type="auto"/>
          <w:trHeight w:val="486" w:hRule="atLeast"/>
        </w:trPr>
        <w:tc>
          <w:tcPr>
            <w:tcW w:w="646" w:type="dxa"/>
            <w:vMerge w:val="continue"/>
            <w:tcBorders>
              <w:top w:val="nil"/>
              <w:left w:val="single" w:color="000001" w:sz="12" w:space="0"/>
              <w:bottom w:val="single" w:color="000001" w:sz="4" w:space="0"/>
              <w:right w:val="single" w:color="000001" w:sz="4" w:space="0"/>
            </w:tcBorders>
            <w:noWrap w:val="0"/>
            <w:vAlign w:val="center"/>
          </w:tcPr>
          <w:p>
            <w:pPr>
              <w:widowControl/>
              <w:jc w:val="left"/>
              <w:rPr>
                <w:rFonts w:ascii="Times New Roman" w:hAnsi="Times New Roman"/>
                <w:color w:val="auto"/>
                <w:kern w:val="0"/>
                <w:szCs w:val="21"/>
              </w:rPr>
            </w:pPr>
          </w:p>
        </w:tc>
        <w:tc>
          <w:tcPr>
            <w:tcW w:w="1416" w:type="dxa"/>
            <w:tcBorders>
              <w:top w:val="single" w:color="000001" w:sz="4" w:space="0"/>
              <w:left w:val="nil"/>
              <w:bottom w:val="single" w:color="000001" w:sz="12" w:space="0"/>
              <w:right w:val="single" w:color="000001" w:sz="4" w:space="0"/>
            </w:tcBorders>
            <w:noWrap w:val="0"/>
            <w:vAlign w:val="center"/>
          </w:tcPr>
          <w:p>
            <w:pPr>
              <w:spacing w:line="500" w:lineRule="exact"/>
              <w:jc w:val="center"/>
              <w:rPr>
                <w:rFonts w:ascii="Times New Roman" w:hAnsi="Times New Roman"/>
                <w:color w:val="auto"/>
                <w:kern w:val="0"/>
                <w:szCs w:val="21"/>
              </w:rPr>
            </w:pPr>
            <w:r>
              <w:rPr>
                <w:rFonts w:ascii="宋体" w:hAnsi="宋体" w:cs="宋体"/>
                <w:color w:val="auto"/>
                <w:kern w:val="0"/>
                <w:sz w:val="24"/>
                <w:szCs w:val="24"/>
                <w:u w:val="none" w:color="000000"/>
              </w:rPr>
              <w:t>帐号</w:t>
            </w:r>
          </w:p>
        </w:tc>
        <w:tc>
          <w:tcPr>
            <w:tcW w:w="7239" w:type="dxa"/>
            <w:gridSpan w:val="3"/>
            <w:tcBorders>
              <w:top w:val="single" w:color="000001" w:sz="4" w:space="0"/>
              <w:left w:val="nil"/>
              <w:bottom w:val="single" w:color="000001" w:sz="12" w:space="0"/>
              <w:right w:val="single" w:color="000001" w:sz="12" w:space="0"/>
            </w:tcBorders>
            <w:noWrap w:val="0"/>
            <w:vAlign w:val="center"/>
          </w:tcPr>
          <w:p>
            <w:pPr>
              <w:spacing w:line="500" w:lineRule="exact"/>
              <w:rPr>
                <w:rFonts w:ascii="Times New Roman" w:hAnsi="Times New Roman" w:eastAsia="仿宋_GB2312"/>
                <w:color w:val="auto"/>
                <w:kern w:val="0"/>
                <w:sz w:val="24"/>
                <w:szCs w:val="24"/>
                <w:u w:val="none" w:color="000000"/>
              </w:rPr>
            </w:pPr>
          </w:p>
        </w:tc>
      </w:tr>
    </w:tbl>
    <w:p>
      <w:pPr>
        <w:spacing w:line="590" w:lineRule="exact"/>
        <w:ind w:firstLine="616" w:firstLineChars="200"/>
        <w:rPr>
          <w:rFonts w:ascii="仿宋_GB2312" w:hAnsi="仿宋_GB2312" w:cs="Calibri"/>
          <w:color w:val="auto"/>
          <w:spacing w:val="-6"/>
          <w:kern w:val="0"/>
          <w:sz w:val="32"/>
          <w:szCs w:val="32"/>
          <w:u w:val="none" w:color="000000"/>
        </w:rPr>
      </w:pPr>
      <w:r>
        <w:rPr>
          <w:rFonts w:ascii="仿宋_GB2312" w:hAnsi="仿宋_GB2312" w:cs="Calibri"/>
          <w:color w:val="auto"/>
          <w:spacing w:val="-6"/>
          <w:kern w:val="0"/>
          <w:sz w:val="32"/>
          <w:szCs w:val="32"/>
          <w:u w:val="none" w:color="000000"/>
        </w:rPr>
        <w:t xml:space="preserve"> </w:t>
      </w:r>
    </w:p>
    <w:p>
      <w:pPr>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 xml:space="preserve"> </w:t>
      </w:r>
    </w:p>
    <w:p>
      <w:pPr>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 xml:space="preserve"> </w:t>
      </w:r>
    </w:p>
    <w:p>
      <w:pPr>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 xml:space="preserve"> </w:t>
      </w:r>
    </w:p>
    <w:p>
      <w:pPr>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 xml:space="preserve"> </w:t>
      </w:r>
    </w:p>
    <w:p>
      <w:pPr>
        <w:keepNext/>
        <w:keepLines/>
        <w:spacing w:line="576" w:lineRule="auto"/>
        <w:jc w:val="center"/>
        <w:outlineLvl w:val="0"/>
        <w:rPr>
          <w:rFonts w:cs="Calibri"/>
          <w:b/>
          <w:color w:val="auto"/>
          <w:sz w:val="44"/>
          <w:szCs w:val="44"/>
        </w:rPr>
      </w:pPr>
      <w:bookmarkStart w:id="113" w:name="_Toc13304"/>
      <w:bookmarkEnd w:id="113"/>
      <w:bookmarkStart w:id="114" w:name="_Toc7544"/>
      <w:r>
        <w:rPr>
          <w:rFonts w:hint="eastAsia" w:ascii="宋体" w:hAnsi="宋体" w:cs="Calibri"/>
          <w:b/>
          <w:color w:val="auto"/>
          <w:sz w:val="36"/>
          <w:szCs w:val="36"/>
        </w:rPr>
        <w:t>第八</w:t>
      </w:r>
      <w:bookmarkEnd w:id="114"/>
      <w:r>
        <w:rPr>
          <w:rFonts w:hint="eastAsia" w:ascii="宋体" w:hAnsi="宋体" w:cs="Calibri"/>
          <w:b/>
          <w:color w:val="auto"/>
          <w:sz w:val="32"/>
          <w:szCs w:val="32"/>
        </w:rPr>
        <w:t>章 投标</w:t>
      </w:r>
      <w:r>
        <w:rPr>
          <w:rFonts w:ascii="宋体" w:hAnsi="宋体" w:cs="Calibri"/>
          <w:b/>
          <w:color w:val="auto"/>
          <w:sz w:val="36"/>
          <w:szCs w:val="36"/>
        </w:rPr>
        <w:t>文件部分格式</w:t>
      </w:r>
    </w:p>
    <w:p>
      <w:pPr>
        <w:spacing w:line="360" w:lineRule="auto"/>
        <w:outlineLvl w:val="0"/>
        <w:rPr>
          <w:rFonts w:cs="Calibri"/>
          <w:color w:val="auto"/>
          <w:sz w:val="52"/>
          <w:szCs w:val="52"/>
          <w:u w:val="single"/>
        </w:rPr>
      </w:pPr>
      <w:bookmarkStart w:id="115" w:name="_Toc47"/>
      <w:bookmarkEnd w:id="115"/>
      <w:r>
        <w:rPr>
          <w:rFonts w:ascii="宋体" w:hAnsi="宋体" w:cs="Calibri"/>
          <w:b/>
          <w:color w:val="auto"/>
          <w:sz w:val="28"/>
          <w:szCs w:val="28"/>
        </w:rPr>
        <w:t>封面格式</w:t>
      </w:r>
    </w:p>
    <w:p>
      <w:pPr>
        <w:jc w:val="right"/>
        <w:rPr>
          <w:rFonts w:cs="Calibri"/>
          <w:b/>
          <w:color w:val="auto"/>
          <w:sz w:val="30"/>
          <w:szCs w:val="30"/>
        </w:rPr>
      </w:pPr>
      <w:r>
        <w:rPr>
          <w:rFonts w:cs="Calibri"/>
          <w:b/>
          <w:color w:val="auto"/>
          <w:sz w:val="30"/>
          <w:szCs w:val="30"/>
        </w:rPr>
        <w:t xml:space="preserve"> </w:t>
      </w:r>
    </w:p>
    <w:p>
      <w:pPr>
        <w:jc w:val="right"/>
        <w:outlineLvl w:val="0"/>
        <w:rPr>
          <w:rFonts w:cs="Calibri"/>
          <w:b/>
          <w:color w:val="auto"/>
          <w:sz w:val="30"/>
          <w:szCs w:val="30"/>
        </w:rPr>
      </w:pPr>
      <w:bookmarkStart w:id="116" w:name="_Toc32086"/>
      <w:bookmarkEnd w:id="116"/>
      <w:r>
        <w:rPr>
          <w:rFonts w:ascii="宋体" w:hAnsi="宋体" w:cs="Calibri"/>
          <w:b/>
          <w:color w:val="auto"/>
          <w:sz w:val="30"/>
          <w:szCs w:val="30"/>
        </w:rPr>
        <w:t>正本（副本）</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jc w:val="center"/>
        <w:outlineLvl w:val="0"/>
        <w:rPr>
          <w:rFonts w:cs="Calibri"/>
          <w:color w:val="auto"/>
          <w:sz w:val="52"/>
          <w:szCs w:val="52"/>
        </w:rPr>
      </w:pPr>
      <w:r>
        <w:rPr>
          <w:rFonts w:cs="Calibri"/>
          <w:color w:val="auto"/>
          <w:sz w:val="52"/>
          <w:szCs w:val="52"/>
          <w:u w:val="single"/>
        </w:rPr>
        <w:t xml:space="preserve">                      </w:t>
      </w:r>
      <w:bookmarkStart w:id="117" w:name="_Toc32301"/>
      <w:bookmarkEnd w:id="117"/>
      <w:r>
        <w:rPr>
          <w:rFonts w:ascii="宋体" w:hAnsi="宋体" w:cs="Calibri"/>
          <w:color w:val="auto"/>
          <w:sz w:val="52"/>
          <w:szCs w:val="52"/>
        </w:rPr>
        <w:t>项目</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jc w:val="center"/>
        <w:outlineLvl w:val="0"/>
        <w:rPr>
          <w:rFonts w:cs="Calibri"/>
          <w:b/>
          <w:color w:val="auto"/>
          <w:sz w:val="72"/>
          <w:szCs w:val="72"/>
        </w:rPr>
      </w:pPr>
      <w:bookmarkStart w:id="118" w:name="_Toc31153"/>
      <w:bookmarkEnd w:id="118"/>
      <w:r>
        <w:rPr>
          <w:rFonts w:ascii="宋体" w:hAnsi="宋体" w:cs="Calibri"/>
          <w:b/>
          <w:color w:val="auto"/>
          <w:sz w:val="72"/>
          <w:szCs w:val="72"/>
        </w:rPr>
        <w:t>投</w:t>
      </w:r>
      <w:r>
        <w:rPr>
          <w:rFonts w:cs="Calibri"/>
          <w:b/>
          <w:color w:val="auto"/>
          <w:sz w:val="72"/>
          <w:szCs w:val="72"/>
        </w:rPr>
        <w:t xml:space="preserve"> </w:t>
      </w:r>
      <w:r>
        <w:rPr>
          <w:rFonts w:ascii="宋体" w:hAnsi="宋体" w:cs="Calibri"/>
          <w:b/>
          <w:color w:val="auto"/>
          <w:sz w:val="72"/>
          <w:szCs w:val="72"/>
        </w:rPr>
        <w:t>标</w:t>
      </w:r>
      <w:r>
        <w:rPr>
          <w:rFonts w:cs="Calibri"/>
          <w:b/>
          <w:color w:val="auto"/>
          <w:sz w:val="72"/>
          <w:szCs w:val="72"/>
        </w:rPr>
        <w:t xml:space="preserve"> </w:t>
      </w:r>
      <w:r>
        <w:rPr>
          <w:rFonts w:ascii="宋体" w:hAnsi="宋体" w:cs="Calibri"/>
          <w:b/>
          <w:color w:val="auto"/>
          <w:sz w:val="72"/>
          <w:szCs w:val="72"/>
        </w:rPr>
        <w:t>文</w:t>
      </w:r>
      <w:r>
        <w:rPr>
          <w:rFonts w:cs="Calibri"/>
          <w:b/>
          <w:color w:val="auto"/>
          <w:sz w:val="72"/>
          <w:szCs w:val="72"/>
        </w:rPr>
        <w:t xml:space="preserve"> </w:t>
      </w:r>
      <w:r>
        <w:rPr>
          <w:rFonts w:ascii="宋体" w:hAnsi="宋体" w:cs="Calibri"/>
          <w:b/>
          <w:color w:val="auto"/>
          <w:sz w:val="72"/>
          <w:szCs w:val="72"/>
        </w:rPr>
        <w:t>件</w:t>
      </w:r>
    </w:p>
    <w:p>
      <w:pPr>
        <w:rPr>
          <w:rFonts w:cs="Calibri"/>
          <w:color w:val="auto"/>
          <w:szCs w:val="21"/>
        </w:rPr>
      </w:pPr>
      <w:r>
        <w:rPr>
          <w:rFonts w:cs="Calibri"/>
          <w:color w:val="auto"/>
          <w:szCs w:val="21"/>
        </w:rPr>
        <w:t xml:space="preserve"> </w:t>
      </w:r>
    </w:p>
    <w:p>
      <w:pPr>
        <w:jc w:val="center"/>
        <w:rPr>
          <w:rFonts w:cs="Calibri"/>
          <w:b/>
          <w:color w:val="auto"/>
          <w:sz w:val="28"/>
          <w:szCs w:val="28"/>
        </w:rPr>
      </w:pPr>
      <w:r>
        <w:rPr>
          <w:rFonts w:ascii="宋体" w:hAnsi="宋体" w:cs="Calibri"/>
          <w:b/>
          <w:color w:val="auto"/>
          <w:sz w:val="28"/>
          <w:szCs w:val="28"/>
        </w:rPr>
        <w:t>（招标编号）</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autoSpaceDE w:val="0"/>
        <w:autoSpaceDN w:val="0"/>
        <w:adjustRightInd w:val="0"/>
        <w:jc w:val="left"/>
        <w:rPr>
          <w:rFonts w:ascii="宋体" w:hAnsi="宋体" w:cs="宋体"/>
          <w:color w:val="auto"/>
          <w:kern w:val="0"/>
          <w:sz w:val="24"/>
          <w:szCs w:val="24"/>
        </w:rPr>
      </w:pPr>
      <w:r>
        <w:rPr>
          <w:rFonts w:hint="eastAsia" w:ascii="宋体" w:hAnsi="宋体" w:cs="宋体"/>
          <w:color w:val="auto"/>
          <w:kern w:val="0"/>
          <w:sz w:val="24"/>
          <w:szCs w:val="24"/>
        </w:rPr>
        <w:t xml:space="preserve"> </w:t>
      </w:r>
    </w:p>
    <w:p>
      <w:pPr>
        <w:rPr>
          <w:rFonts w:hint="eastAsia"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autoSpaceDE w:val="0"/>
        <w:autoSpaceDN w:val="0"/>
        <w:adjustRightInd w:val="0"/>
        <w:jc w:val="left"/>
        <w:rPr>
          <w:rFonts w:ascii="宋体" w:hAnsi="宋体" w:cs="宋体"/>
          <w:color w:val="auto"/>
          <w:kern w:val="0"/>
          <w:sz w:val="24"/>
          <w:szCs w:val="24"/>
        </w:rPr>
      </w:pPr>
      <w:r>
        <w:rPr>
          <w:rFonts w:hint="eastAsia" w:ascii="宋体" w:hAnsi="宋体" w:cs="宋体"/>
          <w:color w:val="auto"/>
          <w:kern w:val="0"/>
          <w:sz w:val="24"/>
          <w:szCs w:val="24"/>
        </w:rPr>
        <w:t xml:space="preserve"> </w:t>
      </w:r>
    </w:p>
    <w:p>
      <w:pPr>
        <w:rPr>
          <w:rFonts w:hint="eastAsia"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spacing w:line="900" w:lineRule="exact"/>
        <w:ind w:firstLine="320"/>
        <w:rPr>
          <w:rFonts w:cs="Calibri"/>
          <w:color w:val="auto"/>
          <w:sz w:val="32"/>
          <w:szCs w:val="32"/>
          <w:u w:val="dash"/>
        </w:rPr>
      </w:pPr>
      <w:r>
        <w:rPr>
          <w:rFonts w:cs="Calibri"/>
          <w:color w:val="auto"/>
          <w:sz w:val="32"/>
          <w:szCs w:val="32"/>
          <w:u w:val="dash"/>
        </w:rPr>
        <w:t xml:space="preserve"> </w:t>
      </w:r>
    </w:p>
    <w:p>
      <w:pPr>
        <w:spacing w:line="900" w:lineRule="exact"/>
        <w:ind w:firstLine="320"/>
        <w:outlineLvl w:val="0"/>
        <w:rPr>
          <w:rFonts w:cs="Calibri"/>
          <w:color w:val="auto"/>
          <w:sz w:val="32"/>
          <w:szCs w:val="32"/>
          <w:u w:val="single"/>
        </w:rPr>
      </w:pPr>
      <w:bookmarkStart w:id="119" w:name="_Toc6202"/>
      <w:bookmarkEnd w:id="119"/>
      <w:r>
        <w:rPr>
          <w:rFonts w:ascii="宋体" w:hAnsi="宋体" w:cs="Calibri"/>
          <w:color w:val="auto"/>
          <w:sz w:val="32"/>
          <w:szCs w:val="32"/>
        </w:rPr>
        <w:t>投标文件内容：</w:t>
      </w:r>
      <w:r>
        <w:rPr>
          <w:rFonts w:cs="Calibri"/>
          <w:color w:val="auto"/>
          <w:sz w:val="32"/>
          <w:szCs w:val="32"/>
          <w:u w:val="single"/>
        </w:rPr>
        <w:t xml:space="preserve">          </w:t>
      </w:r>
      <w:r>
        <w:rPr>
          <w:rFonts w:ascii="宋体" w:hAnsi="宋体" w:cs="Calibri"/>
          <w:color w:val="auto"/>
          <w:sz w:val="32"/>
          <w:szCs w:val="32"/>
          <w:u w:val="single"/>
        </w:rPr>
        <w:t>（技术标或商务标）</w:t>
      </w:r>
      <w:r>
        <w:rPr>
          <w:rFonts w:cs="Calibri"/>
          <w:color w:val="auto"/>
          <w:sz w:val="32"/>
          <w:szCs w:val="32"/>
          <w:u w:val="single"/>
        </w:rPr>
        <w:t xml:space="preserve">           </w:t>
      </w:r>
    </w:p>
    <w:p>
      <w:pPr>
        <w:spacing w:line="900" w:lineRule="exact"/>
        <w:ind w:firstLine="313"/>
        <w:outlineLvl w:val="0"/>
        <w:rPr>
          <w:rFonts w:cs="Calibri"/>
          <w:color w:val="auto"/>
          <w:sz w:val="32"/>
          <w:szCs w:val="32"/>
          <w:u w:val="single"/>
        </w:rPr>
      </w:pPr>
      <w:bookmarkStart w:id="120" w:name="_Toc10194"/>
      <w:bookmarkEnd w:id="120"/>
      <w:r>
        <w:rPr>
          <w:rFonts w:ascii="宋体" w:hAnsi="宋体" w:cs="Calibri"/>
          <w:color w:val="auto"/>
          <w:sz w:val="32"/>
          <w:szCs w:val="32"/>
        </w:rPr>
        <w:t>投</w:t>
      </w:r>
      <w:r>
        <w:rPr>
          <w:rFonts w:cs="Calibri"/>
          <w:color w:val="auto"/>
          <w:sz w:val="32"/>
          <w:szCs w:val="32"/>
        </w:rPr>
        <w:t xml:space="preserve">   </w:t>
      </w:r>
      <w:r>
        <w:rPr>
          <w:rFonts w:ascii="宋体" w:hAnsi="宋体" w:cs="Calibri"/>
          <w:color w:val="auto"/>
          <w:sz w:val="32"/>
          <w:szCs w:val="32"/>
        </w:rPr>
        <w:t>标</w:t>
      </w:r>
      <w:r>
        <w:rPr>
          <w:rFonts w:cs="Calibri"/>
          <w:color w:val="auto"/>
          <w:sz w:val="32"/>
          <w:szCs w:val="32"/>
        </w:rPr>
        <w:t xml:space="preserve">   </w:t>
      </w:r>
      <w:r>
        <w:rPr>
          <w:rFonts w:ascii="宋体" w:hAnsi="宋体" w:cs="Calibri"/>
          <w:color w:val="auto"/>
          <w:sz w:val="32"/>
          <w:szCs w:val="32"/>
        </w:rPr>
        <w:t>人：</w:t>
      </w:r>
      <w:r>
        <w:rPr>
          <w:rFonts w:cs="Calibri"/>
          <w:color w:val="auto"/>
          <w:sz w:val="32"/>
          <w:szCs w:val="32"/>
          <w:u w:val="single"/>
        </w:rPr>
        <w:t xml:space="preserve">                             </w:t>
      </w:r>
      <w:r>
        <w:rPr>
          <w:rFonts w:ascii="宋体" w:hAnsi="宋体" w:cs="Calibri"/>
          <w:color w:val="auto"/>
          <w:sz w:val="32"/>
          <w:szCs w:val="32"/>
          <w:u w:val="single"/>
        </w:rPr>
        <w:t>（</w:t>
      </w:r>
      <w:r>
        <w:rPr>
          <w:rFonts w:hint="eastAsia" w:ascii="宋体" w:hAnsi="宋体" w:cs="Calibri"/>
          <w:color w:val="auto"/>
          <w:sz w:val="32"/>
          <w:szCs w:val="32"/>
          <w:u w:val="single"/>
        </w:rPr>
        <w:t>签</w:t>
      </w:r>
      <w:r>
        <w:rPr>
          <w:rFonts w:ascii="宋体" w:hAnsi="宋体" w:cs="Calibri"/>
          <w:color w:val="auto"/>
          <w:sz w:val="32"/>
          <w:szCs w:val="32"/>
          <w:u w:val="single"/>
        </w:rPr>
        <w:t>章）</w:t>
      </w:r>
      <w:r>
        <w:rPr>
          <w:rFonts w:cs="Calibri"/>
          <w:color w:val="auto"/>
          <w:sz w:val="32"/>
          <w:szCs w:val="32"/>
          <w:u w:val="single"/>
        </w:rPr>
        <w:t xml:space="preserve">  </w:t>
      </w:r>
    </w:p>
    <w:p>
      <w:pPr>
        <w:spacing w:line="900" w:lineRule="exact"/>
        <w:ind w:firstLine="320" w:firstLineChars="100"/>
        <w:outlineLvl w:val="0"/>
        <w:rPr>
          <w:rFonts w:cs="Calibri"/>
          <w:color w:val="auto"/>
          <w:sz w:val="32"/>
          <w:szCs w:val="32"/>
        </w:rPr>
      </w:pPr>
      <w:bookmarkStart w:id="121" w:name="_Toc7205"/>
      <w:bookmarkEnd w:id="121"/>
      <w:r>
        <w:rPr>
          <w:rFonts w:ascii="宋体" w:hAnsi="宋体" w:cs="Calibri"/>
          <w:color w:val="auto"/>
          <w:sz w:val="32"/>
          <w:szCs w:val="32"/>
        </w:rPr>
        <w:t>日</w:t>
      </w:r>
      <w:r>
        <w:rPr>
          <w:rFonts w:cs="Calibri"/>
          <w:color w:val="auto"/>
          <w:sz w:val="32"/>
          <w:szCs w:val="32"/>
        </w:rPr>
        <w:t xml:space="preserve">  </w:t>
      </w:r>
      <w:r>
        <w:rPr>
          <w:rFonts w:ascii="宋体" w:hAnsi="宋体" w:cs="Calibri"/>
          <w:color w:val="auto"/>
          <w:sz w:val="32"/>
          <w:szCs w:val="32"/>
        </w:rPr>
        <w:t>期：</w:t>
      </w:r>
      <w:r>
        <w:rPr>
          <w:rFonts w:cs="Calibri"/>
          <w:color w:val="auto"/>
          <w:sz w:val="32"/>
          <w:szCs w:val="32"/>
          <w:u w:val="single"/>
        </w:rPr>
        <w:t xml:space="preserve">            </w:t>
      </w:r>
      <w:r>
        <w:rPr>
          <w:rFonts w:ascii="宋体" w:hAnsi="宋体" w:cs="Calibri"/>
          <w:color w:val="auto"/>
          <w:sz w:val="32"/>
          <w:szCs w:val="32"/>
        </w:rPr>
        <w:t>年</w:t>
      </w:r>
      <w:r>
        <w:rPr>
          <w:rFonts w:cs="Calibri"/>
          <w:color w:val="auto"/>
          <w:sz w:val="32"/>
          <w:szCs w:val="32"/>
          <w:u w:val="single"/>
        </w:rPr>
        <w:t xml:space="preserve">            </w:t>
      </w:r>
      <w:r>
        <w:rPr>
          <w:rFonts w:ascii="宋体" w:hAnsi="宋体" w:cs="Calibri"/>
          <w:color w:val="auto"/>
          <w:sz w:val="32"/>
          <w:szCs w:val="32"/>
        </w:rPr>
        <w:t>月</w:t>
      </w:r>
      <w:r>
        <w:rPr>
          <w:rFonts w:cs="Calibri"/>
          <w:color w:val="auto"/>
          <w:sz w:val="32"/>
          <w:szCs w:val="32"/>
          <w:u w:val="single"/>
        </w:rPr>
        <w:t xml:space="preserve">               </w:t>
      </w:r>
      <w:r>
        <w:rPr>
          <w:rFonts w:ascii="宋体" w:hAnsi="宋体" w:cs="Calibri"/>
          <w:color w:val="auto"/>
          <w:sz w:val="32"/>
          <w:szCs w:val="32"/>
        </w:rPr>
        <w:t>日</w:t>
      </w:r>
    </w:p>
    <w:p>
      <w:pPr>
        <w:spacing w:line="480" w:lineRule="auto"/>
        <w:jc w:val="center"/>
        <w:rPr>
          <w:rFonts w:cs="Calibri"/>
          <w:b/>
          <w:color w:val="auto"/>
          <w:sz w:val="36"/>
          <w:szCs w:val="36"/>
        </w:rPr>
      </w:pPr>
      <w:r>
        <w:rPr>
          <w:rFonts w:cs="Calibri"/>
          <w:b/>
          <w:color w:val="auto"/>
          <w:sz w:val="36"/>
          <w:szCs w:val="36"/>
        </w:rPr>
        <w:br w:type="page"/>
      </w:r>
    </w:p>
    <w:p>
      <w:pPr>
        <w:spacing w:line="480" w:lineRule="auto"/>
        <w:jc w:val="center"/>
        <w:outlineLvl w:val="0"/>
        <w:rPr>
          <w:rFonts w:cs="Calibri"/>
          <w:color w:val="auto"/>
          <w:sz w:val="36"/>
          <w:szCs w:val="36"/>
        </w:rPr>
      </w:pPr>
      <w:bookmarkStart w:id="122" w:name="_Toc26569"/>
      <w:bookmarkEnd w:id="122"/>
      <w:r>
        <w:rPr>
          <w:rFonts w:ascii="宋体" w:hAnsi="宋体" w:cs="Calibri"/>
          <w:b/>
          <w:color w:val="auto"/>
          <w:sz w:val="36"/>
          <w:szCs w:val="36"/>
        </w:rPr>
        <w:t>法定代表人声明书（格式）</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spacing w:line="540" w:lineRule="exact"/>
        <w:rPr>
          <w:rFonts w:cs="Calibri"/>
          <w:color w:val="auto"/>
          <w:sz w:val="24"/>
          <w:szCs w:val="24"/>
        </w:rPr>
      </w:pPr>
      <w:r>
        <w:rPr>
          <w:rFonts w:ascii="宋体" w:hAnsi="宋体" w:cs="Calibri"/>
          <w:color w:val="auto"/>
          <w:sz w:val="24"/>
          <w:szCs w:val="24"/>
        </w:rPr>
        <w:t>姓名：</w:t>
      </w:r>
      <w:r>
        <w:rPr>
          <w:rFonts w:cs="Calibri"/>
          <w:color w:val="auto"/>
          <w:sz w:val="24"/>
          <w:szCs w:val="24"/>
        </w:rPr>
        <w:t xml:space="preserve">                           </w:t>
      </w:r>
      <w:r>
        <w:rPr>
          <w:rFonts w:ascii="宋体" w:hAnsi="宋体" w:cs="Calibri"/>
          <w:color w:val="auto"/>
          <w:sz w:val="24"/>
          <w:szCs w:val="24"/>
        </w:rPr>
        <w:t>性别：</w:t>
      </w:r>
    </w:p>
    <w:p>
      <w:pPr>
        <w:spacing w:line="540" w:lineRule="exact"/>
        <w:rPr>
          <w:rFonts w:cs="Calibri"/>
          <w:color w:val="auto"/>
          <w:sz w:val="24"/>
          <w:szCs w:val="24"/>
        </w:rPr>
      </w:pPr>
      <w:r>
        <w:rPr>
          <w:rFonts w:ascii="宋体" w:hAnsi="宋体" w:cs="Calibri"/>
          <w:color w:val="auto"/>
          <w:sz w:val="24"/>
          <w:szCs w:val="24"/>
        </w:rPr>
        <w:t>年龄：</w:t>
      </w:r>
      <w:r>
        <w:rPr>
          <w:rFonts w:cs="Calibri"/>
          <w:color w:val="auto"/>
          <w:sz w:val="24"/>
          <w:szCs w:val="24"/>
        </w:rPr>
        <w:t xml:space="preserve">                           </w:t>
      </w:r>
      <w:r>
        <w:rPr>
          <w:rFonts w:ascii="宋体" w:hAnsi="宋体" w:cs="Calibri"/>
          <w:color w:val="auto"/>
          <w:sz w:val="24"/>
          <w:szCs w:val="24"/>
        </w:rPr>
        <w:t>职务：</w:t>
      </w:r>
    </w:p>
    <w:p>
      <w:pPr>
        <w:spacing w:line="540" w:lineRule="exact"/>
        <w:rPr>
          <w:rFonts w:cs="Calibri"/>
          <w:color w:val="auto"/>
          <w:sz w:val="24"/>
          <w:szCs w:val="24"/>
        </w:rPr>
      </w:pPr>
      <w:r>
        <w:rPr>
          <w:rFonts w:ascii="宋体" w:hAnsi="宋体" w:cs="Calibri"/>
          <w:color w:val="auto"/>
          <w:sz w:val="24"/>
          <w:szCs w:val="24"/>
        </w:rPr>
        <w:t>身份证号码：</w:t>
      </w:r>
    </w:p>
    <w:p>
      <w:pPr>
        <w:spacing w:line="540" w:lineRule="exact"/>
        <w:ind w:firstLine="720"/>
        <w:rPr>
          <w:rFonts w:cs="Calibri"/>
          <w:color w:val="auto"/>
          <w:sz w:val="24"/>
          <w:szCs w:val="24"/>
        </w:rPr>
      </w:pPr>
      <w:r>
        <w:rPr>
          <w:rFonts w:ascii="宋体" w:hAnsi="宋体" w:cs="Calibri"/>
          <w:color w:val="auto"/>
          <w:sz w:val="24"/>
          <w:szCs w:val="24"/>
        </w:rPr>
        <w:t>系</w:t>
      </w:r>
      <w:r>
        <w:rPr>
          <w:rFonts w:cs="Calibri"/>
          <w:color w:val="auto"/>
          <w:sz w:val="24"/>
          <w:szCs w:val="24"/>
          <w:u w:val="single"/>
        </w:rPr>
        <w:t xml:space="preserve">                                 </w:t>
      </w:r>
      <w:r>
        <w:rPr>
          <w:rFonts w:ascii="宋体" w:hAnsi="宋体" w:cs="Calibri"/>
          <w:color w:val="auto"/>
          <w:sz w:val="24"/>
          <w:szCs w:val="24"/>
        </w:rPr>
        <w:t>（单位名称）的法定代表人，法定地址：</w:t>
      </w:r>
      <w:r>
        <w:rPr>
          <w:rFonts w:cs="Calibri"/>
          <w:color w:val="auto"/>
          <w:sz w:val="24"/>
          <w:szCs w:val="24"/>
          <w:u w:val="single"/>
        </w:rPr>
        <w:t xml:space="preserve">                              </w:t>
      </w:r>
      <w:r>
        <w:rPr>
          <w:rFonts w:ascii="宋体" w:hAnsi="宋体" w:cs="Calibri"/>
          <w:color w:val="auto"/>
          <w:sz w:val="24"/>
          <w:szCs w:val="24"/>
        </w:rPr>
        <w:t>。为</w:t>
      </w:r>
      <w:r>
        <w:rPr>
          <w:rFonts w:cs="Calibri"/>
          <w:color w:val="auto"/>
          <w:sz w:val="24"/>
          <w:szCs w:val="24"/>
          <w:u w:val="single"/>
        </w:rPr>
        <w:t xml:space="preserve">                                 </w:t>
      </w:r>
      <w:r>
        <w:rPr>
          <w:rFonts w:ascii="宋体" w:hAnsi="宋体" w:cs="Calibri"/>
          <w:color w:val="auto"/>
          <w:sz w:val="24"/>
          <w:szCs w:val="24"/>
        </w:rPr>
        <w:t>项目的投标、开标等事宜，签署上述投标文件，进行合同谈判、签署合同和处理与之有关的一切事务。</w:t>
      </w:r>
    </w:p>
    <w:p>
      <w:pPr>
        <w:spacing w:line="540" w:lineRule="exact"/>
        <w:ind w:firstLine="480"/>
        <w:rPr>
          <w:rFonts w:cs="Calibri"/>
          <w:color w:val="auto"/>
          <w:sz w:val="24"/>
          <w:szCs w:val="24"/>
        </w:rPr>
      </w:pPr>
      <w:r>
        <w:rPr>
          <w:rFonts w:cs="Calibri"/>
          <w:color w:val="auto"/>
          <w:sz w:val="24"/>
          <w:szCs w:val="24"/>
        </w:rPr>
        <w:t xml:space="preserve"> </w:t>
      </w:r>
    </w:p>
    <w:p>
      <w:pPr>
        <w:spacing w:line="540" w:lineRule="exact"/>
        <w:ind w:firstLine="480"/>
        <w:rPr>
          <w:rFonts w:cs="Calibri"/>
          <w:color w:val="auto"/>
          <w:sz w:val="24"/>
          <w:szCs w:val="24"/>
        </w:rPr>
      </w:pPr>
      <w:r>
        <w:rPr>
          <w:rFonts w:ascii="宋体" w:hAnsi="宋体" w:cs="Calibri"/>
          <w:color w:val="auto"/>
          <w:sz w:val="24"/>
          <w:szCs w:val="24"/>
        </w:rPr>
        <w:t>特此声明</w:t>
      </w:r>
    </w:p>
    <w:p>
      <w:pPr>
        <w:spacing w:line="540" w:lineRule="exact"/>
        <w:rPr>
          <w:rFonts w:cs="Calibri"/>
          <w:color w:val="auto"/>
          <w:sz w:val="24"/>
          <w:szCs w:val="24"/>
        </w:rPr>
      </w:pPr>
      <w:r>
        <w:rPr>
          <w:rFonts w:cs="Calibri"/>
          <w:color w:val="auto"/>
          <w:sz w:val="24"/>
          <w:szCs w:val="24"/>
        </w:rPr>
        <w:t xml:space="preserve"> </w:t>
      </w:r>
    </w:p>
    <w:p>
      <w:pPr>
        <w:spacing w:line="540" w:lineRule="exact"/>
        <w:rPr>
          <w:rFonts w:cs="Calibri"/>
          <w:color w:val="auto"/>
          <w:sz w:val="24"/>
          <w:szCs w:val="24"/>
        </w:rPr>
      </w:pPr>
      <w:r>
        <w:rPr>
          <w:rFonts w:cs="Calibri"/>
          <w:color w:val="auto"/>
          <w:sz w:val="24"/>
          <w:szCs w:val="24"/>
        </w:rPr>
        <w:t xml:space="preserve"> </w:t>
      </w:r>
    </w:p>
    <w:p>
      <w:pPr>
        <w:spacing w:line="540" w:lineRule="exact"/>
        <w:rPr>
          <w:rFonts w:cs="Calibri"/>
          <w:color w:val="auto"/>
          <w:sz w:val="24"/>
          <w:szCs w:val="24"/>
        </w:rPr>
      </w:pPr>
      <w:r>
        <w:rPr>
          <w:rFonts w:hint="eastAsia" w:ascii="宋体" w:hAnsi="宋体" w:cs="Calibri"/>
          <w:color w:val="auto"/>
          <w:sz w:val="24"/>
          <w:szCs w:val="24"/>
        </w:rPr>
        <w:t>投标人</w:t>
      </w:r>
      <w:r>
        <w:rPr>
          <w:rFonts w:ascii="宋体" w:hAnsi="宋体" w:cs="Calibri"/>
          <w:color w:val="auto"/>
          <w:sz w:val="24"/>
          <w:szCs w:val="24"/>
        </w:rPr>
        <w:t>：（盖章）</w:t>
      </w:r>
      <w:r>
        <w:rPr>
          <w:rFonts w:cs="Calibri"/>
          <w:color w:val="auto"/>
          <w:sz w:val="24"/>
          <w:szCs w:val="24"/>
        </w:rPr>
        <w:t xml:space="preserve">                </w:t>
      </w:r>
    </w:p>
    <w:p>
      <w:pPr>
        <w:spacing w:line="540" w:lineRule="exact"/>
        <w:rPr>
          <w:rFonts w:cs="Calibri"/>
          <w:color w:val="auto"/>
          <w:sz w:val="24"/>
          <w:szCs w:val="24"/>
        </w:rPr>
      </w:pPr>
      <w:r>
        <w:rPr>
          <w:rFonts w:ascii="宋体" w:hAnsi="宋体" w:cs="Calibri"/>
          <w:color w:val="auto"/>
          <w:sz w:val="24"/>
          <w:szCs w:val="24"/>
        </w:rPr>
        <w:t>法定代表人签字：</w:t>
      </w:r>
    </w:p>
    <w:p>
      <w:pPr>
        <w:spacing w:line="540" w:lineRule="exact"/>
        <w:rPr>
          <w:rFonts w:cs="Calibri"/>
          <w:color w:val="auto"/>
          <w:sz w:val="24"/>
          <w:szCs w:val="24"/>
        </w:rPr>
      </w:pPr>
      <w:r>
        <w:rPr>
          <w:rFonts w:cs="Calibri"/>
          <w:color w:val="auto"/>
          <w:sz w:val="24"/>
          <w:szCs w:val="24"/>
        </w:rPr>
        <w:t xml:space="preserve"> </w:t>
      </w:r>
    </w:p>
    <w:p>
      <w:pPr>
        <w:spacing w:line="540" w:lineRule="exact"/>
        <w:rPr>
          <w:rFonts w:cs="Calibri"/>
          <w:color w:val="auto"/>
          <w:sz w:val="24"/>
          <w:szCs w:val="24"/>
        </w:rPr>
      </w:pPr>
      <w:r>
        <w:rPr>
          <w:rFonts w:ascii="宋体" w:hAnsi="宋体" w:cs="Calibri"/>
          <w:color w:val="auto"/>
          <w:sz w:val="24"/>
          <w:szCs w:val="24"/>
        </w:rPr>
        <w:t>日期：</w:t>
      </w:r>
      <w:r>
        <w:rPr>
          <w:rFonts w:cs="Calibri"/>
          <w:color w:val="auto"/>
          <w:sz w:val="24"/>
          <w:szCs w:val="24"/>
        </w:rPr>
        <w:t xml:space="preserve">    </w:t>
      </w:r>
      <w:r>
        <w:rPr>
          <w:rFonts w:ascii="宋体" w:hAnsi="宋体" w:cs="Calibri"/>
          <w:color w:val="auto"/>
          <w:sz w:val="24"/>
          <w:szCs w:val="24"/>
        </w:rPr>
        <w:t>年</w:t>
      </w:r>
      <w:r>
        <w:rPr>
          <w:rFonts w:cs="Calibri"/>
          <w:color w:val="auto"/>
          <w:sz w:val="24"/>
          <w:szCs w:val="24"/>
        </w:rPr>
        <w:t xml:space="preserve">   </w:t>
      </w:r>
      <w:r>
        <w:rPr>
          <w:rFonts w:ascii="宋体" w:hAnsi="宋体" w:cs="Calibri"/>
          <w:color w:val="auto"/>
          <w:sz w:val="24"/>
          <w:szCs w:val="24"/>
        </w:rPr>
        <w:t>月</w:t>
      </w:r>
      <w:r>
        <w:rPr>
          <w:rFonts w:cs="Calibri"/>
          <w:color w:val="auto"/>
          <w:sz w:val="24"/>
          <w:szCs w:val="24"/>
        </w:rPr>
        <w:t xml:space="preserve">    </w:t>
      </w:r>
      <w:r>
        <w:rPr>
          <w:rFonts w:ascii="宋体" w:hAnsi="宋体" w:cs="Calibri"/>
          <w:color w:val="auto"/>
          <w:sz w:val="24"/>
          <w:szCs w:val="24"/>
        </w:rPr>
        <w:t>日</w:t>
      </w:r>
      <w:r>
        <w:rPr>
          <w:rFonts w:cs="Calibri"/>
          <w:color w:val="auto"/>
          <w:sz w:val="24"/>
          <w:szCs w:val="24"/>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spacing w:line="480" w:lineRule="auto"/>
        <w:jc w:val="center"/>
        <w:rPr>
          <w:rFonts w:cs="Calibri"/>
          <w:b/>
          <w:color w:val="auto"/>
          <w:sz w:val="36"/>
          <w:szCs w:val="36"/>
        </w:rPr>
      </w:pPr>
      <w:r>
        <w:rPr>
          <w:rFonts w:cs="Calibri"/>
          <w:b/>
          <w:color w:val="auto"/>
          <w:sz w:val="36"/>
          <w:szCs w:val="36"/>
        </w:rPr>
        <w:br w:type="page"/>
      </w:r>
    </w:p>
    <w:p>
      <w:pPr>
        <w:spacing w:line="480" w:lineRule="auto"/>
        <w:jc w:val="center"/>
        <w:outlineLvl w:val="0"/>
        <w:rPr>
          <w:rFonts w:cs="Calibri"/>
          <w:b/>
          <w:color w:val="auto"/>
          <w:sz w:val="36"/>
          <w:szCs w:val="36"/>
        </w:rPr>
      </w:pPr>
      <w:bookmarkStart w:id="123" w:name="_Toc5431"/>
      <w:bookmarkEnd w:id="123"/>
      <w:r>
        <w:rPr>
          <w:rFonts w:ascii="宋体" w:hAnsi="宋体" w:cs="Calibri"/>
          <w:b/>
          <w:color w:val="auto"/>
          <w:sz w:val="36"/>
          <w:szCs w:val="36"/>
        </w:rPr>
        <w:t>投标人法定代表人授权书（格式）</w:t>
      </w:r>
    </w:p>
    <w:p>
      <w:pPr>
        <w:rPr>
          <w:rFonts w:cs="Calibri"/>
          <w:color w:val="auto"/>
          <w:szCs w:val="21"/>
        </w:rPr>
      </w:pPr>
      <w:r>
        <w:rPr>
          <w:rFonts w:cs="Calibri"/>
          <w:color w:val="auto"/>
          <w:szCs w:val="21"/>
        </w:rPr>
        <w:t xml:space="preserve"> </w:t>
      </w:r>
    </w:p>
    <w:p>
      <w:pPr>
        <w:spacing w:line="360" w:lineRule="auto"/>
        <w:rPr>
          <w:rFonts w:cs="Calibri"/>
          <w:color w:val="auto"/>
          <w:sz w:val="24"/>
          <w:szCs w:val="24"/>
          <w:u w:val="single"/>
        </w:rPr>
      </w:pPr>
      <w:r>
        <w:rPr>
          <w:rFonts w:ascii="宋体" w:hAnsi="宋体" w:cs="Calibri"/>
          <w:color w:val="auto"/>
          <w:sz w:val="24"/>
          <w:szCs w:val="24"/>
        </w:rPr>
        <w:t>项目名称：</w:t>
      </w:r>
      <w:r>
        <w:rPr>
          <w:rFonts w:cs="Calibri"/>
          <w:color w:val="auto"/>
          <w:sz w:val="24"/>
          <w:szCs w:val="24"/>
          <w:u w:val="single"/>
        </w:rPr>
        <w:t xml:space="preserve">               </w:t>
      </w:r>
    </w:p>
    <w:p>
      <w:pPr>
        <w:spacing w:line="360" w:lineRule="auto"/>
        <w:rPr>
          <w:rFonts w:cs="Calibri"/>
          <w:color w:val="auto"/>
          <w:sz w:val="24"/>
          <w:szCs w:val="24"/>
          <w:u w:val="single"/>
        </w:rPr>
      </w:pPr>
      <w:r>
        <w:rPr>
          <w:rFonts w:ascii="宋体" w:hAnsi="宋体" w:cs="Calibri"/>
          <w:color w:val="auto"/>
          <w:sz w:val="24"/>
          <w:szCs w:val="24"/>
        </w:rPr>
        <w:t>日</w:t>
      </w:r>
      <w:r>
        <w:rPr>
          <w:rFonts w:cs="Calibri"/>
          <w:color w:val="auto"/>
          <w:sz w:val="24"/>
          <w:szCs w:val="24"/>
        </w:rPr>
        <w:t xml:space="preserve">    </w:t>
      </w:r>
      <w:r>
        <w:rPr>
          <w:rFonts w:ascii="宋体" w:hAnsi="宋体" w:cs="Calibri"/>
          <w:color w:val="auto"/>
          <w:sz w:val="24"/>
          <w:szCs w:val="24"/>
        </w:rPr>
        <w:t>期：</w:t>
      </w:r>
      <w:r>
        <w:rPr>
          <w:rFonts w:cs="Calibri"/>
          <w:color w:val="auto"/>
          <w:sz w:val="24"/>
          <w:szCs w:val="24"/>
          <w:u w:val="single"/>
        </w:rPr>
        <w:t xml:space="preserve">               </w:t>
      </w:r>
    </w:p>
    <w:p>
      <w:pPr>
        <w:spacing w:line="360" w:lineRule="auto"/>
        <w:rPr>
          <w:rFonts w:cs="Calibri"/>
          <w:color w:val="auto"/>
          <w:sz w:val="24"/>
          <w:szCs w:val="24"/>
          <w:u w:val="single"/>
        </w:rPr>
      </w:pPr>
      <w:r>
        <w:rPr>
          <w:rFonts w:ascii="宋体" w:hAnsi="宋体" w:cs="Calibri"/>
          <w:color w:val="auto"/>
          <w:sz w:val="24"/>
          <w:szCs w:val="24"/>
        </w:rPr>
        <w:t>致：（</w:t>
      </w:r>
      <w:r>
        <w:rPr>
          <w:rFonts w:ascii="宋体" w:hAnsi="宋体" w:cs="Calibri"/>
          <w:color w:val="auto"/>
          <w:sz w:val="24"/>
          <w:szCs w:val="24"/>
          <w:u w:val="single"/>
        </w:rPr>
        <w:t>采购人名称）</w:t>
      </w:r>
      <w:r>
        <w:rPr>
          <w:rFonts w:cs="Calibri"/>
          <w:color w:val="auto"/>
          <w:sz w:val="24"/>
          <w:szCs w:val="24"/>
          <w:u w:val="single"/>
        </w:rPr>
        <w:t xml:space="preserve">                </w:t>
      </w:r>
    </w:p>
    <w:p>
      <w:pPr>
        <w:spacing w:line="360" w:lineRule="auto"/>
        <w:rPr>
          <w:rFonts w:cs="Calibri"/>
          <w:color w:val="auto"/>
          <w:sz w:val="24"/>
          <w:szCs w:val="24"/>
        </w:rPr>
      </w:pPr>
      <w:r>
        <w:rPr>
          <w:rFonts w:cs="Calibri"/>
          <w:color w:val="auto"/>
          <w:sz w:val="24"/>
          <w:szCs w:val="24"/>
        </w:rPr>
        <w:t xml:space="preserve">    </w:t>
      </w:r>
      <w:r>
        <w:rPr>
          <w:rFonts w:ascii="宋体" w:hAnsi="宋体" w:cs="Calibri"/>
          <w:color w:val="auto"/>
          <w:sz w:val="24"/>
          <w:szCs w:val="24"/>
        </w:rPr>
        <w:t>（</w:t>
      </w:r>
      <w:r>
        <w:rPr>
          <w:rFonts w:ascii="宋体" w:hAnsi="宋体" w:cs="Calibri"/>
          <w:color w:val="auto"/>
          <w:sz w:val="24"/>
          <w:szCs w:val="24"/>
          <w:u w:val="single"/>
        </w:rPr>
        <w:t>招标代理机构名称）</w:t>
      </w:r>
      <w:r>
        <w:rPr>
          <w:rFonts w:cs="Calibri"/>
          <w:color w:val="auto"/>
          <w:sz w:val="24"/>
          <w:szCs w:val="24"/>
          <w:u w:val="single"/>
        </w:rPr>
        <w:t xml:space="preserve">         </w:t>
      </w:r>
    </w:p>
    <w:p>
      <w:pPr>
        <w:spacing w:line="360" w:lineRule="auto"/>
        <w:ind w:firstLine="480"/>
        <w:jc w:val="left"/>
        <w:rPr>
          <w:rFonts w:cs="Calibri"/>
          <w:color w:val="auto"/>
          <w:sz w:val="24"/>
          <w:szCs w:val="24"/>
          <w:u w:val="single"/>
        </w:rPr>
      </w:pPr>
      <w:r>
        <w:rPr>
          <w:rFonts w:ascii="宋体" w:hAnsi="宋体" w:cs="Calibri"/>
          <w:color w:val="auto"/>
          <w:sz w:val="24"/>
          <w:szCs w:val="24"/>
        </w:rPr>
        <w:t>注册于</w:t>
      </w:r>
      <w:r>
        <w:rPr>
          <w:rFonts w:cs="Calibri"/>
          <w:color w:val="auto"/>
          <w:sz w:val="24"/>
          <w:szCs w:val="24"/>
          <w:u w:val="single"/>
        </w:rPr>
        <w:t xml:space="preserve">                                 </w:t>
      </w:r>
      <w:r>
        <w:rPr>
          <w:rFonts w:ascii="宋体" w:hAnsi="宋体" w:cs="Calibri"/>
          <w:color w:val="auto"/>
          <w:sz w:val="24"/>
          <w:szCs w:val="24"/>
        </w:rPr>
        <w:t>（注册地址）的</w:t>
      </w:r>
      <w:r>
        <w:rPr>
          <w:rFonts w:cs="Calibri"/>
          <w:color w:val="auto"/>
          <w:sz w:val="24"/>
          <w:szCs w:val="24"/>
          <w:u w:val="single"/>
        </w:rPr>
        <w:t xml:space="preserve">                                         </w:t>
      </w:r>
    </w:p>
    <w:p>
      <w:pPr>
        <w:spacing w:line="360" w:lineRule="auto"/>
        <w:jc w:val="left"/>
        <w:rPr>
          <w:rFonts w:cs="Calibri"/>
          <w:color w:val="auto"/>
          <w:sz w:val="24"/>
          <w:szCs w:val="24"/>
        </w:rPr>
      </w:pPr>
      <w:r>
        <w:rPr>
          <w:rFonts w:cs="Calibri"/>
          <w:color w:val="auto"/>
          <w:sz w:val="24"/>
          <w:szCs w:val="24"/>
          <w:u w:val="single"/>
        </w:rPr>
        <w:t xml:space="preserve">                              </w:t>
      </w:r>
      <w:r>
        <w:rPr>
          <w:rFonts w:ascii="宋体" w:hAnsi="宋体" w:cs="Calibri"/>
          <w:color w:val="auto"/>
          <w:sz w:val="24"/>
          <w:szCs w:val="24"/>
        </w:rPr>
        <w:t>（投标人名称），系中华人民共和国合法企业；本人</w:t>
      </w:r>
      <w:r>
        <w:rPr>
          <w:rFonts w:cs="Calibri"/>
          <w:color w:val="auto"/>
          <w:sz w:val="24"/>
          <w:szCs w:val="24"/>
          <w:u w:val="single"/>
        </w:rPr>
        <w:t xml:space="preserve">             </w:t>
      </w:r>
      <w:r>
        <w:rPr>
          <w:rFonts w:ascii="宋体" w:hAnsi="宋体" w:cs="Calibri"/>
          <w:color w:val="auto"/>
          <w:sz w:val="24"/>
          <w:szCs w:val="24"/>
        </w:rPr>
        <w:t>（授权人姓名）系该公司的法定代表人。现特授权本单位的（被授权人姓名）</w:t>
      </w:r>
      <w:r>
        <w:rPr>
          <w:rFonts w:cs="Calibri"/>
          <w:color w:val="auto"/>
          <w:sz w:val="24"/>
          <w:szCs w:val="24"/>
          <w:u w:val="single"/>
        </w:rPr>
        <w:t xml:space="preserve">               </w:t>
      </w:r>
      <w:r>
        <w:rPr>
          <w:rFonts w:ascii="宋体" w:hAnsi="宋体" w:cs="Calibri"/>
          <w:color w:val="auto"/>
          <w:sz w:val="24"/>
          <w:szCs w:val="24"/>
        </w:rPr>
        <w:t>（身份证号码）</w:t>
      </w:r>
      <w:r>
        <w:rPr>
          <w:rFonts w:cs="Calibri"/>
          <w:color w:val="auto"/>
          <w:sz w:val="24"/>
          <w:szCs w:val="24"/>
          <w:u w:val="single"/>
        </w:rPr>
        <w:t xml:space="preserve">                             </w:t>
      </w:r>
      <w:r>
        <w:rPr>
          <w:rFonts w:ascii="宋体" w:hAnsi="宋体" w:cs="Calibri"/>
          <w:color w:val="auto"/>
          <w:sz w:val="24"/>
          <w:szCs w:val="24"/>
        </w:rPr>
        <w:t>为我公司合法代理人，全权代表我公司办理就</w:t>
      </w:r>
      <w:r>
        <w:rPr>
          <w:rFonts w:cs="Calibri"/>
          <w:color w:val="auto"/>
          <w:sz w:val="24"/>
          <w:szCs w:val="24"/>
          <w:u w:val="single"/>
        </w:rPr>
        <w:t xml:space="preserve">                                                     </w:t>
      </w:r>
      <w:r>
        <w:rPr>
          <w:rFonts w:ascii="宋体" w:hAnsi="宋体" w:cs="Calibri"/>
          <w:color w:val="auto"/>
          <w:sz w:val="24"/>
          <w:szCs w:val="24"/>
        </w:rPr>
        <w:t>项目的投标、谈判、签约等具体工作，并签署全部有关的文件、协议及合同。</w:t>
      </w:r>
    </w:p>
    <w:p>
      <w:pPr>
        <w:spacing w:line="360" w:lineRule="auto"/>
        <w:ind w:firstLine="480"/>
        <w:rPr>
          <w:rFonts w:cs="Calibri"/>
          <w:color w:val="auto"/>
          <w:sz w:val="24"/>
          <w:szCs w:val="24"/>
        </w:rPr>
      </w:pPr>
      <w:r>
        <w:rPr>
          <w:rFonts w:ascii="宋体" w:hAnsi="宋体" w:cs="Calibri"/>
          <w:color w:val="auto"/>
          <w:sz w:val="24"/>
          <w:szCs w:val="24"/>
        </w:rPr>
        <w:t>我公司对被授权人的签名负全部责任。</w:t>
      </w:r>
    </w:p>
    <w:p>
      <w:pPr>
        <w:spacing w:line="360" w:lineRule="auto"/>
        <w:ind w:firstLine="480"/>
        <w:rPr>
          <w:rFonts w:cs="Calibri"/>
          <w:color w:val="auto"/>
          <w:sz w:val="24"/>
          <w:szCs w:val="24"/>
        </w:rPr>
      </w:pPr>
      <w:r>
        <w:rPr>
          <w:rFonts w:ascii="宋体" w:hAnsi="宋体" w:cs="Calibri"/>
          <w:color w:val="auto"/>
          <w:sz w:val="24"/>
          <w:szCs w:val="24"/>
        </w:rPr>
        <w:t>在撤销授权的书面通知以前，本授权书一直有效。被授权人签署的所有文件（在授权书有效期内签署的）不因授权的撤销而失效。被授权人无转委托。特此声明。</w:t>
      </w:r>
    </w:p>
    <w:p>
      <w:pPr>
        <w:spacing w:line="360" w:lineRule="auto"/>
        <w:rPr>
          <w:rFonts w:cs="Calibri"/>
          <w:color w:val="auto"/>
          <w:sz w:val="24"/>
          <w:szCs w:val="24"/>
        </w:rPr>
      </w:pPr>
      <w:r>
        <w:rPr>
          <w:rFonts w:ascii="宋体" w:hAnsi="宋体" w:cs="Calibri"/>
          <w:color w:val="auto"/>
          <w:sz w:val="24"/>
          <w:szCs w:val="24"/>
        </w:rPr>
        <w:t>被授权人身份证复印件：</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rPr>
          <w:rFonts w:cs="Calibri"/>
          <w:color w:val="auto"/>
          <w:szCs w:val="21"/>
        </w:rPr>
      </w:pPr>
      <w:r>
        <w:rPr>
          <w:rFonts w:cs="Calibri"/>
          <w:color w:val="auto"/>
          <w:szCs w:val="21"/>
        </w:rPr>
        <w:t xml:space="preserve"> </w:t>
      </w:r>
    </w:p>
    <w:p>
      <w:pPr>
        <w:spacing w:line="800" w:lineRule="exact"/>
        <w:rPr>
          <w:rFonts w:cs="Calibri"/>
          <w:color w:val="auto"/>
          <w:sz w:val="24"/>
          <w:szCs w:val="24"/>
        </w:rPr>
      </w:pPr>
      <w:r>
        <w:rPr>
          <w:rFonts w:ascii="宋体" w:hAnsi="宋体" w:cs="Calibri"/>
          <w:color w:val="auto"/>
          <w:sz w:val="24"/>
          <w:szCs w:val="24"/>
        </w:rPr>
        <w:t>投标人公章：</w:t>
      </w:r>
    </w:p>
    <w:p>
      <w:pPr>
        <w:spacing w:line="800" w:lineRule="exact"/>
        <w:rPr>
          <w:rFonts w:cs="Calibri"/>
          <w:color w:val="auto"/>
          <w:sz w:val="24"/>
          <w:szCs w:val="24"/>
          <w:u w:val="single"/>
        </w:rPr>
      </w:pPr>
      <w:r>
        <w:rPr>
          <w:rFonts w:ascii="宋体" w:hAnsi="宋体" w:cs="Calibri"/>
          <w:color w:val="auto"/>
          <w:sz w:val="24"/>
          <w:szCs w:val="24"/>
        </w:rPr>
        <w:t>授权人签名：</w:t>
      </w:r>
      <w:r>
        <w:rPr>
          <w:rFonts w:cs="Calibri"/>
          <w:color w:val="auto"/>
          <w:sz w:val="24"/>
          <w:szCs w:val="24"/>
          <w:u w:val="single"/>
        </w:rPr>
        <w:t xml:space="preserve">                  </w:t>
      </w:r>
      <w:r>
        <w:rPr>
          <w:rFonts w:cs="Calibri"/>
          <w:color w:val="auto"/>
          <w:sz w:val="24"/>
          <w:szCs w:val="24"/>
        </w:rPr>
        <w:t xml:space="preserve">     </w:t>
      </w:r>
      <w:r>
        <w:rPr>
          <w:rFonts w:ascii="宋体" w:hAnsi="宋体" w:cs="Calibri"/>
          <w:color w:val="auto"/>
          <w:sz w:val="24"/>
          <w:szCs w:val="24"/>
        </w:rPr>
        <w:t>职</w:t>
      </w:r>
      <w:r>
        <w:rPr>
          <w:rFonts w:cs="Calibri"/>
          <w:color w:val="auto"/>
          <w:sz w:val="24"/>
          <w:szCs w:val="24"/>
        </w:rPr>
        <w:t xml:space="preserve">        </w:t>
      </w:r>
      <w:r>
        <w:rPr>
          <w:rFonts w:ascii="宋体" w:hAnsi="宋体" w:cs="Calibri"/>
          <w:color w:val="auto"/>
          <w:sz w:val="24"/>
          <w:szCs w:val="24"/>
        </w:rPr>
        <w:t>务：</w:t>
      </w:r>
      <w:r>
        <w:rPr>
          <w:rFonts w:cs="Calibri"/>
          <w:color w:val="auto"/>
          <w:sz w:val="24"/>
          <w:szCs w:val="24"/>
          <w:u w:val="single"/>
        </w:rPr>
        <w:t xml:space="preserve">                </w:t>
      </w:r>
    </w:p>
    <w:p>
      <w:pPr>
        <w:spacing w:line="800" w:lineRule="exact"/>
        <w:rPr>
          <w:rFonts w:cs="Calibri"/>
          <w:color w:val="auto"/>
          <w:sz w:val="24"/>
          <w:szCs w:val="24"/>
        </w:rPr>
      </w:pPr>
      <w:r>
        <w:rPr>
          <w:rFonts w:ascii="宋体" w:hAnsi="宋体" w:cs="Calibri"/>
          <w:color w:val="auto"/>
          <w:sz w:val="24"/>
          <w:szCs w:val="24"/>
        </w:rPr>
        <w:t>被授权人签名：</w:t>
      </w:r>
      <w:r>
        <w:rPr>
          <w:rFonts w:cs="Calibri"/>
          <w:color w:val="auto"/>
          <w:sz w:val="24"/>
          <w:szCs w:val="24"/>
          <w:u w:val="single"/>
        </w:rPr>
        <w:t xml:space="preserve">                </w:t>
      </w:r>
      <w:r>
        <w:rPr>
          <w:rFonts w:cs="Calibri"/>
          <w:color w:val="auto"/>
          <w:sz w:val="24"/>
          <w:szCs w:val="24"/>
        </w:rPr>
        <w:t xml:space="preserve">     </w:t>
      </w:r>
    </w:p>
    <w:p>
      <w:pPr>
        <w:spacing w:line="360" w:lineRule="auto"/>
        <w:rPr>
          <w:rFonts w:cs="Calibri"/>
          <w:color w:val="auto"/>
          <w:sz w:val="24"/>
          <w:szCs w:val="24"/>
        </w:rPr>
      </w:pPr>
      <w:r>
        <w:rPr>
          <w:rFonts w:cs="Calibri"/>
          <w:color w:val="auto"/>
          <w:sz w:val="24"/>
          <w:szCs w:val="24"/>
        </w:rPr>
        <w:t xml:space="preserve"> </w:t>
      </w:r>
    </w:p>
    <w:p>
      <w:pPr>
        <w:spacing w:line="360" w:lineRule="auto"/>
        <w:rPr>
          <w:rFonts w:cs="Calibri"/>
          <w:color w:val="auto"/>
          <w:sz w:val="24"/>
          <w:szCs w:val="24"/>
        </w:rPr>
      </w:pPr>
      <w:r>
        <w:rPr>
          <w:rFonts w:ascii="宋体" w:hAnsi="宋体" w:cs="Calibri"/>
          <w:color w:val="auto"/>
          <w:sz w:val="24"/>
          <w:szCs w:val="24"/>
        </w:rPr>
        <w:t>注：投标人法定代表人参加投标的，提供法定代表人声明书和身份证即可。</w:t>
      </w:r>
    </w:p>
    <w:p>
      <w:pPr>
        <w:snapToGrid w:val="0"/>
        <w:spacing w:line="360" w:lineRule="auto"/>
        <w:jc w:val="center"/>
        <w:rPr>
          <w:rFonts w:cs="Calibri"/>
          <w:color w:val="auto"/>
          <w:kern w:val="0"/>
          <w:sz w:val="32"/>
          <w:szCs w:val="32"/>
        </w:rPr>
      </w:pPr>
      <w:r>
        <w:rPr>
          <w:rFonts w:cs="Calibri"/>
          <w:b/>
          <w:color w:val="auto"/>
          <w:sz w:val="36"/>
          <w:szCs w:val="36"/>
        </w:rPr>
        <w:br w:type="page"/>
      </w:r>
      <w:r>
        <w:rPr>
          <w:rFonts w:ascii="宋体" w:hAnsi="宋体" w:cs="Calibri"/>
          <w:b/>
          <w:color w:val="auto"/>
          <w:kern w:val="0"/>
          <w:sz w:val="32"/>
          <w:szCs w:val="32"/>
        </w:rPr>
        <w:t>投标人情况介绍</w:t>
      </w:r>
    </w:p>
    <w:p>
      <w:pPr>
        <w:snapToGrid w:val="0"/>
        <w:spacing w:line="360" w:lineRule="auto"/>
        <w:rPr>
          <w:rFonts w:cs="Calibri"/>
          <w:color w:val="auto"/>
          <w:kern w:val="0"/>
          <w:sz w:val="24"/>
          <w:szCs w:val="24"/>
        </w:rPr>
      </w:pPr>
      <w:r>
        <w:rPr>
          <w:rFonts w:cs="Calibri"/>
          <w:color w:val="auto"/>
          <w:kern w:val="0"/>
          <w:sz w:val="24"/>
          <w:szCs w:val="24"/>
        </w:rPr>
        <w:t>1</w:t>
      </w:r>
      <w:r>
        <w:rPr>
          <w:rFonts w:ascii="宋体" w:hAnsi="宋体" w:cs="Calibri"/>
          <w:color w:val="auto"/>
          <w:kern w:val="0"/>
          <w:sz w:val="24"/>
          <w:szCs w:val="24"/>
        </w:rPr>
        <w:t>、总体介绍、技术经济实力、服务能力、资格、资质、质量认证与本项目类似的实际项目的介绍、业绩等相关情况。</w:t>
      </w:r>
    </w:p>
    <w:p>
      <w:pPr>
        <w:snapToGrid w:val="0"/>
        <w:spacing w:line="360" w:lineRule="auto"/>
        <w:rPr>
          <w:rFonts w:cs="Calibri"/>
          <w:color w:val="auto"/>
          <w:kern w:val="0"/>
          <w:sz w:val="24"/>
          <w:szCs w:val="24"/>
        </w:rPr>
      </w:pPr>
      <w:r>
        <w:rPr>
          <w:rFonts w:cs="Calibri"/>
          <w:color w:val="auto"/>
          <w:kern w:val="0"/>
          <w:sz w:val="24"/>
          <w:szCs w:val="24"/>
        </w:rPr>
        <w:t>2</w:t>
      </w:r>
      <w:r>
        <w:rPr>
          <w:rFonts w:ascii="宋体" w:hAnsi="宋体" w:cs="Calibri"/>
          <w:color w:val="auto"/>
          <w:kern w:val="0"/>
          <w:sz w:val="24"/>
          <w:szCs w:val="24"/>
        </w:rPr>
        <w:t>、</w:t>
      </w:r>
      <w:r>
        <w:rPr>
          <w:rFonts w:hint="eastAsia" w:ascii="宋体" w:hAnsi="宋体" w:cs="Calibri"/>
          <w:color w:val="auto"/>
          <w:kern w:val="0"/>
          <w:sz w:val="24"/>
          <w:szCs w:val="24"/>
        </w:rPr>
        <w:t>相关证书、证件资料复印件加盖公章后附后。</w:t>
      </w:r>
    </w:p>
    <w:p>
      <w:pPr>
        <w:snapToGrid w:val="0"/>
        <w:spacing w:line="360" w:lineRule="auto"/>
        <w:rPr>
          <w:rFonts w:cs="Calibri"/>
          <w:color w:val="auto"/>
          <w:kern w:val="0"/>
          <w:sz w:val="24"/>
          <w:szCs w:val="24"/>
        </w:rPr>
      </w:pPr>
      <w:r>
        <w:rPr>
          <w:rFonts w:cs="Calibri"/>
          <w:color w:val="auto"/>
          <w:kern w:val="0"/>
          <w:sz w:val="24"/>
          <w:szCs w:val="24"/>
        </w:rPr>
        <w:t>3</w:t>
      </w:r>
      <w:r>
        <w:rPr>
          <w:rFonts w:ascii="宋体" w:hAnsi="宋体" w:cs="Calibri"/>
          <w:color w:val="auto"/>
          <w:kern w:val="0"/>
          <w:sz w:val="24"/>
          <w:szCs w:val="24"/>
        </w:rPr>
        <w:t>、</w:t>
      </w:r>
      <w:r>
        <w:rPr>
          <w:rFonts w:hint="eastAsia" w:ascii="宋体" w:hAnsi="宋体" w:cs="Calibri"/>
          <w:color w:val="auto"/>
          <w:kern w:val="0"/>
          <w:sz w:val="24"/>
          <w:szCs w:val="24"/>
        </w:rPr>
        <w:t>投标人认为有必要的声明和文件（荣誉证书等），复印件加盖公章后附后。</w:t>
      </w:r>
    </w:p>
    <w:p>
      <w:pPr>
        <w:snapToGrid w:val="0"/>
        <w:spacing w:line="360" w:lineRule="auto"/>
        <w:rPr>
          <w:rFonts w:cs="Calibri"/>
          <w:color w:val="auto"/>
          <w:kern w:val="0"/>
          <w:szCs w:val="21"/>
        </w:rPr>
      </w:pPr>
      <w:r>
        <w:rPr>
          <w:rFonts w:cs="Calibri"/>
          <w:color w:val="auto"/>
          <w:kern w:val="0"/>
          <w:szCs w:val="21"/>
        </w:rPr>
        <w:t xml:space="preserve"> </w:t>
      </w:r>
    </w:p>
    <w:p>
      <w:pPr>
        <w:snapToGrid w:val="0"/>
        <w:spacing w:line="360" w:lineRule="auto"/>
        <w:jc w:val="center"/>
        <w:rPr>
          <w:rFonts w:cs="Calibri"/>
          <w:color w:val="auto"/>
          <w:kern w:val="0"/>
          <w:szCs w:val="21"/>
        </w:rPr>
      </w:pPr>
      <w:r>
        <w:rPr>
          <w:rFonts w:cs="Calibri"/>
          <w:color w:val="auto"/>
          <w:kern w:val="0"/>
          <w:szCs w:val="21"/>
        </w:rPr>
        <w:t xml:space="preserve"> </w:t>
      </w:r>
    </w:p>
    <w:p>
      <w:pPr>
        <w:snapToGrid w:val="0"/>
        <w:spacing w:line="360" w:lineRule="auto"/>
        <w:jc w:val="center"/>
        <w:rPr>
          <w:rFonts w:cs="Calibri"/>
          <w:color w:val="auto"/>
          <w:kern w:val="0"/>
          <w:szCs w:val="21"/>
        </w:rPr>
      </w:pPr>
      <w:r>
        <w:rPr>
          <w:rFonts w:cs="Calibri"/>
          <w:color w:val="auto"/>
          <w:kern w:val="0"/>
          <w:szCs w:val="21"/>
        </w:rPr>
        <w:t xml:space="preserve"> </w:t>
      </w:r>
    </w:p>
    <w:p>
      <w:pPr>
        <w:snapToGrid w:val="0"/>
        <w:spacing w:line="360" w:lineRule="auto"/>
        <w:jc w:val="center"/>
        <w:rPr>
          <w:rFonts w:cs="Calibri"/>
          <w:color w:val="auto"/>
          <w:kern w:val="0"/>
          <w:szCs w:val="21"/>
        </w:rPr>
      </w:pPr>
      <w:r>
        <w:rPr>
          <w:rFonts w:cs="Calibri"/>
          <w:color w:val="auto"/>
          <w:kern w:val="0"/>
          <w:szCs w:val="21"/>
        </w:rPr>
        <w:t xml:space="preserve"> </w:t>
      </w:r>
    </w:p>
    <w:p>
      <w:pPr>
        <w:snapToGrid w:val="0"/>
        <w:spacing w:line="360" w:lineRule="auto"/>
        <w:jc w:val="center"/>
        <w:rPr>
          <w:rFonts w:cs="Calibri"/>
          <w:color w:val="auto"/>
          <w:kern w:val="0"/>
          <w:szCs w:val="21"/>
        </w:rPr>
      </w:pPr>
      <w:r>
        <w:rPr>
          <w:rFonts w:cs="Calibri"/>
          <w:color w:val="auto"/>
          <w:kern w:val="0"/>
          <w:szCs w:val="21"/>
        </w:rPr>
        <w:t xml:space="preserve"> </w:t>
      </w:r>
    </w:p>
    <w:p>
      <w:pPr>
        <w:snapToGrid w:val="0"/>
        <w:spacing w:line="360" w:lineRule="auto"/>
        <w:jc w:val="center"/>
        <w:rPr>
          <w:rFonts w:cs="Calibri"/>
          <w:color w:val="auto"/>
          <w:kern w:val="0"/>
          <w:szCs w:val="21"/>
        </w:rPr>
      </w:pPr>
      <w:r>
        <w:rPr>
          <w:rFonts w:cs="Calibri"/>
          <w:color w:val="auto"/>
          <w:kern w:val="0"/>
          <w:szCs w:val="21"/>
        </w:rPr>
        <w:t xml:space="preserve"> </w:t>
      </w:r>
    </w:p>
    <w:p>
      <w:pPr>
        <w:snapToGrid w:val="0"/>
        <w:spacing w:line="360" w:lineRule="auto"/>
        <w:rPr>
          <w:rFonts w:cs="Calibri"/>
          <w:color w:val="auto"/>
          <w:kern w:val="0"/>
          <w:szCs w:val="21"/>
        </w:rPr>
      </w:pPr>
      <w:r>
        <w:rPr>
          <w:rFonts w:cs="Calibri"/>
          <w:color w:val="auto"/>
          <w:kern w:val="0"/>
          <w:szCs w:val="21"/>
        </w:rPr>
        <w:t xml:space="preserve"> </w:t>
      </w:r>
    </w:p>
    <w:p>
      <w:pPr>
        <w:snapToGrid w:val="0"/>
        <w:spacing w:line="360" w:lineRule="auto"/>
        <w:rPr>
          <w:rFonts w:cs="Calibri"/>
          <w:color w:val="auto"/>
          <w:kern w:val="0"/>
          <w:szCs w:val="21"/>
        </w:rPr>
      </w:pPr>
      <w:r>
        <w:rPr>
          <w:rFonts w:cs="Calibri"/>
          <w:color w:val="auto"/>
          <w:kern w:val="0"/>
          <w:szCs w:val="21"/>
        </w:rPr>
        <w:t xml:space="preserve"> </w:t>
      </w:r>
    </w:p>
    <w:p>
      <w:pPr>
        <w:snapToGrid w:val="0"/>
        <w:spacing w:line="360" w:lineRule="auto"/>
        <w:rPr>
          <w:rFonts w:cs="Calibri"/>
          <w:color w:val="auto"/>
          <w:kern w:val="0"/>
          <w:szCs w:val="21"/>
        </w:rPr>
      </w:pPr>
      <w:r>
        <w:rPr>
          <w:rFonts w:cs="Calibri"/>
          <w:color w:val="auto"/>
          <w:kern w:val="0"/>
          <w:szCs w:val="21"/>
        </w:rPr>
        <w:t xml:space="preserve"> </w:t>
      </w:r>
    </w:p>
    <w:p>
      <w:pPr>
        <w:snapToGrid w:val="0"/>
        <w:spacing w:line="360" w:lineRule="auto"/>
        <w:rPr>
          <w:rFonts w:cs="Calibri"/>
          <w:color w:val="auto"/>
          <w:kern w:val="0"/>
          <w:szCs w:val="21"/>
        </w:rPr>
      </w:pPr>
      <w:r>
        <w:rPr>
          <w:rFonts w:cs="Calibri"/>
          <w:color w:val="auto"/>
          <w:kern w:val="0"/>
          <w:szCs w:val="21"/>
        </w:rPr>
        <w:t xml:space="preserve"> </w:t>
      </w:r>
    </w:p>
    <w:p>
      <w:pPr>
        <w:snapToGrid w:val="0"/>
        <w:spacing w:line="360" w:lineRule="auto"/>
        <w:rPr>
          <w:rFonts w:cs="Calibri"/>
          <w:color w:val="auto"/>
          <w:kern w:val="0"/>
          <w:sz w:val="24"/>
          <w:szCs w:val="24"/>
        </w:rPr>
      </w:pPr>
      <w:r>
        <w:rPr>
          <w:rFonts w:cs="Calibri"/>
          <w:color w:val="auto"/>
          <w:kern w:val="0"/>
          <w:sz w:val="24"/>
          <w:szCs w:val="24"/>
        </w:rPr>
        <w:t xml:space="preserve"> </w:t>
      </w:r>
    </w:p>
    <w:p>
      <w:pPr>
        <w:snapToGrid w:val="0"/>
        <w:spacing w:line="360" w:lineRule="auto"/>
        <w:ind w:firstLine="4560"/>
        <w:rPr>
          <w:rFonts w:cs="Calibri"/>
          <w:color w:val="auto"/>
          <w:kern w:val="0"/>
          <w:sz w:val="24"/>
          <w:szCs w:val="24"/>
        </w:rPr>
      </w:pPr>
      <w:r>
        <w:rPr>
          <w:rFonts w:ascii="宋体" w:hAnsi="宋体" w:cs="Calibri"/>
          <w:color w:val="auto"/>
          <w:kern w:val="0"/>
          <w:sz w:val="24"/>
          <w:szCs w:val="24"/>
        </w:rPr>
        <w:t>投标人名称（盖章）</w:t>
      </w:r>
      <w:r>
        <w:rPr>
          <w:rFonts w:cs="Calibri"/>
          <w:color w:val="auto"/>
          <w:kern w:val="0"/>
          <w:sz w:val="24"/>
          <w:szCs w:val="24"/>
          <w:u w:val="single"/>
        </w:rPr>
        <w:t xml:space="preserve">                   </w:t>
      </w:r>
    </w:p>
    <w:p>
      <w:pPr>
        <w:snapToGrid w:val="0"/>
        <w:spacing w:line="360" w:lineRule="auto"/>
        <w:ind w:firstLine="4800"/>
        <w:rPr>
          <w:rFonts w:cs="Calibri"/>
          <w:color w:val="auto"/>
          <w:kern w:val="0"/>
          <w:sz w:val="24"/>
          <w:szCs w:val="24"/>
          <w:u w:val="single"/>
        </w:rPr>
      </w:pPr>
      <w:r>
        <w:rPr>
          <w:rFonts w:ascii="宋体" w:hAnsi="宋体" w:cs="Calibri"/>
          <w:color w:val="auto"/>
          <w:kern w:val="0"/>
          <w:sz w:val="24"/>
          <w:szCs w:val="24"/>
        </w:rPr>
        <w:t>授权代表签字</w:t>
      </w:r>
      <w:r>
        <w:rPr>
          <w:rFonts w:cs="Calibri"/>
          <w:color w:val="auto"/>
          <w:kern w:val="0"/>
          <w:sz w:val="24"/>
          <w:szCs w:val="24"/>
          <w:u w:val="single"/>
        </w:rPr>
        <w:t xml:space="preserve">                         </w:t>
      </w:r>
    </w:p>
    <w:p>
      <w:pPr>
        <w:snapToGrid w:val="0"/>
        <w:spacing w:line="360" w:lineRule="auto"/>
        <w:jc w:val="center"/>
        <w:rPr>
          <w:rFonts w:cs="Calibri"/>
          <w:color w:val="auto"/>
          <w:kern w:val="0"/>
          <w:sz w:val="24"/>
          <w:szCs w:val="24"/>
        </w:rPr>
      </w:pPr>
      <w:r>
        <w:rPr>
          <w:rFonts w:cs="Calibri"/>
          <w:color w:val="auto"/>
          <w:kern w:val="0"/>
          <w:sz w:val="24"/>
          <w:szCs w:val="24"/>
        </w:rPr>
        <w:t xml:space="preserve">                                                     </w:t>
      </w:r>
      <w:r>
        <w:rPr>
          <w:rFonts w:ascii="宋体" w:hAnsi="宋体" w:cs="Calibri"/>
          <w:color w:val="auto"/>
          <w:kern w:val="0"/>
          <w:sz w:val="24"/>
          <w:szCs w:val="24"/>
        </w:rPr>
        <w:t>年</w:t>
      </w:r>
      <w:r>
        <w:rPr>
          <w:rFonts w:cs="Calibri"/>
          <w:color w:val="auto"/>
          <w:kern w:val="0"/>
          <w:sz w:val="24"/>
          <w:szCs w:val="24"/>
        </w:rPr>
        <w:t xml:space="preserve">     </w:t>
      </w:r>
      <w:r>
        <w:rPr>
          <w:rFonts w:ascii="宋体" w:hAnsi="宋体" w:cs="Calibri"/>
          <w:color w:val="auto"/>
          <w:kern w:val="0"/>
          <w:sz w:val="24"/>
          <w:szCs w:val="24"/>
        </w:rPr>
        <w:t>月</w:t>
      </w:r>
      <w:r>
        <w:rPr>
          <w:rFonts w:cs="Calibri"/>
          <w:color w:val="auto"/>
          <w:kern w:val="0"/>
          <w:sz w:val="24"/>
          <w:szCs w:val="24"/>
        </w:rPr>
        <w:t xml:space="preserve">      </w:t>
      </w:r>
      <w:r>
        <w:rPr>
          <w:rFonts w:ascii="宋体" w:hAnsi="宋体" w:cs="Calibri"/>
          <w:color w:val="auto"/>
          <w:kern w:val="0"/>
          <w:sz w:val="24"/>
          <w:szCs w:val="24"/>
        </w:rPr>
        <w:t>日</w:t>
      </w:r>
    </w:p>
    <w:p>
      <w:pPr>
        <w:snapToGrid w:val="0"/>
        <w:spacing w:line="360" w:lineRule="auto"/>
        <w:rPr>
          <w:rFonts w:cs="Calibri"/>
          <w:color w:val="auto"/>
          <w:kern w:val="0"/>
          <w:sz w:val="24"/>
          <w:szCs w:val="24"/>
        </w:rPr>
      </w:pPr>
      <w:r>
        <w:rPr>
          <w:rFonts w:ascii="宋体" w:hAnsi="宋体" w:cs="Calibri"/>
          <w:color w:val="auto"/>
          <w:kern w:val="0"/>
          <w:sz w:val="24"/>
          <w:szCs w:val="24"/>
        </w:rPr>
        <w:t>本附件可根据实际情况自行制作</w:t>
      </w:r>
    </w:p>
    <w:p>
      <w:pPr>
        <w:spacing w:line="360" w:lineRule="auto"/>
        <w:jc w:val="center"/>
        <w:rPr>
          <w:rFonts w:ascii="宋体" w:hAnsi="宋体" w:cs="Calibri"/>
          <w:bCs/>
          <w:color w:val="auto"/>
          <w:kern w:val="0"/>
          <w:sz w:val="24"/>
          <w:szCs w:val="24"/>
        </w:rPr>
      </w:pPr>
      <w:r>
        <w:rPr>
          <w:rFonts w:cs="Calibri"/>
          <w:color w:val="auto"/>
          <w:kern w:val="0"/>
          <w:szCs w:val="21"/>
        </w:rPr>
        <w:br w:type="page"/>
      </w:r>
      <w:r>
        <w:rPr>
          <w:rFonts w:hint="eastAsia" w:ascii="宋体" w:hAnsi="宋体" w:cs="Calibri"/>
          <w:b/>
          <w:color w:val="auto"/>
          <w:kern w:val="0"/>
          <w:sz w:val="32"/>
          <w:szCs w:val="32"/>
        </w:rPr>
        <w:t>投标产品配置表</w:t>
      </w:r>
    </w:p>
    <w:p>
      <w:pPr>
        <w:spacing w:before="120" w:line="360" w:lineRule="auto"/>
        <w:jc w:val="left"/>
        <w:rPr>
          <w:rFonts w:hint="eastAsia" w:ascii="宋体" w:hAnsi="宋体" w:cs="Calibri"/>
          <w:bCs/>
          <w:color w:val="auto"/>
          <w:kern w:val="0"/>
          <w:sz w:val="24"/>
          <w:szCs w:val="24"/>
        </w:rPr>
      </w:pPr>
      <w:r>
        <w:rPr>
          <w:rFonts w:hint="eastAsia" w:ascii="宋体" w:hAnsi="宋体" w:cs="Calibri"/>
          <w:bCs/>
          <w:color w:val="auto"/>
          <w:kern w:val="0"/>
          <w:sz w:val="24"/>
          <w:szCs w:val="24"/>
        </w:rPr>
        <w:t>项目编号：</w:t>
      </w:r>
      <w:r>
        <w:rPr>
          <w:rFonts w:hint="eastAsia" w:ascii="宋体" w:hAnsi="宋体" w:cs="Calibri"/>
          <w:bCs/>
          <w:color w:val="auto"/>
          <w:kern w:val="0"/>
          <w:sz w:val="24"/>
          <w:szCs w:val="24"/>
          <w:u w:val="single"/>
        </w:rPr>
        <w:t xml:space="preserve">       </w:t>
      </w:r>
      <w:r>
        <w:rPr>
          <w:rFonts w:hint="eastAsia" w:ascii="宋体" w:hAnsi="宋体" w:cs="Calibri"/>
          <w:bCs/>
          <w:color w:val="auto"/>
          <w:kern w:val="0"/>
          <w:sz w:val="24"/>
          <w:szCs w:val="24"/>
        </w:rPr>
        <w:t xml:space="preserve">          标项</w:t>
      </w:r>
      <w:r>
        <w:rPr>
          <w:rFonts w:hint="eastAsia" w:ascii="宋体" w:hAnsi="宋体" w:cs="Calibri"/>
          <w:bCs/>
          <w:color w:val="auto"/>
          <w:kern w:val="0"/>
          <w:sz w:val="24"/>
          <w:szCs w:val="24"/>
          <w:u w:val="single"/>
        </w:rPr>
        <w:t xml:space="preserve">    </w:t>
      </w:r>
      <w:r>
        <w:rPr>
          <w:rFonts w:hint="eastAsia" w:ascii="宋体" w:hAnsi="宋体" w:cs="Calibri"/>
          <w:bCs/>
          <w:color w:val="auto"/>
          <w:kern w:val="0"/>
          <w:sz w:val="24"/>
          <w:szCs w:val="24"/>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758"/>
        <w:gridCol w:w="1929"/>
        <w:gridCol w:w="1701"/>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37"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r>
              <w:rPr>
                <w:rFonts w:hint="eastAsia" w:ascii="宋体" w:hAnsi="宋体" w:cs="Calibri"/>
                <w:bCs/>
                <w:color w:val="auto"/>
                <w:kern w:val="0"/>
                <w:sz w:val="24"/>
                <w:szCs w:val="24"/>
              </w:rPr>
              <w:t>序号</w:t>
            </w:r>
          </w:p>
        </w:tc>
        <w:tc>
          <w:tcPr>
            <w:tcW w:w="1758" w:type="dxa"/>
            <w:tcBorders>
              <w:top w:val="single" w:color="auto" w:sz="4" w:space="0"/>
              <w:left w:val="nil"/>
              <w:bottom w:val="single" w:color="auto" w:sz="4" w:space="0"/>
              <w:right w:val="single" w:color="auto" w:sz="4" w:space="0"/>
            </w:tcBorders>
            <w:noWrap w:val="0"/>
            <w:vAlign w:val="center"/>
          </w:tcPr>
          <w:p>
            <w:pPr>
              <w:spacing w:before="120" w:line="440" w:lineRule="exact"/>
              <w:jc w:val="center"/>
              <w:rPr>
                <w:rFonts w:ascii="宋体" w:hAnsi="宋体" w:cs="Calibri"/>
                <w:bCs/>
                <w:color w:val="auto"/>
                <w:kern w:val="0"/>
                <w:sz w:val="24"/>
                <w:szCs w:val="24"/>
              </w:rPr>
            </w:pPr>
            <w:r>
              <w:rPr>
                <w:rFonts w:hint="eastAsia" w:ascii="宋体" w:hAnsi="宋体" w:cs="Calibri"/>
                <w:bCs/>
                <w:color w:val="auto"/>
                <w:kern w:val="0"/>
                <w:sz w:val="24"/>
                <w:szCs w:val="24"/>
              </w:rPr>
              <w:t>产品名称</w:t>
            </w:r>
          </w:p>
        </w:tc>
        <w:tc>
          <w:tcPr>
            <w:tcW w:w="1929" w:type="dxa"/>
            <w:tcBorders>
              <w:top w:val="single" w:color="auto" w:sz="4" w:space="0"/>
              <w:left w:val="nil"/>
              <w:bottom w:val="single" w:color="auto" w:sz="4" w:space="0"/>
              <w:right w:val="single" w:color="auto" w:sz="4" w:space="0"/>
            </w:tcBorders>
            <w:noWrap w:val="0"/>
            <w:vAlign w:val="center"/>
          </w:tcPr>
          <w:p>
            <w:pPr>
              <w:spacing w:before="120" w:line="440" w:lineRule="exact"/>
              <w:jc w:val="center"/>
              <w:rPr>
                <w:rFonts w:ascii="宋体" w:hAnsi="宋体" w:cs="Calibri"/>
                <w:bCs/>
                <w:color w:val="auto"/>
                <w:kern w:val="0"/>
                <w:sz w:val="24"/>
                <w:szCs w:val="24"/>
              </w:rPr>
            </w:pPr>
            <w:r>
              <w:rPr>
                <w:rFonts w:hint="eastAsia" w:ascii="宋体" w:hAnsi="宋体" w:cs="Calibri"/>
                <w:bCs/>
                <w:color w:val="auto"/>
                <w:kern w:val="0"/>
                <w:sz w:val="24"/>
                <w:szCs w:val="24"/>
              </w:rPr>
              <w:t>品牌和规格型号</w:t>
            </w:r>
          </w:p>
        </w:tc>
        <w:tc>
          <w:tcPr>
            <w:tcW w:w="1701" w:type="dxa"/>
            <w:tcBorders>
              <w:top w:val="single" w:color="auto" w:sz="4" w:space="0"/>
              <w:left w:val="nil"/>
              <w:bottom w:val="single" w:color="auto" w:sz="4" w:space="0"/>
              <w:right w:val="single" w:color="auto" w:sz="4" w:space="0"/>
            </w:tcBorders>
            <w:noWrap w:val="0"/>
            <w:vAlign w:val="center"/>
          </w:tcPr>
          <w:p>
            <w:pPr>
              <w:spacing w:before="120" w:line="440" w:lineRule="exact"/>
              <w:jc w:val="center"/>
              <w:rPr>
                <w:rFonts w:ascii="宋体" w:hAnsi="宋体" w:cs="Calibri"/>
                <w:bCs/>
                <w:color w:val="auto"/>
                <w:kern w:val="0"/>
                <w:sz w:val="24"/>
                <w:szCs w:val="24"/>
              </w:rPr>
            </w:pPr>
            <w:r>
              <w:rPr>
                <w:rFonts w:hint="eastAsia" w:ascii="宋体" w:hAnsi="宋体" w:cs="Calibri"/>
                <w:bCs/>
                <w:color w:val="auto"/>
                <w:kern w:val="0"/>
                <w:sz w:val="24"/>
                <w:szCs w:val="24"/>
              </w:rPr>
              <w:t>配置参数</w:t>
            </w:r>
          </w:p>
          <w:p>
            <w:pPr>
              <w:spacing w:before="120" w:line="440" w:lineRule="exact"/>
              <w:jc w:val="center"/>
              <w:rPr>
                <w:rFonts w:ascii="宋体" w:hAnsi="宋体" w:cs="Calibri"/>
                <w:bCs/>
                <w:color w:val="auto"/>
                <w:kern w:val="0"/>
                <w:sz w:val="24"/>
                <w:szCs w:val="24"/>
              </w:rPr>
            </w:pPr>
            <w:r>
              <w:rPr>
                <w:rFonts w:hint="eastAsia" w:ascii="宋体" w:hAnsi="宋体" w:cs="Calibri"/>
                <w:bCs/>
                <w:color w:val="auto"/>
                <w:kern w:val="0"/>
                <w:sz w:val="24"/>
                <w:szCs w:val="24"/>
              </w:rPr>
              <w:t>性能指标</w:t>
            </w:r>
          </w:p>
        </w:tc>
        <w:tc>
          <w:tcPr>
            <w:tcW w:w="992"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r>
              <w:rPr>
                <w:rFonts w:hint="eastAsia" w:ascii="宋体" w:hAnsi="宋体" w:cs="Calibri"/>
                <w:bCs/>
                <w:color w:val="auto"/>
                <w:kern w:val="0"/>
                <w:sz w:val="24"/>
                <w:szCs w:val="24"/>
              </w:rPr>
              <w:t>单位</w:t>
            </w:r>
          </w:p>
        </w:tc>
        <w:tc>
          <w:tcPr>
            <w:tcW w:w="1276"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r>
              <w:rPr>
                <w:rFonts w:hint="eastAsia" w:ascii="宋体" w:hAnsi="宋体" w:cs="Calibri"/>
                <w:bCs/>
                <w:color w:val="auto"/>
                <w:kern w:val="0"/>
                <w:sz w:val="24"/>
                <w:szCs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37"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r>
              <w:rPr>
                <w:rFonts w:hint="eastAsia" w:ascii="宋体" w:hAnsi="宋体" w:cs="Calibri"/>
                <w:bCs/>
                <w:color w:val="auto"/>
                <w:kern w:val="0"/>
                <w:sz w:val="24"/>
                <w:szCs w:val="24"/>
              </w:rPr>
              <w:t>1</w:t>
            </w:r>
          </w:p>
        </w:tc>
        <w:tc>
          <w:tcPr>
            <w:tcW w:w="175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9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992"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38"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r>
              <w:rPr>
                <w:rFonts w:hint="eastAsia" w:ascii="宋体" w:hAnsi="宋体" w:cs="Calibri"/>
                <w:bCs/>
                <w:color w:val="auto"/>
                <w:kern w:val="0"/>
                <w:sz w:val="24"/>
                <w:szCs w:val="24"/>
              </w:rPr>
              <w:t>2</w:t>
            </w:r>
          </w:p>
        </w:tc>
        <w:tc>
          <w:tcPr>
            <w:tcW w:w="175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9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992"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37"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r>
              <w:rPr>
                <w:rFonts w:hint="eastAsia" w:ascii="宋体" w:hAnsi="宋体" w:cs="Calibri"/>
                <w:bCs/>
                <w:color w:val="auto"/>
                <w:kern w:val="0"/>
                <w:sz w:val="24"/>
                <w:szCs w:val="24"/>
              </w:rPr>
              <w:t>3</w:t>
            </w:r>
          </w:p>
        </w:tc>
        <w:tc>
          <w:tcPr>
            <w:tcW w:w="175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9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992"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37"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r>
              <w:rPr>
                <w:rFonts w:hint="eastAsia" w:ascii="宋体" w:hAnsi="宋体" w:cs="Calibri"/>
                <w:bCs/>
                <w:color w:val="auto"/>
                <w:kern w:val="0"/>
                <w:sz w:val="24"/>
                <w:szCs w:val="24"/>
              </w:rPr>
              <w:t>4</w:t>
            </w:r>
          </w:p>
        </w:tc>
        <w:tc>
          <w:tcPr>
            <w:tcW w:w="175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9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992"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37"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r>
              <w:rPr>
                <w:rFonts w:hint="eastAsia" w:ascii="宋体" w:hAnsi="宋体" w:cs="Calibri"/>
                <w:bCs/>
                <w:color w:val="auto"/>
                <w:kern w:val="0"/>
                <w:sz w:val="24"/>
                <w:szCs w:val="24"/>
              </w:rPr>
              <w:t>5</w:t>
            </w:r>
          </w:p>
        </w:tc>
        <w:tc>
          <w:tcPr>
            <w:tcW w:w="175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9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992"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38"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r>
              <w:rPr>
                <w:rFonts w:hint="eastAsia" w:ascii="宋体" w:hAnsi="宋体" w:cs="Calibri"/>
                <w:bCs/>
                <w:color w:val="auto"/>
                <w:kern w:val="0"/>
                <w:sz w:val="24"/>
                <w:szCs w:val="24"/>
              </w:rPr>
              <w:t>…</w:t>
            </w:r>
          </w:p>
        </w:tc>
        <w:tc>
          <w:tcPr>
            <w:tcW w:w="175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9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992" w:type="dxa"/>
            <w:tcBorders>
              <w:top w:val="single" w:color="auto" w:sz="4" w:space="0"/>
              <w:left w:val="nil"/>
              <w:bottom w:val="single" w:color="auto" w:sz="4" w:space="0"/>
              <w:right w:val="single" w:color="auto" w:sz="4" w:space="0"/>
            </w:tcBorders>
            <w:noWrap w:val="0"/>
            <w:vAlign w:val="center"/>
          </w:tcPr>
          <w:p>
            <w:pPr>
              <w:spacing w:before="120"/>
              <w:jc w:val="center"/>
              <w:rPr>
                <w:rFonts w:ascii="宋体" w:hAnsi="宋体" w:cs="Calibri"/>
                <w:bCs/>
                <w:color w:val="auto"/>
                <w:kern w:val="0"/>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before="120"/>
              <w:jc w:val="center"/>
              <w:rPr>
                <w:rFonts w:ascii="宋体" w:hAnsi="宋体" w:cs="Calibri"/>
                <w:bCs/>
                <w:color w:val="auto"/>
                <w:kern w:val="0"/>
                <w:sz w:val="24"/>
                <w:szCs w:val="24"/>
              </w:rPr>
            </w:pPr>
            <w:r>
              <w:rPr>
                <w:rFonts w:hint="eastAsia" w:ascii="宋体" w:hAnsi="宋体" w:cs="Calibri"/>
                <w:bCs/>
                <w:color w:val="auto"/>
                <w:kern w:val="0"/>
                <w:sz w:val="24"/>
                <w:szCs w:val="24"/>
              </w:rPr>
              <w:t>…</w:t>
            </w:r>
          </w:p>
        </w:tc>
      </w:tr>
    </w:tbl>
    <w:p>
      <w:pPr>
        <w:spacing w:before="120" w:line="360" w:lineRule="auto"/>
        <w:ind w:firstLine="480" w:firstLineChars="200"/>
        <w:rPr>
          <w:rFonts w:hint="eastAsia" w:ascii="宋体" w:hAnsi="宋体" w:cs="Calibri"/>
          <w:bCs/>
          <w:color w:val="auto"/>
          <w:kern w:val="0"/>
          <w:sz w:val="24"/>
          <w:szCs w:val="24"/>
        </w:rPr>
      </w:pPr>
      <w:r>
        <w:rPr>
          <w:rFonts w:hint="eastAsia" w:ascii="宋体" w:hAnsi="宋体" w:cs="Calibri"/>
          <w:bCs/>
          <w:color w:val="auto"/>
          <w:kern w:val="0"/>
          <w:sz w:val="24"/>
          <w:szCs w:val="24"/>
        </w:rPr>
        <w:t>注：</w:t>
      </w:r>
    </w:p>
    <w:p>
      <w:pPr>
        <w:spacing w:before="120" w:line="360" w:lineRule="auto"/>
        <w:ind w:left="480"/>
        <w:rPr>
          <w:rFonts w:hint="eastAsia" w:ascii="宋体" w:hAnsi="宋体" w:cs="Calibri"/>
          <w:bCs/>
          <w:color w:val="auto"/>
          <w:kern w:val="0"/>
          <w:sz w:val="24"/>
          <w:szCs w:val="24"/>
        </w:rPr>
      </w:pPr>
      <w:r>
        <w:rPr>
          <w:rFonts w:hint="eastAsia" w:ascii="宋体" w:hAnsi="宋体" w:cs="Calibri"/>
          <w:bCs/>
          <w:color w:val="auto"/>
          <w:kern w:val="0"/>
          <w:sz w:val="24"/>
          <w:szCs w:val="24"/>
        </w:rPr>
        <w:t>1.针对本项目的需求清单一一对应填写投标产品配置表。</w:t>
      </w:r>
    </w:p>
    <w:p>
      <w:pPr>
        <w:spacing w:before="120" w:line="360" w:lineRule="auto"/>
        <w:ind w:firstLine="480" w:firstLineChars="200"/>
        <w:rPr>
          <w:rFonts w:hint="eastAsia" w:ascii="宋体" w:hAnsi="宋体" w:cs="Calibri"/>
          <w:bCs/>
          <w:color w:val="auto"/>
          <w:kern w:val="0"/>
          <w:sz w:val="24"/>
          <w:szCs w:val="24"/>
        </w:rPr>
      </w:pPr>
      <w:r>
        <w:rPr>
          <w:rFonts w:hint="eastAsia" w:ascii="宋体" w:hAnsi="宋体" w:cs="Calibri"/>
          <w:bCs/>
          <w:color w:val="auto"/>
          <w:kern w:val="0"/>
          <w:sz w:val="24"/>
          <w:szCs w:val="24"/>
        </w:rPr>
        <w:t>2.投标文件中必须明确主要产品的品牌、规格型号、配置参数、性能指标等内容。可附投标产品介绍图文资料。</w:t>
      </w:r>
    </w:p>
    <w:p>
      <w:pPr>
        <w:spacing w:before="120" w:line="360" w:lineRule="auto"/>
        <w:ind w:left="480"/>
        <w:rPr>
          <w:rFonts w:hint="eastAsia" w:ascii="宋体" w:hAnsi="宋体" w:cs="Calibri"/>
          <w:bCs/>
          <w:color w:val="auto"/>
          <w:kern w:val="0"/>
          <w:sz w:val="24"/>
          <w:szCs w:val="24"/>
        </w:rPr>
      </w:pPr>
      <w:r>
        <w:rPr>
          <w:rFonts w:hint="eastAsia" w:ascii="宋体" w:hAnsi="宋体" w:cs="Calibri"/>
          <w:bCs/>
          <w:color w:val="auto"/>
          <w:kern w:val="0"/>
          <w:sz w:val="24"/>
          <w:szCs w:val="24"/>
        </w:rPr>
        <w:t>3.此表可在不改变格式的情况下自行制作。</w:t>
      </w:r>
    </w:p>
    <w:p>
      <w:pPr>
        <w:spacing w:before="120" w:line="360" w:lineRule="auto"/>
        <w:ind w:firstLine="480" w:firstLineChars="200"/>
        <w:jc w:val="right"/>
        <w:rPr>
          <w:rFonts w:hint="eastAsia" w:ascii="宋体" w:hAnsi="宋体" w:cs="Calibri"/>
          <w:bCs/>
          <w:color w:val="auto"/>
          <w:kern w:val="0"/>
          <w:sz w:val="24"/>
          <w:szCs w:val="24"/>
        </w:rPr>
      </w:pPr>
      <w:r>
        <w:rPr>
          <w:rFonts w:hint="eastAsia" w:ascii="宋体" w:hAnsi="宋体" w:cs="Calibri"/>
          <w:bCs/>
          <w:color w:val="auto"/>
          <w:kern w:val="0"/>
          <w:sz w:val="24"/>
          <w:szCs w:val="24"/>
        </w:rPr>
        <w:t xml:space="preserve"> </w:t>
      </w:r>
    </w:p>
    <w:p>
      <w:pPr>
        <w:snapToGrid w:val="0"/>
        <w:spacing w:before="120" w:line="360" w:lineRule="auto"/>
        <w:rPr>
          <w:rFonts w:hint="eastAsia" w:ascii="宋体" w:hAnsi="宋体" w:cs="Tahoma"/>
          <w:bCs/>
          <w:color w:val="auto"/>
          <w:kern w:val="0"/>
          <w:sz w:val="24"/>
          <w:szCs w:val="24"/>
        </w:rPr>
      </w:pPr>
      <w:r>
        <w:rPr>
          <w:rFonts w:hint="eastAsia" w:ascii="宋体" w:hAnsi="宋体" w:cs="Tahoma"/>
          <w:bCs/>
          <w:color w:val="auto"/>
          <w:kern w:val="0"/>
          <w:sz w:val="24"/>
          <w:szCs w:val="24"/>
        </w:rPr>
        <w:t>投标人全称（公章）：</w:t>
      </w:r>
      <w:r>
        <w:rPr>
          <w:rFonts w:hint="eastAsia" w:ascii="宋体" w:hAnsi="宋体" w:cs="Tahoma"/>
          <w:bCs/>
          <w:color w:val="auto"/>
          <w:kern w:val="0"/>
          <w:sz w:val="24"/>
          <w:szCs w:val="24"/>
          <w:u w:val="single"/>
        </w:rPr>
        <w:t xml:space="preserve">                      </w:t>
      </w:r>
    </w:p>
    <w:p>
      <w:pPr>
        <w:snapToGrid w:val="0"/>
        <w:spacing w:before="120" w:line="360" w:lineRule="auto"/>
        <w:ind w:right="600"/>
        <w:rPr>
          <w:rFonts w:hint="eastAsia" w:ascii="宋体" w:hAnsi="宋体" w:cs="Calibri"/>
          <w:bCs/>
          <w:color w:val="auto"/>
          <w:kern w:val="0"/>
          <w:sz w:val="24"/>
          <w:szCs w:val="24"/>
        </w:rPr>
      </w:pPr>
      <w:r>
        <w:rPr>
          <w:rFonts w:hint="eastAsia" w:ascii="宋体" w:hAnsi="宋体" w:cs="Calibri"/>
          <w:bCs/>
          <w:color w:val="auto"/>
          <w:kern w:val="0"/>
          <w:sz w:val="24"/>
          <w:szCs w:val="24"/>
        </w:rPr>
        <w:t>法定代表人或授权代表（签字或盖章）：</w:t>
      </w:r>
      <w:r>
        <w:rPr>
          <w:rFonts w:hint="eastAsia" w:ascii="宋体" w:hAnsi="宋体" w:cs="Calibri"/>
          <w:bCs/>
          <w:color w:val="auto"/>
          <w:kern w:val="0"/>
          <w:sz w:val="24"/>
          <w:szCs w:val="24"/>
          <w:u w:val="single"/>
        </w:rPr>
        <w:t xml:space="preserve">               </w:t>
      </w:r>
    </w:p>
    <w:p>
      <w:pPr>
        <w:snapToGrid w:val="0"/>
        <w:spacing w:before="120" w:line="360" w:lineRule="auto"/>
        <w:ind w:right="600"/>
        <w:rPr>
          <w:rFonts w:hint="eastAsia" w:ascii="宋体" w:hAnsi="宋体" w:cs="Calibri"/>
          <w:bCs/>
          <w:color w:val="auto"/>
          <w:kern w:val="0"/>
          <w:sz w:val="24"/>
          <w:szCs w:val="24"/>
          <w:u w:val="single"/>
        </w:rPr>
      </w:pPr>
      <w:r>
        <w:rPr>
          <w:rFonts w:hint="eastAsia" w:ascii="宋体" w:hAnsi="宋体" w:cs="Calibri"/>
          <w:bCs/>
          <w:color w:val="auto"/>
          <w:kern w:val="0"/>
          <w:sz w:val="24"/>
          <w:szCs w:val="24"/>
        </w:rPr>
        <w:t>投标日期：</w:t>
      </w:r>
      <w:r>
        <w:rPr>
          <w:rFonts w:hint="eastAsia" w:ascii="宋体" w:hAnsi="宋体" w:cs="Calibri"/>
          <w:bCs/>
          <w:color w:val="auto"/>
          <w:kern w:val="0"/>
          <w:sz w:val="24"/>
          <w:szCs w:val="24"/>
          <w:u w:val="single"/>
        </w:rPr>
        <w:t xml:space="preserve">       年    月    日</w:t>
      </w:r>
    </w:p>
    <w:p>
      <w:pPr>
        <w:spacing w:line="360" w:lineRule="auto"/>
        <w:jc w:val="center"/>
        <w:rPr>
          <w:rFonts w:hint="eastAsia" w:ascii="宋体" w:hAnsi="宋体" w:cs="Calibri"/>
          <w:bCs/>
          <w:color w:val="auto"/>
          <w:kern w:val="0"/>
          <w:sz w:val="24"/>
          <w:szCs w:val="24"/>
        </w:rPr>
      </w:pPr>
      <w:r>
        <w:rPr>
          <w:rFonts w:hint="eastAsia" w:ascii="宋体" w:hAnsi="宋体" w:cs="Calibri"/>
          <w:bCs/>
          <w:color w:val="auto"/>
          <w:kern w:val="0"/>
          <w:sz w:val="24"/>
          <w:szCs w:val="24"/>
        </w:rPr>
        <w:br w:type="page"/>
      </w:r>
    </w:p>
    <w:p>
      <w:pPr>
        <w:spacing w:line="360" w:lineRule="auto"/>
        <w:jc w:val="center"/>
        <w:rPr>
          <w:rFonts w:hint="eastAsia" w:ascii="宋体" w:hAnsi="宋体" w:cs="Calibri"/>
          <w:bCs/>
          <w:color w:val="auto"/>
          <w:kern w:val="0"/>
          <w:sz w:val="24"/>
          <w:szCs w:val="24"/>
        </w:rPr>
      </w:pPr>
      <w:r>
        <w:rPr>
          <w:rFonts w:hint="eastAsia" w:ascii="宋体" w:hAnsi="宋体" w:cs="Calibri"/>
          <w:b/>
          <w:color w:val="auto"/>
          <w:kern w:val="0"/>
          <w:sz w:val="32"/>
          <w:szCs w:val="32"/>
        </w:rPr>
        <w:t>技术规格偏离表</w:t>
      </w:r>
    </w:p>
    <w:p>
      <w:pPr>
        <w:spacing w:line="360" w:lineRule="auto"/>
        <w:rPr>
          <w:rFonts w:hint="eastAsia" w:ascii="宋体" w:hAnsi="宋体" w:cs="Calibri"/>
          <w:bCs/>
          <w:color w:val="auto"/>
          <w:kern w:val="0"/>
          <w:sz w:val="24"/>
          <w:szCs w:val="24"/>
        </w:rPr>
      </w:pPr>
      <w:r>
        <w:rPr>
          <w:rFonts w:hint="eastAsia" w:ascii="宋体" w:hAnsi="宋体" w:cs="Calibri"/>
          <w:bCs/>
          <w:color w:val="auto"/>
          <w:kern w:val="0"/>
          <w:sz w:val="24"/>
          <w:szCs w:val="24"/>
        </w:rPr>
        <w:t>项目编号：</w:t>
      </w:r>
      <w:r>
        <w:rPr>
          <w:rFonts w:hint="eastAsia" w:ascii="宋体" w:hAnsi="宋体" w:cs="Calibri"/>
          <w:bCs/>
          <w:color w:val="auto"/>
          <w:kern w:val="0"/>
          <w:sz w:val="24"/>
          <w:szCs w:val="24"/>
          <w:u w:val="single"/>
        </w:rPr>
        <w:t xml:space="preserve">           </w:t>
      </w:r>
      <w:r>
        <w:rPr>
          <w:rFonts w:hint="eastAsia" w:ascii="宋体" w:hAnsi="宋体" w:cs="Calibri"/>
          <w:bCs/>
          <w:color w:val="auto"/>
          <w:kern w:val="0"/>
          <w:sz w:val="24"/>
          <w:szCs w:val="24"/>
        </w:rPr>
        <w:t xml:space="preserve">                                  标项</w:t>
      </w:r>
      <w:r>
        <w:rPr>
          <w:rFonts w:hint="eastAsia" w:ascii="宋体" w:hAnsi="宋体" w:cs="Calibri"/>
          <w:bCs/>
          <w:color w:val="auto"/>
          <w:kern w:val="0"/>
          <w:sz w:val="24"/>
          <w:szCs w:val="24"/>
          <w:u w:val="single"/>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271"/>
        <w:gridCol w:w="2226"/>
        <w:gridCol w:w="203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296"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Calibri"/>
                <w:bCs/>
                <w:color w:val="auto"/>
                <w:kern w:val="0"/>
                <w:sz w:val="24"/>
                <w:szCs w:val="24"/>
              </w:rPr>
            </w:pPr>
            <w:r>
              <w:rPr>
                <w:rFonts w:hint="eastAsia" w:ascii="宋体" w:hAnsi="宋体" w:cs="Calibri"/>
                <w:bCs/>
                <w:color w:val="auto"/>
                <w:kern w:val="0"/>
                <w:sz w:val="24"/>
                <w:szCs w:val="24"/>
              </w:rPr>
              <w:t>序号</w:t>
            </w:r>
          </w:p>
        </w:tc>
        <w:tc>
          <w:tcPr>
            <w:tcW w:w="127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Calibri"/>
                <w:bCs/>
                <w:color w:val="auto"/>
                <w:kern w:val="0"/>
                <w:sz w:val="24"/>
                <w:szCs w:val="24"/>
              </w:rPr>
            </w:pPr>
            <w:r>
              <w:rPr>
                <w:rFonts w:hint="eastAsia" w:ascii="宋体" w:hAnsi="宋体" w:cs="Calibri"/>
                <w:bCs/>
                <w:color w:val="auto"/>
                <w:kern w:val="0"/>
                <w:sz w:val="24"/>
                <w:szCs w:val="24"/>
              </w:rPr>
              <w:t>货物名称</w:t>
            </w:r>
          </w:p>
        </w:tc>
        <w:tc>
          <w:tcPr>
            <w:tcW w:w="222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Calibri"/>
                <w:bCs/>
                <w:color w:val="auto"/>
                <w:kern w:val="0"/>
                <w:sz w:val="24"/>
                <w:szCs w:val="24"/>
              </w:rPr>
            </w:pPr>
            <w:r>
              <w:rPr>
                <w:rFonts w:hint="eastAsia" w:ascii="宋体" w:hAnsi="宋体" w:cs="Calibri"/>
                <w:bCs/>
                <w:color w:val="auto"/>
                <w:kern w:val="0"/>
                <w:sz w:val="24"/>
                <w:szCs w:val="24"/>
              </w:rPr>
              <w:t>招标文件规范要求</w:t>
            </w:r>
          </w:p>
        </w:tc>
        <w:tc>
          <w:tcPr>
            <w:tcW w:w="203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Calibri"/>
                <w:bCs/>
                <w:color w:val="auto"/>
                <w:kern w:val="0"/>
                <w:sz w:val="24"/>
                <w:szCs w:val="24"/>
              </w:rPr>
            </w:pPr>
            <w:r>
              <w:rPr>
                <w:rFonts w:hint="eastAsia" w:ascii="宋体" w:hAnsi="宋体" w:cs="Calibri"/>
                <w:bCs/>
                <w:color w:val="auto"/>
                <w:kern w:val="0"/>
                <w:sz w:val="24"/>
                <w:szCs w:val="24"/>
              </w:rPr>
              <w:t>投标文件对应规范</w:t>
            </w:r>
          </w:p>
        </w:tc>
        <w:tc>
          <w:tcPr>
            <w:tcW w:w="19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Calibri"/>
                <w:bCs/>
                <w:color w:val="auto"/>
                <w:kern w:val="0"/>
                <w:sz w:val="24"/>
                <w:szCs w:val="24"/>
              </w:rPr>
            </w:pPr>
            <w:r>
              <w:rPr>
                <w:rFonts w:hint="eastAsia" w:ascii="宋体" w:hAnsi="宋体" w:cs="Calibri"/>
                <w:bCs/>
                <w:color w:val="auto"/>
                <w:kern w:val="0"/>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468"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27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226"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03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985"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468"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27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226"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03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985"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468"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27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226"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03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985"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468"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27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226"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03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985"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468"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27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226"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03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985"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468"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27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226"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03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985"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468"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27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226"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03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985"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483"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27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226"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2031"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c>
          <w:tcPr>
            <w:tcW w:w="1985" w:type="dxa"/>
            <w:tcBorders>
              <w:top w:val="single" w:color="auto" w:sz="4" w:space="0"/>
              <w:left w:val="nil"/>
              <w:bottom w:val="single" w:color="auto" w:sz="4" w:space="0"/>
              <w:right w:val="single" w:color="auto" w:sz="4" w:space="0"/>
            </w:tcBorders>
            <w:noWrap w:val="0"/>
            <w:vAlign w:val="top"/>
          </w:tcPr>
          <w:p>
            <w:pPr>
              <w:spacing w:line="360" w:lineRule="auto"/>
              <w:ind w:firstLine="480" w:firstLineChars="200"/>
              <w:rPr>
                <w:rFonts w:ascii="宋体" w:hAnsi="宋体" w:cs="Calibri"/>
                <w:bCs/>
                <w:color w:val="auto"/>
                <w:kern w:val="0"/>
                <w:sz w:val="24"/>
                <w:szCs w:val="24"/>
              </w:rPr>
            </w:pPr>
          </w:p>
        </w:tc>
      </w:tr>
    </w:tbl>
    <w:p>
      <w:pPr>
        <w:spacing w:line="360" w:lineRule="auto"/>
        <w:ind w:firstLine="480" w:firstLineChars="200"/>
        <w:rPr>
          <w:rFonts w:hint="eastAsia" w:ascii="宋体" w:hAnsi="宋体" w:cs="Calibri"/>
          <w:bCs/>
          <w:color w:val="auto"/>
          <w:kern w:val="0"/>
          <w:sz w:val="24"/>
          <w:szCs w:val="24"/>
        </w:rPr>
      </w:pPr>
      <w:r>
        <w:rPr>
          <w:rFonts w:hint="eastAsia" w:ascii="宋体" w:hAnsi="宋体" w:cs="Calibri"/>
          <w:bCs/>
          <w:color w:val="auto"/>
          <w:kern w:val="0"/>
          <w:sz w:val="24"/>
          <w:szCs w:val="24"/>
        </w:rPr>
        <w:t>注：对每个需求的响应必须遵循如下规则：</w:t>
      </w:r>
    </w:p>
    <w:p>
      <w:pPr>
        <w:spacing w:line="360" w:lineRule="auto"/>
        <w:ind w:firstLine="480" w:firstLineChars="200"/>
        <w:rPr>
          <w:rFonts w:hint="eastAsia" w:ascii="宋体" w:hAnsi="宋体" w:cs="Calibri"/>
          <w:bCs/>
          <w:color w:val="auto"/>
          <w:kern w:val="0"/>
          <w:sz w:val="24"/>
          <w:szCs w:val="24"/>
        </w:rPr>
      </w:pPr>
      <w:r>
        <w:rPr>
          <w:rFonts w:hint="eastAsia" w:ascii="宋体" w:hAnsi="宋体" w:cs="Calibri"/>
          <w:bCs/>
          <w:color w:val="auto"/>
          <w:kern w:val="0"/>
          <w:sz w:val="24"/>
          <w:szCs w:val="24"/>
        </w:rPr>
        <w:t>1.偏离情况用“未响应”、“负偏离”、“正偏离”三种之一来表明该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有未响应的作无效标处理。</w:t>
      </w:r>
    </w:p>
    <w:p>
      <w:pPr>
        <w:spacing w:line="360" w:lineRule="auto"/>
        <w:ind w:firstLine="480" w:firstLineChars="200"/>
        <w:rPr>
          <w:rFonts w:hint="eastAsia" w:ascii="宋体" w:hAnsi="宋体" w:cs="Calibri"/>
          <w:bCs/>
          <w:color w:val="auto"/>
          <w:kern w:val="0"/>
          <w:sz w:val="24"/>
          <w:szCs w:val="24"/>
        </w:rPr>
      </w:pPr>
      <w:r>
        <w:rPr>
          <w:rFonts w:hint="eastAsia" w:ascii="宋体" w:hAnsi="宋体" w:cs="Calibri"/>
          <w:bCs/>
          <w:color w:val="auto"/>
          <w:kern w:val="0"/>
          <w:sz w:val="24"/>
          <w:szCs w:val="24"/>
        </w:rPr>
        <w:t>2.偏离表中仅填写与招标文件要求有差异的条款，每一项在同一行一一对应，解释投标方案与用户需求之间的偏差；偏离表中仅填写条款内容但没有在同一行标明响应的，可能被认为是“未响应”，投标单位须承担此不利后果。</w:t>
      </w:r>
    </w:p>
    <w:p>
      <w:pPr>
        <w:spacing w:line="360" w:lineRule="auto"/>
        <w:ind w:firstLine="480" w:firstLineChars="200"/>
        <w:rPr>
          <w:rFonts w:hint="eastAsia" w:ascii="宋体" w:hAnsi="宋体" w:cs="Calibri"/>
          <w:bCs/>
          <w:color w:val="auto"/>
          <w:kern w:val="0"/>
          <w:sz w:val="24"/>
          <w:szCs w:val="24"/>
        </w:rPr>
      </w:pPr>
      <w:r>
        <w:rPr>
          <w:rFonts w:hint="eastAsia" w:ascii="宋体" w:hAnsi="宋体" w:cs="Calibri"/>
          <w:bCs/>
          <w:color w:val="auto"/>
          <w:kern w:val="0"/>
          <w:sz w:val="24"/>
          <w:szCs w:val="24"/>
        </w:rPr>
        <w:t>3.用数量来表示的需求，必须用确切的数字、单位来响应。</w:t>
      </w:r>
    </w:p>
    <w:p>
      <w:pPr>
        <w:spacing w:line="360" w:lineRule="auto"/>
        <w:ind w:firstLine="480" w:firstLineChars="200"/>
        <w:rPr>
          <w:rFonts w:hint="eastAsia" w:ascii="宋体" w:hAnsi="宋体" w:cs="Calibri"/>
          <w:bCs/>
          <w:color w:val="auto"/>
          <w:kern w:val="0"/>
          <w:sz w:val="24"/>
          <w:szCs w:val="24"/>
        </w:rPr>
      </w:pPr>
      <w:r>
        <w:rPr>
          <w:rFonts w:hint="eastAsia" w:ascii="宋体" w:hAnsi="宋体" w:cs="Calibri"/>
          <w:bCs/>
          <w:color w:val="auto"/>
          <w:kern w:val="0"/>
          <w:sz w:val="24"/>
          <w:szCs w:val="24"/>
        </w:rPr>
        <w:t>4.没有填写在偏离表中的其它所有技术或商务(不包含报价)条款都默认为完全响应招标要求。</w:t>
      </w:r>
    </w:p>
    <w:p>
      <w:pPr>
        <w:spacing w:line="360" w:lineRule="auto"/>
        <w:ind w:firstLine="480" w:firstLineChars="200"/>
        <w:rPr>
          <w:rFonts w:hint="eastAsia" w:ascii="宋体" w:hAnsi="宋体" w:cs="Calibri"/>
          <w:bCs/>
          <w:color w:val="auto"/>
          <w:kern w:val="0"/>
          <w:sz w:val="24"/>
          <w:szCs w:val="24"/>
        </w:rPr>
      </w:pPr>
      <w:r>
        <w:rPr>
          <w:rFonts w:hint="eastAsia" w:ascii="宋体" w:hAnsi="宋体" w:cs="Calibri"/>
          <w:bCs/>
          <w:color w:val="auto"/>
          <w:kern w:val="0"/>
          <w:sz w:val="24"/>
          <w:szCs w:val="24"/>
        </w:rPr>
        <w:t>5.此表可在不改变格式的情况下自行制作。</w:t>
      </w:r>
    </w:p>
    <w:p>
      <w:pPr>
        <w:spacing w:line="360" w:lineRule="auto"/>
        <w:ind w:firstLine="480" w:firstLineChars="200"/>
        <w:rPr>
          <w:rFonts w:hint="eastAsia" w:ascii="宋体" w:hAnsi="宋体" w:cs="Calibri"/>
          <w:bCs/>
          <w:color w:val="auto"/>
          <w:kern w:val="0"/>
          <w:sz w:val="24"/>
          <w:szCs w:val="24"/>
        </w:rPr>
      </w:pPr>
      <w:r>
        <w:rPr>
          <w:rFonts w:hint="eastAsia" w:ascii="宋体" w:hAnsi="宋体" w:cs="Calibri"/>
          <w:bCs/>
          <w:color w:val="auto"/>
          <w:kern w:val="0"/>
          <w:sz w:val="24"/>
          <w:szCs w:val="24"/>
        </w:rPr>
        <w:t xml:space="preserve"> </w:t>
      </w:r>
    </w:p>
    <w:p>
      <w:pPr>
        <w:snapToGrid w:val="0"/>
        <w:spacing w:line="360" w:lineRule="auto"/>
        <w:rPr>
          <w:rFonts w:hint="eastAsia" w:ascii="宋体" w:hAnsi="宋体" w:cs="Tahoma"/>
          <w:bCs/>
          <w:color w:val="auto"/>
          <w:kern w:val="0"/>
          <w:sz w:val="24"/>
          <w:szCs w:val="24"/>
        </w:rPr>
      </w:pPr>
      <w:r>
        <w:rPr>
          <w:rFonts w:hint="eastAsia" w:ascii="宋体" w:hAnsi="宋体" w:cs="Tahoma"/>
          <w:bCs/>
          <w:color w:val="auto"/>
          <w:kern w:val="0"/>
          <w:sz w:val="24"/>
          <w:szCs w:val="24"/>
        </w:rPr>
        <w:t>投标人全称（公章）：</w:t>
      </w:r>
      <w:r>
        <w:rPr>
          <w:rFonts w:hint="eastAsia" w:ascii="宋体" w:hAnsi="宋体" w:cs="Tahoma"/>
          <w:bCs/>
          <w:color w:val="auto"/>
          <w:kern w:val="0"/>
          <w:sz w:val="24"/>
          <w:szCs w:val="24"/>
          <w:u w:val="single"/>
        </w:rPr>
        <w:t xml:space="preserve">                      </w:t>
      </w:r>
    </w:p>
    <w:p>
      <w:pPr>
        <w:snapToGrid w:val="0"/>
        <w:spacing w:line="360" w:lineRule="auto"/>
        <w:ind w:right="600"/>
        <w:rPr>
          <w:rFonts w:hint="eastAsia" w:ascii="宋体" w:hAnsi="宋体" w:cs="Calibri"/>
          <w:bCs/>
          <w:color w:val="auto"/>
          <w:kern w:val="0"/>
          <w:sz w:val="24"/>
          <w:szCs w:val="24"/>
        </w:rPr>
      </w:pPr>
      <w:r>
        <w:rPr>
          <w:rFonts w:hint="eastAsia" w:ascii="宋体" w:hAnsi="宋体" w:cs="Calibri"/>
          <w:bCs/>
          <w:color w:val="auto"/>
          <w:kern w:val="0"/>
          <w:sz w:val="24"/>
          <w:szCs w:val="24"/>
        </w:rPr>
        <w:t>法定代表人或授权代表（签字或盖章）：</w:t>
      </w:r>
      <w:r>
        <w:rPr>
          <w:rFonts w:hint="eastAsia" w:ascii="宋体" w:hAnsi="宋体" w:cs="Calibri"/>
          <w:bCs/>
          <w:color w:val="auto"/>
          <w:kern w:val="0"/>
          <w:sz w:val="24"/>
          <w:szCs w:val="24"/>
          <w:u w:val="single"/>
        </w:rPr>
        <w:t xml:space="preserve">               </w:t>
      </w:r>
    </w:p>
    <w:p>
      <w:pPr>
        <w:snapToGrid w:val="0"/>
        <w:spacing w:line="360" w:lineRule="auto"/>
        <w:ind w:right="600"/>
        <w:rPr>
          <w:rFonts w:hint="eastAsia" w:ascii="宋体" w:hAnsi="宋体" w:cs="Calibri"/>
          <w:bCs/>
          <w:color w:val="auto"/>
          <w:kern w:val="0"/>
          <w:sz w:val="24"/>
          <w:szCs w:val="24"/>
          <w:u w:val="single"/>
        </w:rPr>
      </w:pPr>
      <w:r>
        <w:rPr>
          <w:rFonts w:hint="eastAsia" w:ascii="宋体" w:hAnsi="宋体" w:cs="Calibri"/>
          <w:bCs/>
          <w:color w:val="auto"/>
          <w:kern w:val="0"/>
          <w:sz w:val="24"/>
          <w:szCs w:val="24"/>
        </w:rPr>
        <w:t>投标日期：</w:t>
      </w:r>
      <w:r>
        <w:rPr>
          <w:rFonts w:hint="eastAsia" w:ascii="宋体" w:hAnsi="宋体" w:cs="Calibri"/>
          <w:bCs/>
          <w:color w:val="auto"/>
          <w:kern w:val="0"/>
          <w:sz w:val="24"/>
          <w:szCs w:val="24"/>
          <w:u w:val="single"/>
        </w:rPr>
        <w:t xml:space="preserve">       年    月    日</w:t>
      </w:r>
    </w:p>
    <w:p>
      <w:pPr>
        <w:widowControl/>
        <w:spacing w:line="360" w:lineRule="auto"/>
        <w:jc w:val="left"/>
        <w:rPr>
          <w:rFonts w:hint="eastAsia" w:ascii="Times New Roman" w:hAnsi="宋体" w:cs="Calibri"/>
          <w:color w:val="auto"/>
          <w:szCs w:val="21"/>
        </w:rPr>
      </w:pPr>
      <w:r>
        <w:rPr>
          <w:rFonts w:hint="eastAsia" w:ascii="宋体" w:hAnsi="宋体" w:cs="Calibri"/>
          <w:bCs/>
          <w:color w:val="auto"/>
          <w:sz w:val="24"/>
          <w:szCs w:val="24"/>
          <w:u w:val="single"/>
        </w:rPr>
        <w:br w:type="page"/>
      </w:r>
    </w:p>
    <w:p>
      <w:pPr>
        <w:spacing w:line="360" w:lineRule="auto"/>
        <w:jc w:val="center"/>
        <w:rPr>
          <w:rFonts w:hint="eastAsia" w:ascii="宋体" w:hAnsi="宋体" w:cs="Calibri"/>
          <w:b/>
          <w:color w:val="auto"/>
          <w:kern w:val="0"/>
          <w:sz w:val="32"/>
          <w:szCs w:val="32"/>
        </w:rPr>
      </w:pPr>
      <w:r>
        <w:rPr>
          <w:rFonts w:hint="eastAsia" w:ascii="宋体" w:hAnsi="宋体" w:cs="Calibri"/>
          <w:b/>
          <w:color w:val="auto"/>
          <w:kern w:val="0"/>
          <w:sz w:val="32"/>
          <w:szCs w:val="32"/>
        </w:rPr>
        <w:t>项目人员配置表</w:t>
      </w:r>
    </w:p>
    <w:p>
      <w:pPr>
        <w:spacing w:line="360" w:lineRule="auto"/>
        <w:rPr>
          <w:rFonts w:hint="eastAsia" w:ascii="宋体" w:hAnsi="宋体" w:cs="Calibri"/>
          <w:color w:val="auto"/>
          <w:kern w:val="0"/>
          <w:szCs w:val="21"/>
        </w:rPr>
      </w:pPr>
      <w:r>
        <w:rPr>
          <w:rFonts w:hint="eastAsia" w:ascii="宋体" w:hAnsi="宋体" w:cs="Calibri"/>
          <w:bCs/>
          <w:color w:val="auto"/>
          <w:kern w:val="0"/>
          <w:sz w:val="24"/>
          <w:szCs w:val="24"/>
        </w:rPr>
        <w:t>项目编号：</w:t>
      </w:r>
      <w:r>
        <w:rPr>
          <w:rFonts w:hint="eastAsia" w:ascii="宋体" w:hAnsi="宋体" w:cs="Calibri"/>
          <w:bCs/>
          <w:color w:val="auto"/>
          <w:kern w:val="0"/>
          <w:sz w:val="24"/>
          <w:szCs w:val="24"/>
          <w:u w:val="single"/>
        </w:rPr>
        <w:t xml:space="preserve">           </w:t>
      </w:r>
      <w:r>
        <w:rPr>
          <w:rFonts w:hint="eastAsia" w:ascii="宋体" w:hAnsi="宋体" w:cs="Calibri"/>
          <w:bCs/>
          <w:color w:val="auto"/>
          <w:kern w:val="0"/>
          <w:sz w:val="24"/>
          <w:szCs w:val="24"/>
        </w:rPr>
        <w:t xml:space="preserve">                                  标项</w:t>
      </w:r>
      <w:r>
        <w:rPr>
          <w:rFonts w:hint="eastAsia" w:ascii="宋体" w:hAnsi="宋体" w:cs="Calibri"/>
          <w:bCs/>
          <w:color w:val="auto"/>
          <w:kern w:val="0"/>
          <w:sz w:val="24"/>
          <w:szCs w:val="24"/>
          <w:u w:val="single"/>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67"/>
        <w:gridCol w:w="1134"/>
        <w:gridCol w:w="709"/>
        <w:gridCol w:w="1418"/>
        <w:gridCol w:w="1559"/>
        <w:gridCol w:w="1984"/>
        <w:gridCol w:w="15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jc w:val="center"/>
        </w:trPr>
        <w:tc>
          <w:tcPr>
            <w:tcW w:w="567" w:type="dxa"/>
            <w:tcBorders>
              <w:top w:val="single" w:color="auto" w:sz="4" w:space="0"/>
              <w:left w:val="single" w:color="auto" w:sz="4" w:space="0"/>
              <w:bottom w:val="single" w:color="auto" w:sz="4"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序号</w:t>
            </w:r>
          </w:p>
        </w:tc>
        <w:tc>
          <w:tcPr>
            <w:tcW w:w="1134"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姓名</w:t>
            </w:r>
          </w:p>
        </w:tc>
        <w:tc>
          <w:tcPr>
            <w:tcW w:w="709"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性别</w:t>
            </w:r>
          </w:p>
        </w:tc>
        <w:tc>
          <w:tcPr>
            <w:tcW w:w="1418"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职称</w:t>
            </w:r>
          </w:p>
        </w:tc>
        <w:tc>
          <w:tcPr>
            <w:tcW w:w="1559"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专业</w:t>
            </w:r>
          </w:p>
        </w:tc>
        <w:tc>
          <w:tcPr>
            <w:tcW w:w="1984"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联系电话</w:t>
            </w:r>
          </w:p>
        </w:tc>
        <w:tc>
          <w:tcPr>
            <w:tcW w:w="1560" w:type="dxa"/>
            <w:tcBorders>
              <w:top w:val="single" w:color="auto" w:sz="4" w:space="0"/>
              <w:left w:val="single" w:color="auto" w:sz="2" w:space="0"/>
              <w:bottom w:val="single" w:color="auto" w:sz="4"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hint="eastAsia" w:ascii="宋体" w:hAnsi="宋体" w:cs="Calibri"/>
                <w:color w:val="auto"/>
                <w:kern w:val="0"/>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4"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1</w:t>
            </w:r>
          </w:p>
        </w:tc>
        <w:tc>
          <w:tcPr>
            <w:tcW w:w="1134"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709"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418"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59"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984"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60" w:type="dxa"/>
            <w:tcBorders>
              <w:top w:val="single" w:color="auto" w:sz="4"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2</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3</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4</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5</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6</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r>
              <w:rPr>
                <w:rFonts w:cs="Calibri"/>
                <w:color w:val="auto"/>
                <w:kern w:val="0"/>
                <w:sz w:val="24"/>
                <w:szCs w:val="24"/>
              </w:rPr>
              <w:t>7</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spacing w:line="500" w:lineRule="exact"/>
              <w:ind w:right="25" w:rightChars="12"/>
              <w:jc w:val="center"/>
              <w:rPr>
                <w:rFonts w:cs="Calibri"/>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70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418"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98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560"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auto"/>
          <w:trHeight w:val="645" w:hRule="atLeast"/>
          <w:jc w:val="center"/>
        </w:trPr>
        <w:tc>
          <w:tcPr>
            <w:tcW w:w="567" w:type="dxa"/>
            <w:tcBorders>
              <w:top w:val="single" w:color="auto" w:sz="2" w:space="0"/>
              <w:left w:val="single" w:color="auto" w:sz="4"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134"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709"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418"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559"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984"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c>
          <w:tcPr>
            <w:tcW w:w="1560" w:type="dxa"/>
            <w:tcBorders>
              <w:top w:val="single" w:color="auto" w:sz="2" w:space="0"/>
              <w:left w:val="single" w:color="auto" w:sz="2" w:space="0"/>
              <w:bottom w:val="single" w:color="auto" w:sz="4" w:space="0"/>
              <w:right w:val="single" w:color="auto" w:sz="4" w:space="0"/>
            </w:tcBorders>
            <w:noWrap w:val="0"/>
            <w:tcMar>
              <w:top w:w="0" w:type="dxa"/>
              <w:left w:w="28" w:type="dxa"/>
              <w:bottom w:w="0" w:type="dxa"/>
              <w:right w:w="28" w:type="dxa"/>
            </w:tcMar>
            <w:vAlign w:val="center"/>
          </w:tcPr>
          <w:p>
            <w:pPr>
              <w:jc w:val="center"/>
              <w:rPr>
                <w:rFonts w:eastAsia="仿宋_GB2312" w:cs="Calibri"/>
                <w:color w:val="auto"/>
                <w:kern w:val="0"/>
                <w:szCs w:val="21"/>
              </w:rPr>
            </w:pPr>
          </w:p>
        </w:tc>
      </w:tr>
    </w:tbl>
    <w:p>
      <w:pPr>
        <w:widowControl/>
        <w:spacing w:line="360" w:lineRule="auto"/>
        <w:jc w:val="left"/>
        <w:rPr>
          <w:rFonts w:hint="eastAsia" w:ascii="宋体" w:hAnsi="宋体" w:cs="Calibri"/>
          <w:b/>
          <w:color w:val="auto"/>
          <w:szCs w:val="21"/>
        </w:rPr>
      </w:pPr>
      <w:r>
        <w:rPr>
          <w:rFonts w:hint="eastAsia" w:ascii="宋体" w:hAnsi="宋体" w:cs="Calibri"/>
          <w:b/>
          <w:color w:val="auto"/>
          <w:szCs w:val="21"/>
        </w:rPr>
        <w:t xml:space="preserve"> </w:t>
      </w:r>
    </w:p>
    <w:p>
      <w:pPr>
        <w:widowControl/>
        <w:spacing w:line="360" w:lineRule="auto"/>
        <w:jc w:val="left"/>
        <w:rPr>
          <w:rFonts w:hint="eastAsia" w:ascii="宋体" w:hAnsi="宋体" w:cs="Calibri"/>
          <w:b/>
          <w:color w:val="auto"/>
          <w:szCs w:val="21"/>
        </w:rPr>
      </w:pPr>
      <w:r>
        <w:rPr>
          <w:rFonts w:hint="eastAsia" w:ascii="宋体" w:hAnsi="宋体" w:cs="Calibri"/>
          <w:b/>
          <w:color w:val="auto"/>
          <w:szCs w:val="21"/>
        </w:rPr>
        <w:t xml:space="preserve"> </w:t>
      </w:r>
    </w:p>
    <w:p>
      <w:pPr>
        <w:spacing w:line="0" w:lineRule="atLeast"/>
        <w:rPr>
          <w:rFonts w:hint="eastAsia" w:eastAsia="仿宋_GB2312" w:cs="Calibri"/>
          <w:color w:val="auto"/>
          <w:kern w:val="0"/>
          <w:sz w:val="24"/>
          <w:szCs w:val="24"/>
        </w:rPr>
      </w:pPr>
      <w:r>
        <w:rPr>
          <w:rFonts w:eastAsia="仿宋_GB2312" w:cs="Calibri"/>
          <w:color w:val="auto"/>
          <w:kern w:val="0"/>
          <w:sz w:val="24"/>
          <w:szCs w:val="24"/>
        </w:rPr>
        <w:t xml:space="preserve"> </w:t>
      </w:r>
    </w:p>
    <w:p>
      <w:pPr>
        <w:widowControl/>
        <w:spacing w:line="360" w:lineRule="auto"/>
        <w:jc w:val="left"/>
        <w:rPr>
          <w:rFonts w:cs="Calibri"/>
          <w:color w:val="auto"/>
          <w:kern w:val="0"/>
          <w:szCs w:val="21"/>
        </w:rPr>
      </w:pPr>
      <w:r>
        <w:rPr>
          <w:rFonts w:ascii="宋体" w:hAnsi="宋体" w:cs="Calibri"/>
          <w:color w:val="auto"/>
          <w:kern w:val="0"/>
          <w:szCs w:val="21"/>
        </w:rPr>
        <w:t>投</w:t>
      </w:r>
      <w:r>
        <w:rPr>
          <w:rFonts w:cs="Calibri"/>
          <w:color w:val="auto"/>
          <w:kern w:val="0"/>
          <w:szCs w:val="21"/>
        </w:rPr>
        <w:t xml:space="preserve"> </w:t>
      </w:r>
      <w:r>
        <w:rPr>
          <w:rFonts w:ascii="宋体" w:hAnsi="宋体" w:cs="Calibri"/>
          <w:color w:val="auto"/>
          <w:kern w:val="0"/>
          <w:szCs w:val="21"/>
        </w:rPr>
        <w:t>标</w:t>
      </w:r>
      <w:r>
        <w:rPr>
          <w:rFonts w:cs="Calibri"/>
          <w:color w:val="auto"/>
          <w:kern w:val="0"/>
          <w:szCs w:val="21"/>
        </w:rPr>
        <w:t xml:space="preserve"> </w:t>
      </w:r>
      <w:r>
        <w:rPr>
          <w:rFonts w:ascii="宋体" w:hAnsi="宋体" w:cs="Calibri"/>
          <w:color w:val="auto"/>
          <w:kern w:val="0"/>
          <w:szCs w:val="21"/>
        </w:rPr>
        <w:t>人（盖章）：</w:t>
      </w:r>
    </w:p>
    <w:p>
      <w:pPr>
        <w:snapToGrid w:val="0"/>
        <w:spacing w:line="360" w:lineRule="auto"/>
        <w:rPr>
          <w:rFonts w:ascii="Times New Roman" w:hAnsi="Times New Roman"/>
          <w:color w:val="auto"/>
          <w:szCs w:val="21"/>
        </w:rPr>
      </w:pPr>
      <w:r>
        <w:rPr>
          <w:rFonts w:ascii="宋体" w:hAnsi="宋体"/>
          <w:color w:val="auto"/>
          <w:szCs w:val="21"/>
        </w:rPr>
        <w:t>法定代表人或其授权代表（签字或盖章）：</w:t>
      </w:r>
    </w:p>
    <w:p>
      <w:pPr>
        <w:widowControl/>
        <w:ind w:firstLine="420"/>
        <w:jc w:val="left"/>
        <w:rPr>
          <w:rFonts w:ascii="宋体" w:hAnsi="宋体" w:cs="Calibri"/>
          <w:b/>
          <w:bCs/>
          <w:color w:val="auto"/>
          <w:sz w:val="36"/>
          <w:szCs w:val="36"/>
        </w:rPr>
      </w:pPr>
      <w:r>
        <w:rPr>
          <w:rFonts w:ascii="宋体" w:hAnsi="宋体"/>
          <w:color w:val="auto"/>
          <w:szCs w:val="21"/>
        </w:rPr>
        <w:t>日</w:t>
      </w:r>
      <w:r>
        <w:rPr>
          <w:rFonts w:ascii="Times New Roman" w:hAnsi="Times New Roman"/>
          <w:color w:val="auto"/>
          <w:szCs w:val="21"/>
        </w:rPr>
        <w:t xml:space="preserve">            </w:t>
      </w:r>
      <w:r>
        <w:rPr>
          <w:rFonts w:ascii="宋体" w:hAnsi="宋体"/>
          <w:color w:val="auto"/>
          <w:szCs w:val="21"/>
        </w:rPr>
        <w:t>期：</w:t>
      </w:r>
    </w:p>
    <w:p>
      <w:pPr>
        <w:jc w:val="center"/>
        <w:rPr>
          <w:rFonts w:hint="eastAsia" w:ascii="宋体" w:hAnsi="宋体" w:cs="Calibri"/>
          <w:b/>
          <w:bCs/>
          <w:color w:val="auto"/>
          <w:kern w:val="0"/>
          <w:sz w:val="36"/>
          <w:szCs w:val="36"/>
        </w:rPr>
      </w:pPr>
      <w:r>
        <w:rPr>
          <w:rFonts w:hint="eastAsia" w:ascii="宋体" w:hAnsi="宋体" w:cs="Calibri"/>
          <w:b/>
          <w:bCs/>
          <w:color w:val="auto"/>
          <w:kern w:val="0"/>
          <w:sz w:val="36"/>
          <w:szCs w:val="36"/>
        </w:rPr>
        <w:t xml:space="preserve"> </w:t>
      </w:r>
    </w:p>
    <w:p>
      <w:pPr>
        <w:spacing w:line="400" w:lineRule="exact"/>
        <w:rPr>
          <w:rFonts w:hint="eastAsia" w:eastAsia="新宋体" w:cs="Calibri"/>
          <w:b/>
          <w:bCs/>
          <w:color w:val="auto"/>
          <w:kern w:val="0"/>
          <w:sz w:val="36"/>
          <w:szCs w:val="36"/>
        </w:rPr>
      </w:pPr>
      <w:r>
        <w:rPr>
          <w:rFonts w:eastAsia="新宋体" w:cs="Calibri"/>
          <w:b/>
          <w:bCs/>
          <w:color w:val="auto"/>
          <w:kern w:val="0"/>
          <w:sz w:val="36"/>
          <w:szCs w:val="36"/>
        </w:rPr>
        <w:t xml:space="preserve"> </w:t>
      </w:r>
    </w:p>
    <w:p>
      <w:pPr>
        <w:spacing w:line="400" w:lineRule="exact"/>
        <w:rPr>
          <w:rFonts w:eastAsia="新宋体" w:cs="Calibri"/>
          <w:b/>
          <w:bCs/>
          <w:color w:val="auto"/>
          <w:kern w:val="0"/>
          <w:sz w:val="36"/>
          <w:szCs w:val="36"/>
        </w:rPr>
      </w:pPr>
      <w:r>
        <w:rPr>
          <w:rFonts w:eastAsia="新宋体" w:cs="Calibri"/>
          <w:b/>
          <w:bCs/>
          <w:color w:val="auto"/>
          <w:kern w:val="0"/>
          <w:sz w:val="36"/>
          <w:szCs w:val="36"/>
        </w:rPr>
        <w:t xml:space="preserve"> </w:t>
      </w:r>
    </w:p>
    <w:p>
      <w:pPr>
        <w:spacing w:line="400" w:lineRule="exact"/>
        <w:rPr>
          <w:rFonts w:eastAsia="新宋体" w:cs="Calibri"/>
          <w:b/>
          <w:bCs/>
          <w:color w:val="auto"/>
          <w:kern w:val="0"/>
          <w:sz w:val="36"/>
          <w:szCs w:val="36"/>
        </w:rPr>
      </w:pPr>
      <w:r>
        <w:rPr>
          <w:rFonts w:eastAsia="新宋体" w:cs="Calibri"/>
          <w:b/>
          <w:bCs/>
          <w:color w:val="auto"/>
          <w:kern w:val="0"/>
          <w:sz w:val="36"/>
          <w:szCs w:val="36"/>
        </w:rPr>
        <w:t xml:space="preserve"> </w:t>
      </w:r>
    </w:p>
    <w:p>
      <w:pPr>
        <w:spacing w:line="400" w:lineRule="exact"/>
        <w:rPr>
          <w:rFonts w:eastAsia="新宋体" w:cs="Calibri"/>
          <w:b/>
          <w:bCs/>
          <w:color w:val="auto"/>
          <w:kern w:val="0"/>
          <w:sz w:val="36"/>
          <w:szCs w:val="36"/>
        </w:rPr>
      </w:pPr>
      <w:r>
        <w:rPr>
          <w:rFonts w:eastAsia="新宋体" w:cs="Calibri"/>
          <w:b/>
          <w:bCs/>
          <w:color w:val="auto"/>
          <w:kern w:val="0"/>
          <w:sz w:val="36"/>
          <w:szCs w:val="36"/>
        </w:rPr>
        <w:t xml:space="preserve"> </w:t>
      </w:r>
    </w:p>
    <w:p>
      <w:pPr>
        <w:spacing w:line="400" w:lineRule="exact"/>
        <w:rPr>
          <w:rFonts w:eastAsia="新宋体" w:cs="Calibri"/>
          <w:b/>
          <w:bCs/>
          <w:color w:val="auto"/>
          <w:kern w:val="0"/>
          <w:sz w:val="36"/>
          <w:szCs w:val="36"/>
        </w:rPr>
      </w:pPr>
      <w:r>
        <w:rPr>
          <w:rFonts w:eastAsia="新宋体" w:cs="Calibri"/>
          <w:b/>
          <w:bCs/>
          <w:color w:val="auto"/>
          <w:kern w:val="0"/>
          <w:sz w:val="36"/>
          <w:szCs w:val="36"/>
        </w:rPr>
        <w:t xml:space="preserve"> </w:t>
      </w:r>
    </w:p>
    <w:p>
      <w:pPr>
        <w:spacing w:line="400" w:lineRule="exact"/>
        <w:rPr>
          <w:rFonts w:eastAsia="新宋体" w:cs="Calibri"/>
          <w:b/>
          <w:bCs/>
          <w:color w:val="auto"/>
          <w:kern w:val="0"/>
          <w:sz w:val="36"/>
          <w:szCs w:val="36"/>
        </w:rPr>
      </w:pPr>
      <w:r>
        <w:rPr>
          <w:rFonts w:eastAsia="新宋体" w:cs="Calibri"/>
          <w:b/>
          <w:bCs/>
          <w:color w:val="auto"/>
          <w:kern w:val="0"/>
          <w:sz w:val="36"/>
          <w:szCs w:val="36"/>
        </w:rPr>
        <w:t xml:space="preserve"> </w:t>
      </w:r>
    </w:p>
    <w:p>
      <w:pPr>
        <w:spacing w:line="400" w:lineRule="exact"/>
        <w:rPr>
          <w:rFonts w:eastAsia="新宋体" w:cs="Calibri"/>
          <w:b/>
          <w:bCs/>
          <w:color w:val="auto"/>
          <w:kern w:val="0"/>
          <w:sz w:val="36"/>
          <w:szCs w:val="36"/>
        </w:rPr>
      </w:pPr>
      <w:r>
        <w:rPr>
          <w:rFonts w:eastAsia="新宋体" w:cs="Calibri"/>
          <w:b/>
          <w:bCs/>
          <w:color w:val="auto"/>
          <w:kern w:val="0"/>
          <w:sz w:val="36"/>
          <w:szCs w:val="36"/>
        </w:rPr>
        <w:t xml:space="preserve"> </w:t>
      </w:r>
    </w:p>
    <w:p>
      <w:pPr>
        <w:spacing w:line="400" w:lineRule="exact"/>
        <w:rPr>
          <w:rFonts w:eastAsia="新宋体" w:cs="Calibri"/>
          <w:b/>
          <w:bCs/>
          <w:color w:val="auto"/>
          <w:kern w:val="0"/>
          <w:sz w:val="36"/>
          <w:szCs w:val="36"/>
        </w:rPr>
      </w:pPr>
      <w:r>
        <w:rPr>
          <w:rFonts w:eastAsia="新宋体" w:cs="Calibri"/>
          <w:b/>
          <w:bCs/>
          <w:color w:val="auto"/>
          <w:kern w:val="0"/>
          <w:sz w:val="36"/>
          <w:szCs w:val="36"/>
        </w:rPr>
        <w:t xml:space="preserve"> </w:t>
      </w:r>
    </w:p>
    <w:p>
      <w:pPr>
        <w:spacing w:line="400" w:lineRule="exact"/>
        <w:rPr>
          <w:rFonts w:eastAsia="新宋体" w:cs="Calibri"/>
          <w:b/>
          <w:bCs/>
          <w:color w:val="auto"/>
          <w:kern w:val="0"/>
          <w:sz w:val="36"/>
          <w:szCs w:val="36"/>
        </w:rPr>
      </w:pPr>
      <w:r>
        <w:rPr>
          <w:rFonts w:eastAsia="新宋体" w:cs="Calibri"/>
          <w:b/>
          <w:bCs/>
          <w:color w:val="auto"/>
          <w:kern w:val="0"/>
          <w:sz w:val="36"/>
          <w:szCs w:val="36"/>
        </w:rPr>
        <w:t xml:space="preserve"> </w:t>
      </w:r>
    </w:p>
    <w:p>
      <w:pPr>
        <w:spacing w:line="400" w:lineRule="exact"/>
        <w:rPr>
          <w:rFonts w:ascii="新宋体" w:hAnsi="新宋体" w:eastAsia="新宋体" w:cs="Calibri"/>
          <w:b/>
          <w:bCs/>
          <w:color w:val="auto"/>
          <w:kern w:val="0"/>
          <w:sz w:val="36"/>
          <w:szCs w:val="36"/>
        </w:rPr>
      </w:pPr>
      <w:r>
        <w:rPr>
          <w:rFonts w:hint="eastAsia" w:ascii="新宋体" w:hAnsi="新宋体" w:eastAsia="新宋体" w:cs="Calibri"/>
          <w:b/>
          <w:bCs/>
          <w:color w:val="auto"/>
          <w:kern w:val="0"/>
          <w:sz w:val="36"/>
          <w:szCs w:val="36"/>
        </w:rPr>
        <w:t xml:space="preserve"> </w:t>
      </w:r>
    </w:p>
    <w:p>
      <w:pPr>
        <w:spacing w:line="400" w:lineRule="exact"/>
        <w:rPr>
          <w:rFonts w:hint="eastAsia" w:eastAsia="新宋体" w:cs="Calibri"/>
          <w:b/>
          <w:bCs/>
          <w:color w:val="auto"/>
          <w:kern w:val="0"/>
          <w:sz w:val="36"/>
          <w:szCs w:val="36"/>
        </w:rPr>
      </w:pPr>
      <w:r>
        <w:rPr>
          <w:rFonts w:eastAsia="新宋体" w:cs="Calibri"/>
          <w:b/>
          <w:bCs/>
          <w:color w:val="auto"/>
          <w:kern w:val="0"/>
          <w:sz w:val="36"/>
          <w:szCs w:val="36"/>
        </w:rPr>
        <w:t xml:space="preserve"> </w:t>
      </w:r>
    </w:p>
    <w:p>
      <w:pPr>
        <w:spacing w:line="400" w:lineRule="exact"/>
        <w:rPr>
          <w:rFonts w:ascii="新宋体" w:hAnsi="新宋体" w:eastAsia="新宋体" w:cs="Calibri"/>
          <w:b/>
          <w:bCs/>
          <w:color w:val="auto"/>
          <w:kern w:val="0"/>
          <w:sz w:val="36"/>
          <w:szCs w:val="36"/>
        </w:rPr>
      </w:pPr>
      <w:r>
        <w:rPr>
          <w:rFonts w:hint="eastAsia" w:ascii="新宋体" w:hAnsi="新宋体" w:eastAsia="新宋体" w:cs="Calibri"/>
          <w:b/>
          <w:bCs/>
          <w:color w:val="auto"/>
          <w:kern w:val="0"/>
          <w:sz w:val="36"/>
          <w:szCs w:val="36"/>
        </w:rPr>
        <w:t xml:space="preserve"> </w:t>
      </w:r>
    </w:p>
    <w:p>
      <w:pPr>
        <w:spacing w:line="400" w:lineRule="exact"/>
        <w:rPr>
          <w:rFonts w:hint="eastAsia" w:eastAsia="新宋体" w:cs="Calibri"/>
          <w:b/>
          <w:bCs/>
          <w:color w:val="auto"/>
          <w:kern w:val="0"/>
          <w:sz w:val="36"/>
          <w:szCs w:val="36"/>
        </w:rPr>
      </w:pPr>
      <w:r>
        <w:rPr>
          <w:rFonts w:eastAsia="新宋体" w:cs="Calibri"/>
          <w:b/>
          <w:bCs/>
          <w:color w:val="auto"/>
          <w:kern w:val="0"/>
          <w:sz w:val="36"/>
          <w:szCs w:val="36"/>
        </w:rPr>
        <w:t xml:space="preserve"> </w:t>
      </w:r>
    </w:p>
    <w:p>
      <w:pPr>
        <w:jc w:val="center"/>
        <w:outlineLvl w:val="0"/>
        <w:rPr>
          <w:rFonts w:ascii="宋体" w:hAnsi="宋体" w:cs="Calibri"/>
          <w:b/>
          <w:bCs/>
          <w:color w:val="auto"/>
          <w:kern w:val="0"/>
          <w:sz w:val="36"/>
          <w:szCs w:val="36"/>
        </w:rPr>
      </w:pPr>
      <w:bookmarkStart w:id="124" w:name="_Toc32079"/>
      <w:bookmarkEnd w:id="124"/>
      <w:r>
        <w:rPr>
          <w:rFonts w:hint="eastAsia" w:ascii="宋体" w:hAnsi="宋体" w:cs="Calibri"/>
          <w:b/>
          <w:bCs/>
          <w:color w:val="auto"/>
          <w:kern w:val="0"/>
          <w:sz w:val="36"/>
          <w:szCs w:val="36"/>
        </w:rPr>
        <w:t>项目实施方案、售后服务方案</w:t>
      </w:r>
    </w:p>
    <w:p>
      <w:pPr>
        <w:spacing w:line="400" w:lineRule="exact"/>
        <w:jc w:val="center"/>
        <w:rPr>
          <w:rFonts w:hint="eastAsia" w:eastAsia="新宋体" w:cs="Calibri"/>
          <w:color w:val="auto"/>
          <w:kern w:val="0"/>
          <w:sz w:val="24"/>
          <w:szCs w:val="24"/>
        </w:rPr>
      </w:pPr>
      <w:r>
        <w:rPr>
          <w:rFonts w:eastAsia="新宋体" w:cs="Calibri"/>
          <w:color w:val="auto"/>
          <w:kern w:val="0"/>
          <w:sz w:val="24"/>
          <w:szCs w:val="24"/>
        </w:rPr>
        <w:t xml:space="preserve"> </w:t>
      </w:r>
    </w:p>
    <w:p>
      <w:pPr>
        <w:spacing w:line="400" w:lineRule="exact"/>
        <w:jc w:val="center"/>
        <w:rPr>
          <w:rFonts w:ascii="宋体" w:hAnsi="宋体" w:cs="Calibri"/>
          <w:color w:val="auto"/>
          <w:kern w:val="0"/>
          <w:sz w:val="30"/>
          <w:szCs w:val="30"/>
        </w:rPr>
      </w:pPr>
      <w:r>
        <w:rPr>
          <w:rFonts w:hint="eastAsia" w:ascii="宋体" w:hAnsi="宋体" w:cs="Calibri"/>
          <w:color w:val="auto"/>
          <w:kern w:val="0"/>
          <w:sz w:val="30"/>
          <w:szCs w:val="30"/>
        </w:rPr>
        <w:t>（格式自拟）</w:t>
      </w:r>
    </w:p>
    <w:p>
      <w:pPr>
        <w:spacing w:line="400" w:lineRule="exact"/>
        <w:ind w:left="246" w:hanging="28"/>
        <w:jc w:val="center"/>
        <w:rPr>
          <w:rFonts w:hint="eastAsia" w:ascii="Times New Roman" w:hAnsi="Times New Roman"/>
          <w:color w:val="auto"/>
          <w:sz w:val="32"/>
          <w:szCs w:val="32"/>
        </w:rPr>
      </w:pPr>
      <w:r>
        <w:rPr>
          <w:rFonts w:ascii="Times New Roman" w:hAnsi="宋体" w:eastAsia="新宋体"/>
          <w:b/>
          <w:bCs/>
          <w:color w:val="auto"/>
          <w:kern w:val="0"/>
          <w:sz w:val="36"/>
          <w:szCs w:val="36"/>
        </w:rPr>
        <w:br w:type="page"/>
      </w:r>
      <w:r>
        <w:rPr>
          <w:rFonts w:ascii="宋体" w:hAnsi="宋体"/>
          <w:color w:val="auto"/>
          <w:sz w:val="32"/>
          <w:szCs w:val="32"/>
        </w:rPr>
        <w:t>义乌市政府采购项目投标承诺书</w:t>
      </w:r>
    </w:p>
    <w:p>
      <w:pPr>
        <w:spacing w:line="400" w:lineRule="exact"/>
        <w:ind w:left="246" w:hanging="28"/>
        <w:jc w:val="center"/>
        <w:rPr>
          <w:rFonts w:ascii="Times New Roman" w:hAnsi="Times New Roman"/>
          <w:color w:val="auto"/>
          <w:sz w:val="32"/>
          <w:szCs w:val="32"/>
        </w:rPr>
      </w:pPr>
      <w:r>
        <w:rPr>
          <w:rFonts w:ascii="Times New Roman" w:hAnsi="Times New Roman"/>
          <w:color w:val="auto"/>
          <w:sz w:val="32"/>
          <w:szCs w:val="32"/>
        </w:rPr>
        <w:t xml:space="preserve"> </w:t>
      </w:r>
    </w:p>
    <w:p>
      <w:pPr>
        <w:spacing w:line="320" w:lineRule="exact"/>
        <w:ind w:firstLine="420"/>
        <w:rPr>
          <w:rFonts w:cs="Calibri"/>
          <w:color w:val="auto"/>
          <w:szCs w:val="21"/>
        </w:rPr>
      </w:pPr>
      <w:r>
        <w:rPr>
          <w:rFonts w:cs="Calibri"/>
          <w:color w:val="auto"/>
          <w:szCs w:val="21"/>
        </w:rPr>
        <w:t>1</w:t>
      </w:r>
      <w:r>
        <w:rPr>
          <w:rFonts w:ascii="宋体" w:hAnsi="宋体" w:cs="Calibri"/>
          <w:color w:val="auto"/>
          <w:szCs w:val="21"/>
        </w:rPr>
        <w:t>、我单位已认真阅读了本项目的采购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widowControl/>
        <w:spacing w:line="320" w:lineRule="exact"/>
        <w:ind w:firstLine="420"/>
        <w:jc w:val="left"/>
        <w:rPr>
          <w:rFonts w:ascii="Times New Roman" w:hAnsi="Times New Roman"/>
          <w:color w:val="auto"/>
          <w:kern w:val="0"/>
          <w:szCs w:val="21"/>
        </w:rPr>
      </w:pPr>
      <w:r>
        <w:rPr>
          <w:rFonts w:ascii="Times New Roman" w:hAnsi="Times New Roman"/>
          <w:color w:val="auto"/>
          <w:kern w:val="0"/>
          <w:szCs w:val="21"/>
        </w:rPr>
        <w:t>2</w:t>
      </w:r>
      <w:r>
        <w:rPr>
          <w:rFonts w:ascii="宋体" w:hAnsi="宋体"/>
          <w:color w:val="auto"/>
          <w:kern w:val="0"/>
          <w:szCs w:val="21"/>
        </w:rPr>
        <w:t>、自愿接受义乌市财政局（以下简称财政局）的管理，并严格遵守财政局制定的招投标管理制度、规范和纪律。</w:t>
      </w:r>
    </w:p>
    <w:p>
      <w:pPr>
        <w:spacing w:line="320" w:lineRule="exact"/>
        <w:ind w:left="-34" w:firstLine="420"/>
        <w:rPr>
          <w:rFonts w:cs="Calibri"/>
          <w:color w:val="auto"/>
          <w:szCs w:val="21"/>
        </w:rPr>
      </w:pPr>
      <w:r>
        <w:rPr>
          <w:rFonts w:cs="Calibri"/>
          <w:color w:val="auto"/>
          <w:szCs w:val="21"/>
        </w:rPr>
        <w:t>3</w:t>
      </w:r>
      <w:r>
        <w:rPr>
          <w:rFonts w:ascii="宋体" w:hAnsi="宋体" w:cs="Calibri"/>
          <w:color w:val="auto"/>
          <w:szCs w:val="21"/>
        </w:rPr>
        <w:t>、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w:t>
      </w:r>
    </w:p>
    <w:p>
      <w:pPr>
        <w:spacing w:line="320" w:lineRule="exact"/>
        <w:ind w:firstLine="420"/>
        <w:rPr>
          <w:rFonts w:cs="Calibri"/>
          <w:color w:val="auto"/>
          <w:szCs w:val="21"/>
        </w:rPr>
      </w:pPr>
      <w:r>
        <w:rPr>
          <w:rFonts w:cs="Calibri"/>
          <w:color w:val="auto"/>
          <w:szCs w:val="21"/>
        </w:rPr>
        <w:t>4</w:t>
      </w:r>
      <w:r>
        <w:rPr>
          <w:rFonts w:ascii="宋体" w:hAnsi="宋体" w:cs="Calibri"/>
          <w:color w:val="auto"/>
          <w:szCs w:val="21"/>
        </w:rPr>
        <w:t>、积极主动配合财政局的调查。及时、如实、全面地回答财政局提出的问题，并在调查笔录中签字确认。如拒绝签字确认的，则视为我单位及有关工作人员认可调查笔录中的全部内容，并对最终的调查结果无任何异议，且自愿放弃一切救济途径。</w:t>
      </w:r>
    </w:p>
    <w:p>
      <w:pPr>
        <w:spacing w:line="320" w:lineRule="exact"/>
        <w:ind w:firstLine="420"/>
        <w:rPr>
          <w:rFonts w:cs="Calibri"/>
          <w:color w:val="auto"/>
          <w:szCs w:val="21"/>
        </w:rPr>
      </w:pPr>
      <w:r>
        <w:rPr>
          <w:rFonts w:cs="Calibri"/>
          <w:color w:val="auto"/>
          <w:szCs w:val="21"/>
        </w:rPr>
        <w:t>5</w:t>
      </w:r>
      <w:r>
        <w:rPr>
          <w:rFonts w:ascii="宋体" w:hAnsi="宋体" w:cs="Calibri"/>
          <w:color w:val="auto"/>
          <w:szCs w:val="21"/>
        </w:rPr>
        <w:t>、不</w:t>
      </w:r>
      <w:r>
        <w:rPr>
          <w:rFonts w:hint="eastAsia" w:ascii="宋体" w:hAnsi="宋体" w:cs="Calibri"/>
          <w:color w:val="auto"/>
          <w:szCs w:val="21"/>
        </w:rPr>
        <w:t>转包</w:t>
      </w:r>
      <w:r>
        <w:rPr>
          <w:rFonts w:ascii="宋体" w:hAnsi="宋体" w:cs="Calibri"/>
          <w:color w:val="auto"/>
          <w:szCs w:val="21"/>
        </w:rPr>
        <w:t>、出借、涂改、伪造资质（资格）证书或者以其他方式允许其他单位（个人）以我单位（本人）名义承接业务。</w:t>
      </w:r>
    </w:p>
    <w:p>
      <w:pPr>
        <w:spacing w:line="320" w:lineRule="exact"/>
        <w:ind w:left="-34" w:firstLine="420"/>
        <w:rPr>
          <w:rFonts w:cs="Calibri"/>
          <w:color w:val="auto"/>
          <w:szCs w:val="21"/>
        </w:rPr>
      </w:pPr>
      <w:r>
        <w:rPr>
          <w:rFonts w:cs="Calibri"/>
          <w:color w:val="auto"/>
          <w:szCs w:val="21"/>
        </w:rPr>
        <w:t>6</w:t>
      </w:r>
      <w:r>
        <w:rPr>
          <w:rFonts w:ascii="宋体" w:hAnsi="宋体" w:cs="Calibri"/>
          <w:color w:val="auto"/>
          <w:szCs w:val="21"/>
        </w:rPr>
        <w:t>、不与采购人或者其他供应商相互串通投标，围标，不以行贿等不正当手段谋取中标。</w:t>
      </w:r>
    </w:p>
    <w:p>
      <w:pPr>
        <w:spacing w:line="320" w:lineRule="exact"/>
        <w:ind w:left="-34" w:firstLine="420"/>
        <w:rPr>
          <w:rFonts w:cs="Calibri"/>
          <w:color w:val="auto"/>
          <w:szCs w:val="21"/>
        </w:rPr>
      </w:pPr>
      <w:r>
        <w:rPr>
          <w:rFonts w:cs="Calibri"/>
          <w:color w:val="auto"/>
          <w:szCs w:val="21"/>
        </w:rPr>
        <w:t>7</w:t>
      </w:r>
      <w:r>
        <w:rPr>
          <w:rFonts w:ascii="宋体" w:hAnsi="宋体" w:cs="Calibri"/>
          <w:color w:val="auto"/>
          <w:szCs w:val="21"/>
        </w:rPr>
        <w:t>、在备案、招标、投标、开标、评标、询标、中标、签订合同、合同备案等招投标预备和进行的全过程中提供的资料均真实、有效，不弄虚作假。</w:t>
      </w:r>
    </w:p>
    <w:p>
      <w:pPr>
        <w:spacing w:line="320" w:lineRule="exact"/>
        <w:ind w:firstLine="420"/>
        <w:rPr>
          <w:rFonts w:cs="Calibri"/>
          <w:color w:val="auto"/>
          <w:szCs w:val="21"/>
        </w:rPr>
      </w:pPr>
      <w:r>
        <w:rPr>
          <w:rFonts w:cs="Calibri"/>
          <w:color w:val="auto"/>
          <w:szCs w:val="21"/>
        </w:rPr>
        <w:t>8</w:t>
      </w:r>
      <w:r>
        <w:rPr>
          <w:rFonts w:ascii="宋体" w:hAnsi="宋体" w:cs="Calibri"/>
          <w:color w:val="auto"/>
          <w:szCs w:val="21"/>
        </w:rPr>
        <w:t>、我方已详细审核全部招标文件，包括修改文件</w:t>
      </w:r>
      <w:r>
        <w:rPr>
          <w:rFonts w:cs="Calibri"/>
          <w:color w:val="auto"/>
          <w:szCs w:val="21"/>
        </w:rPr>
        <w:t>(</w:t>
      </w:r>
      <w:r>
        <w:rPr>
          <w:rFonts w:ascii="宋体" w:hAnsi="宋体" w:cs="Calibri"/>
          <w:color w:val="auto"/>
          <w:szCs w:val="21"/>
        </w:rPr>
        <w:t>如果有的话</w:t>
      </w:r>
      <w:r>
        <w:rPr>
          <w:rFonts w:cs="Calibri"/>
          <w:color w:val="auto"/>
          <w:szCs w:val="21"/>
        </w:rPr>
        <w:t>)</w:t>
      </w:r>
      <w:r>
        <w:rPr>
          <w:rFonts w:ascii="宋体" w:hAnsi="宋体" w:cs="Calibri"/>
          <w:color w:val="auto"/>
          <w:szCs w:val="21"/>
        </w:rPr>
        <w:t xml:space="preserve">，及有关附件，我方同意放弃提出含糊不清或误解的权力。 </w:t>
      </w:r>
    </w:p>
    <w:p>
      <w:pPr>
        <w:spacing w:line="320" w:lineRule="exact"/>
        <w:ind w:firstLine="420"/>
        <w:rPr>
          <w:rFonts w:cs="Calibri"/>
          <w:color w:val="auto"/>
          <w:szCs w:val="21"/>
        </w:rPr>
      </w:pPr>
      <w:r>
        <w:rPr>
          <w:rFonts w:cs="Calibri"/>
          <w:color w:val="auto"/>
          <w:szCs w:val="21"/>
        </w:rPr>
        <w:t>9</w:t>
      </w:r>
      <w:r>
        <w:rPr>
          <w:rFonts w:ascii="宋体" w:hAnsi="宋体" w:cs="Calibri"/>
          <w:color w:val="auto"/>
          <w:szCs w:val="21"/>
        </w:rPr>
        <w:t>、我方同意所递交的投标文件在招标期内有效，在此期间内我方有可能中标，我方将受此约束。</w:t>
      </w:r>
    </w:p>
    <w:p>
      <w:pPr>
        <w:spacing w:line="320" w:lineRule="exact"/>
        <w:ind w:firstLine="420"/>
        <w:rPr>
          <w:rFonts w:cs="Calibri"/>
          <w:color w:val="auto"/>
          <w:szCs w:val="21"/>
        </w:rPr>
      </w:pPr>
      <w:r>
        <w:rPr>
          <w:rFonts w:cs="Calibri"/>
          <w:color w:val="auto"/>
          <w:szCs w:val="21"/>
        </w:rPr>
        <w:t>10</w:t>
      </w:r>
      <w:r>
        <w:rPr>
          <w:rFonts w:ascii="宋体" w:hAnsi="宋体" w:cs="Calibri"/>
          <w:color w:val="auto"/>
          <w:szCs w:val="21"/>
        </w:rPr>
        <w:t xml:space="preserve">、我方相信贵方的招标结果是公正、合法的，无论我方中标还是落标，我方将接受这一结果。 </w:t>
      </w:r>
    </w:p>
    <w:p>
      <w:pPr>
        <w:spacing w:line="320" w:lineRule="exact"/>
        <w:ind w:firstLine="420"/>
        <w:rPr>
          <w:rFonts w:cs="Calibri"/>
          <w:color w:val="auto"/>
          <w:szCs w:val="21"/>
        </w:rPr>
      </w:pPr>
      <w:r>
        <w:rPr>
          <w:rFonts w:cs="Calibri"/>
          <w:color w:val="auto"/>
          <w:szCs w:val="21"/>
        </w:rPr>
        <w:t>11</w:t>
      </w:r>
      <w:r>
        <w:rPr>
          <w:rFonts w:ascii="宋体" w:hAnsi="宋体" w:cs="Calibri"/>
          <w:color w:val="auto"/>
          <w:szCs w:val="21"/>
        </w:rPr>
        <w:t>、一旦我方中标，我方将严格依照招标文件中的相关规定与采购人签订合同。</w:t>
      </w:r>
    </w:p>
    <w:p>
      <w:pPr>
        <w:spacing w:line="320" w:lineRule="exact"/>
        <w:ind w:left="-34" w:firstLine="420"/>
        <w:rPr>
          <w:rFonts w:cs="Calibri"/>
          <w:color w:val="auto"/>
          <w:szCs w:val="21"/>
        </w:rPr>
      </w:pPr>
      <w:r>
        <w:rPr>
          <w:rFonts w:cs="Calibri"/>
          <w:color w:val="auto"/>
          <w:szCs w:val="21"/>
        </w:rPr>
        <w:t>12</w:t>
      </w:r>
      <w:r>
        <w:rPr>
          <w:rFonts w:ascii="宋体" w:hAnsi="宋体" w:cs="Calibri"/>
          <w:color w:val="auto"/>
          <w:szCs w:val="21"/>
        </w:rPr>
        <w:t>、不低于企业成本价投标，不恶意过高报价，不扰乱招投标的正常秩序。</w:t>
      </w:r>
    </w:p>
    <w:p>
      <w:pPr>
        <w:spacing w:line="320" w:lineRule="exact"/>
        <w:ind w:left="-34" w:firstLine="420"/>
        <w:rPr>
          <w:rFonts w:cs="Calibri"/>
          <w:color w:val="auto"/>
          <w:szCs w:val="21"/>
        </w:rPr>
      </w:pPr>
      <w:r>
        <w:rPr>
          <w:rFonts w:cs="Calibri"/>
          <w:color w:val="auto"/>
          <w:szCs w:val="21"/>
        </w:rPr>
        <w:t>13</w:t>
      </w:r>
      <w:r>
        <w:rPr>
          <w:rFonts w:ascii="宋体" w:hAnsi="宋体" w:cs="Calibri"/>
          <w:color w:val="auto"/>
          <w:szCs w:val="21"/>
        </w:rPr>
        <w:t>、严格遵守开标会议纪律，不在开标会场吵闹、滋事，服从工作人员指挥。</w:t>
      </w:r>
    </w:p>
    <w:p>
      <w:pPr>
        <w:spacing w:line="320" w:lineRule="exact"/>
        <w:ind w:firstLine="420"/>
        <w:rPr>
          <w:rFonts w:cs="Calibri"/>
          <w:color w:val="auto"/>
          <w:szCs w:val="21"/>
        </w:rPr>
      </w:pPr>
      <w:r>
        <w:rPr>
          <w:rFonts w:cs="Calibri"/>
          <w:color w:val="auto"/>
          <w:szCs w:val="21"/>
        </w:rPr>
        <w:t>14</w:t>
      </w:r>
      <w:r>
        <w:rPr>
          <w:rFonts w:ascii="宋体" w:hAnsi="宋体" w:cs="Calibri"/>
          <w:color w:val="auto"/>
          <w:szCs w:val="21"/>
        </w:rPr>
        <w:t>、按照法律法规和本项目招标文件规定的程序和方式进行异议和投诉，不越级投诉，不无理投诉。如捏造事实、伪造材料或者以非法手段取得材料进行投诉，给他人造成损失的，依法承担赔偿责任。</w:t>
      </w:r>
    </w:p>
    <w:p>
      <w:pPr>
        <w:spacing w:line="320" w:lineRule="exact"/>
        <w:ind w:firstLine="420"/>
        <w:rPr>
          <w:rFonts w:cs="Calibri"/>
          <w:color w:val="auto"/>
          <w:szCs w:val="21"/>
        </w:rPr>
      </w:pPr>
      <w:r>
        <w:rPr>
          <w:rFonts w:ascii="宋体" w:hAnsi="宋体" w:cs="Calibri"/>
          <w:color w:val="auto"/>
          <w:szCs w:val="21"/>
        </w:rPr>
        <w:t>上述承诺事项已认真逐项核对，均表达我单位真实意见，愿承担任何责任。若有任何弄虚作假内容或未遵守上述约定的，经查实后，愿意放弃投标及中标资格，如由于我单位被判失去中标权而给采购人造成报价的差额损失的，同意对差额损失予以赔偿。如我单位违反上述承诺事项，无条件接受政府采购监督部门作出的任何管理和处理决定，并自愿承担一切不利的后果。</w:t>
      </w:r>
    </w:p>
    <w:p>
      <w:pPr>
        <w:spacing w:line="320" w:lineRule="exact"/>
        <w:rPr>
          <w:rFonts w:cs="Calibri"/>
          <w:color w:val="auto"/>
          <w:szCs w:val="21"/>
        </w:rPr>
      </w:pPr>
      <w:r>
        <w:rPr>
          <w:rFonts w:cs="Calibri"/>
          <w:color w:val="auto"/>
          <w:szCs w:val="21"/>
        </w:rPr>
        <w:t xml:space="preserve"> </w:t>
      </w:r>
    </w:p>
    <w:p>
      <w:pPr>
        <w:adjustRightInd w:val="0"/>
        <w:spacing w:line="360" w:lineRule="auto"/>
        <w:ind w:right="880" w:firstLine="440" w:firstLineChars="200"/>
        <w:jc w:val="left"/>
        <w:rPr>
          <w:rFonts w:ascii="Arial" w:hAnsi="Arial" w:cs="Arial"/>
          <w:color w:val="auto"/>
          <w:kern w:val="0"/>
          <w:sz w:val="22"/>
          <w:u w:val="single"/>
        </w:rPr>
      </w:pPr>
      <w:r>
        <w:rPr>
          <w:rFonts w:ascii="宋体" w:hAnsi="宋体" w:cs="Arial"/>
          <w:color w:val="auto"/>
          <w:kern w:val="0"/>
          <w:sz w:val="22"/>
        </w:rPr>
        <w:t>投标人</w:t>
      </w:r>
      <w:r>
        <w:rPr>
          <w:rFonts w:hint="eastAsia" w:ascii="宋体" w:hAnsi="宋体" w:cs="Arial"/>
          <w:color w:val="auto"/>
          <w:kern w:val="0"/>
          <w:sz w:val="22"/>
        </w:rPr>
        <w:t>名</w:t>
      </w:r>
      <w:r>
        <w:rPr>
          <w:rFonts w:ascii="宋体" w:hAnsi="宋体" w:cs="Arial"/>
          <w:color w:val="auto"/>
          <w:kern w:val="0"/>
          <w:sz w:val="22"/>
        </w:rPr>
        <w:t>称（</w:t>
      </w:r>
      <w:r>
        <w:rPr>
          <w:rFonts w:hint="eastAsia" w:ascii="宋体" w:hAnsi="宋体" w:cs="Arial"/>
          <w:color w:val="auto"/>
          <w:kern w:val="0"/>
          <w:sz w:val="22"/>
        </w:rPr>
        <w:t>签</w:t>
      </w:r>
      <w:r>
        <w:rPr>
          <w:rFonts w:ascii="宋体" w:hAnsi="宋体" w:cs="Arial"/>
          <w:color w:val="auto"/>
          <w:kern w:val="0"/>
          <w:sz w:val="22"/>
        </w:rPr>
        <w:t>章）：</w:t>
      </w:r>
      <w:r>
        <w:rPr>
          <w:rFonts w:hint="eastAsia" w:ascii="Arial" w:hAnsi="Arial" w:cs="Arial"/>
          <w:color w:val="auto"/>
          <w:kern w:val="0"/>
          <w:sz w:val="22"/>
          <w:u w:val="single"/>
        </w:rPr>
        <w:t xml:space="preserve"> </w:t>
      </w:r>
      <w:r>
        <w:rPr>
          <w:rFonts w:ascii="Arial" w:hAnsi="Arial" w:cs="Arial"/>
          <w:color w:val="auto"/>
          <w:kern w:val="0"/>
          <w:sz w:val="22"/>
          <w:u w:val="single"/>
        </w:rPr>
        <w:t xml:space="preserve">                 </w:t>
      </w:r>
    </w:p>
    <w:p>
      <w:pPr>
        <w:adjustRightInd w:val="0"/>
        <w:spacing w:line="360" w:lineRule="auto"/>
        <w:jc w:val="left"/>
        <w:rPr>
          <w:rFonts w:ascii="Arial" w:hAnsi="Arial" w:cs="Arial"/>
          <w:color w:val="auto"/>
          <w:kern w:val="0"/>
          <w:sz w:val="22"/>
        </w:rPr>
      </w:pPr>
      <w:r>
        <w:rPr>
          <w:rFonts w:hint="eastAsia" w:ascii="Arial" w:hAnsi="Arial" w:cs="Arial"/>
          <w:color w:val="auto"/>
          <w:kern w:val="0"/>
          <w:sz w:val="22"/>
        </w:rPr>
        <w:t xml:space="preserve"> </w:t>
      </w:r>
    </w:p>
    <w:p>
      <w:pPr>
        <w:adjustRightInd w:val="0"/>
        <w:spacing w:line="360" w:lineRule="auto"/>
        <w:ind w:right="420" w:firstLine="440" w:firstLineChars="200"/>
        <w:jc w:val="left"/>
        <w:rPr>
          <w:rFonts w:hint="eastAsia" w:ascii="Arial" w:hAnsi="Arial" w:cs="Arial"/>
          <w:color w:val="auto"/>
          <w:kern w:val="0"/>
          <w:sz w:val="22"/>
          <w:u w:val="single"/>
        </w:rPr>
      </w:pPr>
      <w:r>
        <w:rPr>
          <w:rFonts w:ascii="宋体" w:hAnsi="宋体" w:cs="Arial"/>
          <w:color w:val="auto"/>
          <w:kern w:val="0"/>
          <w:sz w:val="22"/>
        </w:rPr>
        <w:t>日</w:t>
      </w:r>
      <w:r>
        <w:rPr>
          <w:rFonts w:hint="eastAsia" w:ascii="Arial" w:hAnsi="Arial" w:cs="Arial"/>
          <w:color w:val="auto"/>
          <w:kern w:val="0"/>
          <w:sz w:val="22"/>
        </w:rPr>
        <w:t xml:space="preserve"> </w:t>
      </w:r>
      <w:r>
        <w:rPr>
          <w:rFonts w:ascii="Arial" w:hAnsi="Arial" w:cs="Arial"/>
          <w:color w:val="auto"/>
          <w:kern w:val="0"/>
          <w:sz w:val="22"/>
        </w:rPr>
        <w:t xml:space="preserve"> </w:t>
      </w:r>
      <w:r>
        <w:rPr>
          <w:rFonts w:ascii="宋体" w:hAnsi="宋体" w:cs="Arial"/>
          <w:color w:val="auto"/>
          <w:kern w:val="0"/>
          <w:sz w:val="22"/>
        </w:rPr>
        <w:t>期：</w:t>
      </w:r>
      <w:r>
        <w:rPr>
          <w:rFonts w:hint="eastAsia" w:ascii="Arial" w:hAnsi="Arial" w:cs="Arial"/>
          <w:color w:val="auto"/>
          <w:kern w:val="0"/>
          <w:sz w:val="22"/>
          <w:u w:val="single"/>
        </w:rPr>
        <w:t xml:space="preserve"> </w:t>
      </w:r>
      <w:r>
        <w:rPr>
          <w:rFonts w:ascii="Arial" w:hAnsi="Arial" w:cs="Arial"/>
          <w:color w:val="auto"/>
          <w:kern w:val="0"/>
          <w:sz w:val="22"/>
          <w:u w:val="single"/>
        </w:rPr>
        <w:t xml:space="preserve">                  </w:t>
      </w:r>
    </w:p>
    <w:p>
      <w:pPr>
        <w:spacing w:line="320" w:lineRule="exact"/>
        <w:rPr>
          <w:rFonts w:cs="Calibri"/>
          <w:color w:val="auto"/>
          <w:szCs w:val="21"/>
        </w:rPr>
      </w:pPr>
      <w:r>
        <w:rPr>
          <w:rFonts w:cs="Calibri"/>
          <w:color w:val="auto"/>
          <w:szCs w:val="21"/>
        </w:rPr>
        <w:t xml:space="preserve"> </w:t>
      </w:r>
    </w:p>
    <w:p>
      <w:pPr>
        <w:widowControl/>
        <w:jc w:val="left"/>
        <w:rPr>
          <w:rFonts w:cs="Calibri"/>
          <w:b/>
          <w:color w:val="auto"/>
          <w:sz w:val="36"/>
          <w:szCs w:val="36"/>
        </w:rPr>
        <w:sectPr>
          <w:pgSz w:w="11906" w:h="16838"/>
          <w:pgMar w:top="1417" w:right="1134" w:bottom="1417" w:left="1134" w:header="851" w:footer="992" w:gutter="0"/>
          <w:cols w:space="720" w:num="1"/>
          <w:titlePg/>
          <w:docGrid w:type="lines" w:linePitch="286" w:charSpace="0"/>
        </w:sectPr>
      </w:pPr>
    </w:p>
    <w:p>
      <w:pPr>
        <w:spacing w:line="360" w:lineRule="auto"/>
        <w:jc w:val="center"/>
        <w:rPr>
          <w:rFonts w:cs="Calibri"/>
          <w:b/>
          <w:color w:val="auto"/>
          <w:sz w:val="36"/>
          <w:szCs w:val="36"/>
        </w:rPr>
      </w:pPr>
      <w:r>
        <w:rPr>
          <w:rFonts w:cs="Calibri"/>
          <w:b/>
          <w:color w:val="auto"/>
          <w:sz w:val="36"/>
          <w:szCs w:val="36"/>
        </w:rPr>
        <w:t xml:space="preserve"> </w:t>
      </w:r>
    </w:p>
    <w:p>
      <w:pPr>
        <w:spacing w:line="360" w:lineRule="auto"/>
        <w:jc w:val="center"/>
        <w:outlineLvl w:val="0"/>
        <w:rPr>
          <w:rFonts w:cs="Calibri"/>
          <w:b/>
          <w:color w:val="auto"/>
          <w:sz w:val="36"/>
          <w:szCs w:val="36"/>
        </w:rPr>
      </w:pPr>
      <w:bookmarkStart w:id="125" w:name="_Toc20366"/>
      <w:bookmarkEnd w:id="125"/>
      <w:r>
        <w:rPr>
          <w:rFonts w:ascii="宋体" w:hAnsi="宋体" w:cs="Calibri"/>
          <w:b/>
          <w:color w:val="auto"/>
          <w:sz w:val="36"/>
          <w:szCs w:val="36"/>
        </w:rPr>
        <w:t>投标函（格式）</w:t>
      </w:r>
    </w:p>
    <w:p>
      <w:pPr>
        <w:spacing w:line="312" w:lineRule="auto"/>
        <w:rPr>
          <w:rFonts w:ascii="Times New Roman" w:hAnsi="Times New Roman"/>
          <w:color w:val="auto"/>
          <w:sz w:val="24"/>
          <w:szCs w:val="24"/>
        </w:rPr>
      </w:pPr>
      <w:r>
        <w:rPr>
          <w:rFonts w:ascii="宋体" w:hAnsi="宋体"/>
          <w:color w:val="auto"/>
          <w:sz w:val="24"/>
          <w:szCs w:val="24"/>
        </w:rPr>
        <w:t>致：</w:t>
      </w:r>
      <w:r>
        <w:rPr>
          <w:rFonts w:ascii="Times New Roman" w:hAnsi="Times New Roman"/>
          <w:color w:val="auto"/>
          <w:sz w:val="24"/>
          <w:szCs w:val="24"/>
          <w:u w:val="single"/>
        </w:rPr>
        <w:t xml:space="preserve">                  </w:t>
      </w:r>
    </w:p>
    <w:p>
      <w:pPr>
        <w:spacing w:line="312" w:lineRule="auto"/>
        <w:rPr>
          <w:rFonts w:ascii="Times New Roman" w:hAnsi="Times New Roman"/>
          <w:color w:val="auto"/>
          <w:sz w:val="24"/>
          <w:szCs w:val="24"/>
        </w:rPr>
      </w:pPr>
      <w:r>
        <w:rPr>
          <w:rFonts w:ascii="Times New Roman" w:hAnsi="Times New Roman"/>
          <w:color w:val="auto"/>
          <w:sz w:val="24"/>
          <w:szCs w:val="24"/>
        </w:rPr>
        <w:t xml:space="preserve">     _________________________</w:t>
      </w:r>
      <w:r>
        <w:rPr>
          <w:rFonts w:ascii="宋体" w:hAnsi="宋体"/>
          <w:color w:val="auto"/>
          <w:sz w:val="24"/>
          <w:szCs w:val="24"/>
        </w:rPr>
        <w:t>（供应商全称）授权</w:t>
      </w:r>
      <w:r>
        <w:rPr>
          <w:rFonts w:ascii="Times New Roman" w:hAnsi="Times New Roman"/>
          <w:color w:val="auto"/>
          <w:sz w:val="24"/>
          <w:szCs w:val="24"/>
        </w:rPr>
        <w:t>_________________</w:t>
      </w:r>
      <w:r>
        <w:rPr>
          <w:rFonts w:ascii="宋体" w:hAnsi="宋体"/>
          <w:color w:val="auto"/>
          <w:sz w:val="24"/>
          <w:szCs w:val="24"/>
        </w:rPr>
        <w:t>（全名、职务）为全权代表参加贵方组织的</w:t>
      </w:r>
      <w:r>
        <w:rPr>
          <w:rFonts w:ascii="Times New Roman" w:hAnsi="Times New Roman"/>
          <w:color w:val="auto"/>
          <w:sz w:val="24"/>
          <w:szCs w:val="24"/>
        </w:rPr>
        <w:t>_________________________</w:t>
      </w:r>
      <w:r>
        <w:rPr>
          <w:rFonts w:ascii="Times New Roman" w:hAnsi="Times New Roman"/>
          <w:color w:val="auto"/>
          <w:sz w:val="24"/>
          <w:szCs w:val="24"/>
          <w:u w:val="single"/>
        </w:rPr>
        <w:t xml:space="preserve">              </w:t>
      </w:r>
      <w:r>
        <w:rPr>
          <w:rFonts w:ascii="宋体" w:hAnsi="宋体"/>
          <w:color w:val="auto"/>
          <w:sz w:val="24"/>
          <w:szCs w:val="24"/>
        </w:rPr>
        <w:t>项目（招标项目名称、招标编号）的招标、响应询标等有关活动，为此提交下述文件：</w:t>
      </w:r>
    </w:p>
    <w:p>
      <w:pPr>
        <w:spacing w:line="312" w:lineRule="auto"/>
        <w:ind w:firstLine="480"/>
        <w:outlineLvl w:val="0"/>
        <w:rPr>
          <w:rFonts w:cs="Calibri"/>
          <w:color w:val="auto"/>
          <w:sz w:val="24"/>
          <w:szCs w:val="24"/>
        </w:rPr>
      </w:pPr>
      <w:bookmarkStart w:id="126" w:name="_Toc26156"/>
      <w:bookmarkEnd w:id="126"/>
      <w:r>
        <w:rPr>
          <w:rFonts w:cs="Calibri"/>
          <w:color w:val="auto"/>
          <w:sz w:val="24"/>
          <w:szCs w:val="24"/>
        </w:rPr>
        <w:t>1</w:t>
      </w:r>
      <w:r>
        <w:rPr>
          <w:rFonts w:ascii="宋体" w:hAnsi="宋体" w:cs="Calibri"/>
          <w:color w:val="auto"/>
          <w:sz w:val="24"/>
          <w:szCs w:val="24"/>
        </w:rPr>
        <w:t>、</w:t>
      </w:r>
      <w:r>
        <w:rPr>
          <w:rFonts w:hint="eastAsia" w:ascii="宋体" w:hAnsi="宋体" w:cs="Calibri"/>
          <w:color w:val="auto"/>
          <w:sz w:val="24"/>
          <w:szCs w:val="24"/>
        </w:rPr>
        <w:t>电子投标文件一份</w:t>
      </w:r>
      <w:r>
        <w:rPr>
          <w:rFonts w:ascii="宋体" w:hAnsi="宋体" w:cs="Calibri"/>
          <w:color w:val="auto"/>
          <w:sz w:val="24"/>
          <w:szCs w:val="24"/>
        </w:rPr>
        <w:t>；</w:t>
      </w:r>
    </w:p>
    <w:p>
      <w:pPr>
        <w:spacing w:line="312" w:lineRule="auto"/>
        <w:ind w:firstLine="480"/>
        <w:outlineLvl w:val="0"/>
        <w:rPr>
          <w:rFonts w:cs="Calibri"/>
          <w:color w:val="auto"/>
          <w:sz w:val="24"/>
          <w:szCs w:val="24"/>
        </w:rPr>
      </w:pPr>
      <w:bookmarkStart w:id="127" w:name="_Toc13166"/>
      <w:bookmarkEnd w:id="127"/>
      <w:r>
        <w:rPr>
          <w:rFonts w:cs="Calibri"/>
          <w:color w:val="auto"/>
          <w:sz w:val="24"/>
          <w:szCs w:val="24"/>
        </w:rPr>
        <w:t>2</w:t>
      </w:r>
      <w:r>
        <w:rPr>
          <w:rFonts w:ascii="宋体" w:hAnsi="宋体" w:cs="Calibri"/>
          <w:color w:val="auto"/>
          <w:sz w:val="24"/>
          <w:szCs w:val="24"/>
        </w:rPr>
        <w:t>、其他：</w:t>
      </w:r>
    </w:p>
    <w:p>
      <w:pPr>
        <w:spacing w:line="312" w:lineRule="auto"/>
        <w:ind w:firstLine="480"/>
        <w:outlineLvl w:val="0"/>
        <w:rPr>
          <w:rFonts w:cs="Calibri"/>
          <w:color w:val="auto"/>
          <w:sz w:val="24"/>
          <w:szCs w:val="24"/>
        </w:rPr>
      </w:pPr>
      <w:bookmarkStart w:id="128" w:name="_Toc11465"/>
      <w:bookmarkEnd w:id="128"/>
      <w:r>
        <w:rPr>
          <w:rFonts w:cs="Calibri"/>
          <w:color w:val="auto"/>
          <w:sz w:val="24"/>
          <w:szCs w:val="24"/>
        </w:rPr>
        <w:t>3</w:t>
      </w:r>
      <w:r>
        <w:rPr>
          <w:rFonts w:ascii="宋体" w:hAnsi="宋体" w:cs="Calibri"/>
          <w:color w:val="auto"/>
          <w:sz w:val="24"/>
          <w:szCs w:val="24"/>
        </w:rPr>
        <w:t>、据此函，宣布同意如下：</w:t>
      </w:r>
    </w:p>
    <w:p>
      <w:pPr>
        <w:spacing w:line="312" w:lineRule="auto"/>
        <w:ind w:firstLine="480"/>
        <w:rPr>
          <w:rFonts w:cs="Calibri"/>
          <w:color w:val="auto"/>
          <w:sz w:val="24"/>
          <w:szCs w:val="24"/>
        </w:rPr>
      </w:pPr>
      <w:r>
        <w:rPr>
          <w:rFonts w:cs="Calibri"/>
          <w:color w:val="auto"/>
          <w:sz w:val="24"/>
          <w:szCs w:val="24"/>
        </w:rPr>
        <w:t>1</w:t>
      </w:r>
      <w:r>
        <w:rPr>
          <w:rFonts w:ascii="宋体" w:hAnsi="宋体" w:cs="Calibri"/>
          <w:color w:val="auto"/>
          <w:sz w:val="24"/>
          <w:szCs w:val="24"/>
        </w:rPr>
        <w:t>）</w:t>
      </w:r>
      <w:r>
        <w:rPr>
          <w:rFonts w:ascii="宋体" w:hAnsi="宋体" w:cs="Calibri"/>
          <w:color w:val="auto"/>
          <w:spacing w:val="12"/>
          <w:kern w:val="0"/>
          <w:sz w:val="24"/>
          <w:szCs w:val="24"/>
        </w:rPr>
        <w:t>所附投标报价表中规定的应提供和支付的货物和服务投标总价为（人民币</w:t>
      </w:r>
      <w:r>
        <w:rPr>
          <w:rFonts w:hint="eastAsia" w:ascii="宋体" w:hAnsi="宋体" w:cs="Calibri"/>
          <w:color w:val="auto"/>
          <w:spacing w:val="12"/>
          <w:kern w:val="0"/>
          <w:sz w:val="24"/>
          <w:szCs w:val="24"/>
          <w:u w:val="single"/>
        </w:rPr>
        <w:t xml:space="preserve"> </w:t>
      </w:r>
      <w:r>
        <w:rPr>
          <w:rFonts w:cs="Calibri"/>
          <w:color w:val="auto"/>
          <w:spacing w:val="12"/>
          <w:kern w:val="0"/>
          <w:sz w:val="24"/>
          <w:szCs w:val="24"/>
          <w:u w:val="single"/>
        </w:rPr>
        <w:t xml:space="preserve">                  </w:t>
      </w:r>
      <w:r>
        <w:rPr>
          <w:rFonts w:ascii="宋体" w:hAnsi="宋体" w:cs="Calibri"/>
          <w:color w:val="auto"/>
          <w:spacing w:val="12"/>
          <w:kern w:val="0"/>
          <w:sz w:val="24"/>
          <w:szCs w:val="24"/>
        </w:rPr>
        <w:t>）</w:t>
      </w:r>
      <w:r>
        <w:rPr>
          <w:rFonts w:ascii="宋体" w:hAnsi="宋体" w:cs="Calibri"/>
          <w:color w:val="auto"/>
          <w:kern w:val="0"/>
          <w:sz w:val="24"/>
          <w:szCs w:val="24"/>
        </w:rPr>
        <w:t>，即</w:t>
      </w:r>
      <w:r>
        <w:rPr>
          <w:rFonts w:cs="Calibri"/>
          <w:color w:val="auto"/>
          <w:kern w:val="0"/>
          <w:sz w:val="24"/>
          <w:szCs w:val="24"/>
        </w:rPr>
        <w:t xml:space="preserve"> __________________________________</w:t>
      </w:r>
      <w:r>
        <w:rPr>
          <w:rFonts w:ascii="宋体" w:hAnsi="宋体" w:cs="Calibri"/>
          <w:color w:val="auto"/>
          <w:kern w:val="0"/>
          <w:sz w:val="24"/>
          <w:szCs w:val="24"/>
        </w:rPr>
        <w:t>（大写）。（企业成本价为</w:t>
      </w:r>
      <w:r>
        <w:rPr>
          <w:rFonts w:hint="eastAsia" w:ascii="宋体" w:hAnsi="宋体" w:cs="Calibri"/>
          <w:color w:val="auto"/>
          <w:kern w:val="0"/>
          <w:sz w:val="24"/>
          <w:szCs w:val="24"/>
          <w:u w:val="single"/>
        </w:rPr>
        <w:t xml:space="preserve"> </w:t>
      </w:r>
      <w:r>
        <w:rPr>
          <w:rFonts w:cs="Calibri"/>
          <w:color w:val="auto"/>
          <w:kern w:val="0"/>
          <w:sz w:val="24"/>
          <w:szCs w:val="24"/>
          <w:u w:val="single"/>
        </w:rPr>
        <w:t xml:space="preserve">                </w:t>
      </w:r>
      <w:r>
        <w:rPr>
          <w:rFonts w:ascii="宋体" w:hAnsi="宋体" w:cs="Calibri"/>
          <w:color w:val="auto"/>
          <w:kern w:val="0"/>
          <w:sz w:val="24"/>
          <w:szCs w:val="24"/>
        </w:rPr>
        <w:t>元）</w:t>
      </w:r>
      <w:r>
        <w:rPr>
          <w:rFonts w:ascii="宋体" w:hAnsi="宋体" w:cs="Calibri"/>
          <w:color w:val="auto"/>
          <w:sz w:val="24"/>
          <w:szCs w:val="24"/>
        </w:rPr>
        <w:t>。</w:t>
      </w:r>
    </w:p>
    <w:p>
      <w:pPr>
        <w:spacing w:line="312" w:lineRule="auto"/>
        <w:ind w:firstLine="480"/>
        <w:rPr>
          <w:rFonts w:cs="Calibri"/>
          <w:color w:val="auto"/>
          <w:sz w:val="24"/>
          <w:szCs w:val="24"/>
        </w:rPr>
      </w:pPr>
      <w:r>
        <w:rPr>
          <w:rFonts w:cs="Calibri"/>
          <w:color w:val="auto"/>
          <w:sz w:val="24"/>
          <w:szCs w:val="24"/>
        </w:rPr>
        <w:t>2</w:t>
      </w:r>
      <w:r>
        <w:rPr>
          <w:rFonts w:ascii="宋体" w:hAnsi="宋体" w:cs="Calibri"/>
          <w:color w:val="auto"/>
          <w:sz w:val="24"/>
          <w:szCs w:val="24"/>
        </w:rPr>
        <w:t>）供应商已详细审查全部招标文件，我们完全理解并同意放弃对这方面有不明及误解的权利。</w:t>
      </w:r>
    </w:p>
    <w:p>
      <w:pPr>
        <w:spacing w:line="312" w:lineRule="auto"/>
        <w:ind w:firstLine="480"/>
        <w:rPr>
          <w:rFonts w:cs="Calibri"/>
          <w:color w:val="auto"/>
          <w:sz w:val="24"/>
          <w:szCs w:val="24"/>
        </w:rPr>
      </w:pPr>
      <w:r>
        <w:rPr>
          <w:rFonts w:cs="Calibri"/>
          <w:color w:val="auto"/>
          <w:sz w:val="24"/>
          <w:szCs w:val="24"/>
        </w:rPr>
        <w:t>3</w:t>
      </w:r>
      <w:r>
        <w:rPr>
          <w:rFonts w:ascii="宋体" w:hAnsi="宋体" w:cs="Calibri"/>
          <w:color w:val="auto"/>
          <w:sz w:val="24"/>
          <w:szCs w:val="24"/>
        </w:rPr>
        <w:t>）供应商将按招标文件规定履行合同责任和义务。</w:t>
      </w:r>
    </w:p>
    <w:p>
      <w:pPr>
        <w:spacing w:line="312" w:lineRule="auto"/>
        <w:ind w:firstLine="480"/>
        <w:rPr>
          <w:rFonts w:cs="Calibri"/>
          <w:color w:val="auto"/>
          <w:sz w:val="24"/>
          <w:szCs w:val="24"/>
        </w:rPr>
      </w:pPr>
      <w:r>
        <w:rPr>
          <w:rFonts w:cs="Calibri"/>
          <w:color w:val="auto"/>
          <w:sz w:val="24"/>
          <w:szCs w:val="24"/>
        </w:rPr>
        <w:t>4</w:t>
      </w:r>
      <w:r>
        <w:rPr>
          <w:rFonts w:ascii="宋体" w:hAnsi="宋体" w:cs="Calibri"/>
          <w:color w:val="auto"/>
          <w:sz w:val="24"/>
          <w:szCs w:val="24"/>
        </w:rPr>
        <w:t>）其投标自开标之日起有效期</w:t>
      </w:r>
      <w:r>
        <w:rPr>
          <w:rFonts w:cs="Calibri"/>
          <w:color w:val="auto"/>
          <w:sz w:val="24"/>
          <w:szCs w:val="24"/>
        </w:rPr>
        <w:t>____</w:t>
      </w:r>
      <w:r>
        <w:rPr>
          <w:rFonts w:ascii="宋体" w:hAnsi="宋体" w:cs="Calibri"/>
          <w:color w:val="auto"/>
          <w:sz w:val="24"/>
          <w:szCs w:val="24"/>
        </w:rPr>
        <w:t>个日历天。</w:t>
      </w:r>
    </w:p>
    <w:p>
      <w:pPr>
        <w:spacing w:line="312" w:lineRule="auto"/>
        <w:ind w:firstLine="480"/>
        <w:rPr>
          <w:rFonts w:cs="Calibri"/>
          <w:color w:val="auto"/>
          <w:sz w:val="24"/>
          <w:szCs w:val="24"/>
        </w:rPr>
      </w:pPr>
      <w:r>
        <w:rPr>
          <w:rFonts w:cs="Calibri"/>
          <w:color w:val="auto"/>
          <w:sz w:val="24"/>
          <w:szCs w:val="24"/>
        </w:rPr>
        <w:t>5</w:t>
      </w:r>
      <w:r>
        <w:rPr>
          <w:rFonts w:ascii="宋体" w:hAnsi="宋体" w:cs="Calibri"/>
          <w:color w:val="auto"/>
          <w:sz w:val="24"/>
          <w:szCs w:val="24"/>
        </w:rPr>
        <w:t>）供应商同意提供按照贵方可能要求的与其投标有关的一切数据或资料，理解贵方不一定要接受最低价的投标或收到的任何投标。</w:t>
      </w:r>
    </w:p>
    <w:p>
      <w:pPr>
        <w:spacing w:line="312" w:lineRule="auto"/>
        <w:ind w:firstLine="480"/>
        <w:rPr>
          <w:rFonts w:cs="Calibri"/>
          <w:color w:val="auto"/>
          <w:sz w:val="24"/>
          <w:szCs w:val="24"/>
        </w:rPr>
      </w:pPr>
      <w:r>
        <w:rPr>
          <w:rFonts w:cs="Calibri"/>
          <w:color w:val="auto"/>
          <w:sz w:val="24"/>
          <w:szCs w:val="24"/>
        </w:rPr>
        <w:t>6</w:t>
      </w:r>
      <w:r>
        <w:rPr>
          <w:rFonts w:ascii="宋体" w:hAnsi="宋体" w:cs="Calibri"/>
          <w:color w:val="auto"/>
          <w:sz w:val="24"/>
          <w:szCs w:val="24"/>
        </w:rPr>
        <w:t>）投标文件中未明确的事项，一律按招标文件规定执行。</w:t>
      </w:r>
    </w:p>
    <w:p>
      <w:pPr>
        <w:spacing w:line="312" w:lineRule="auto"/>
        <w:ind w:firstLine="480"/>
        <w:rPr>
          <w:rFonts w:cs="Calibri"/>
          <w:color w:val="auto"/>
          <w:sz w:val="24"/>
          <w:szCs w:val="24"/>
        </w:rPr>
      </w:pPr>
      <w:r>
        <w:rPr>
          <w:rFonts w:cs="Calibri"/>
          <w:color w:val="auto"/>
          <w:sz w:val="24"/>
          <w:szCs w:val="24"/>
        </w:rPr>
        <w:t>7</w:t>
      </w:r>
      <w:r>
        <w:rPr>
          <w:rFonts w:ascii="宋体" w:hAnsi="宋体" w:cs="Calibri"/>
          <w:color w:val="auto"/>
          <w:sz w:val="24"/>
          <w:szCs w:val="24"/>
        </w:rPr>
        <w:t>）与本投标有关的一切正式往来通讯请寄：</w:t>
      </w:r>
    </w:p>
    <w:p>
      <w:pPr>
        <w:spacing w:line="312" w:lineRule="auto"/>
        <w:rPr>
          <w:rFonts w:cs="Calibri"/>
          <w:color w:val="auto"/>
          <w:sz w:val="24"/>
          <w:szCs w:val="24"/>
        </w:rPr>
      </w:pPr>
      <w:r>
        <w:rPr>
          <w:rFonts w:ascii="宋体" w:hAnsi="宋体" w:cs="Calibri"/>
          <w:color w:val="auto"/>
          <w:sz w:val="24"/>
          <w:szCs w:val="24"/>
        </w:rPr>
        <w:t>地址：</w:t>
      </w:r>
      <w:r>
        <w:rPr>
          <w:rFonts w:cs="Calibri"/>
          <w:color w:val="auto"/>
          <w:sz w:val="24"/>
          <w:szCs w:val="24"/>
        </w:rPr>
        <w:t>______________________</w:t>
      </w:r>
      <w:r>
        <w:rPr>
          <w:rFonts w:cs="Calibri"/>
          <w:color w:val="auto"/>
          <w:sz w:val="24"/>
          <w:szCs w:val="24"/>
          <w:u w:val="single"/>
        </w:rPr>
        <w:t xml:space="preserve">      </w:t>
      </w:r>
      <w:r>
        <w:rPr>
          <w:rFonts w:cs="Calibri"/>
          <w:color w:val="auto"/>
          <w:sz w:val="24"/>
          <w:szCs w:val="24"/>
        </w:rPr>
        <w:t xml:space="preserve">       </w:t>
      </w:r>
      <w:r>
        <w:rPr>
          <w:rFonts w:ascii="宋体" w:hAnsi="宋体" w:cs="Calibri"/>
          <w:color w:val="auto"/>
          <w:sz w:val="24"/>
          <w:szCs w:val="24"/>
        </w:rPr>
        <w:t>邮编：</w:t>
      </w:r>
      <w:r>
        <w:rPr>
          <w:rFonts w:cs="Calibri"/>
          <w:color w:val="auto"/>
          <w:sz w:val="24"/>
          <w:szCs w:val="24"/>
        </w:rPr>
        <w:t xml:space="preserve">______________________  </w:t>
      </w:r>
    </w:p>
    <w:p>
      <w:pPr>
        <w:spacing w:line="312" w:lineRule="auto"/>
        <w:rPr>
          <w:rFonts w:cs="Calibri"/>
          <w:color w:val="auto"/>
          <w:sz w:val="24"/>
          <w:szCs w:val="24"/>
        </w:rPr>
      </w:pPr>
      <w:r>
        <w:rPr>
          <w:rFonts w:ascii="宋体" w:hAnsi="宋体" w:cs="Calibri"/>
          <w:color w:val="auto"/>
          <w:sz w:val="24"/>
          <w:szCs w:val="24"/>
        </w:rPr>
        <w:t>电话：</w:t>
      </w:r>
      <w:r>
        <w:rPr>
          <w:rFonts w:cs="Calibri"/>
          <w:color w:val="auto"/>
          <w:sz w:val="24"/>
          <w:szCs w:val="24"/>
        </w:rPr>
        <w:t>______________________</w:t>
      </w:r>
      <w:r>
        <w:rPr>
          <w:rFonts w:cs="Calibri"/>
          <w:color w:val="auto"/>
          <w:sz w:val="24"/>
          <w:szCs w:val="24"/>
          <w:u w:val="single"/>
        </w:rPr>
        <w:t xml:space="preserve">   </w:t>
      </w:r>
      <w:r>
        <w:rPr>
          <w:rFonts w:cs="Calibri"/>
          <w:color w:val="auto"/>
          <w:sz w:val="24"/>
          <w:szCs w:val="24"/>
        </w:rPr>
        <w:t xml:space="preserve">         </w:t>
      </w:r>
      <w:r>
        <w:rPr>
          <w:rFonts w:ascii="宋体" w:hAnsi="宋体" w:cs="Calibri"/>
          <w:color w:val="auto"/>
          <w:sz w:val="24"/>
          <w:szCs w:val="24"/>
        </w:rPr>
        <w:t>传真：</w:t>
      </w:r>
      <w:r>
        <w:rPr>
          <w:rFonts w:cs="Calibri"/>
          <w:color w:val="auto"/>
          <w:sz w:val="24"/>
          <w:szCs w:val="24"/>
        </w:rPr>
        <w:t xml:space="preserve">______________________ </w:t>
      </w:r>
    </w:p>
    <w:p>
      <w:pPr>
        <w:spacing w:line="312" w:lineRule="auto"/>
        <w:rPr>
          <w:rFonts w:cs="Calibri"/>
          <w:color w:val="auto"/>
          <w:sz w:val="24"/>
          <w:szCs w:val="24"/>
        </w:rPr>
      </w:pPr>
      <w:r>
        <w:rPr>
          <w:rFonts w:ascii="宋体" w:hAnsi="宋体" w:cs="Calibri"/>
          <w:color w:val="auto"/>
          <w:sz w:val="24"/>
          <w:szCs w:val="24"/>
        </w:rPr>
        <w:t>供应商名称：</w:t>
      </w:r>
      <w:r>
        <w:rPr>
          <w:rFonts w:cs="Calibri"/>
          <w:color w:val="auto"/>
          <w:sz w:val="24"/>
          <w:szCs w:val="24"/>
        </w:rPr>
        <w:t xml:space="preserve">__________________________ </w:t>
      </w:r>
      <w:r>
        <w:rPr>
          <w:rFonts w:ascii="宋体" w:hAnsi="宋体" w:cs="Calibri"/>
          <w:color w:val="auto"/>
          <w:sz w:val="24"/>
          <w:szCs w:val="24"/>
        </w:rPr>
        <w:t>（</w:t>
      </w:r>
      <w:r>
        <w:rPr>
          <w:rFonts w:hint="eastAsia" w:ascii="宋体" w:hAnsi="宋体" w:cs="Calibri"/>
          <w:color w:val="auto"/>
          <w:sz w:val="24"/>
          <w:szCs w:val="24"/>
        </w:rPr>
        <w:t>签</w:t>
      </w:r>
      <w:r>
        <w:rPr>
          <w:rFonts w:ascii="宋体" w:hAnsi="宋体" w:cs="Calibri"/>
          <w:color w:val="auto"/>
          <w:sz w:val="24"/>
          <w:szCs w:val="24"/>
        </w:rPr>
        <w:t>章）</w:t>
      </w:r>
    </w:p>
    <w:p>
      <w:pPr>
        <w:spacing w:line="312" w:lineRule="auto"/>
        <w:jc w:val="left"/>
        <w:rPr>
          <w:rFonts w:cs="Calibri"/>
          <w:color w:val="auto"/>
          <w:sz w:val="24"/>
          <w:szCs w:val="24"/>
        </w:rPr>
      </w:pPr>
      <w:r>
        <w:rPr>
          <w:rFonts w:ascii="宋体" w:hAnsi="宋体" w:cs="Calibri"/>
          <w:color w:val="auto"/>
          <w:sz w:val="24"/>
          <w:szCs w:val="24"/>
        </w:rPr>
        <w:t>投标日期：</w:t>
      </w:r>
      <w:r>
        <w:rPr>
          <w:rFonts w:cs="Calibri"/>
          <w:color w:val="auto"/>
          <w:sz w:val="24"/>
          <w:szCs w:val="24"/>
        </w:rPr>
        <w:t xml:space="preserve"> _______</w:t>
      </w:r>
      <w:r>
        <w:rPr>
          <w:rFonts w:ascii="宋体" w:hAnsi="宋体" w:cs="Calibri"/>
          <w:color w:val="auto"/>
          <w:sz w:val="24"/>
          <w:szCs w:val="24"/>
        </w:rPr>
        <w:t>年</w:t>
      </w:r>
      <w:r>
        <w:rPr>
          <w:rFonts w:cs="Calibri"/>
          <w:color w:val="auto"/>
          <w:sz w:val="24"/>
          <w:szCs w:val="24"/>
        </w:rPr>
        <w:t>____</w:t>
      </w:r>
      <w:r>
        <w:rPr>
          <w:rFonts w:ascii="宋体" w:hAnsi="宋体" w:cs="Calibri"/>
          <w:color w:val="auto"/>
          <w:sz w:val="24"/>
          <w:szCs w:val="24"/>
        </w:rPr>
        <w:t>月</w:t>
      </w:r>
      <w:r>
        <w:rPr>
          <w:rFonts w:cs="Calibri"/>
          <w:color w:val="auto"/>
          <w:sz w:val="24"/>
          <w:szCs w:val="24"/>
        </w:rPr>
        <w:t>____</w:t>
      </w:r>
      <w:r>
        <w:rPr>
          <w:rFonts w:ascii="宋体" w:hAnsi="宋体" w:cs="Calibri"/>
          <w:color w:val="auto"/>
          <w:sz w:val="24"/>
          <w:szCs w:val="24"/>
        </w:rPr>
        <w:t xml:space="preserve">日       </w:t>
      </w:r>
    </w:p>
    <w:p>
      <w:pPr>
        <w:autoSpaceDE w:val="0"/>
        <w:autoSpaceDN w:val="0"/>
        <w:adjustRightInd w:val="0"/>
        <w:jc w:val="left"/>
        <w:rPr>
          <w:rFonts w:ascii="Times New Roman" w:hAnsi="Times New Roman"/>
          <w:b/>
          <w:color w:val="auto"/>
          <w:sz w:val="36"/>
          <w:szCs w:val="36"/>
        </w:rPr>
      </w:pPr>
      <w:r>
        <w:rPr>
          <w:rFonts w:ascii="Times New Roman" w:hAnsi="Times New Roman"/>
          <w:b/>
          <w:color w:val="auto"/>
          <w:sz w:val="36"/>
          <w:szCs w:val="36"/>
        </w:rPr>
        <w:br w:type="page"/>
      </w:r>
    </w:p>
    <w:p>
      <w:pPr>
        <w:widowControl/>
        <w:spacing w:line="360" w:lineRule="auto"/>
        <w:jc w:val="center"/>
        <w:outlineLvl w:val="0"/>
        <w:rPr>
          <w:rFonts w:ascii="Times New Roman" w:hAnsi="Times New Roman"/>
          <w:b/>
          <w:bCs/>
          <w:color w:val="auto"/>
          <w:kern w:val="0"/>
          <w:sz w:val="44"/>
          <w:szCs w:val="44"/>
        </w:rPr>
      </w:pPr>
      <w:bookmarkStart w:id="129" w:name="_Toc8198"/>
      <w:bookmarkEnd w:id="129"/>
      <w:r>
        <w:rPr>
          <w:rFonts w:hint="eastAsia" w:ascii="宋体" w:hAnsi="宋体" w:cs="宋体"/>
          <w:b/>
          <w:bCs/>
          <w:color w:val="auto"/>
          <w:kern w:val="0"/>
          <w:sz w:val="44"/>
          <w:szCs w:val="44"/>
        </w:rPr>
        <w:t>报价一览表</w:t>
      </w:r>
    </w:p>
    <w:p>
      <w:pPr>
        <w:widowControl/>
        <w:spacing w:line="360" w:lineRule="auto"/>
        <w:ind w:firstLine="735" w:firstLineChars="350"/>
        <w:jc w:val="left"/>
        <w:rPr>
          <w:rFonts w:ascii="Times New Roman" w:hAnsi="Times New Roman"/>
          <w:color w:val="auto"/>
          <w:kern w:val="0"/>
          <w:szCs w:val="21"/>
        </w:rPr>
      </w:pPr>
      <w:r>
        <w:rPr>
          <w:rFonts w:hint="eastAsia" w:ascii="宋体" w:hAnsi="宋体" w:cs="宋体"/>
          <w:color w:val="auto"/>
          <w:kern w:val="0"/>
          <w:szCs w:val="21"/>
        </w:rPr>
        <w:t>项目名称：</w:t>
      </w:r>
    </w:p>
    <w:p>
      <w:pPr>
        <w:widowControl/>
        <w:spacing w:line="360" w:lineRule="auto"/>
        <w:ind w:firstLine="735" w:firstLineChars="350"/>
        <w:jc w:val="left"/>
        <w:rPr>
          <w:rFonts w:ascii="Times New Roman" w:hAnsi="Times New Roman"/>
          <w:color w:val="auto"/>
          <w:kern w:val="0"/>
          <w:szCs w:val="21"/>
        </w:rPr>
      </w:pPr>
      <w:r>
        <w:rPr>
          <w:rFonts w:hint="eastAsia" w:ascii="宋体" w:hAnsi="宋体" w:cs="宋体"/>
          <w:color w:val="auto"/>
          <w:kern w:val="0"/>
          <w:szCs w:val="21"/>
        </w:rPr>
        <w:t>项目编号：</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
        <w:gridCol w:w="2028"/>
        <w:gridCol w:w="1186"/>
        <w:gridCol w:w="2250"/>
        <w:gridCol w:w="2019"/>
        <w:gridCol w:w="11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558" w:hRule="atLeast"/>
          <w:jc w:val="center"/>
        </w:trPr>
        <w:tc>
          <w:tcPr>
            <w:tcW w:w="752" w:type="dxa"/>
            <w:tcBorders>
              <w:top w:val="single" w:color="auto" w:sz="4" w:space="0"/>
              <w:left w:val="single" w:color="auto" w:sz="4" w:space="0"/>
              <w:bottom w:val="nil"/>
              <w:right w:val="single" w:color="auto" w:sz="4" w:space="0"/>
            </w:tcBorders>
            <w:noWrap/>
            <w:vAlign w:val="center"/>
          </w:tcPr>
          <w:p>
            <w:pPr>
              <w:spacing w:line="520" w:lineRule="exact"/>
              <w:jc w:val="center"/>
              <w:rPr>
                <w:rFonts w:ascii="Times New Roman" w:hAnsi="Times New Roman"/>
                <w:color w:val="auto"/>
                <w:sz w:val="24"/>
                <w:szCs w:val="24"/>
              </w:rPr>
            </w:pPr>
            <w:r>
              <w:rPr>
                <w:rFonts w:ascii="Times New Roman" w:hAnsi="Times New Roman"/>
                <w:color w:val="auto"/>
                <w:sz w:val="24"/>
                <w:szCs w:val="24"/>
              </w:rPr>
              <w:t>序号</w:t>
            </w:r>
          </w:p>
        </w:tc>
        <w:tc>
          <w:tcPr>
            <w:tcW w:w="2028" w:type="dxa"/>
            <w:tcBorders>
              <w:top w:val="single" w:color="auto" w:sz="4" w:space="0"/>
              <w:left w:val="nil"/>
              <w:bottom w:val="nil"/>
              <w:right w:val="single" w:color="auto" w:sz="4" w:space="0"/>
            </w:tcBorders>
            <w:noWrap/>
            <w:vAlign w:val="center"/>
          </w:tcPr>
          <w:p>
            <w:pPr>
              <w:spacing w:line="520" w:lineRule="exact"/>
              <w:jc w:val="center"/>
              <w:rPr>
                <w:rFonts w:ascii="Times New Roman" w:hAnsi="Times New Roman"/>
                <w:color w:val="auto"/>
                <w:sz w:val="24"/>
                <w:szCs w:val="24"/>
              </w:rPr>
            </w:pPr>
            <w:r>
              <w:rPr>
                <w:rFonts w:ascii="Times New Roman" w:hAnsi="Times New Roman"/>
                <w:color w:val="auto"/>
                <w:sz w:val="24"/>
                <w:szCs w:val="24"/>
              </w:rPr>
              <w:t>名称</w:t>
            </w:r>
          </w:p>
        </w:tc>
        <w:tc>
          <w:tcPr>
            <w:tcW w:w="1186" w:type="dxa"/>
            <w:tcBorders>
              <w:top w:val="single" w:color="auto" w:sz="4" w:space="0"/>
              <w:left w:val="nil"/>
              <w:bottom w:val="nil"/>
              <w:right w:val="single" w:color="auto" w:sz="4" w:space="0"/>
            </w:tcBorders>
            <w:noWrap/>
            <w:vAlign w:val="center"/>
          </w:tcPr>
          <w:p>
            <w:pPr>
              <w:spacing w:line="520" w:lineRule="exact"/>
              <w:jc w:val="center"/>
              <w:rPr>
                <w:rFonts w:ascii="Times New Roman" w:hAnsi="Times New Roman"/>
                <w:color w:val="auto"/>
                <w:sz w:val="24"/>
                <w:szCs w:val="24"/>
              </w:rPr>
            </w:pPr>
            <w:r>
              <w:rPr>
                <w:rFonts w:ascii="Times New Roman" w:hAnsi="Times New Roman"/>
                <w:color w:val="auto"/>
                <w:sz w:val="24"/>
                <w:szCs w:val="24"/>
              </w:rPr>
              <w:t>数量</w:t>
            </w:r>
          </w:p>
        </w:tc>
        <w:tc>
          <w:tcPr>
            <w:tcW w:w="2250" w:type="dxa"/>
            <w:tcBorders>
              <w:top w:val="single" w:color="auto" w:sz="4" w:space="0"/>
              <w:left w:val="nil"/>
              <w:bottom w:val="nil"/>
              <w:right w:val="single" w:color="auto" w:sz="4" w:space="0"/>
            </w:tcBorders>
            <w:noWrap/>
            <w:vAlign w:val="center"/>
          </w:tcPr>
          <w:p>
            <w:pPr>
              <w:spacing w:line="520" w:lineRule="exact"/>
              <w:jc w:val="center"/>
              <w:rPr>
                <w:rFonts w:ascii="Times New Roman" w:hAnsi="Times New Roman"/>
                <w:color w:val="auto"/>
                <w:sz w:val="24"/>
                <w:szCs w:val="24"/>
              </w:rPr>
            </w:pPr>
            <w:r>
              <w:rPr>
                <w:rFonts w:ascii="Times New Roman" w:hAnsi="Times New Roman"/>
                <w:color w:val="auto"/>
                <w:sz w:val="24"/>
                <w:szCs w:val="24"/>
              </w:rPr>
              <w:t>投标单价</w:t>
            </w:r>
          </w:p>
        </w:tc>
        <w:tc>
          <w:tcPr>
            <w:tcW w:w="2019" w:type="dxa"/>
            <w:tcBorders>
              <w:top w:val="single" w:color="auto" w:sz="4" w:space="0"/>
              <w:left w:val="nil"/>
              <w:bottom w:val="nil"/>
              <w:right w:val="single" w:color="auto" w:sz="4" w:space="0"/>
            </w:tcBorders>
            <w:noWrap/>
            <w:vAlign w:val="center"/>
          </w:tcPr>
          <w:p>
            <w:pPr>
              <w:spacing w:line="520" w:lineRule="exact"/>
              <w:jc w:val="center"/>
              <w:rPr>
                <w:rFonts w:ascii="Times New Roman" w:hAnsi="Times New Roman"/>
                <w:color w:val="auto"/>
                <w:sz w:val="24"/>
                <w:szCs w:val="24"/>
              </w:rPr>
            </w:pPr>
            <w:r>
              <w:rPr>
                <w:rFonts w:ascii="Times New Roman" w:hAnsi="Times New Roman"/>
                <w:color w:val="auto"/>
                <w:sz w:val="24"/>
                <w:szCs w:val="24"/>
              </w:rPr>
              <w:t>投标总价</w:t>
            </w:r>
          </w:p>
        </w:tc>
        <w:tc>
          <w:tcPr>
            <w:tcW w:w="1150" w:type="dxa"/>
            <w:tcBorders>
              <w:top w:val="single" w:color="auto" w:sz="4" w:space="0"/>
              <w:left w:val="nil"/>
              <w:bottom w:val="nil"/>
              <w:right w:val="single" w:color="auto" w:sz="4" w:space="0"/>
            </w:tcBorders>
            <w:noWrap/>
            <w:vAlign w:val="center"/>
          </w:tcPr>
          <w:p>
            <w:pPr>
              <w:spacing w:line="520" w:lineRule="exact"/>
              <w:jc w:val="center"/>
              <w:rPr>
                <w:rFonts w:ascii="Times New Roman" w:hAnsi="Times New Roman"/>
                <w:color w:val="auto"/>
                <w:sz w:val="24"/>
                <w:szCs w:val="24"/>
              </w:rPr>
            </w:pPr>
            <w:r>
              <w:rPr>
                <w:rFonts w:ascii="Times New Roman" w:hAnsi="Times New Roman"/>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421"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hAnsi="宋体" w:cs="Calibri"/>
                <w:color w:val="auto"/>
                <w:kern w:val="0"/>
                <w:szCs w:val="21"/>
              </w:rPr>
            </w:pPr>
          </w:p>
        </w:tc>
        <w:tc>
          <w:tcPr>
            <w:tcW w:w="2028"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1186"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22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2019"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11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421"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cs="Calibri"/>
                <w:color w:val="auto"/>
                <w:kern w:val="0"/>
                <w:szCs w:val="21"/>
              </w:rPr>
            </w:pPr>
          </w:p>
        </w:tc>
        <w:tc>
          <w:tcPr>
            <w:tcW w:w="2028"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1186"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22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2019"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11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421"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cs="Calibri"/>
                <w:color w:val="auto"/>
                <w:kern w:val="0"/>
                <w:szCs w:val="21"/>
              </w:rPr>
            </w:pPr>
          </w:p>
        </w:tc>
        <w:tc>
          <w:tcPr>
            <w:tcW w:w="2028"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1186"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22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2019"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11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421"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cs="Calibri"/>
                <w:color w:val="auto"/>
                <w:kern w:val="0"/>
                <w:szCs w:val="21"/>
              </w:rPr>
            </w:pPr>
          </w:p>
        </w:tc>
        <w:tc>
          <w:tcPr>
            <w:tcW w:w="2028"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1186"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22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2019"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11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421"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cs="Calibri"/>
                <w:color w:val="auto"/>
                <w:kern w:val="0"/>
                <w:szCs w:val="21"/>
              </w:rPr>
            </w:pPr>
          </w:p>
        </w:tc>
        <w:tc>
          <w:tcPr>
            <w:tcW w:w="2028"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1186"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22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2019"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11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421"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cs="Calibri"/>
                <w:color w:val="auto"/>
                <w:kern w:val="0"/>
                <w:szCs w:val="21"/>
              </w:rPr>
            </w:pPr>
          </w:p>
        </w:tc>
        <w:tc>
          <w:tcPr>
            <w:tcW w:w="2028"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1186"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22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2019"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11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421"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cs="Calibri"/>
                <w:color w:val="auto"/>
                <w:kern w:val="0"/>
                <w:szCs w:val="21"/>
              </w:rPr>
            </w:pPr>
          </w:p>
        </w:tc>
        <w:tc>
          <w:tcPr>
            <w:tcW w:w="2028"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1186"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22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2019"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11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421"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cs="Calibri"/>
                <w:color w:val="auto"/>
                <w:kern w:val="0"/>
                <w:szCs w:val="21"/>
              </w:rPr>
            </w:pPr>
          </w:p>
        </w:tc>
        <w:tc>
          <w:tcPr>
            <w:tcW w:w="2028"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1186"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22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2019"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11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421"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cs="Calibri"/>
                <w:color w:val="auto"/>
                <w:kern w:val="0"/>
                <w:szCs w:val="21"/>
              </w:rPr>
            </w:pPr>
          </w:p>
        </w:tc>
        <w:tc>
          <w:tcPr>
            <w:tcW w:w="2028"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1186"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22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2019"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11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421"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cs="Calibri"/>
                <w:color w:val="auto"/>
                <w:kern w:val="0"/>
                <w:szCs w:val="21"/>
              </w:rPr>
            </w:pPr>
          </w:p>
        </w:tc>
        <w:tc>
          <w:tcPr>
            <w:tcW w:w="2028"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1186" w:type="dxa"/>
            <w:tcBorders>
              <w:top w:val="single" w:color="auto" w:sz="4" w:space="0"/>
              <w:left w:val="nil"/>
              <w:bottom w:val="single" w:color="auto" w:sz="4" w:space="0"/>
              <w:right w:val="single" w:color="auto" w:sz="4" w:space="0"/>
            </w:tcBorders>
            <w:noWrap/>
            <w:vAlign w:val="center"/>
          </w:tcPr>
          <w:p>
            <w:pPr>
              <w:jc w:val="center"/>
              <w:rPr>
                <w:rFonts w:cs="Calibri"/>
                <w:color w:val="auto"/>
                <w:kern w:val="0"/>
                <w:szCs w:val="21"/>
              </w:rPr>
            </w:pPr>
          </w:p>
        </w:tc>
        <w:tc>
          <w:tcPr>
            <w:tcW w:w="22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2019"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c>
          <w:tcPr>
            <w:tcW w:w="1150"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42" w:hRule="atLeast"/>
          <w:jc w:val="center"/>
        </w:trPr>
        <w:tc>
          <w:tcPr>
            <w:tcW w:w="278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color w:val="auto"/>
                <w:sz w:val="24"/>
                <w:szCs w:val="24"/>
              </w:rPr>
            </w:pPr>
            <w:r>
              <w:rPr>
                <w:rFonts w:ascii="Times New Roman" w:hAnsi="Times New Roman"/>
                <w:color w:val="auto"/>
                <w:sz w:val="24"/>
                <w:szCs w:val="24"/>
              </w:rPr>
              <w:t>投标报价</w:t>
            </w:r>
          </w:p>
          <w:p>
            <w:pPr>
              <w:spacing w:line="360" w:lineRule="auto"/>
              <w:jc w:val="center"/>
              <w:rPr>
                <w:rFonts w:ascii="Times New Roman" w:hAnsi="Times New Roman"/>
                <w:color w:val="auto"/>
                <w:sz w:val="24"/>
                <w:szCs w:val="24"/>
              </w:rPr>
            </w:pPr>
            <w:r>
              <w:rPr>
                <w:rFonts w:ascii="Times New Roman" w:hAnsi="Times New Roman"/>
                <w:color w:val="auto"/>
                <w:sz w:val="24"/>
                <w:szCs w:val="24"/>
              </w:rPr>
              <w:t>合计</w:t>
            </w:r>
          </w:p>
        </w:tc>
        <w:tc>
          <w:tcPr>
            <w:tcW w:w="6605" w:type="dxa"/>
            <w:gridSpan w:val="4"/>
            <w:tcBorders>
              <w:top w:val="single" w:color="auto" w:sz="4" w:space="0"/>
              <w:left w:val="nil"/>
              <w:bottom w:val="single" w:color="auto" w:sz="4" w:space="0"/>
              <w:right w:val="single" w:color="auto" w:sz="4" w:space="0"/>
            </w:tcBorders>
            <w:noWrap/>
            <w:vAlign w:val="center"/>
          </w:tcPr>
          <w:p>
            <w:pPr>
              <w:spacing w:line="360" w:lineRule="auto"/>
              <w:rPr>
                <w:rFonts w:ascii="Times New Roman" w:hAnsi="Times New Roman"/>
                <w:color w:val="auto"/>
                <w:sz w:val="24"/>
                <w:szCs w:val="24"/>
              </w:rPr>
            </w:pPr>
            <w:r>
              <w:rPr>
                <w:rFonts w:ascii="Times New Roman" w:hAnsi="Times New Roman"/>
                <w:color w:val="auto"/>
                <w:sz w:val="24"/>
                <w:szCs w:val="24"/>
              </w:rPr>
              <w:t>人民币：元</w:t>
            </w:r>
          </w:p>
          <w:p>
            <w:pPr>
              <w:spacing w:line="520" w:lineRule="exact"/>
              <w:rPr>
                <w:rFonts w:ascii="Times New Roman" w:hAnsi="Times New Roman"/>
                <w:color w:val="auto"/>
                <w:sz w:val="24"/>
                <w:szCs w:val="24"/>
              </w:rPr>
            </w:pPr>
            <w:r>
              <w:rPr>
                <w:rFonts w:ascii="Times New Roman" w:hAnsi="Times New Roman"/>
                <w:color w:val="auto"/>
                <w:sz w:val="24"/>
                <w:szCs w:val="24"/>
              </w:rPr>
              <w:t>（大写）：</w:t>
            </w:r>
          </w:p>
        </w:tc>
      </w:tr>
    </w:tbl>
    <w:p>
      <w:pPr>
        <w:widowControl/>
        <w:spacing w:line="360" w:lineRule="auto"/>
        <w:ind w:firstLine="735" w:firstLineChars="350"/>
        <w:jc w:val="left"/>
        <w:rPr>
          <w:rFonts w:ascii="Times New Roman" w:hAnsi="Times New Roman" w:cs="宋体"/>
          <w:color w:val="auto"/>
          <w:kern w:val="0"/>
          <w:szCs w:val="21"/>
        </w:rPr>
      </w:pPr>
      <w:r>
        <w:rPr>
          <w:rFonts w:hint="eastAsia" w:ascii="Times New Roman" w:hAnsi="Times New Roman" w:cs="宋体"/>
          <w:color w:val="auto"/>
          <w:kern w:val="0"/>
          <w:szCs w:val="21"/>
        </w:rPr>
        <w:t xml:space="preserve"> </w:t>
      </w:r>
    </w:p>
    <w:p>
      <w:pPr>
        <w:widowControl/>
        <w:spacing w:line="360" w:lineRule="auto"/>
        <w:ind w:firstLine="735" w:firstLineChars="350"/>
        <w:jc w:val="left"/>
        <w:rPr>
          <w:rFonts w:hint="eastAsia" w:ascii="Times New Roman" w:hAnsi="Times New Roman"/>
          <w:color w:val="auto"/>
          <w:kern w:val="0"/>
          <w:szCs w:val="21"/>
        </w:rPr>
      </w:pPr>
      <w:r>
        <w:rPr>
          <w:rFonts w:ascii="Times New Roman" w:hAnsi="Times New Roman"/>
          <w:color w:val="auto"/>
          <w:kern w:val="0"/>
          <w:szCs w:val="21"/>
        </w:rPr>
        <w:t xml:space="preserve"> </w:t>
      </w:r>
    </w:p>
    <w:p>
      <w:pPr>
        <w:widowControl/>
        <w:spacing w:line="360" w:lineRule="auto"/>
        <w:ind w:firstLine="735" w:firstLineChars="350"/>
        <w:jc w:val="left"/>
        <w:rPr>
          <w:rFonts w:ascii="Times New Roman" w:hAnsi="Times New Roman"/>
          <w:color w:val="auto"/>
          <w:kern w:val="0"/>
          <w:szCs w:val="21"/>
        </w:rPr>
      </w:pPr>
      <w:r>
        <w:rPr>
          <w:rFonts w:ascii="宋体" w:hAnsi="宋体"/>
          <w:color w:val="auto"/>
          <w:kern w:val="0"/>
          <w:szCs w:val="21"/>
        </w:rPr>
        <w:t>投标方名称（</w:t>
      </w:r>
      <w:r>
        <w:rPr>
          <w:rFonts w:hint="eastAsia" w:ascii="宋体" w:hAnsi="宋体" w:cs="宋体"/>
          <w:color w:val="auto"/>
          <w:kern w:val="0"/>
          <w:szCs w:val="21"/>
        </w:rPr>
        <w:t>签</w:t>
      </w:r>
      <w:r>
        <w:rPr>
          <w:rFonts w:ascii="宋体" w:hAnsi="宋体"/>
          <w:color w:val="auto"/>
          <w:kern w:val="0"/>
          <w:szCs w:val="21"/>
        </w:rPr>
        <w:t>章）：</w:t>
      </w:r>
      <w:r>
        <w:rPr>
          <w:rFonts w:ascii="Times New Roman" w:hAnsi="Times New Roman"/>
          <w:color w:val="auto"/>
          <w:kern w:val="0"/>
          <w:szCs w:val="21"/>
        </w:rPr>
        <w:t xml:space="preserve">____________________________  </w:t>
      </w:r>
    </w:p>
    <w:p>
      <w:pPr>
        <w:widowControl/>
        <w:spacing w:line="360" w:lineRule="auto"/>
        <w:ind w:firstLine="735" w:firstLineChars="350"/>
        <w:jc w:val="left"/>
        <w:rPr>
          <w:rFonts w:ascii="Times New Roman" w:hAnsi="Times New Roman"/>
          <w:color w:val="auto"/>
          <w:kern w:val="0"/>
          <w:szCs w:val="21"/>
        </w:rPr>
      </w:pPr>
      <w:r>
        <w:rPr>
          <w:rFonts w:ascii="宋体" w:hAnsi="宋体"/>
          <w:color w:val="auto"/>
          <w:kern w:val="0"/>
          <w:szCs w:val="21"/>
        </w:rPr>
        <w:t>日</w:t>
      </w:r>
      <w:r>
        <w:rPr>
          <w:rFonts w:ascii="Times New Roman" w:hAnsi="Times New Roman"/>
          <w:color w:val="auto"/>
          <w:kern w:val="0"/>
          <w:szCs w:val="21"/>
        </w:rPr>
        <w:t xml:space="preserve">  </w:t>
      </w:r>
      <w:r>
        <w:rPr>
          <w:rFonts w:ascii="宋体" w:hAnsi="宋体"/>
          <w:color w:val="auto"/>
          <w:kern w:val="0"/>
          <w:szCs w:val="21"/>
        </w:rPr>
        <w:t>期</w:t>
      </w:r>
      <w:r>
        <w:rPr>
          <w:rFonts w:ascii="Times New Roman" w:hAnsi="Times New Roman"/>
          <w:color w:val="auto"/>
          <w:kern w:val="0"/>
          <w:szCs w:val="21"/>
        </w:rPr>
        <w:t>:________________</w:t>
      </w:r>
    </w:p>
    <w:p>
      <w:pPr>
        <w:spacing w:line="360" w:lineRule="auto"/>
        <w:ind w:left="874" w:hanging="873" w:hangingChars="416"/>
        <w:rPr>
          <w:rFonts w:ascii="宋体" w:hAnsi="宋体" w:cs="Calibri"/>
          <w:color w:val="auto"/>
          <w:kern w:val="0"/>
          <w:szCs w:val="21"/>
        </w:rPr>
      </w:pPr>
      <w:r>
        <w:rPr>
          <w:rFonts w:hint="eastAsia" w:ascii="宋体" w:hAnsi="宋体" w:cs="Calibri"/>
          <w:color w:val="auto"/>
          <w:kern w:val="0"/>
          <w:szCs w:val="21"/>
        </w:rPr>
        <w:t xml:space="preserve"> </w:t>
      </w:r>
    </w:p>
    <w:p>
      <w:pPr>
        <w:spacing w:line="360" w:lineRule="auto"/>
        <w:ind w:left="873" w:leftChars="200" w:hanging="453" w:hangingChars="216"/>
        <w:rPr>
          <w:rFonts w:hint="eastAsia" w:ascii="宋体" w:hAnsi="宋体" w:cs="Calibri"/>
          <w:color w:val="auto"/>
          <w:kern w:val="0"/>
          <w:szCs w:val="21"/>
        </w:rPr>
      </w:pPr>
      <w:r>
        <w:rPr>
          <w:rFonts w:hint="eastAsia" w:ascii="宋体" w:hAnsi="宋体" w:cs="Calibri"/>
          <w:color w:val="auto"/>
          <w:kern w:val="0"/>
          <w:szCs w:val="21"/>
        </w:rPr>
        <w:t xml:space="preserve"> </w:t>
      </w:r>
    </w:p>
    <w:p>
      <w:pPr>
        <w:widowControl/>
        <w:spacing w:line="360" w:lineRule="auto"/>
        <w:ind w:firstLine="420" w:firstLineChars="200"/>
        <w:jc w:val="left"/>
        <w:rPr>
          <w:rFonts w:hint="eastAsia" w:ascii="Times New Roman" w:hAnsi="Times New Roman"/>
          <w:color w:val="auto"/>
          <w:kern w:val="0"/>
          <w:szCs w:val="21"/>
        </w:rPr>
      </w:pPr>
      <w:r>
        <w:rPr>
          <w:rFonts w:ascii="宋体" w:hAnsi="宋体"/>
          <w:color w:val="auto"/>
          <w:kern w:val="0"/>
          <w:szCs w:val="21"/>
        </w:rPr>
        <w:t>此表在不改变表式的情况下，可自行制作。</w:t>
      </w:r>
    </w:p>
    <w:p>
      <w:pPr>
        <w:spacing w:line="480" w:lineRule="auto"/>
        <w:jc w:val="center"/>
        <w:rPr>
          <w:rFonts w:ascii="宋体" w:hAnsi="宋体" w:cs="Calibri"/>
          <w:b/>
          <w:bCs/>
          <w:color w:val="auto"/>
          <w:kern w:val="0"/>
          <w:sz w:val="36"/>
          <w:szCs w:val="36"/>
        </w:rPr>
      </w:pPr>
      <w:r>
        <w:rPr>
          <w:rFonts w:ascii="Times New Roman" w:hAnsi="Times New Roman"/>
          <w:color w:val="auto"/>
          <w:kern w:val="0"/>
          <w:szCs w:val="21"/>
        </w:rPr>
        <w:br w:type="page"/>
      </w:r>
      <w:r>
        <w:rPr>
          <w:rFonts w:hint="eastAsia" w:ascii="宋体" w:hAnsi="宋体" w:cs="Calibri"/>
          <w:b/>
          <w:bCs/>
          <w:color w:val="auto"/>
          <w:kern w:val="0"/>
          <w:sz w:val="36"/>
          <w:szCs w:val="36"/>
        </w:rPr>
        <w:t>中小企业声明函（服务）</w:t>
      </w:r>
    </w:p>
    <w:p>
      <w:pPr>
        <w:spacing w:line="500" w:lineRule="exact"/>
        <w:ind w:firstLine="600"/>
        <w:rPr>
          <w:rFonts w:hint="eastAsia" w:ascii="宋体" w:hAnsi="宋体" w:cs="宋体"/>
          <w:color w:val="auto"/>
          <w:kern w:val="0"/>
          <w:sz w:val="24"/>
          <w:szCs w:val="24"/>
        </w:rPr>
      </w:pPr>
      <w:r>
        <w:rPr>
          <w:rFonts w:hint="eastAsia" w:ascii="宋体" w:hAnsi="宋体" w:cs="宋体"/>
          <w:color w:val="auto"/>
          <w:kern w:val="0"/>
          <w:sz w:val="24"/>
          <w:szCs w:val="24"/>
        </w:rPr>
        <w:t>本公司（联合体）郑重声明，根据《政府采购促进中小企业发展管理办法》（财库（2020）46号）的规定，本公司（联合体）参加</w:t>
      </w:r>
      <w:r>
        <w:rPr>
          <w:rFonts w:hint="eastAsia" w:ascii="宋体" w:hAnsi="宋体" w:cs="宋体"/>
          <w:i/>
          <w:iCs/>
          <w:color w:val="auto"/>
          <w:kern w:val="0"/>
          <w:sz w:val="24"/>
          <w:szCs w:val="24"/>
          <w:u w:val="single"/>
        </w:rPr>
        <w:t>（采购单位名称）</w:t>
      </w:r>
      <w:r>
        <w:rPr>
          <w:rFonts w:hint="eastAsia" w:ascii="宋体" w:hAnsi="宋体" w:cs="宋体"/>
          <w:color w:val="auto"/>
          <w:kern w:val="0"/>
          <w:sz w:val="24"/>
          <w:szCs w:val="24"/>
        </w:rPr>
        <w:t>的</w:t>
      </w:r>
      <w:r>
        <w:rPr>
          <w:rFonts w:hint="eastAsia" w:ascii="宋体" w:hAnsi="宋体" w:cs="宋体"/>
          <w:i/>
          <w:iCs/>
          <w:color w:val="auto"/>
          <w:kern w:val="0"/>
          <w:sz w:val="24"/>
          <w:szCs w:val="24"/>
          <w:u w:val="single"/>
        </w:rPr>
        <w:t>（项目名称）</w:t>
      </w:r>
      <w:r>
        <w:rPr>
          <w:rFonts w:hint="eastAsia" w:ascii="宋体" w:hAnsi="宋体" w:cs="宋体"/>
          <w:i/>
          <w:iCs/>
          <w:color w:val="auto"/>
          <w:kern w:val="0"/>
          <w:sz w:val="24"/>
          <w:szCs w:val="24"/>
        </w:rPr>
        <w:t>采</w:t>
      </w:r>
      <w:r>
        <w:rPr>
          <w:rFonts w:hint="eastAsia" w:ascii="宋体" w:hAnsi="宋体" w:cs="宋体"/>
          <w:color w:val="auto"/>
          <w:kern w:val="0"/>
          <w:sz w:val="24"/>
          <w:szCs w:val="24"/>
        </w:rPr>
        <w:t>购活动，服务全部由符合政策要求的中小企业承接，相关企业（含联合体中的中小企业）的具体情况如下:</w:t>
      </w:r>
    </w:p>
    <w:p>
      <w:pPr>
        <w:spacing w:after="140" w:line="490" w:lineRule="exact"/>
        <w:ind w:left="420" w:leftChars="200"/>
        <w:rPr>
          <w:rFonts w:hint="eastAsia"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i/>
          <w:iCs/>
          <w:color w:val="auto"/>
          <w:kern w:val="0"/>
          <w:sz w:val="24"/>
          <w:szCs w:val="24"/>
          <w:u w:val="single"/>
        </w:rPr>
        <w:t xml:space="preserve">（标的名称）        </w:t>
      </w:r>
      <w:r>
        <w:rPr>
          <w:rFonts w:hint="eastAsia" w:ascii="宋体" w:hAnsi="宋体" w:cs="宋体"/>
          <w:color w:val="auto"/>
          <w:kern w:val="0"/>
          <w:sz w:val="24"/>
          <w:szCs w:val="24"/>
        </w:rPr>
        <w:t>，属于</w:t>
      </w:r>
      <w:r>
        <w:rPr>
          <w:rFonts w:hint="eastAsia" w:ascii="宋体" w:hAnsi="宋体" w:cs="宋体"/>
          <w:i/>
          <w:iCs/>
          <w:color w:val="auto"/>
          <w:kern w:val="0"/>
          <w:sz w:val="24"/>
          <w:szCs w:val="24"/>
          <w:u w:val="single"/>
        </w:rPr>
        <w:t>（采购文件中明确的所属行业）</w:t>
      </w:r>
      <w:r>
        <w:rPr>
          <w:rFonts w:hint="eastAsia" w:ascii="宋体" w:hAnsi="宋体" w:cs="宋体"/>
          <w:color w:val="auto"/>
          <w:kern w:val="0"/>
          <w:sz w:val="24"/>
          <w:szCs w:val="24"/>
        </w:rPr>
        <w:t>；承建</w:t>
      </w:r>
    </w:p>
    <w:p>
      <w:pPr>
        <w:spacing w:after="140" w:line="490" w:lineRule="exact"/>
        <w:rPr>
          <w:rFonts w:hint="eastAsia" w:ascii="宋体" w:hAnsi="宋体" w:cs="宋体"/>
          <w:color w:val="auto"/>
          <w:kern w:val="0"/>
          <w:sz w:val="24"/>
          <w:szCs w:val="24"/>
        </w:rPr>
      </w:pPr>
      <w:r>
        <w:rPr>
          <w:rFonts w:hint="eastAsia" w:ascii="宋体" w:hAnsi="宋体" w:cs="宋体"/>
          <w:color w:val="auto"/>
          <w:kern w:val="0"/>
          <w:sz w:val="24"/>
          <w:szCs w:val="24"/>
        </w:rPr>
        <w:t>（承接）企业为</w:t>
      </w:r>
      <w:r>
        <w:rPr>
          <w:rFonts w:hint="eastAsia" w:ascii="宋体" w:hAnsi="宋体" w:cs="宋体"/>
          <w:i/>
          <w:iCs/>
          <w:color w:val="auto"/>
          <w:kern w:val="0"/>
          <w:sz w:val="24"/>
          <w:szCs w:val="24"/>
          <w:u w:val="single"/>
        </w:rPr>
        <w:t xml:space="preserve">（企业名称）       </w:t>
      </w:r>
      <w:r>
        <w:rPr>
          <w:rFonts w:hint="eastAsia" w:ascii="宋体" w:hAnsi="宋体" w:cs="宋体"/>
          <w:color w:val="auto"/>
          <w:kern w:val="0"/>
          <w:sz w:val="24"/>
          <w:szCs w:val="24"/>
        </w:rPr>
        <w:t>，从业人员</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人，营业收入为</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万元，资产总额为</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万元</w:t>
      </w:r>
      <w:r>
        <w:rPr>
          <w:rFonts w:hint="eastAsia" w:ascii="宋体" w:hAnsi="宋体" w:cs="宋体"/>
          <w:color w:val="auto"/>
          <w:kern w:val="0"/>
          <w:sz w:val="24"/>
          <w:szCs w:val="24"/>
          <w:vertAlign w:val="superscript"/>
        </w:rPr>
        <w:t>1</w:t>
      </w:r>
      <w:r>
        <w:rPr>
          <w:rFonts w:hint="eastAsia" w:ascii="宋体" w:hAnsi="宋体" w:cs="宋体"/>
          <w:color w:val="auto"/>
          <w:kern w:val="0"/>
          <w:sz w:val="24"/>
          <w:szCs w:val="24"/>
        </w:rPr>
        <w:t>，属于</w:t>
      </w:r>
      <w:r>
        <w:rPr>
          <w:rFonts w:hint="eastAsia" w:ascii="宋体" w:hAnsi="宋体" w:cs="宋体"/>
          <w:color w:val="auto"/>
          <w:kern w:val="0"/>
          <w:sz w:val="24"/>
          <w:szCs w:val="24"/>
          <w:u w:val="single"/>
        </w:rPr>
        <w:t>（中型企业、小型企业、微型企业）</w:t>
      </w:r>
      <w:r>
        <w:rPr>
          <w:rFonts w:hint="eastAsia" w:ascii="宋体" w:hAnsi="宋体" w:cs="宋体"/>
          <w:color w:val="auto"/>
          <w:kern w:val="0"/>
          <w:sz w:val="24"/>
          <w:szCs w:val="24"/>
        </w:rPr>
        <w:t>；</w:t>
      </w:r>
    </w:p>
    <w:p>
      <w:pPr>
        <w:spacing w:after="140" w:line="490" w:lineRule="exact"/>
        <w:ind w:left="420" w:leftChars="200"/>
        <w:rPr>
          <w:rFonts w:hint="eastAsia" w:ascii="宋体" w:hAnsi="宋体" w:cs="宋体"/>
          <w:color w:val="auto"/>
          <w:kern w:val="0"/>
          <w:sz w:val="24"/>
          <w:szCs w:val="24"/>
        </w:rPr>
      </w:pPr>
      <w:r>
        <w:rPr>
          <w:rFonts w:hint="eastAsia" w:ascii="宋体" w:hAnsi="宋体" w:cs="宋体"/>
          <w:color w:val="auto"/>
          <w:kern w:val="0"/>
          <w:sz w:val="24"/>
          <w:szCs w:val="24"/>
        </w:rPr>
        <w:t>2.</w:t>
      </w:r>
      <w:r>
        <w:rPr>
          <w:rFonts w:hint="eastAsia" w:ascii="宋体" w:hAnsi="宋体" w:cs="宋体"/>
          <w:i/>
          <w:iCs/>
          <w:color w:val="auto"/>
          <w:kern w:val="0"/>
          <w:sz w:val="24"/>
          <w:szCs w:val="24"/>
          <w:u w:val="single"/>
        </w:rPr>
        <w:t xml:space="preserve">（标的名称）        </w:t>
      </w:r>
      <w:r>
        <w:rPr>
          <w:rFonts w:hint="eastAsia" w:ascii="宋体" w:hAnsi="宋体" w:cs="宋体"/>
          <w:color w:val="auto"/>
          <w:kern w:val="0"/>
          <w:sz w:val="24"/>
          <w:szCs w:val="24"/>
        </w:rPr>
        <w:t>，属于</w:t>
      </w:r>
      <w:r>
        <w:rPr>
          <w:rFonts w:hint="eastAsia" w:ascii="宋体" w:hAnsi="宋体" w:cs="宋体"/>
          <w:i/>
          <w:iCs/>
          <w:color w:val="auto"/>
          <w:kern w:val="0"/>
          <w:sz w:val="24"/>
          <w:szCs w:val="24"/>
          <w:u w:val="single"/>
        </w:rPr>
        <w:t>（采购文件中明确的所属行业）</w:t>
      </w:r>
      <w:r>
        <w:rPr>
          <w:rFonts w:hint="eastAsia" w:ascii="宋体" w:hAnsi="宋体" w:cs="宋体"/>
          <w:color w:val="auto"/>
          <w:kern w:val="0"/>
          <w:sz w:val="24"/>
          <w:szCs w:val="24"/>
        </w:rPr>
        <w:t>；承建</w:t>
      </w:r>
    </w:p>
    <w:p>
      <w:pPr>
        <w:spacing w:after="140" w:line="490" w:lineRule="exact"/>
        <w:rPr>
          <w:rFonts w:hint="eastAsia" w:ascii="宋体" w:hAnsi="宋体" w:cs="宋体"/>
          <w:color w:val="auto"/>
          <w:kern w:val="0"/>
          <w:sz w:val="24"/>
          <w:szCs w:val="24"/>
        </w:rPr>
      </w:pPr>
      <w:r>
        <w:rPr>
          <w:rFonts w:hint="eastAsia" w:ascii="宋体" w:hAnsi="宋体" w:cs="宋体"/>
          <w:color w:val="auto"/>
          <w:kern w:val="0"/>
          <w:sz w:val="24"/>
          <w:szCs w:val="24"/>
        </w:rPr>
        <w:t>（承接）企业为</w:t>
      </w:r>
      <w:r>
        <w:rPr>
          <w:rFonts w:hint="eastAsia" w:ascii="宋体" w:hAnsi="宋体" w:cs="宋体"/>
          <w:i/>
          <w:iCs/>
          <w:color w:val="auto"/>
          <w:kern w:val="0"/>
          <w:sz w:val="24"/>
          <w:szCs w:val="24"/>
          <w:u w:val="single"/>
        </w:rPr>
        <w:t xml:space="preserve">（企业名称）       </w:t>
      </w:r>
      <w:r>
        <w:rPr>
          <w:rFonts w:hint="eastAsia" w:ascii="宋体" w:hAnsi="宋体" w:cs="宋体"/>
          <w:color w:val="auto"/>
          <w:kern w:val="0"/>
          <w:sz w:val="24"/>
          <w:szCs w:val="24"/>
        </w:rPr>
        <w:t>，从业人员</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人，营业收入为</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万元，资产总额为</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万元</w:t>
      </w:r>
      <w:r>
        <w:rPr>
          <w:rFonts w:hint="eastAsia" w:ascii="宋体" w:hAnsi="宋体" w:cs="宋体"/>
          <w:color w:val="auto"/>
          <w:kern w:val="0"/>
          <w:sz w:val="24"/>
          <w:szCs w:val="24"/>
          <w:vertAlign w:val="superscript"/>
        </w:rPr>
        <w:t>1</w:t>
      </w:r>
      <w:r>
        <w:rPr>
          <w:rFonts w:hint="eastAsia" w:ascii="宋体" w:hAnsi="宋体" w:cs="宋体"/>
          <w:color w:val="auto"/>
          <w:kern w:val="0"/>
          <w:sz w:val="24"/>
          <w:szCs w:val="24"/>
        </w:rPr>
        <w:t>，属于</w:t>
      </w:r>
      <w:r>
        <w:rPr>
          <w:rFonts w:hint="eastAsia" w:ascii="宋体" w:hAnsi="宋体" w:cs="宋体"/>
          <w:color w:val="auto"/>
          <w:kern w:val="0"/>
          <w:sz w:val="24"/>
          <w:szCs w:val="24"/>
          <w:u w:val="single"/>
        </w:rPr>
        <w:t>（中型企业、小型企业、微型企业）</w:t>
      </w:r>
      <w:r>
        <w:rPr>
          <w:rFonts w:hint="eastAsia" w:ascii="宋体" w:hAnsi="宋体" w:cs="宋体"/>
          <w:color w:val="auto"/>
          <w:kern w:val="0"/>
          <w:sz w:val="24"/>
          <w:szCs w:val="24"/>
        </w:rPr>
        <w:t>；</w:t>
      </w:r>
    </w:p>
    <w:p>
      <w:pPr>
        <w:spacing w:after="140" w:line="490" w:lineRule="exact"/>
        <w:ind w:firstLine="480" w:firstLineChars="200"/>
        <w:rPr>
          <w:rFonts w:hint="eastAsia" w:ascii="宋体" w:hAnsi="宋体" w:eastAsia="新宋体" w:cs="宋体"/>
          <w:color w:val="auto"/>
          <w:kern w:val="0"/>
          <w:sz w:val="24"/>
          <w:szCs w:val="24"/>
        </w:rPr>
      </w:pPr>
      <w:r>
        <w:rPr>
          <w:rFonts w:hint="eastAsia" w:ascii="新宋体" w:hAnsi="新宋体" w:eastAsia="新宋体" w:cs="宋体"/>
          <w:color w:val="auto"/>
          <w:kern w:val="0"/>
          <w:sz w:val="24"/>
          <w:szCs w:val="24"/>
        </w:rPr>
        <w:t>3.小型、微型企业的协议合同金额占到联合体协议合同总金额</w:t>
      </w:r>
      <w:r>
        <w:rPr>
          <w:rFonts w:hint="eastAsia" w:ascii="宋体" w:hAnsi="宋体" w:cs="宋体"/>
          <w:color w:val="auto"/>
          <w:kern w:val="0"/>
          <w:sz w:val="24"/>
          <w:szCs w:val="24"/>
          <w:u w:val="single"/>
        </w:rPr>
        <w:t xml:space="preserve">     %</w:t>
      </w:r>
      <w:r>
        <w:rPr>
          <w:rFonts w:hint="eastAsia" w:ascii="新宋体" w:hAnsi="新宋体" w:eastAsia="新宋体" w:cs="宋体"/>
          <w:color w:val="auto"/>
          <w:kern w:val="0"/>
          <w:sz w:val="24"/>
          <w:szCs w:val="24"/>
        </w:rPr>
        <w:t>。</w:t>
      </w:r>
    </w:p>
    <w:p>
      <w:pPr>
        <w:spacing w:line="499" w:lineRule="exact"/>
        <w:ind w:firstLine="600"/>
        <w:rPr>
          <w:rFonts w:hint="eastAsia" w:ascii="宋体" w:hAnsi="宋体" w:cs="宋体"/>
          <w:color w:val="auto"/>
          <w:kern w:val="0"/>
          <w:sz w:val="24"/>
          <w:szCs w:val="24"/>
        </w:rPr>
      </w:pPr>
      <w:r>
        <w:rPr>
          <w:rFonts w:hint="eastAsia" w:ascii="宋体" w:hAnsi="宋体" w:cs="宋体"/>
          <w:color w:val="auto"/>
          <w:kern w:val="0"/>
          <w:sz w:val="24"/>
          <w:szCs w:val="24"/>
        </w:rPr>
        <w:t>......</w:t>
      </w:r>
    </w:p>
    <w:p>
      <w:pPr>
        <w:spacing w:line="499" w:lineRule="exact"/>
        <w:ind w:firstLine="600"/>
        <w:rPr>
          <w:rFonts w:hint="eastAsia" w:ascii="宋体" w:hAnsi="宋体" w:cs="宋体"/>
          <w:color w:val="auto"/>
          <w:kern w:val="0"/>
          <w:sz w:val="24"/>
          <w:szCs w:val="24"/>
        </w:rPr>
      </w:pPr>
      <w:r>
        <w:rPr>
          <w:rFonts w:hint="eastAsia" w:ascii="宋体" w:hAnsi="宋体" w:cs="宋体"/>
          <w:color w:val="auto"/>
          <w:kern w:val="0"/>
          <w:sz w:val="24"/>
          <w:szCs w:val="24"/>
        </w:rPr>
        <w:t>本企业不属于大企业的分支机构，不存在控股股东为大企业的情形，也不存在与大企业的负责人为同一人的情形。</w:t>
      </w:r>
    </w:p>
    <w:p>
      <w:pPr>
        <w:spacing w:line="499" w:lineRule="exact"/>
        <w:ind w:firstLine="600"/>
        <w:rPr>
          <w:rFonts w:hint="eastAsia" w:ascii="宋体" w:hAnsi="宋体" w:cs="宋体"/>
          <w:color w:val="auto"/>
          <w:kern w:val="0"/>
          <w:sz w:val="24"/>
          <w:szCs w:val="24"/>
        </w:rPr>
      </w:pPr>
      <w:r>
        <w:rPr>
          <w:rFonts w:hint="eastAsia" w:ascii="宋体" w:hAnsi="宋体" w:cs="宋体"/>
          <w:color w:val="auto"/>
          <w:kern w:val="0"/>
          <w:sz w:val="24"/>
          <w:szCs w:val="24"/>
        </w:rPr>
        <w:t>本企业对上述声明内容的真实性负责。如有虚假，将依法承担相应责任。</w:t>
      </w:r>
    </w:p>
    <w:p>
      <w:pPr>
        <w:spacing w:line="499" w:lineRule="exact"/>
        <w:ind w:left="3640"/>
        <w:jc w:val="left"/>
        <w:rPr>
          <w:rFonts w:hint="eastAsia" w:ascii="宋体" w:hAnsi="宋体" w:cs="宋体"/>
          <w:color w:val="auto"/>
          <w:kern w:val="0"/>
          <w:sz w:val="28"/>
          <w:szCs w:val="28"/>
        </w:rPr>
      </w:pPr>
      <w:r>
        <w:rPr>
          <w:rFonts w:hint="eastAsia" w:ascii="宋体" w:hAnsi="宋体" w:cs="宋体"/>
          <w:color w:val="auto"/>
          <w:kern w:val="0"/>
          <w:sz w:val="28"/>
          <w:szCs w:val="28"/>
        </w:rPr>
        <w:t xml:space="preserve"> </w:t>
      </w:r>
    </w:p>
    <w:p>
      <w:pPr>
        <w:spacing w:line="499"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投标人名称（盖章）：</w:t>
      </w:r>
    </w:p>
    <w:p>
      <w:pPr>
        <w:spacing w:line="499"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日期:</w:t>
      </w:r>
    </w:p>
    <w:p>
      <w:pPr>
        <w:ind w:hanging="2000"/>
        <w:jc w:val="left"/>
        <w:rPr>
          <w:rFonts w:hint="eastAsia" w:cs="Calibri"/>
          <w:color w:val="auto"/>
          <w:kern w:val="0"/>
          <w:sz w:val="20"/>
          <w:szCs w:val="20"/>
          <w:u w:val="single"/>
        </w:rPr>
      </w:pPr>
      <w:r>
        <w:rPr>
          <w:rFonts w:cs="Calibri"/>
          <w:color w:val="auto"/>
          <w:kern w:val="0"/>
          <w:sz w:val="20"/>
          <w:szCs w:val="20"/>
          <w:u w:val="single"/>
        </w:rPr>
        <w:t xml:space="preserve"> </w:t>
      </w:r>
    </w:p>
    <w:p>
      <w:pPr>
        <w:spacing w:before="100" w:beforeAutospacing="1" w:after="120"/>
        <w:rPr>
          <w:rFonts w:ascii="宋体" w:hAnsi="宋体" w:cs="宋体"/>
          <w:color w:val="auto"/>
          <w:kern w:val="0"/>
          <w:szCs w:val="21"/>
        </w:rPr>
      </w:pPr>
      <w:r>
        <w:rPr>
          <w:rFonts w:hint="eastAsia" w:ascii="宋体" w:hAnsi="宋体" w:cs="宋体"/>
          <w:color w:val="auto"/>
          <w:kern w:val="0"/>
          <w:szCs w:val="21"/>
        </w:rPr>
        <w:t>说明：</w:t>
      </w:r>
    </w:p>
    <w:p>
      <w:pPr>
        <w:numPr>
          <w:ilvl w:val="0"/>
          <w:numId w:val="6"/>
        </w:numPr>
        <w:spacing w:before="100" w:beforeAutospacing="1" w:after="120"/>
        <w:rPr>
          <w:rFonts w:hint="eastAsia" w:ascii="宋体" w:hAnsi="宋体" w:cs="宋体"/>
          <w:color w:val="auto"/>
          <w:kern w:val="0"/>
          <w:szCs w:val="21"/>
        </w:rPr>
      </w:pPr>
      <w:r>
        <w:rPr>
          <w:rFonts w:hint="eastAsia" w:ascii="宋体" w:hAnsi="宋体" w:cs="宋体"/>
          <w:color w:val="auto"/>
          <w:kern w:val="0"/>
          <w:szCs w:val="21"/>
        </w:rPr>
        <w:t>从业人员、营业收入、资产总额填报上一年度數据，无上一年度数据的新成立企业可不推报。</w:t>
      </w:r>
    </w:p>
    <w:p>
      <w:pPr>
        <w:numPr>
          <w:ilvl w:val="0"/>
          <w:numId w:val="6"/>
        </w:numPr>
        <w:spacing w:before="100" w:beforeAutospacing="1" w:after="120"/>
        <w:rPr>
          <w:rFonts w:hint="eastAsia" w:ascii="宋体" w:hAnsi="宋体" w:cs="宋体"/>
          <w:color w:val="auto"/>
          <w:kern w:val="0"/>
          <w:szCs w:val="21"/>
        </w:rPr>
      </w:pPr>
      <w:r>
        <w:rPr>
          <w:rFonts w:hint="eastAsia" w:ascii="宋体" w:hAnsi="宋体" w:cs="宋体"/>
          <w:color w:val="auto"/>
          <w:kern w:val="0"/>
          <w:szCs w:val="21"/>
        </w:rPr>
        <w:t>根据财库〔2020〕46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注：未提供以上材料的，均不给予价格扣除） ）。</w:t>
      </w:r>
    </w:p>
    <w:p>
      <w:pPr>
        <w:widowControl/>
        <w:adjustRightInd w:val="0"/>
        <w:snapToGrid w:val="0"/>
        <w:spacing w:line="300" w:lineRule="auto"/>
        <w:ind w:firstLine="420" w:firstLineChars="200"/>
        <w:jc w:val="left"/>
        <w:rPr>
          <w:rFonts w:hint="eastAsia" w:ascii="Times New Roman" w:hAnsi="Times New Roman"/>
          <w:color w:val="auto"/>
          <w:kern w:val="0"/>
          <w:szCs w:val="21"/>
        </w:rPr>
      </w:pPr>
      <w:r>
        <w:rPr>
          <w:rFonts w:ascii="Times New Roman" w:hAnsi="Times New Roman"/>
          <w:color w:val="auto"/>
          <w:kern w:val="0"/>
          <w:szCs w:val="21"/>
        </w:rPr>
        <w:br w:type="page"/>
      </w:r>
    </w:p>
    <w:p>
      <w:pPr>
        <w:spacing w:line="300" w:lineRule="auto"/>
        <w:jc w:val="center"/>
        <w:outlineLvl w:val="0"/>
        <w:rPr>
          <w:rFonts w:cs="Calibri"/>
          <w:b/>
          <w:color w:val="auto"/>
          <w:kern w:val="0"/>
          <w:sz w:val="36"/>
          <w:szCs w:val="36"/>
        </w:rPr>
      </w:pPr>
      <w:bookmarkStart w:id="130" w:name="_Toc27005"/>
      <w:bookmarkEnd w:id="130"/>
      <w:r>
        <w:rPr>
          <w:rFonts w:ascii="宋体" w:hAnsi="宋体" w:cs="Calibri"/>
          <w:b/>
          <w:color w:val="auto"/>
          <w:kern w:val="0"/>
          <w:sz w:val="36"/>
          <w:szCs w:val="36"/>
        </w:rPr>
        <w:t>监狱企业声明函</w:t>
      </w:r>
    </w:p>
    <w:p>
      <w:pPr>
        <w:adjustRightInd w:val="0"/>
        <w:snapToGrid w:val="0"/>
        <w:spacing w:line="300" w:lineRule="auto"/>
        <w:jc w:val="center"/>
        <w:rPr>
          <w:rFonts w:cs="Calibri"/>
          <w:b/>
          <w:color w:val="auto"/>
          <w:kern w:val="0"/>
          <w:sz w:val="24"/>
          <w:szCs w:val="24"/>
        </w:rPr>
      </w:pPr>
      <w:r>
        <w:rPr>
          <w:rFonts w:ascii="宋体" w:hAnsi="宋体" w:cs="Calibri"/>
          <w:b/>
          <w:color w:val="auto"/>
          <w:kern w:val="0"/>
          <w:sz w:val="24"/>
          <w:szCs w:val="24"/>
        </w:rPr>
        <w:t>【非监狱企业不用提供】</w:t>
      </w:r>
    </w:p>
    <w:p>
      <w:pPr>
        <w:widowControl/>
        <w:adjustRightInd w:val="0"/>
        <w:snapToGrid w:val="0"/>
        <w:spacing w:line="300" w:lineRule="auto"/>
        <w:ind w:firstLine="480" w:firstLineChars="200"/>
        <w:rPr>
          <w:rFonts w:cs="Calibri"/>
          <w:color w:val="auto"/>
          <w:kern w:val="0"/>
          <w:sz w:val="24"/>
          <w:szCs w:val="24"/>
        </w:rPr>
      </w:pPr>
      <w:r>
        <w:rPr>
          <w:rFonts w:cs="Calibri"/>
          <w:color w:val="auto"/>
          <w:kern w:val="0"/>
          <w:sz w:val="24"/>
          <w:szCs w:val="24"/>
        </w:rPr>
        <w:t xml:space="preserve"> </w:t>
      </w:r>
    </w:p>
    <w:p>
      <w:pPr>
        <w:widowControl/>
        <w:adjustRightInd w:val="0"/>
        <w:snapToGrid w:val="0"/>
        <w:spacing w:line="360" w:lineRule="auto"/>
        <w:ind w:firstLine="480" w:firstLineChars="200"/>
        <w:jc w:val="left"/>
        <w:rPr>
          <w:rFonts w:cs="Calibri"/>
          <w:color w:val="auto"/>
          <w:kern w:val="0"/>
          <w:sz w:val="24"/>
          <w:szCs w:val="24"/>
        </w:rPr>
      </w:pPr>
      <w:r>
        <w:rPr>
          <w:rFonts w:ascii="宋体" w:hAnsi="宋体" w:cs="Calibri"/>
          <w:color w:val="auto"/>
          <w:kern w:val="0"/>
          <w:sz w:val="24"/>
          <w:szCs w:val="24"/>
        </w:rPr>
        <w:t>本企业郑重声明，根据《关于政府采购支持监狱企业发展有关问题的通知》（财库</w:t>
      </w:r>
      <w:r>
        <w:rPr>
          <w:rFonts w:cs="Calibri"/>
          <w:color w:val="auto"/>
          <w:kern w:val="0"/>
          <w:sz w:val="24"/>
          <w:szCs w:val="24"/>
        </w:rPr>
        <w:t>[2014]68</w:t>
      </w:r>
      <w:r>
        <w:rPr>
          <w:rFonts w:ascii="宋体" w:hAnsi="宋体" w:cs="Calibri"/>
          <w:color w:val="auto"/>
          <w:kern w:val="0"/>
          <w:sz w:val="24"/>
          <w:szCs w:val="24"/>
        </w:rPr>
        <w:t>号）的规定，本企业为</w:t>
      </w:r>
      <w:r>
        <w:rPr>
          <w:rFonts w:ascii="宋体" w:hAnsi="宋体" w:cs="Calibri"/>
          <w:color w:val="auto"/>
          <w:kern w:val="0"/>
          <w:sz w:val="24"/>
          <w:szCs w:val="24"/>
          <w:u w:val="single"/>
        </w:rPr>
        <w:t>监狱企业</w:t>
      </w:r>
      <w:r>
        <w:rPr>
          <w:rFonts w:ascii="宋体" w:hAnsi="宋体" w:cs="Calibri"/>
          <w:color w:val="auto"/>
          <w:kern w:val="0"/>
          <w:sz w:val="24"/>
          <w:szCs w:val="24"/>
        </w:rPr>
        <w:t>。</w:t>
      </w:r>
    </w:p>
    <w:p>
      <w:pPr>
        <w:widowControl/>
        <w:adjustRightInd w:val="0"/>
        <w:snapToGrid w:val="0"/>
        <w:spacing w:line="360" w:lineRule="auto"/>
        <w:ind w:firstLine="480" w:firstLineChars="200"/>
        <w:jc w:val="left"/>
        <w:rPr>
          <w:rFonts w:cs="Calibri"/>
          <w:color w:val="auto"/>
          <w:kern w:val="0"/>
          <w:sz w:val="24"/>
          <w:szCs w:val="24"/>
        </w:rPr>
      </w:pPr>
      <w:r>
        <w:rPr>
          <w:rFonts w:ascii="宋体" w:hAnsi="宋体" w:cs="Calibri"/>
          <w:color w:val="auto"/>
          <w:kern w:val="0"/>
          <w:sz w:val="24"/>
          <w:szCs w:val="24"/>
        </w:rPr>
        <w:t>根据上述标准，我企业属于</w:t>
      </w:r>
      <w:r>
        <w:rPr>
          <w:rFonts w:ascii="宋体" w:hAnsi="宋体" w:cs="Calibri"/>
          <w:color w:val="auto"/>
          <w:kern w:val="0"/>
          <w:sz w:val="24"/>
          <w:szCs w:val="24"/>
          <w:u w:val="single"/>
        </w:rPr>
        <w:t>监狱企业</w:t>
      </w:r>
      <w:r>
        <w:rPr>
          <w:rFonts w:ascii="宋体" w:hAnsi="宋体" w:cs="Calibri"/>
          <w:color w:val="auto"/>
          <w:kern w:val="0"/>
          <w:sz w:val="24"/>
          <w:szCs w:val="24"/>
        </w:rPr>
        <w:t>的理由为：</w:t>
      </w:r>
      <w:r>
        <w:rPr>
          <w:rFonts w:cs="Calibri"/>
          <w:color w:val="auto"/>
          <w:kern w:val="0"/>
          <w:sz w:val="24"/>
          <w:szCs w:val="24"/>
          <w:u w:val="single"/>
        </w:rPr>
        <w:t xml:space="preserve">        </w:t>
      </w:r>
      <w:r>
        <w:rPr>
          <w:rFonts w:cs="Calibri"/>
          <w:color w:val="auto"/>
          <w:kern w:val="0"/>
          <w:sz w:val="24"/>
          <w:szCs w:val="24"/>
        </w:rPr>
        <w:t xml:space="preserve"> </w:t>
      </w:r>
      <w:r>
        <w:rPr>
          <w:rFonts w:ascii="宋体" w:hAnsi="宋体" w:cs="Calibri"/>
          <w:color w:val="auto"/>
          <w:kern w:val="0"/>
          <w:sz w:val="24"/>
          <w:szCs w:val="24"/>
        </w:rPr>
        <w:t>。</w:t>
      </w:r>
    </w:p>
    <w:p>
      <w:pPr>
        <w:widowControl/>
        <w:adjustRightInd w:val="0"/>
        <w:snapToGrid w:val="0"/>
        <w:spacing w:line="360" w:lineRule="auto"/>
        <w:ind w:firstLine="480" w:firstLineChars="200"/>
        <w:rPr>
          <w:rFonts w:cs="Calibri"/>
          <w:color w:val="auto"/>
          <w:kern w:val="0"/>
          <w:sz w:val="24"/>
          <w:szCs w:val="24"/>
        </w:rPr>
      </w:pPr>
      <w:r>
        <w:rPr>
          <w:rFonts w:ascii="宋体" w:hAnsi="宋体" w:cs="Calibri"/>
          <w:color w:val="auto"/>
          <w:kern w:val="0"/>
          <w:sz w:val="24"/>
          <w:szCs w:val="24"/>
        </w:rPr>
        <w:t>本企业为参加（项目名称：</w:t>
      </w:r>
      <w:r>
        <w:rPr>
          <w:rFonts w:cs="Calibri"/>
          <w:color w:val="auto"/>
          <w:kern w:val="0"/>
          <w:sz w:val="24"/>
          <w:szCs w:val="24"/>
          <w:u w:val="single"/>
        </w:rPr>
        <w:t xml:space="preserve">     </w:t>
      </w:r>
      <w:r>
        <w:rPr>
          <w:rFonts w:ascii="宋体" w:hAnsi="宋体" w:cs="Calibri"/>
          <w:color w:val="auto"/>
          <w:kern w:val="0"/>
          <w:sz w:val="24"/>
          <w:szCs w:val="24"/>
        </w:rPr>
        <w:t>）（项目编号：</w:t>
      </w:r>
      <w:r>
        <w:rPr>
          <w:rFonts w:cs="Calibri"/>
          <w:color w:val="auto"/>
          <w:kern w:val="0"/>
          <w:sz w:val="24"/>
          <w:szCs w:val="24"/>
          <w:u w:val="single"/>
        </w:rPr>
        <w:t xml:space="preserve">    </w:t>
      </w:r>
      <w:r>
        <w:rPr>
          <w:rFonts w:ascii="宋体" w:hAnsi="宋体" w:cs="Calibri"/>
          <w:color w:val="auto"/>
          <w:kern w:val="0"/>
          <w:sz w:val="24"/>
          <w:szCs w:val="24"/>
        </w:rPr>
        <w:t>）采购活动提供本企业</w:t>
      </w:r>
      <w:r>
        <w:rPr>
          <w:rFonts w:ascii="宋体" w:hAnsi="宋体" w:cs="Calibri"/>
          <w:color w:val="auto"/>
          <w:kern w:val="0"/>
          <w:sz w:val="24"/>
          <w:szCs w:val="24"/>
          <w:u w:val="single"/>
        </w:rPr>
        <w:t>的服务</w:t>
      </w:r>
      <w:r>
        <w:rPr>
          <w:rFonts w:ascii="宋体" w:hAnsi="宋体" w:cs="Calibri"/>
          <w:color w:val="auto"/>
          <w:kern w:val="0"/>
          <w:sz w:val="24"/>
          <w:szCs w:val="24"/>
        </w:rPr>
        <w:t>。</w:t>
      </w:r>
    </w:p>
    <w:p>
      <w:pPr>
        <w:widowControl/>
        <w:adjustRightInd w:val="0"/>
        <w:snapToGrid w:val="0"/>
        <w:spacing w:line="360" w:lineRule="auto"/>
        <w:ind w:firstLine="482" w:firstLineChars="200"/>
        <w:rPr>
          <w:rFonts w:cs="Calibri"/>
          <w:color w:val="auto"/>
          <w:kern w:val="0"/>
          <w:sz w:val="24"/>
          <w:szCs w:val="24"/>
        </w:rPr>
      </w:pPr>
      <w:r>
        <w:rPr>
          <w:rFonts w:ascii="宋体" w:hAnsi="宋体" w:cs="Calibri"/>
          <w:b/>
          <w:color w:val="auto"/>
          <w:kern w:val="0"/>
          <w:sz w:val="24"/>
          <w:szCs w:val="24"/>
          <w:u w:val="single"/>
        </w:rPr>
        <w:t>本企业对上述声明的真实性负责。如有虚假，将依法承担相应责任</w:t>
      </w:r>
      <w:r>
        <w:rPr>
          <w:rFonts w:ascii="宋体" w:hAnsi="宋体" w:cs="Calibri"/>
          <w:color w:val="auto"/>
          <w:kern w:val="0"/>
          <w:sz w:val="24"/>
          <w:szCs w:val="24"/>
        </w:rPr>
        <w:t>。</w:t>
      </w:r>
    </w:p>
    <w:p>
      <w:pPr>
        <w:adjustRightInd w:val="0"/>
        <w:snapToGrid w:val="0"/>
        <w:spacing w:line="360" w:lineRule="auto"/>
        <w:ind w:firstLine="480" w:firstLineChars="200"/>
        <w:jc w:val="center"/>
        <w:rPr>
          <w:rFonts w:cs="Calibri"/>
          <w:color w:val="auto"/>
          <w:kern w:val="0"/>
          <w:sz w:val="24"/>
          <w:szCs w:val="24"/>
        </w:rPr>
      </w:pPr>
      <w:r>
        <w:rPr>
          <w:rFonts w:cs="Calibri"/>
          <w:color w:val="auto"/>
          <w:kern w:val="0"/>
          <w:sz w:val="24"/>
          <w:szCs w:val="24"/>
        </w:rPr>
        <w:t xml:space="preserve"> </w:t>
      </w:r>
    </w:p>
    <w:p>
      <w:pPr>
        <w:adjustRightInd w:val="0"/>
        <w:snapToGrid w:val="0"/>
        <w:spacing w:line="360" w:lineRule="auto"/>
        <w:ind w:firstLine="480" w:firstLineChars="200"/>
        <w:rPr>
          <w:rFonts w:cs="Calibri"/>
          <w:color w:val="auto"/>
          <w:kern w:val="0"/>
          <w:sz w:val="24"/>
          <w:szCs w:val="24"/>
          <w:u w:val="single"/>
        </w:rPr>
      </w:pPr>
      <w:r>
        <w:rPr>
          <w:rFonts w:ascii="宋体" w:hAnsi="宋体" w:cs="Calibri"/>
          <w:color w:val="auto"/>
          <w:kern w:val="0"/>
          <w:sz w:val="24"/>
          <w:szCs w:val="24"/>
        </w:rPr>
        <w:t>供应商名称（</w:t>
      </w:r>
      <w:r>
        <w:rPr>
          <w:rFonts w:hint="eastAsia" w:ascii="宋体" w:hAnsi="宋体" w:cs="Calibri"/>
          <w:color w:val="auto"/>
          <w:kern w:val="0"/>
          <w:sz w:val="24"/>
          <w:szCs w:val="24"/>
        </w:rPr>
        <w:t>签</w:t>
      </w:r>
      <w:r>
        <w:rPr>
          <w:rFonts w:ascii="宋体" w:hAnsi="宋体" w:cs="Calibri"/>
          <w:color w:val="auto"/>
          <w:kern w:val="0"/>
          <w:sz w:val="24"/>
          <w:szCs w:val="24"/>
        </w:rPr>
        <w:t>章）：</w:t>
      </w:r>
      <w:r>
        <w:rPr>
          <w:rFonts w:cs="Calibri"/>
          <w:color w:val="auto"/>
          <w:kern w:val="0"/>
          <w:sz w:val="24"/>
          <w:szCs w:val="24"/>
          <w:u w:val="single"/>
        </w:rPr>
        <w:t xml:space="preserve">            </w:t>
      </w:r>
    </w:p>
    <w:p>
      <w:pPr>
        <w:adjustRightInd w:val="0"/>
        <w:snapToGrid w:val="0"/>
        <w:spacing w:line="360" w:lineRule="auto"/>
        <w:ind w:firstLine="480" w:firstLineChars="200"/>
        <w:rPr>
          <w:rFonts w:cs="Calibri"/>
          <w:color w:val="auto"/>
          <w:kern w:val="0"/>
          <w:sz w:val="24"/>
          <w:szCs w:val="24"/>
        </w:rPr>
      </w:pPr>
      <w:r>
        <w:rPr>
          <w:rFonts w:ascii="宋体" w:hAnsi="宋体" w:cs="Calibri"/>
          <w:color w:val="auto"/>
          <w:kern w:val="0"/>
          <w:sz w:val="24"/>
          <w:szCs w:val="24"/>
        </w:rPr>
        <w:t>日期：</w:t>
      </w:r>
      <w:r>
        <w:rPr>
          <w:rFonts w:cs="Calibri"/>
          <w:color w:val="auto"/>
          <w:kern w:val="0"/>
          <w:sz w:val="24"/>
          <w:szCs w:val="24"/>
        </w:rPr>
        <w:t xml:space="preserve">   </w:t>
      </w:r>
      <w:r>
        <w:rPr>
          <w:rFonts w:ascii="宋体" w:hAnsi="宋体" w:cs="Calibri"/>
          <w:color w:val="auto"/>
          <w:kern w:val="0"/>
          <w:sz w:val="24"/>
          <w:szCs w:val="24"/>
        </w:rPr>
        <w:t>年</w:t>
      </w:r>
      <w:r>
        <w:rPr>
          <w:rFonts w:cs="Calibri"/>
          <w:color w:val="auto"/>
          <w:kern w:val="0"/>
          <w:sz w:val="24"/>
          <w:szCs w:val="24"/>
        </w:rPr>
        <w:t xml:space="preserve">  </w:t>
      </w:r>
      <w:r>
        <w:rPr>
          <w:rFonts w:ascii="宋体" w:hAnsi="宋体" w:cs="Calibri"/>
          <w:color w:val="auto"/>
          <w:kern w:val="0"/>
          <w:sz w:val="24"/>
          <w:szCs w:val="24"/>
        </w:rPr>
        <w:t>月</w:t>
      </w:r>
      <w:r>
        <w:rPr>
          <w:rFonts w:cs="Calibri"/>
          <w:color w:val="auto"/>
          <w:kern w:val="0"/>
          <w:sz w:val="24"/>
          <w:szCs w:val="24"/>
        </w:rPr>
        <w:t xml:space="preserve">  </w:t>
      </w:r>
      <w:r>
        <w:rPr>
          <w:rFonts w:ascii="宋体" w:hAnsi="宋体" w:cs="Calibri"/>
          <w:color w:val="auto"/>
          <w:kern w:val="0"/>
          <w:sz w:val="24"/>
          <w:szCs w:val="24"/>
        </w:rPr>
        <w:t>日</w:t>
      </w:r>
    </w:p>
    <w:p>
      <w:pPr>
        <w:widowControl/>
        <w:snapToGrid w:val="0"/>
        <w:spacing w:line="360" w:lineRule="auto"/>
        <w:ind w:firstLine="480" w:firstLineChars="200"/>
        <w:rPr>
          <w:rFonts w:cs="Calibri"/>
          <w:color w:val="auto"/>
          <w:kern w:val="0"/>
          <w:sz w:val="24"/>
          <w:szCs w:val="24"/>
        </w:rPr>
      </w:pPr>
      <w:r>
        <w:rPr>
          <w:rFonts w:cs="Calibri"/>
          <w:color w:val="auto"/>
          <w:kern w:val="0"/>
          <w:sz w:val="24"/>
          <w:szCs w:val="24"/>
        </w:rPr>
        <w:t xml:space="preserve"> </w:t>
      </w:r>
    </w:p>
    <w:p>
      <w:pPr>
        <w:widowControl/>
        <w:snapToGrid w:val="0"/>
        <w:spacing w:line="360" w:lineRule="auto"/>
        <w:ind w:firstLine="480" w:firstLineChars="200"/>
        <w:rPr>
          <w:rFonts w:cs="Calibri"/>
          <w:color w:val="auto"/>
          <w:kern w:val="0"/>
          <w:sz w:val="24"/>
          <w:szCs w:val="24"/>
        </w:rPr>
      </w:pPr>
      <w:r>
        <w:rPr>
          <w:rFonts w:ascii="宋体" w:hAnsi="宋体" w:cs="Calibri"/>
          <w:color w:val="auto"/>
          <w:kern w:val="0"/>
          <w:sz w:val="24"/>
          <w:szCs w:val="24"/>
        </w:rPr>
        <w:t>监狱企业参加政府采购活动时，应当提供由省级以上监狱管理局、戒毒管理局（含新疆生产建设兵团）出具的属于监狱企业的文件或网页资料。</w:t>
      </w:r>
    </w:p>
    <w:p>
      <w:pPr>
        <w:widowControl/>
        <w:snapToGrid w:val="0"/>
        <w:spacing w:line="360" w:lineRule="auto"/>
        <w:ind w:firstLine="480" w:firstLineChars="200"/>
        <w:rPr>
          <w:rFonts w:cs="Calibri"/>
          <w:color w:val="auto"/>
          <w:kern w:val="0"/>
          <w:sz w:val="24"/>
          <w:szCs w:val="24"/>
        </w:rPr>
      </w:pPr>
      <w:r>
        <w:rPr>
          <w:rFonts w:ascii="宋体" w:hAnsi="宋体" w:cs="Calibri"/>
          <w:color w:val="auto"/>
          <w:kern w:val="0"/>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00" w:lineRule="auto"/>
        <w:jc w:val="center"/>
        <w:outlineLvl w:val="0"/>
        <w:rPr>
          <w:rFonts w:cs="Calibri"/>
          <w:b/>
          <w:color w:val="auto"/>
          <w:kern w:val="0"/>
          <w:sz w:val="36"/>
          <w:szCs w:val="36"/>
        </w:rPr>
      </w:pPr>
      <w:bookmarkStart w:id="131" w:name="OLE_LINK14"/>
      <w:bookmarkEnd w:id="131"/>
      <w:bookmarkStart w:id="132" w:name="OLE_LINK13"/>
      <w:r>
        <w:rPr>
          <w:rFonts w:cs="Calibri"/>
          <w:b/>
          <w:color w:val="auto"/>
          <w:kern w:val="0"/>
          <w:sz w:val="36"/>
          <w:szCs w:val="36"/>
        </w:rPr>
        <w:br w:type="page"/>
      </w:r>
      <w:bookmarkEnd w:id="132"/>
      <w:bookmarkStart w:id="133" w:name="_Toc26419"/>
      <w:bookmarkEnd w:id="133"/>
    </w:p>
    <w:p>
      <w:pPr>
        <w:spacing w:line="300" w:lineRule="auto"/>
        <w:jc w:val="center"/>
        <w:outlineLvl w:val="0"/>
        <w:rPr>
          <w:rFonts w:cs="Calibri"/>
          <w:b/>
          <w:color w:val="auto"/>
          <w:kern w:val="0"/>
          <w:sz w:val="36"/>
          <w:szCs w:val="36"/>
        </w:rPr>
      </w:pPr>
      <w:r>
        <w:rPr>
          <w:rFonts w:ascii="宋体" w:hAnsi="宋体" w:cs="Calibri"/>
          <w:b/>
          <w:color w:val="auto"/>
          <w:kern w:val="0"/>
          <w:sz w:val="36"/>
          <w:szCs w:val="36"/>
        </w:rPr>
        <w:t>残疾人福利性单位声明函</w:t>
      </w:r>
    </w:p>
    <w:p>
      <w:pPr>
        <w:snapToGrid w:val="0"/>
        <w:spacing w:line="300" w:lineRule="auto"/>
        <w:ind w:firstLine="444" w:firstLineChars="200"/>
        <w:rPr>
          <w:rFonts w:cs="Calibri"/>
          <w:color w:val="auto"/>
          <w:spacing w:val="6"/>
          <w:kern w:val="0"/>
          <w:szCs w:val="21"/>
        </w:rPr>
      </w:pPr>
      <w:r>
        <w:rPr>
          <w:rFonts w:cs="Calibri"/>
          <w:color w:val="auto"/>
          <w:spacing w:val="6"/>
          <w:kern w:val="0"/>
          <w:szCs w:val="21"/>
        </w:rPr>
        <w:t xml:space="preserve"> </w:t>
      </w:r>
    </w:p>
    <w:p>
      <w:pPr>
        <w:snapToGrid w:val="0"/>
        <w:spacing w:line="360" w:lineRule="auto"/>
        <w:ind w:firstLine="504" w:firstLineChars="200"/>
        <w:rPr>
          <w:rFonts w:cs="Calibri"/>
          <w:color w:val="auto"/>
          <w:spacing w:val="6"/>
          <w:kern w:val="0"/>
          <w:sz w:val="24"/>
          <w:szCs w:val="24"/>
        </w:rPr>
      </w:pPr>
      <w:r>
        <w:rPr>
          <w:rFonts w:ascii="宋体" w:hAnsi="宋体" w:cs="Calibri"/>
          <w:color w:val="auto"/>
          <w:spacing w:val="6"/>
          <w:kern w:val="0"/>
          <w:sz w:val="24"/>
          <w:szCs w:val="24"/>
        </w:rPr>
        <w:t>本单位郑重声明，根据《财政部</w:t>
      </w:r>
      <w:r>
        <w:rPr>
          <w:rFonts w:cs="Calibri"/>
          <w:color w:val="auto"/>
          <w:spacing w:val="6"/>
          <w:kern w:val="0"/>
          <w:sz w:val="24"/>
          <w:szCs w:val="24"/>
        </w:rPr>
        <w:t xml:space="preserve"> </w:t>
      </w:r>
      <w:r>
        <w:rPr>
          <w:rFonts w:ascii="宋体" w:hAnsi="宋体" w:cs="Calibri"/>
          <w:color w:val="auto"/>
          <w:spacing w:val="6"/>
          <w:kern w:val="0"/>
          <w:sz w:val="24"/>
          <w:szCs w:val="24"/>
        </w:rPr>
        <w:t>民政部</w:t>
      </w:r>
      <w:r>
        <w:rPr>
          <w:rFonts w:cs="Calibri"/>
          <w:color w:val="auto"/>
          <w:spacing w:val="6"/>
          <w:kern w:val="0"/>
          <w:sz w:val="24"/>
          <w:szCs w:val="24"/>
        </w:rPr>
        <w:t xml:space="preserve"> </w:t>
      </w:r>
      <w:r>
        <w:rPr>
          <w:rFonts w:ascii="宋体" w:hAnsi="宋体" w:cs="Calibri"/>
          <w:color w:val="auto"/>
          <w:spacing w:val="6"/>
          <w:kern w:val="0"/>
          <w:sz w:val="24"/>
          <w:szCs w:val="24"/>
        </w:rPr>
        <w:t>中国残疾人联合会关于促进残疾人就业政府采购政策的通知》（财库</w:t>
      </w:r>
      <w:r>
        <w:rPr>
          <w:rFonts w:ascii="宋体" w:hAnsi="宋体" w:cs="Calibri"/>
          <w:color w:val="auto"/>
          <w:kern w:val="0"/>
          <w:sz w:val="24"/>
          <w:szCs w:val="24"/>
        </w:rPr>
        <w:t>〔</w:t>
      </w:r>
      <w:r>
        <w:rPr>
          <w:rFonts w:cs="Calibri"/>
          <w:color w:val="auto"/>
          <w:kern w:val="0"/>
          <w:sz w:val="24"/>
          <w:szCs w:val="24"/>
        </w:rPr>
        <w:t>2017</w:t>
      </w:r>
      <w:r>
        <w:rPr>
          <w:rFonts w:ascii="宋体" w:hAnsi="宋体" w:cs="Calibri"/>
          <w:color w:val="auto"/>
          <w:kern w:val="0"/>
          <w:sz w:val="24"/>
          <w:szCs w:val="24"/>
        </w:rPr>
        <w:t>〕</w:t>
      </w:r>
      <w:r>
        <w:rPr>
          <w:rFonts w:cs="Calibri"/>
          <w:color w:val="auto"/>
          <w:kern w:val="0"/>
          <w:sz w:val="24"/>
          <w:szCs w:val="24"/>
        </w:rPr>
        <w:t>141</w:t>
      </w:r>
      <w:r>
        <w:rPr>
          <w:rFonts w:ascii="宋体" w:hAnsi="宋体" w:cs="Calibri"/>
          <w:color w:val="auto"/>
          <w:spacing w:val="6"/>
          <w:kern w:val="0"/>
          <w:sz w:val="24"/>
          <w:szCs w:val="24"/>
        </w:rPr>
        <w:t>号）的规定，本单位为符合条件的残疾人福利性单位，且本单位参加</w:t>
      </w:r>
      <w:r>
        <w:rPr>
          <w:rFonts w:cs="Calibri"/>
          <w:color w:val="auto"/>
          <w:spacing w:val="6"/>
          <w:kern w:val="0"/>
          <w:sz w:val="24"/>
          <w:szCs w:val="24"/>
          <w:u w:val="single"/>
        </w:rPr>
        <w:t xml:space="preserve"> </w:t>
      </w:r>
      <w:r>
        <w:rPr>
          <w:rFonts w:ascii="宋体" w:hAnsi="宋体" w:cs="Calibri"/>
          <w:color w:val="auto"/>
          <w:spacing w:val="6"/>
          <w:kern w:val="0"/>
          <w:sz w:val="24"/>
          <w:szCs w:val="24"/>
          <w:u w:val="single"/>
        </w:rPr>
        <w:t>（采购人名称）</w:t>
      </w:r>
      <w:r>
        <w:rPr>
          <w:rFonts w:cs="Calibri"/>
          <w:color w:val="auto"/>
          <w:spacing w:val="6"/>
          <w:kern w:val="0"/>
          <w:sz w:val="24"/>
          <w:szCs w:val="24"/>
          <w:u w:val="single"/>
        </w:rPr>
        <w:t xml:space="preserve">  </w:t>
      </w:r>
      <w:r>
        <w:rPr>
          <w:rFonts w:ascii="宋体" w:hAnsi="宋体" w:cs="Calibri"/>
          <w:color w:val="auto"/>
          <w:spacing w:val="6"/>
          <w:kern w:val="0"/>
          <w:sz w:val="24"/>
          <w:szCs w:val="24"/>
        </w:rPr>
        <w:t>单位的</w:t>
      </w:r>
      <w:r>
        <w:rPr>
          <w:rFonts w:cs="Calibri"/>
          <w:color w:val="auto"/>
          <w:spacing w:val="6"/>
          <w:kern w:val="0"/>
          <w:sz w:val="24"/>
          <w:szCs w:val="24"/>
          <w:u w:val="single"/>
        </w:rPr>
        <w:t xml:space="preserve">   </w:t>
      </w:r>
      <w:r>
        <w:rPr>
          <w:rFonts w:ascii="宋体" w:hAnsi="宋体" w:cs="Calibri"/>
          <w:color w:val="auto"/>
          <w:spacing w:val="6"/>
          <w:kern w:val="0"/>
          <w:sz w:val="24"/>
          <w:szCs w:val="24"/>
          <w:u w:val="single"/>
        </w:rPr>
        <w:t>（项目名称）</w:t>
      </w:r>
      <w:r>
        <w:rPr>
          <w:rFonts w:cs="Calibri"/>
          <w:color w:val="auto"/>
          <w:spacing w:val="6"/>
          <w:kern w:val="0"/>
          <w:sz w:val="24"/>
          <w:szCs w:val="24"/>
          <w:u w:val="single"/>
        </w:rPr>
        <w:t xml:space="preserve">    </w:t>
      </w:r>
      <w:r>
        <w:rPr>
          <w:rFonts w:ascii="宋体" w:hAnsi="宋体" w:cs="Calibri"/>
          <w:color w:val="auto"/>
          <w:spacing w:val="6"/>
          <w:kern w:val="0"/>
          <w:sz w:val="24"/>
          <w:szCs w:val="24"/>
        </w:rPr>
        <w:t>项目采购活动提供本单位制造的货物（由本单位承担工程</w:t>
      </w:r>
      <w:r>
        <w:rPr>
          <w:rFonts w:cs="Calibri"/>
          <w:color w:val="auto"/>
          <w:spacing w:val="6"/>
          <w:kern w:val="0"/>
          <w:sz w:val="24"/>
          <w:szCs w:val="24"/>
        </w:rPr>
        <w:t>/</w:t>
      </w:r>
      <w:r>
        <w:rPr>
          <w:rFonts w:ascii="宋体" w:hAnsi="宋体" w:cs="Calibri"/>
          <w:color w:val="auto"/>
          <w:spacing w:val="6"/>
          <w:kern w:val="0"/>
          <w:sz w:val="24"/>
          <w:szCs w:val="24"/>
        </w:rPr>
        <w:t>提供服务），或者提供其他残疾人福利性单位制造的货物（不包括使用非残疾人福利性单位注册商标的货物）。</w:t>
      </w:r>
    </w:p>
    <w:p>
      <w:pPr>
        <w:snapToGrid w:val="0"/>
        <w:spacing w:line="360" w:lineRule="auto"/>
        <w:ind w:firstLine="506" w:firstLineChars="200"/>
        <w:rPr>
          <w:rFonts w:cs="Calibri"/>
          <w:color w:val="auto"/>
          <w:spacing w:val="6"/>
          <w:kern w:val="0"/>
          <w:sz w:val="24"/>
          <w:szCs w:val="24"/>
        </w:rPr>
      </w:pPr>
      <w:r>
        <w:rPr>
          <w:rFonts w:ascii="宋体" w:hAnsi="宋体" w:cs="Calibri"/>
          <w:b/>
          <w:color w:val="auto"/>
          <w:spacing w:val="6"/>
          <w:kern w:val="0"/>
          <w:sz w:val="24"/>
          <w:szCs w:val="24"/>
          <w:u w:val="single"/>
        </w:rPr>
        <w:t>本单位对上述声明的真实性负责。如有虚假，将依法承担相应责任</w:t>
      </w:r>
      <w:r>
        <w:rPr>
          <w:rFonts w:ascii="宋体" w:hAnsi="宋体" w:cs="Calibri"/>
          <w:color w:val="auto"/>
          <w:spacing w:val="6"/>
          <w:kern w:val="0"/>
          <w:sz w:val="24"/>
          <w:szCs w:val="24"/>
        </w:rPr>
        <w:t>。</w:t>
      </w:r>
    </w:p>
    <w:p>
      <w:pPr>
        <w:snapToGrid w:val="0"/>
        <w:spacing w:line="360" w:lineRule="auto"/>
        <w:ind w:firstLine="504" w:firstLineChars="200"/>
        <w:rPr>
          <w:rFonts w:cs="Calibri"/>
          <w:color w:val="auto"/>
          <w:spacing w:val="6"/>
          <w:kern w:val="0"/>
          <w:sz w:val="24"/>
          <w:szCs w:val="24"/>
        </w:rPr>
      </w:pPr>
      <w:r>
        <w:rPr>
          <w:rFonts w:cs="Calibri"/>
          <w:color w:val="auto"/>
          <w:spacing w:val="6"/>
          <w:kern w:val="0"/>
          <w:sz w:val="24"/>
          <w:szCs w:val="24"/>
        </w:rPr>
        <w:t xml:space="preserve"> </w:t>
      </w:r>
    </w:p>
    <w:p>
      <w:pPr>
        <w:snapToGrid w:val="0"/>
        <w:spacing w:line="360" w:lineRule="auto"/>
        <w:ind w:firstLine="504" w:firstLineChars="200"/>
        <w:rPr>
          <w:rFonts w:cs="Calibri"/>
          <w:color w:val="auto"/>
          <w:spacing w:val="6"/>
          <w:kern w:val="0"/>
          <w:sz w:val="24"/>
          <w:szCs w:val="24"/>
        </w:rPr>
      </w:pPr>
      <w:r>
        <w:rPr>
          <w:rFonts w:cs="Calibri"/>
          <w:color w:val="auto"/>
          <w:spacing w:val="6"/>
          <w:kern w:val="0"/>
          <w:sz w:val="24"/>
          <w:szCs w:val="24"/>
        </w:rPr>
        <w:t xml:space="preserve"> </w:t>
      </w:r>
    </w:p>
    <w:p>
      <w:pPr>
        <w:adjustRightInd w:val="0"/>
        <w:snapToGrid w:val="0"/>
        <w:spacing w:line="360" w:lineRule="auto"/>
        <w:ind w:firstLine="480" w:firstLineChars="200"/>
        <w:rPr>
          <w:rFonts w:cs="Calibri"/>
          <w:color w:val="auto"/>
          <w:kern w:val="0"/>
          <w:sz w:val="24"/>
          <w:szCs w:val="24"/>
          <w:u w:val="single"/>
        </w:rPr>
      </w:pPr>
      <w:r>
        <w:rPr>
          <w:rFonts w:ascii="宋体" w:hAnsi="宋体" w:cs="Calibri"/>
          <w:color w:val="auto"/>
          <w:kern w:val="0"/>
          <w:sz w:val="24"/>
          <w:szCs w:val="24"/>
        </w:rPr>
        <w:t>供应商名称（</w:t>
      </w:r>
      <w:r>
        <w:rPr>
          <w:rFonts w:hint="eastAsia" w:ascii="宋体" w:hAnsi="宋体" w:cs="Calibri"/>
          <w:color w:val="auto"/>
          <w:kern w:val="0"/>
          <w:sz w:val="24"/>
          <w:szCs w:val="24"/>
        </w:rPr>
        <w:t>签</w:t>
      </w:r>
      <w:r>
        <w:rPr>
          <w:rFonts w:ascii="宋体" w:hAnsi="宋体" w:cs="Calibri"/>
          <w:color w:val="auto"/>
          <w:kern w:val="0"/>
          <w:sz w:val="24"/>
          <w:szCs w:val="24"/>
        </w:rPr>
        <w:t>章）：</w:t>
      </w:r>
      <w:r>
        <w:rPr>
          <w:rFonts w:cs="Calibri"/>
          <w:color w:val="auto"/>
          <w:kern w:val="0"/>
          <w:sz w:val="24"/>
          <w:szCs w:val="24"/>
          <w:u w:val="single"/>
        </w:rPr>
        <w:t xml:space="preserve">            </w:t>
      </w:r>
    </w:p>
    <w:p>
      <w:pPr>
        <w:adjustRightInd w:val="0"/>
        <w:snapToGrid w:val="0"/>
        <w:spacing w:line="360" w:lineRule="auto"/>
        <w:ind w:firstLine="480" w:firstLineChars="200"/>
        <w:rPr>
          <w:rFonts w:cs="Calibri"/>
          <w:color w:val="auto"/>
          <w:kern w:val="0"/>
          <w:sz w:val="24"/>
          <w:szCs w:val="24"/>
        </w:rPr>
      </w:pPr>
      <w:r>
        <w:rPr>
          <w:rFonts w:ascii="宋体" w:hAnsi="宋体" w:cs="Calibri"/>
          <w:color w:val="auto"/>
          <w:kern w:val="0"/>
          <w:sz w:val="24"/>
          <w:szCs w:val="24"/>
        </w:rPr>
        <w:t>日期：</w:t>
      </w:r>
      <w:r>
        <w:rPr>
          <w:rFonts w:cs="Calibri"/>
          <w:color w:val="auto"/>
          <w:kern w:val="0"/>
          <w:sz w:val="24"/>
          <w:szCs w:val="24"/>
        </w:rPr>
        <w:t xml:space="preserve">   </w:t>
      </w:r>
      <w:r>
        <w:rPr>
          <w:rFonts w:ascii="宋体" w:hAnsi="宋体" w:cs="Calibri"/>
          <w:color w:val="auto"/>
          <w:kern w:val="0"/>
          <w:sz w:val="24"/>
          <w:szCs w:val="24"/>
        </w:rPr>
        <w:t>年</w:t>
      </w:r>
      <w:r>
        <w:rPr>
          <w:rFonts w:cs="Calibri"/>
          <w:color w:val="auto"/>
          <w:kern w:val="0"/>
          <w:sz w:val="24"/>
          <w:szCs w:val="24"/>
        </w:rPr>
        <w:t xml:space="preserve">  </w:t>
      </w:r>
      <w:r>
        <w:rPr>
          <w:rFonts w:ascii="宋体" w:hAnsi="宋体" w:cs="Calibri"/>
          <w:color w:val="auto"/>
          <w:kern w:val="0"/>
          <w:sz w:val="24"/>
          <w:szCs w:val="24"/>
        </w:rPr>
        <w:t>月</w:t>
      </w:r>
      <w:r>
        <w:rPr>
          <w:rFonts w:cs="Calibri"/>
          <w:color w:val="auto"/>
          <w:kern w:val="0"/>
          <w:sz w:val="24"/>
          <w:szCs w:val="24"/>
        </w:rPr>
        <w:t xml:space="preserve">  </w:t>
      </w:r>
      <w:r>
        <w:rPr>
          <w:rFonts w:ascii="宋体" w:hAnsi="宋体" w:cs="Calibri"/>
          <w:color w:val="auto"/>
          <w:kern w:val="0"/>
          <w:sz w:val="24"/>
          <w:szCs w:val="24"/>
        </w:rPr>
        <w:t>日</w:t>
      </w:r>
    </w:p>
    <w:p>
      <w:pPr>
        <w:spacing w:line="320" w:lineRule="exact"/>
        <w:rPr>
          <w:rFonts w:cs="Calibri"/>
          <w:color w:val="auto"/>
          <w:szCs w:val="21"/>
        </w:rPr>
      </w:pPr>
      <w:r>
        <w:rPr>
          <w:rFonts w:cs="Calibri"/>
          <w:color w:val="auto"/>
          <w:szCs w:val="21"/>
        </w:rPr>
        <w:t xml:space="preserve"> </w:t>
      </w: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0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40001" w:csb1="00000000"/>
  </w:font>
  <w:font w:name="PMingLiU">
    <w:altName w:val="PMingLiU-ExtB"/>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17DAC"/>
    <w:multiLevelType w:val="multilevel"/>
    <w:tmpl w:val="0DA17DAC"/>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41F658D"/>
    <w:multiLevelType w:val="multilevel"/>
    <w:tmpl w:val="241F658D"/>
    <w:lvl w:ilvl="0" w:tentative="0">
      <w:start w:val="2"/>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A4432CA"/>
    <w:multiLevelType w:val="multilevel"/>
    <w:tmpl w:val="2A4432CA"/>
    <w:lvl w:ilvl="0" w:tentative="0">
      <w:start w:val="0"/>
      <w:numFmt w:val="decimal"/>
      <w:lvlText w:val="%1."/>
      <w:lvlJc w:val="left"/>
      <w:pPr>
        <w:tabs>
          <w:tab w:val="left" w:pos="720"/>
        </w:tabs>
        <w:ind w:left="720" w:hanging="360"/>
      </w:pPr>
    </w:lvl>
    <w:lvl w:ilvl="1" w:tentative="0">
      <w:start w:val="0"/>
      <w:numFmt w:val="decimal"/>
      <w:lvlText w:val="%2."/>
      <w:lvlJc w:val="left"/>
      <w:pPr>
        <w:tabs>
          <w:tab w:val="left" w:pos="1440"/>
        </w:tabs>
        <w:ind w:left="1440" w:hanging="360"/>
      </w:pPr>
    </w:lvl>
    <w:lvl w:ilvl="2" w:tentative="0">
      <w:start w:val="0"/>
      <w:numFmt w:val="decimal"/>
      <w:lvlText w:val="%3."/>
      <w:lvlJc w:val="left"/>
      <w:pPr>
        <w:tabs>
          <w:tab w:val="left" w:pos="2160"/>
        </w:tabs>
        <w:ind w:left="2160" w:hanging="360"/>
      </w:pPr>
    </w:lvl>
    <w:lvl w:ilvl="3" w:tentative="0">
      <w:start w:val="0"/>
      <w:numFmt w:val="decimal"/>
      <w:lvlText w:val="%4."/>
      <w:lvlJc w:val="left"/>
      <w:pPr>
        <w:tabs>
          <w:tab w:val="left" w:pos="2880"/>
        </w:tabs>
        <w:ind w:left="2880" w:hanging="360"/>
      </w:pPr>
    </w:lvl>
    <w:lvl w:ilvl="4" w:tentative="0">
      <w:start w:val="0"/>
      <w:numFmt w:val="decimal"/>
      <w:lvlText w:val="%5."/>
      <w:lvlJc w:val="left"/>
      <w:pPr>
        <w:tabs>
          <w:tab w:val="left" w:pos="3600"/>
        </w:tabs>
        <w:ind w:left="3600" w:hanging="360"/>
      </w:pPr>
    </w:lvl>
    <w:lvl w:ilvl="5" w:tentative="0">
      <w:start w:val="0"/>
      <w:numFmt w:val="decimal"/>
      <w:lvlText w:val="%6."/>
      <w:lvlJc w:val="left"/>
      <w:pPr>
        <w:tabs>
          <w:tab w:val="left" w:pos="4320"/>
        </w:tabs>
        <w:ind w:left="4320" w:hanging="360"/>
      </w:pPr>
    </w:lvl>
    <w:lvl w:ilvl="6" w:tentative="0">
      <w:start w:val="0"/>
      <w:numFmt w:val="decimal"/>
      <w:lvlText w:val="%7."/>
      <w:lvlJc w:val="left"/>
      <w:pPr>
        <w:tabs>
          <w:tab w:val="left" w:pos="5040"/>
        </w:tabs>
        <w:ind w:left="5040" w:hanging="360"/>
      </w:pPr>
    </w:lvl>
    <w:lvl w:ilvl="7" w:tentative="0">
      <w:start w:val="0"/>
      <w:numFmt w:val="decimal"/>
      <w:lvlText w:val="%8."/>
      <w:lvlJc w:val="left"/>
      <w:pPr>
        <w:tabs>
          <w:tab w:val="left" w:pos="5760"/>
        </w:tabs>
        <w:ind w:left="5760" w:hanging="360"/>
      </w:pPr>
    </w:lvl>
    <w:lvl w:ilvl="8" w:tentative="0">
      <w:start w:val="0"/>
      <w:numFmt w:val="decimal"/>
      <w:lvlText w:val="%9."/>
      <w:lvlJc w:val="left"/>
      <w:pPr>
        <w:tabs>
          <w:tab w:val="left" w:pos="6480"/>
        </w:tabs>
        <w:ind w:left="6480" w:hanging="360"/>
      </w:pPr>
    </w:lvl>
  </w:abstractNum>
  <w:abstractNum w:abstractNumId="3">
    <w:nsid w:val="56E856A4"/>
    <w:multiLevelType w:val="multilevel"/>
    <w:tmpl w:val="56E856A4"/>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7CC6390"/>
    <w:multiLevelType w:val="multilevel"/>
    <w:tmpl w:val="57CC6390"/>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60346D5"/>
    <w:multiLevelType w:val="multilevel"/>
    <w:tmpl w:val="660346D5"/>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F2"/>
    <w:rsid w:val="002709F2"/>
    <w:rsid w:val="00771294"/>
    <w:rsid w:val="03F36B18"/>
    <w:rsid w:val="06EF0AF3"/>
    <w:rsid w:val="1A405D6F"/>
    <w:rsid w:val="1E6D0E59"/>
    <w:rsid w:val="307117A1"/>
    <w:rsid w:val="41382B0D"/>
    <w:rsid w:val="47E44FB5"/>
    <w:rsid w:val="5E8F24BD"/>
    <w:rsid w:val="6A5D5AB5"/>
    <w:rsid w:val="725D6484"/>
    <w:rsid w:val="791D08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99" w:semiHidden="0"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semiHidden="0"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9"/>
    <w:qFormat/>
    <w:uiPriority w:val="99"/>
    <w:pPr>
      <w:keepNext/>
      <w:keepLines/>
      <w:spacing w:line="576" w:lineRule="auto"/>
      <w:outlineLvl w:val="0"/>
    </w:pPr>
    <w:rPr>
      <w:rFonts w:cs="Calibri"/>
      <w:b/>
      <w:sz w:val="44"/>
      <w:szCs w:val="44"/>
    </w:rPr>
  </w:style>
  <w:style w:type="paragraph" w:styleId="3">
    <w:name w:val="heading 2"/>
    <w:basedOn w:val="1"/>
    <w:next w:val="1"/>
    <w:link w:val="20"/>
    <w:qFormat/>
    <w:uiPriority w:val="99"/>
    <w:pPr>
      <w:keepNext/>
      <w:keepLines/>
      <w:spacing w:line="412" w:lineRule="auto"/>
      <w:outlineLvl w:val="1"/>
    </w:pPr>
    <w:rPr>
      <w:rFonts w:ascii="Arial" w:hAnsi="Arial" w:eastAsia="黑体" w:cs="Arial"/>
      <w:b/>
      <w:sz w:val="32"/>
      <w:szCs w:val="32"/>
    </w:rPr>
  </w:style>
  <w:style w:type="paragraph" w:styleId="4">
    <w:name w:val="heading 3"/>
    <w:basedOn w:val="1"/>
    <w:next w:val="1"/>
    <w:link w:val="21"/>
    <w:qFormat/>
    <w:uiPriority w:val="99"/>
    <w:pPr>
      <w:spacing w:line="360" w:lineRule="auto"/>
      <w:ind w:firstLine="422"/>
      <w:outlineLvl w:val="2"/>
    </w:pPr>
    <w:rPr>
      <w:rFonts w:cs="Calibri"/>
      <w:b/>
      <w:kern w:val="0"/>
      <w:szCs w:val="21"/>
    </w:rPr>
  </w:style>
  <w:style w:type="character" w:default="1" w:styleId="16">
    <w:name w:val="Default Paragraph Font"/>
    <w:unhideWhenUsed/>
    <w:uiPriority w:val="1"/>
  </w:style>
  <w:style w:type="table" w:default="1" w:styleId="15">
    <w:name w:val="Normal Table"/>
    <w:unhideWhenUsed/>
    <w:uiPriority w:val="99"/>
    <w:tblPr>
      <w:tblStyle w:val="15"/>
      <w:tblCellMar>
        <w:top w:w="0" w:type="dxa"/>
        <w:left w:w="108" w:type="dxa"/>
        <w:bottom w:w="0" w:type="dxa"/>
        <w:right w:w="108" w:type="dxa"/>
      </w:tblCellMar>
    </w:tblPr>
  </w:style>
  <w:style w:type="paragraph" w:styleId="5">
    <w:name w:val="Normal Indent"/>
    <w:basedOn w:val="1"/>
    <w:next w:val="6"/>
    <w:unhideWhenUsed/>
    <w:uiPriority w:val="99"/>
    <w:pPr>
      <w:ind w:firstLine="420"/>
    </w:pPr>
    <w:rPr>
      <w:rFonts w:cs="Calibri"/>
      <w:color w:val="000000"/>
      <w:szCs w:val="21"/>
    </w:rPr>
  </w:style>
  <w:style w:type="paragraph" w:styleId="6">
    <w:name w:val="Body Text Indent"/>
    <w:basedOn w:val="1"/>
    <w:next w:val="5"/>
    <w:link w:val="22"/>
    <w:unhideWhenUsed/>
    <w:uiPriority w:val="99"/>
    <w:pPr>
      <w:ind w:firstLine="420"/>
    </w:pPr>
    <w:rPr>
      <w:rFonts w:cs="Calibri"/>
      <w:szCs w:val="21"/>
    </w:rPr>
  </w:style>
  <w:style w:type="paragraph" w:styleId="7">
    <w:name w:val="Body Text"/>
    <w:basedOn w:val="1"/>
    <w:next w:val="8"/>
    <w:link w:val="23"/>
    <w:unhideWhenUsed/>
    <w:uiPriority w:val="99"/>
    <w:pPr>
      <w:jc w:val="center"/>
    </w:pPr>
    <w:rPr>
      <w:rFonts w:ascii="宋体" w:hAnsi="宋体" w:cs="宋体"/>
      <w:b/>
      <w:color w:val="000000"/>
      <w:sz w:val="72"/>
      <w:szCs w:val="72"/>
    </w:rPr>
  </w:style>
  <w:style w:type="paragraph" w:styleId="8">
    <w:name w:val="toc 4"/>
    <w:basedOn w:val="1"/>
    <w:next w:val="1"/>
    <w:unhideWhenUsed/>
    <w:uiPriority w:val="99"/>
    <w:pPr>
      <w:spacing w:before="100" w:beforeAutospacing="1" w:after="100" w:afterAutospacing="1"/>
      <w:ind w:left="1260"/>
    </w:pPr>
    <w:rPr>
      <w:rFonts w:cs="Calibri"/>
      <w:color w:val="000000"/>
      <w:szCs w:val="21"/>
    </w:rPr>
  </w:style>
  <w:style w:type="paragraph" w:styleId="9">
    <w:name w:val="Plain Text"/>
    <w:basedOn w:val="1"/>
    <w:next w:val="1"/>
    <w:link w:val="24"/>
    <w:unhideWhenUsed/>
    <w:uiPriority w:val="99"/>
    <w:pPr>
      <w:widowControl/>
      <w:jc w:val="left"/>
    </w:pPr>
    <w:rPr>
      <w:rFonts w:ascii="宋体" w:hAnsi="宋体" w:cs="宋体"/>
      <w:kern w:val="0"/>
      <w:szCs w:val="21"/>
    </w:rPr>
  </w:style>
  <w:style w:type="paragraph" w:styleId="10">
    <w:name w:val="Body Text Indent 2"/>
    <w:basedOn w:val="1"/>
    <w:link w:val="25"/>
    <w:unhideWhenUsed/>
    <w:uiPriority w:val="99"/>
    <w:pPr>
      <w:spacing w:line="360" w:lineRule="auto"/>
      <w:ind w:firstLine="480"/>
    </w:pPr>
    <w:rPr>
      <w:rFonts w:ascii="宋体" w:hAnsi="宋体" w:eastAsia="新宋体" w:cs="宋体"/>
      <w:sz w:val="24"/>
      <w:szCs w:val="24"/>
    </w:rPr>
  </w:style>
  <w:style w:type="paragraph" w:styleId="11">
    <w:name w:val="footer"/>
    <w:basedOn w:val="1"/>
    <w:link w:val="26"/>
    <w:unhideWhenUsed/>
    <w:uiPriority w:val="99"/>
    <w:pPr>
      <w:widowControl/>
      <w:jc w:val="left"/>
    </w:pPr>
    <w:rPr>
      <w:rFonts w:cs="Calibri"/>
      <w:kern w:val="0"/>
      <w:sz w:val="18"/>
      <w:szCs w:val="18"/>
    </w:rPr>
  </w:style>
  <w:style w:type="paragraph" w:styleId="12">
    <w:name w:val="header"/>
    <w:basedOn w:val="1"/>
    <w:link w:val="27"/>
    <w:unhideWhenUsed/>
    <w:uiPriority w:val="99"/>
    <w:pPr>
      <w:widowControl/>
      <w:pBdr>
        <w:bottom w:val="single" w:color="000000" w:sz="6" w:space="1"/>
      </w:pBdr>
      <w:jc w:val="center"/>
    </w:pPr>
    <w:rPr>
      <w:rFonts w:cs="Calibri"/>
      <w:kern w:val="0"/>
      <w:sz w:val="18"/>
      <w:szCs w:val="18"/>
    </w:rPr>
  </w:style>
  <w:style w:type="paragraph" w:styleId="13">
    <w:name w:val="Body Text 2"/>
    <w:basedOn w:val="1"/>
    <w:link w:val="28"/>
    <w:unhideWhenUsed/>
    <w:uiPriority w:val="99"/>
    <w:pPr>
      <w:spacing w:line="460" w:lineRule="exact"/>
    </w:pPr>
    <w:rPr>
      <w:rFonts w:ascii="宋体" w:hAnsi="宋体" w:cs="宋体"/>
      <w:sz w:val="24"/>
      <w:szCs w:val="24"/>
    </w:rPr>
  </w:style>
  <w:style w:type="paragraph" w:styleId="14">
    <w:name w:val="Normal (Web)"/>
    <w:basedOn w:val="1"/>
    <w:unhideWhenUsed/>
    <w:uiPriority w:val="99"/>
    <w:pPr>
      <w:widowControl/>
      <w:jc w:val="left"/>
    </w:pPr>
    <w:rPr>
      <w:rFonts w:ascii="宋体" w:hAnsi="宋体" w:cs="宋体"/>
      <w:color w:val="000000"/>
      <w:kern w:val="0"/>
      <w:sz w:val="24"/>
      <w:szCs w:val="24"/>
    </w:rPr>
  </w:style>
  <w:style w:type="character" w:styleId="17">
    <w:name w:val="FollowedHyperlink"/>
    <w:unhideWhenUsed/>
    <w:uiPriority w:val="99"/>
    <w:rPr>
      <w:color w:val="800080"/>
      <w:u w:val="single"/>
    </w:rPr>
  </w:style>
  <w:style w:type="character" w:styleId="18">
    <w:name w:val="Hyperlink"/>
    <w:unhideWhenUsed/>
    <w:uiPriority w:val="99"/>
    <w:rPr>
      <w:color w:val="0000FF"/>
      <w:u w:val="single"/>
    </w:rPr>
  </w:style>
  <w:style w:type="character" w:customStyle="1" w:styleId="19">
    <w:name w:val="标题 1 Char"/>
    <w:link w:val="2"/>
    <w:uiPriority w:val="99"/>
    <w:rPr>
      <w:rFonts w:cs="Calibri"/>
      <w:b/>
      <w:kern w:val="2"/>
      <w:sz w:val="44"/>
      <w:szCs w:val="44"/>
    </w:rPr>
  </w:style>
  <w:style w:type="character" w:customStyle="1" w:styleId="20">
    <w:name w:val="标题 2 Char"/>
    <w:link w:val="3"/>
    <w:uiPriority w:val="99"/>
    <w:rPr>
      <w:rFonts w:ascii="Arial" w:hAnsi="Arial" w:eastAsia="黑体" w:cs="Arial"/>
      <w:b/>
      <w:kern w:val="2"/>
      <w:sz w:val="32"/>
      <w:szCs w:val="32"/>
    </w:rPr>
  </w:style>
  <w:style w:type="character" w:customStyle="1" w:styleId="21">
    <w:name w:val="标题 3 Char"/>
    <w:link w:val="4"/>
    <w:uiPriority w:val="99"/>
    <w:rPr>
      <w:rFonts w:cs="Calibri"/>
      <w:b/>
      <w:sz w:val="21"/>
      <w:szCs w:val="21"/>
    </w:rPr>
  </w:style>
  <w:style w:type="character" w:customStyle="1" w:styleId="22">
    <w:name w:val="正文文本缩进 Char"/>
    <w:link w:val="6"/>
    <w:uiPriority w:val="99"/>
    <w:rPr>
      <w:rFonts w:cs="Calibri"/>
      <w:kern w:val="2"/>
      <w:sz w:val="21"/>
      <w:szCs w:val="21"/>
    </w:rPr>
  </w:style>
  <w:style w:type="character" w:customStyle="1" w:styleId="23">
    <w:name w:val="正文文本 Char"/>
    <w:link w:val="7"/>
    <w:uiPriority w:val="99"/>
    <w:rPr>
      <w:rFonts w:ascii="宋体" w:hAnsi="宋体" w:cs="宋体"/>
      <w:b/>
      <w:color w:val="000000"/>
      <w:kern w:val="2"/>
      <w:sz w:val="72"/>
      <w:szCs w:val="72"/>
    </w:rPr>
  </w:style>
  <w:style w:type="character" w:customStyle="1" w:styleId="24">
    <w:name w:val="纯文本 Char"/>
    <w:link w:val="9"/>
    <w:uiPriority w:val="99"/>
    <w:rPr>
      <w:rFonts w:ascii="宋体" w:hAnsi="宋体" w:cs="宋体"/>
      <w:sz w:val="21"/>
      <w:szCs w:val="21"/>
    </w:rPr>
  </w:style>
  <w:style w:type="character" w:customStyle="1" w:styleId="25">
    <w:name w:val="正文文本缩进 2 Char"/>
    <w:link w:val="10"/>
    <w:uiPriority w:val="99"/>
    <w:rPr>
      <w:rFonts w:ascii="宋体" w:hAnsi="宋体" w:eastAsia="新宋体" w:cs="宋体"/>
      <w:kern w:val="2"/>
      <w:sz w:val="24"/>
      <w:szCs w:val="24"/>
    </w:rPr>
  </w:style>
  <w:style w:type="character" w:customStyle="1" w:styleId="26">
    <w:name w:val="页脚 Char"/>
    <w:link w:val="11"/>
    <w:uiPriority w:val="99"/>
    <w:rPr>
      <w:rFonts w:cs="Calibri"/>
      <w:sz w:val="18"/>
      <w:szCs w:val="18"/>
    </w:rPr>
  </w:style>
  <w:style w:type="character" w:customStyle="1" w:styleId="27">
    <w:name w:val="页眉 Char"/>
    <w:link w:val="12"/>
    <w:uiPriority w:val="99"/>
    <w:rPr>
      <w:rFonts w:cs="Calibri"/>
      <w:sz w:val="18"/>
      <w:szCs w:val="18"/>
    </w:rPr>
  </w:style>
  <w:style w:type="character" w:customStyle="1" w:styleId="28">
    <w:name w:val="正文文本 2 Char"/>
    <w:link w:val="13"/>
    <w:uiPriority w:val="99"/>
    <w:rPr>
      <w:rFonts w:ascii="宋体" w:hAnsi="宋体" w:cs="宋体"/>
      <w:kern w:val="2"/>
      <w:sz w:val="24"/>
      <w:szCs w:val="24"/>
    </w:rPr>
  </w:style>
  <w:style w:type="paragraph" w:customStyle="1" w:styleId="29">
    <w:name w:val="Default"/>
    <w:basedOn w:val="1"/>
    <w:uiPriority w:val="0"/>
    <w:pPr>
      <w:autoSpaceDE w:val="0"/>
      <w:autoSpaceDN w:val="0"/>
      <w:adjustRightInd w:val="0"/>
      <w:jc w:val="left"/>
    </w:pPr>
    <w:rPr>
      <w:rFonts w:ascii="宋体" w:hAnsi="宋体" w:cs="宋体"/>
      <w:color w:val="000000"/>
      <w:kern w:val="0"/>
      <w:sz w:val="24"/>
      <w:szCs w:val="24"/>
    </w:rPr>
  </w:style>
  <w:style w:type="paragraph" w:customStyle="1" w:styleId="30">
    <w:name w:val="WPSOffice手动目录 1"/>
    <w:basedOn w:val="1"/>
    <w:uiPriority w:val="0"/>
    <w:pPr>
      <w:widowControl/>
      <w:jc w:val="left"/>
    </w:pPr>
    <w:rPr>
      <w:rFonts w:cs="Calibri"/>
      <w:kern w:val="0"/>
      <w:sz w:val="24"/>
      <w:szCs w:val="24"/>
    </w:rPr>
  </w:style>
  <w:style w:type="paragraph" w:customStyle="1" w:styleId="31">
    <w:name w:val="首行缩进"/>
    <w:basedOn w:val="1"/>
    <w:uiPriority w:val="0"/>
    <w:pPr>
      <w:spacing w:line="360" w:lineRule="auto"/>
      <w:ind w:firstLine="480" w:firstLineChars="200"/>
    </w:pPr>
    <w:rPr>
      <w:rFonts w:ascii="Times New Roman" w:hAnsi="Times New Roman"/>
      <w:color w:val="000000"/>
      <w:kern w:val="0"/>
      <w:sz w:val="24"/>
      <w:szCs w:val="24"/>
    </w:rPr>
  </w:style>
  <w:style w:type="paragraph" w:customStyle="1" w:styleId="32">
    <w:name w:val="4"/>
    <w:basedOn w:val="1"/>
    <w:next w:val="9"/>
    <w:uiPriority w:val="0"/>
    <w:pPr>
      <w:spacing w:line="520" w:lineRule="exact"/>
    </w:pPr>
    <w:rPr>
      <w:rFonts w:ascii="宋体" w:hAnsi="Courier New" w:cs="宋体"/>
      <w:szCs w:val="21"/>
    </w:rPr>
  </w:style>
  <w:style w:type="paragraph" w:customStyle="1" w:styleId="33">
    <w:name w:val="默认段落字体 Para Char Char Char Char Char Char Char Char Char1 Char Char Char Char"/>
    <w:basedOn w:val="1"/>
    <w:uiPriority w:val="0"/>
    <w:rPr>
      <w:rFonts w:ascii="Tahoma" w:hAnsi="Tahoma" w:cs="Tahoma"/>
      <w:color w:val="000000"/>
      <w:kern w:val="0"/>
      <w:sz w:val="24"/>
      <w:szCs w:val="24"/>
    </w:rPr>
  </w:style>
  <w:style w:type="paragraph" w:customStyle="1" w:styleId="34">
    <w:name w:val="Body text|1"/>
    <w:basedOn w:val="1"/>
    <w:uiPriority w:val="0"/>
    <w:pPr>
      <w:spacing w:line="372" w:lineRule="auto"/>
      <w:ind w:firstLine="400"/>
    </w:pPr>
    <w:rPr>
      <w:rFonts w:ascii="宋体" w:hAnsi="宋体" w:cs="宋体"/>
      <w:color w:val="000000"/>
      <w:kern w:val="0"/>
      <w:sz w:val="28"/>
      <w:szCs w:val="28"/>
    </w:rPr>
  </w:style>
  <w:style w:type="paragraph" w:customStyle="1" w:styleId="35">
    <w:name w:val="Body text|2"/>
    <w:basedOn w:val="1"/>
    <w:uiPriority w:val="0"/>
    <w:pPr>
      <w:spacing w:before="100" w:beforeAutospacing="1" w:after="120"/>
    </w:pPr>
    <w:rPr>
      <w:rFonts w:ascii="宋体" w:hAnsi="宋体" w:cs="宋体"/>
      <w:color w:val="000000"/>
      <w:kern w:val="0"/>
      <w:sz w:val="17"/>
      <w:szCs w:val="17"/>
    </w:rPr>
  </w:style>
  <w:style w:type="paragraph" w:customStyle="1" w:styleId="36">
    <w:name w:val="Body text|4"/>
    <w:basedOn w:val="1"/>
    <w:uiPriority w:val="0"/>
    <w:pPr>
      <w:ind w:hanging="2000"/>
    </w:pPr>
    <w:rPr>
      <w:rFonts w:cs="Calibri"/>
      <w:color w:val="000000"/>
      <w:kern w:val="0"/>
      <w:sz w:val="20"/>
      <w:szCs w:val="20"/>
      <w:u w:val="singl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numbering.xml" Type="http://schemas.openxmlformats.org/officeDocument/2006/relationships/numbering"/><Relationship Id="rId5"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义乌市人民政府</Company>
  <Pages>52</Pages>
  <Words>5429</Words>
  <Characters>30948</Characters>
  <Lines>257</Lines>
  <Paragraphs>72</Paragraphs>
  <TotalTime>0</TotalTime>
  <ScaleCrop>false</ScaleCrop>
  <LinksUpToDate>false</LinksUpToDate>
  <CharactersWithSpaces>36305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2021-04-20T06:34:00Z</dcterms:created>
  <dc:creator>陈枫</dc:creator>
  <cp:lastModifiedBy>WPS_1701756769</cp:lastModifiedBy>
  <cp:lastPrinted>2021-04-26T02:06:55Z</cp:lastPrinted>
  <dcterms:modified xsi:type="dcterms:W3CDTF">2024-02-23T01:26:15Z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0A2FA7C44C5342CD8C46D9ADFDF5C636_13</vt:lpwstr>
  </property>
</Properties>
</file>