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ascii="新宋体" w:hAnsi="新宋体" w:eastAsia="新宋体" w:cs="新宋体"/>
          <w:bCs/>
          <w:color w:val="auto"/>
          <w:sz w:val="72"/>
          <w:szCs w:val="72"/>
          <w:highlight w:val="none"/>
        </w:rPr>
      </w:pPr>
      <w:r>
        <w:rPr>
          <w:rFonts w:hint="eastAsia" w:ascii="新宋体" w:hAnsi="新宋体" w:eastAsia="新宋体" w:cs="新宋体"/>
          <w:b/>
          <w:bCs/>
          <w:color w:val="auto"/>
          <w:spacing w:val="120"/>
          <w:sz w:val="72"/>
          <w:szCs w:val="72"/>
          <w:highlight w:val="none"/>
        </w:rPr>
        <w:t xml:space="preserve"> 温州市政府分散采购</w:t>
      </w:r>
    </w:p>
    <w:p>
      <w:pPr>
        <w:spacing w:line="400" w:lineRule="atLeast"/>
        <w:jc w:val="center"/>
        <w:rPr>
          <w:rFonts w:ascii="新宋体" w:hAnsi="新宋体" w:eastAsia="新宋体" w:cs="新宋体"/>
          <w:b/>
          <w:color w:val="auto"/>
          <w:sz w:val="52"/>
          <w:highlight w:val="none"/>
        </w:rPr>
      </w:pPr>
    </w:p>
    <w:p>
      <w:pPr>
        <w:tabs>
          <w:tab w:val="left" w:pos="6660"/>
        </w:tabs>
        <w:spacing w:line="400" w:lineRule="atLeast"/>
        <w:jc w:val="center"/>
        <w:rPr>
          <w:rFonts w:ascii="新宋体" w:hAnsi="新宋体" w:eastAsia="新宋体" w:cs="新宋体"/>
          <w:b/>
          <w:color w:val="auto"/>
          <w:sz w:val="52"/>
          <w:highlight w:val="none"/>
        </w:rPr>
      </w:pPr>
      <w:r>
        <w:rPr>
          <w:rFonts w:hint="eastAsia" w:ascii="新宋体" w:hAnsi="新宋体" w:eastAsia="新宋体" w:cs="新宋体"/>
          <w:b/>
          <w:color w:val="auto"/>
          <w:sz w:val="52"/>
          <w:highlight w:val="none"/>
        </w:rPr>
        <w:drawing>
          <wp:inline distT="0" distB="0" distL="114300" distR="114300">
            <wp:extent cx="1753235" cy="1748155"/>
            <wp:effectExtent l="0" t="0" r="18415" b="444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7"/>
                    <a:stretch>
                      <a:fillRect/>
                    </a:stretch>
                  </pic:blipFill>
                  <pic:spPr>
                    <a:xfrm>
                      <a:off x="0" y="0"/>
                      <a:ext cx="1753235" cy="1748155"/>
                    </a:xfrm>
                    <a:prstGeom prst="rect">
                      <a:avLst/>
                    </a:prstGeom>
                    <a:noFill/>
                    <a:ln>
                      <a:noFill/>
                    </a:ln>
                  </pic:spPr>
                </pic:pic>
              </a:graphicData>
            </a:graphic>
          </wp:inline>
        </w:drawing>
      </w:r>
    </w:p>
    <w:p>
      <w:pPr>
        <w:spacing w:line="400" w:lineRule="atLeast"/>
        <w:jc w:val="center"/>
        <w:rPr>
          <w:rFonts w:ascii="新宋体" w:hAnsi="新宋体" w:eastAsia="新宋体" w:cs="新宋体"/>
          <w:b/>
          <w:color w:val="auto"/>
          <w:sz w:val="52"/>
          <w:highlight w:val="none"/>
        </w:rPr>
      </w:pPr>
    </w:p>
    <w:p>
      <w:pPr>
        <w:autoSpaceDE w:val="0"/>
        <w:autoSpaceDN w:val="0"/>
        <w:spacing w:line="500" w:lineRule="atLeast"/>
        <w:jc w:val="center"/>
        <w:textAlignment w:val="bottom"/>
        <w:rPr>
          <w:rFonts w:ascii="新宋体" w:hAnsi="新宋体" w:eastAsia="新宋体" w:cs="新宋体"/>
          <w:b/>
          <w:color w:val="auto"/>
          <w:sz w:val="72"/>
          <w:szCs w:val="72"/>
          <w:highlight w:val="none"/>
        </w:rPr>
      </w:pPr>
      <w:r>
        <w:rPr>
          <w:rFonts w:hint="eastAsia" w:ascii="新宋体" w:hAnsi="新宋体" w:eastAsia="新宋体" w:cs="新宋体"/>
          <w:b/>
          <w:bCs/>
          <w:color w:val="auto"/>
          <w:sz w:val="72"/>
          <w:szCs w:val="72"/>
          <w:highlight w:val="none"/>
        </w:rPr>
        <w:t>招 标 文 件</w:t>
      </w:r>
    </w:p>
    <w:p>
      <w:pPr>
        <w:spacing w:line="400" w:lineRule="atLeast"/>
        <w:jc w:val="center"/>
        <w:rPr>
          <w:rFonts w:ascii="新宋体" w:hAnsi="新宋体" w:eastAsia="新宋体" w:cs="新宋体"/>
          <w:b/>
          <w:color w:val="auto"/>
          <w:sz w:val="52"/>
          <w:highlight w:val="none"/>
        </w:rPr>
      </w:pPr>
    </w:p>
    <w:p>
      <w:pPr>
        <w:spacing w:line="400" w:lineRule="atLeast"/>
        <w:jc w:val="center"/>
        <w:rPr>
          <w:rFonts w:ascii="新宋体" w:hAnsi="新宋体" w:eastAsia="新宋体" w:cs="新宋体"/>
          <w:b/>
          <w:color w:val="auto"/>
          <w:sz w:val="52"/>
          <w:highlight w:val="none"/>
        </w:rPr>
      </w:pPr>
    </w:p>
    <w:p>
      <w:pPr>
        <w:tabs>
          <w:tab w:val="left" w:pos="4860"/>
        </w:tabs>
        <w:spacing w:line="600" w:lineRule="exact"/>
        <w:ind w:right="1143" w:firstLine="2157" w:firstLineChars="566"/>
        <w:jc w:val="left"/>
        <w:rPr>
          <w:rFonts w:ascii="新宋体" w:hAnsi="新宋体" w:eastAsia="新宋体" w:cs="新宋体"/>
          <w:b/>
          <w:color w:val="auto"/>
          <w:sz w:val="30"/>
          <w:szCs w:val="30"/>
          <w:highlight w:val="none"/>
        </w:rPr>
      </w:pPr>
      <w:r>
        <w:rPr>
          <w:rFonts w:hint="eastAsia" w:ascii="新宋体" w:hAnsi="新宋体" w:eastAsia="新宋体" w:cs="新宋体"/>
          <w:b/>
          <w:color w:val="auto"/>
          <w:spacing w:val="40"/>
          <w:sz w:val="30"/>
          <w:szCs w:val="30"/>
          <w:highlight w:val="none"/>
        </w:rPr>
        <w:t>招 标 编 号：</w:t>
      </w:r>
      <w:r>
        <w:rPr>
          <w:rFonts w:hint="eastAsia" w:ascii="新宋体" w:hAnsi="新宋体" w:eastAsia="新宋体" w:cs="新宋体"/>
          <w:b/>
          <w:color w:val="auto"/>
          <w:spacing w:val="40"/>
          <w:sz w:val="30"/>
          <w:szCs w:val="30"/>
          <w:highlight w:val="none"/>
          <w:lang w:eastAsia="zh-CN"/>
        </w:rPr>
        <w:t>CTZB-H2020122CWZ-11</w:t>
      </w:r>
      <w:r>
        <w:rPr>
          <w:rFonts w:hint="eastAsia" w:ascii="新宋体" w:hAnsi="新宋体" w:eastAsia="新宋体" w:cs="新宋体"/>
          <w:b/>
          <w:color w:val="auto"/>
          <w:spacing w:val="40"/>
          <w:sz w:val="30"/>
          <w:szCs w:val="30"/>
          <w:highlight w:val="none"/>
        </w:rPr>
        <w:t xml:space="preserve"> </w:t>
      </w:r>
    </w:p>
    <w:p>
      <w:pPr>
        <w:tabs>
          <w:tab w:val="left" w:pos="2340"/>
          <w:tab w:val="left" w:pos="4860"/>
        </w:tabs>
        <w:spacing w:line="600" w:lineRule="exact"/>
        <w:ind w:left="4789" w:leftChars="1019" w:right="1143" w:hanging="2649" w:hangingChars="695"/>
        <w:jc w:val="left"/>
        <w:rPr>
          <w:rFonts w:ascii="新宋体" w:hAnsi="新宋体" w:eastAsia="新宋体" w:cs="新宋体"/>
          <w:b/>
          <w:color w:val="auto"/>
          <w:sz w:val="30"/>
          <w:szCs w:val="30"/>
          <w:highlight w:val="none"/>
        </w:rPr>
      </w:pPr>
      <w:r>
        <w:rPr>
          <w:rFonts w:hint="eastAsia" w:ascii="新宋体" w:hAnsi="新宋体" w:eastAsia="新宋体" w:cs="新宋体"/>
          <w:b/>
          <w:color w:val="auto"/>
          <w:spacing w:val="40"/>
          <w:sz w:val="30"/>
          <w:szCs w:val="30"/>
          <w:highlight w:val="none"/>
        </w:rPr>
        <w:t>招 标 项 目：</w:t>
      </w:r>
      <w:r>
        <w:rPr>
          <w:rFonts w:hint="eastAsia" w:ascii="新宋体" w:hAnsi="新宋体" w:eastAsia="新宋体" w:cs="新宋体"/>
          <w:b/>
          <w:color w:val="auto"/>
          <w:sz w:val="30"/>
          <w:szCs w:val="30"/>
          <w:highlight w:val="none"/>
        </w:rPr>
        <w:t>血透水处理机采购</w:t>
      </w:r>
    </w:p>
    <w:p>
      <w:pPr>
        <w:tabs>
          <w:tab w:val="left" w:pos="4860"/>
        </w:tabs>
        <w:spacing w:line="600" w:lineRule="exact"/>
        <w:ind w:right="1143" w:firstLine="2157" w:firstLineChars="566"/>
        <w:jc w:val="left"/>
        <w:rPr>
          <w:rFonts w:ascii="新宋体" w:hAnsi="新宋体" w:eastAsia="新宋体" w:cs="新宋体"/>
          <w:b/>
          <w:color w:val="auto"/>
          <w:spacing w:val="40"/>
          <w:sz w:val="30"/>
          <w:szCs w:val="30"/>
          <w:highlight w:val="none"/>
        </w:rPr>
      </w:pPr>
      <w:r>
        <w:rPr>
          <w:rFonts w:hint="eastAsia" w:ascii="新宋体" w:hAnsi="新宋体" w:eastAsia="新宋体" w:cs="新宋体"/>
          <w:b/>
          <w:color w:val="auto"/>
          <w:spacing w:val="40"/>
          <w:sz w:val="30"/>
          <w:szCs w:val="30"/>
          <w:highlight w:val="none"/>
        </w:rPr>
        <w:t>招 标 方 式：公 开 招 标</w:t>
      </w:r>
    </w:p>
    <w:p>
      <w:pPr>
        <w:spacing w:line="400" w:lineRule="atLeast"/>
        <w:jc w:val="center"/>
        <w:rPr>
          <w:rFonts w:ascii="新宋体" w:hAnsi="新宋体" w:eastAsia="新宋体" w:cs="新宋体"/>
          <w:b/>
          <w:color w:val="auto"/>
          <w:sz w:val="52"/>
          <w:highlight w:val="none"/>
        </w:rPr>
      </w:pPr>
    </w:p>
    <w:p>
      <w:pPr>
        <w:spacing w:line="400" w:lineRule="atLeast"/>
        <w:jc w:val="center"/>
        <w:rPr>
          <w:rFonts w:ascii="新宋体" w:hAnsi="新宋体" w:eastAsia="新宋体" w:cs="新宋体"/>
          <w:b/>
          <w:color w:val="auto"/>
          <w:sz w:val="52"/>
          <w:highlight w:val="none"/>
        </w:rPr>
      </w:pPr>
    </w:p>
    <w:p>
      <w:pPr>
        <w:spacing w:line="600" w:lineRule="exact"/>
        <w:ind w:firstLine="2159" w:firstLineChars="717"/>
        <w:rPr>
          <w:rFonts w:ascii="新宋体" w:hAnsi="新宋体" w:eastAsia="新宋体" w:cs="新宋体"/>
          <w:b/>
          <w:color w:val="auto"/>
          <w:sz w:val="30"/>
          <w:szCs w:val="30"/>
          <w:highlight w:val="none"/>
        </w:rPr>
      </w:pPr>
    </w:p>
    <w:p>
      <w:pPr>
        <w:spacing w:line="600" w:lineRule="exact"/>
        <w:ind w:firstLine="2159" w:firstLineChars="717"/>
        <w:rPr>
          <w:rFonts w:ascii="新宋体" w:hAnsi="新宋体" w:eastAsia="新宋体" w:cs="新宋体"/>
          <w:b/>
          <w:color w:val="auto"/>
          <w:spacing w:val="12"/>
          <w:sz w:val="30"/>
          <w:szCs w:val="30"/>
          <w:highlight w:val="none"/>
        </w:rPr>
      </w:pPr>
      <w:r>
        <w:rPr>
          <w:rFonts w:hint="eastAsia" w:ascii="新宋体" w:hAnsi="新宋体" w:eastAsia="新宋体" w:cs="新宋体"/>
          <w:b/>
          <w:color w:val="auto"/>
          <w:sz w:val="30"/>
          <w:szCs w:val="30"/>
          <w:highlight w:val="none"/>
        </w:rPr>
        <w:t>采购人：</w:t>
      </w:r>
      <w:r>
        <w:rPr>
          <w:rFonts w:hint="eastAsia" w:ascii="新宋体" w:hAnsi="新宋体" w:eastAsia="新宋体" w:cs="新宋体"/>
          <w:b/>
          <w:color w:val="auto"/>
          <w:spacing w:val="12"/>
          <w:sz w:val="30"/>
          <w:szCs w:val="30"/>
          <w:highlight w:val="none"/>
        </w:rPr>
        <w:t>温州市瓯海区人民医院</w:t>
      </w:r>
    </w:p>
    <w:p>
      <w:pPr>
        <w:spacing w:line="600" w:lineRule="exact"/>
        <w:ind w:firstLine="2157" w:firstLineChars="566"/>
        <w:rPr>
          <w:rFonts w:ascii="新宋体" w:hAnsi="新宋体" w:eastAsia="新宋体" w:cs="新宋体"/>
          <w:b/>
          <w:color w:val="auto"/>
          <w:spacing w:val="40"/>
          <w:sz w:val="30"/>
          <w:szCs w:val="30"/>
          <w:highlight w:val="none"/>
        </w:rPr>
      </w:pPr>
      <w:r>
        <w:rPr>
          <w:rFonts w:hint="eastAsia" w:ascii="新宋体" w:hAnsi="新宋体" w:eastAsia="新宋体" w:cs="新宋体"/>
          <w:b/>
          <w:color w:val="auto"/>
          <w:spacing w:val="40"/>
          <w:sz w:val="30"/>
          <w:szCs w:val="30"/>
          <w:highlight w:val="none"/>
        </w:rPr>
        <w:t>采购代理机构</w:t>
      </w:r>
      <w:r>
        <w:rPr>
          <w:rFonts w:hint="eastAsia" w:ascii="新宋体" w:hAnsi="新宋体" w:eastAsia="新宋体" w:cs="新宋体"/>
          <w:b/>
          <w:color w:val="auto"/>
          <w:sz w:val="30"/>
          <w:szCs w:val="30"/>
          <w:highlight w:val="none"/>
        </w:rPr>
        <w:t>：</w:t>
      </w:r>
      <w:r>
        <w:rPr>
          <w:rFonts w:hint="eastAsia" w:ascii="新宋体" w:hAnsi="新宋体" w:eastAsia="新宋体" w:cs="新宋体"/>
          <w:b/>
          <w:color w:val="auto"/>
          <w:spacing w:val="12"/>
          <w:sz w:val="30"/>
          <w:szCs w:val="30"/>
          <w:highlight w:val="none"/>
        </w:rPr>
        <w:t>浙江省成套招标代理有限公司</w:t>
      </w:r>
    </w:p>
    <w:p>
      <w:pPr>
        <w:spacing w:line="600" w:lineRule="exact"/>
        <w:jc w:val="center"/>
        <w:rPr>
          <w:rFonts w:ascii="新宋体" w:hAnsi="新宋体" w:eastAsia="新宋体" w:cs="新宋体"/>
          <w:b/>
          <w:color w:val="auto"/>
          <w:spacing w:val="40"/>
          <w:sz w:val="30"/>
          <w:szCs w:val="30"/>
          <w:highlight w:val="none"/>
        </w:rPr>
      </w:pPr>
      <w:r>
        <w:rPr>
          <w:rFonts w:hint="eastAsia" w:ascii="新宋体" w:hAnsi="新宋体" w:eastAsia="新宋体" w:cs="新宋体"/>
          <w:b/>
          <w:color w:val="auto"/>
          <w:spacing w:val="40"/>
          <w:sz w:val="30"/>
          <w:szCs w:val="30"/>
          <w:highlight w:val="none"/>
        </w:rPr>
        <w:t>二〇二〇年</w:t>
      </w:r>
      <w:r>
        <w:rPr>
          <w:rFonts w:hint="eastAsia" w:ascii="新宋体" w:hAnsi="新宋体" w:eastAsia="新宋体" w:cs="新宋体"/>
          <w:b/>
          <w:color w:val="auto"/>
          <w:spacing w:val="40"/>
          <w:sz w:val="30"/>
          <w:szCs w:val="30"/>
          <w:highlight w:val="none"/>
          <w:lang w:eastAsia="zh-CN"/>
        </w:rPr>
        <w:t>一</w:t>
      </w:r>
      <w:r>
        <w:rPr>
          <w:rFonts w:hint="eastAsia" w:ascii="新宋体" w:hAnsi="新宋体" w:eastAsia="新宋体" w:cs="新宋体"/>
          <w:b/>
          <w:color w:val="auto"/>
          <w:spacing w:val="40"/>
          <w:sz w:val="30"/>
          <w:szCs w:val="30"/>
          <w:highlight w:val="none"/>
        </w:rPr>
        <w:t>月</w:t>
      </w:r>
    </w:p>
    <w:p>
      <w:pPr>
        <w:spacing w:line="600" w:lineRule="exact"/>
        <w:jc w:val="center"/>
        <w:rPr>
          <w:rFonts w:ascii="新宋体" w:hAnsi="新宋体" w:eastAsia="新宋体" w:cs="新宋体"/>
          <w:b/>
          <w:bCs/>
          <w:color w:val="auto"/>
          <w:sz w:val="32"/>
          <w:szCs w:val="32"/>
          <w:highlight w:val="none"/>
        </w:rPr>
      </w:pPr>
      <w:r>
        <w:rPr>
          <w:rFonts w:hint="eastAsia" w:ascii="新宋体" w:hAnsi="新宋体" w:eastAsia="新宋体" w:cs="新宋体"/>
          <w:color w:val="auto"/>
          <w:spacing w:val="40"/>
          <w:sz w:val="30"/>
          <w:szCs w:val="30"/>
          <w:highlight w:val="none"/>
        </w:rPr>
        <w:br w:type="page"/>
      </w:r>
      <w:r>
        <w:rPr>
          <w:rFonts w:hint="eastAsia" w:ascii="新宋体" w:hAnsi="新宋体" w:eastAsia="新宋体" w:cs="新宋体"/>
          <w:b/>
          <w:bCs/>
          <w:color w:val="auto"/>
          <w:sz w:val="32"/>
          <w:szCs w:val="32"/>
          <w:highlight w:val="none"/>
        </w:rPr>
        <w:t>目    录</w:t>
      </w:r>
    </w:p>
    <w:p>
      <w:pPr>
        <w:spacing w:line="600" w:lineRule="exact"/>
        <w:jc w:val="center"/>
        <w:rPr>
          <w:rFonts w:ascii="新宋体" w:hAnsi="新宋体" w:eastAsia="新宋体" w:cs="新宋体"/>
          <w:b/>
          <w:bCs/>
          <w:color w:val="auto"/>
          <w:sz w:val="32"/>
          <w:szCs w:val="32"/>
          <w:highlight w:val="none"/>
        </w:rPr>
      </w:pPr>
    </w:p>
    <w:p>
      <w:pPr>
        <w:pStyle w:val="39"/>
        <w:tabs>
          <w:tab w:val="right" w:leader="dot" w:pos="9638"/>
          <w:tab w:val="clear" w:pos="9628"/>
        </w:tabs>
        <w:rPr>
          <w:rFonts w:ascii="新宋体" w:hAnsi="新宋体" w:eastAsia="新宋体" w:cs="新宋体"/>
          <w:color w:val="auto"/>
          <w:highlight w:val="none"/>
        </w:rPr>
      </w:pPr>
      <w:r>
        <w:rPr>
          <w:rFonts w:hint="eastAsia" w:ascii="新宋体" w:hAnsi="新宋体" w:eastAsia="新宋体" w:cs="新宋体"/>
          <w:b/>
          <w:bCs w:val="0"/>
          <w:color w:val="auto"/>
          <w:highlight w:val="none"/>
        </w:rPr>
        <w:fldChar w:fldCharType="begin"/>
      </w:r>
      <w:r>
        <w:rPr>
          <w:rFonts w:hint="eastAsia" w:ascii="新宋体" w:hAnsi="新宋体" w:eastAsia="新宋体" w:cs="新宋体"/>
          <w:b/>
          <w:bCs w:val="0"/>
          <w:color w:val="auto"/>
          <w:highlight w:val="none"/>
        </w:rPr>
        <w:instrText xml:space="preserve"> TOC \o "1-3" \h \z \u </w:instrText>
      </w:r>
      <w:r>
        <w:rPr>
          <w:rFonts w:hint="eastAsia" w:ascii="新宋体" w:hAnsi="新宋体" w:eastAsia="新宋体" w:cs="新宋体"/>
          <w:b/>
          <w:bCs w:val="0"/>
          <w:color w:val="auto"/>
          <w:highlight w:val="none"/>
        </w:rPr>
        <w:fldChar w:fldCharType="separate"/>
      </w:r>
      <w:r>
        <w:rPr>
          <w:color w:val="auto"/>
          <w:highlight w:val="none"/>
        </w:rPr>
        <w:fldChar w:fldCharType="begin"/>
      </w:r>
      <w:r>
        <w:rPr>
          <w:color w:val="auto"/>
          <w:highlight w:val="none"/>
        </w:rPr>
        <w:instrText xml:space="preserve"> HYPERLINK \l "_Toc23968" </w:instrText>
      </w:r>
      <w:r>
        <w:rPr>
          <w:color w:val="auto"/>
          <w:highlight w:val="none"/>
        </w:rPr>
        <w:fldChar w:fldCharType="separate"/>
      </w:r>
      <w:r>
        <w:rPr>
          <w:rFonts w:hint="eastAsia" w:ascii="新宋体" w:hAnsi="新宋体" w:eastAsia="新宋体" w:cs="新宋体"/>
          <w:color w:val="auto"/>
          <w:szCs w:val="30"/>
          <w:highlight w:val="none"/>
        </w:rPr>
        <w:t>浙江省成套招标代理有限公司关于温州市瓯海区人民医院血透水处理机采购项目的公开招标公告</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_Toc23968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2</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"_Toc4634" </w:instrText>
      </w:r>
      <w:r>
        <w:rPr>
          <w:color w:val="auto"/>
          <w:highlight w:val="none"/>
        </w:rPr>
        <w:fldChar w:fldCharType="separate"/>
      </w:r>
      <w:r>
        <w:rPr>
          <w:rFonts w:hint="eastAsia" w:ascii="新宋体" w:hAnsi="新宋体" w:eastAsia="新宋体" w:cs="新宋体"/>
          <w:color w:val="auto"/>
          <w:szCs w:val="36"/>
          <w:highlight w:val="none"/>
        </w:rPr>
        <w:t>投标人须知前附表</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_Toc4634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5</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"_Toc29679" </w:instrText>
      </w:r>
      <w:r>
        <w:rPr>
          <w:color w:val="auto"/>
          <w:highlight w:val="none"/>
        </w:rPr>
        <w:fldChar w:fldCharType="separate"/>
      </w:r>
      <w:r>
        <w:rPr>
          <w:rFonts w:hint="eastAsia" w:ascii="新宋体" w:hAnsi="新宋体" w:eastAsia="新宋体" w:cs="新宋体"/>
          <w:color w:val="auto"/>
          <w:szCs w:val="36"/>
          <w:highlight w:val="none"/>
        </w:rPr>
        <w:t>第一部分    投标人须知</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_Toc29679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8</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"_Toc2647" </w:instrText>
      </w:r>
      <w:r>
        <w:rPr>
          <w:color w:val="auto"/>
          <w:highlight w:val="none"/>
        </w:rPr>
        <w:fldChar w:fldCharType="separate"/>
      </w:r>
      <w:r>
        <w:rPr>
          <w:rFonts w:hint="eastAsia" w:ascii="新宋体" w:hAnsi="新宋体" w:eastAsia="新宋体" w:cs="新宋体"/>
          <w:color w:val="auto"/>
          <w:szCs w:val="26"/>
          <w:highlight w:val="none"/>
        </w:rPr>
        <w:t>一、  说明</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_Toc2647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8</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"_Toc9816" </w:instrText>
      </w:r>
      <w:r>
        <w:rPr>
          <w:color w:val="auto"/>
          <w:highlight w:val="none"/>
        </w:rPr>
        <w:fldChar w:fldCharType="separate"/>
      </w:r>
      <w:r>
        <w:rPr>
          <w:rFonts w:hint="eastAsia" w:ascii="新宋体" w:hAnsi="新宋体" w:eastAsia="新宋体" w:cs="新宋体"/>
          <w:color w:val="auto"/>
          <w:szCs w:val="26"/>
          <w:highlight w:val="none"/>
        </w:rPr>
        <w:t>二、 招标文件</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_Toc9816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8</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"_Toc15323" </w:instrText>
      </w:r>
      <w:r>
        <w:rPr>
          <w:color w:val="auto"/>
          <w:highlight w:val="none"/>
        </w:rPr>
        <w:fldChar w:fldCharType="separate"/>
      </w:r>
      <w:r>
        <w:rPr>
          <w:rFonts w:hint="eastAsia" w:ascii="新宋体" w:hAnsi="新宋体" w:eastAsia="新宋体" w:cs="新宋体"/>
          <w:color w:val="auto"/>
          <w:szCs w:val="26"/>
          <w:highlight w:val="none"/>
        </w:rPr>
        <w:t>三、 投标文件的编制</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_Toc15323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9</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"_Toc26923" </w:instrText>
      </w:r>
      <w:r>
        <w:rPr>
          <w:color w:val="auto"/>
          <w:highlight w:val="none"/>
        </w:rPr>
        <w:fldChar w:fldCharType="separate"/>
      </w:r>
      <w:r>
        <w:rPr>
          <w:rFonts w:hint="eastAsia" w:ascii="新宋体" w:hAnsi="新宋体" w:eastAsia="新宋体" w:cs="新宋体"/>
          <w:color w:val="auto"/>
          <w:szCs w:val="26"/>
          <w:highlight w:val="none"/>
        </w:rPr>
        <w:t>四、 投标文件的递交</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_Toc26923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13</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"_Toc12289" </w:instrText>
      </w:r>
      <w:r>
        <w:rPr>
          <w:color w:val="auto"/>
          <w:highlight w:val="none"/>
        </w:rPr>
        <w:fldChar w:fldCharType="separate"/>
      </w:r>
      <w:r>
        <w:rPr>
          <w:rFonts w:hint="eastAsia" w:ascii="新宋体" w:hAnsi="新宋体" w:eastAsia="新宋体" w:cs="新宋体"/>
          <w:color w:val="auto"/>
          <w:szCs w:val="26"/>
          <w:highlight w:val="none"/>
        </w:rPr>
        <w:t>五、 开标和评标</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_Toc12289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14</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"_Toc4524" </w:instrText>
      </w:r>
      <w:r>
        <w:rPr>
          <w:color w:val="auto"/>
          <w:highlight w:val="none"/>
        </w:rPr>
        <w:fldChar w:fldCharType="separate"/>
      </w:r>
      <w:r>
        <w:rPr>
          <w:rFonts w:hint="eastAsia" w:ascii="新宋体" w:hAnsi="新宋体" w:eastAsia="新宋体" w:cs="新宋体"/>
          <w:color w:val="auto"/>
          <w:szCs w:val="26"/>
          <w:highlight w:val="none"/>
        </w:rPr>
        <w:t>六、 授予合同</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_Toc4524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17</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"_Toc10195" </w:instrText>
      </w:r>
      <w:r>
        <w:rPr>
          <w:color w:val="auto"/>
          <w:highlight w:val="none"/>
        </w:rPr>
        <w:fldChar w:fldCharType="separate"/>
      </w:r>
      <w:r>
        <w:rPr>
          <w:rFonts w:hint="eastAsia" w:ascii="新宋体" w:hAnsi="新宋体" w:eastAsia="新宋体" w:cs="新宋体"/>
          <w:color w:val="auto"/>
          <w:szCs w:val="36"/>
          <w:highlight w:val="none"/>
        </w:rPr>
        <w:t>第二部分   政府采购政策功能相关说明</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_Toc10195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19</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"_Toc4758" </w:instrText>
      </w:r>
      <w:r>
        <w:rPr>
          <w:color w:val="auto"/>
          <w:highlight w:val="none"/>
        </w:rPr>
        <w:fldChar w:fldCharType="separate"/>
      </w:r>
      <w:r>
        <w:rPr>
          <w:rFonts w:hint="eastAsia" w:ascii="新宋体" w:hAnsi="新宋体" w:eastAsia="新宋体" w:cs="新宋体"/>
          <w:color w:val="auto"/>
          <w:szCs w:val="36"/>
          <w:highlight w:val="none"/>
        </w:rPr>
        <w:t>第三部分   合同格式</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_Toc4758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24</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"_Toc28309" </w:instrText>
      </w:r>
      <w:r>
        <w:rPr>
          <w:color w:val="auto"/>
          <w:highlight w:val="none"/>
        </w:rPr>
        <w:fldChar w:fldCharType="separate"/>
      </w:r>
      <w:r>
        <w:rPr>
          <w:rFonts w:hint="eastAsia" w:ascii="新宋体" w:hAnsi="新宋体" w:eastAsia="新宋体" w:cs="新宋体"/>
          <w:color w:val="auto"/>
          <w:szCs w:val="32"/>
          <w:highlight w:val="none"/>
        </w:rPr>
        <w:t>(2)合同特殊条款</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_Toc28309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29</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"_Toc23027" </w:instrText>
      </w:r>
      <w:r>
        <w:rPr>
          <w:color w:val="auto"/>
          <w:highlight w:val="none"/>
        </w:rPr>
        <w:fldChar w:fldCharType="separate"/>
      </w:r>
      <w:r>
        <w:rPr>
          <w:rFonts w:hint="eastAsia" w:ascii="新宋体" w:hAnsi="新宋体" w:eastAsia="新宋体" w:cs="新宋体"/>
          <w:color w:val="auto"/>
          <w:szCs w:val="36"/>
          <w:highlight w:val="none"/>
        </w:rPr>
        <w:t>第四部分   附件</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_Toc23027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29</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"_Toc23865" </w:instrText>
      </w:r>
      <w:r>
        <w:rPr>
          <w:color w:val="auto"/>
          <w:highlight w:val="none"/>
        </w:rPr>
        <w:fldChar w:fldCharType="separate"/>
      </w:r>
      <w:r>
        <w:rPr>
          <w:rFonts w:hint="eastAsia" w:ascii="新宋体" w:hAnsi="新宋体" w:eastAsia="新宋体" w:cs="新宋体"/>
          <w:color w:val="auto"/>
          <w:highlight w:val="none"/>
        </w:rPr>
        <w:t>第五部分   招标内容及要求</w:t>
      </w:r>
      <w:r>
        <w:rPr>
          <w:rFonts w:hint="eastAsia" w:ascii="新宋体" w:hAnsi="新宋体" w:eastAsia="新宋体" w:cs="新宋体"/>
          <w:color w:val="auto"/>
          <w:highlight w:val="none"/>
        </w:rPr>
        <w:tab/>
      </w:r>
      <w:bookmarkStart w:id="147" w:name="_GoBack"/>
      <w:bookmarkEnd w:id="147"/>
      <w:r>
        <w:rPr>
          <w:rFonts w:hint="eastAsia" w:ascii="新宋体" w:hAnsi="新宋体" w:eastAsia="新宋体" w:cs="新宋体"/>
          <w:color w:val="auto"/>
          <w:highlight w:val="none"/>
        </w:rPr>
        <w:t>4</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t>6</w:t>
      </w:r>
    </w:p>
    <w:p>
      <w:pPr>
        <w:pStyle w:val="39"/>
        <w:tabs>
          <w:tab w:val="right" w:leader="dot" w:pos="9638"/>
          <w:tab w:val="clear" w:pos="9628"/>
        </w:tabs>
        <w:rPr>
          <w:rFonts w:ascii="新宋体" w:hAnsi="新宋体" w:eastAsia="新宋体" w:cs="新宋体"/>
          <w:color w:val="auto"/>
          <w:highlight w:val="none"/>
        </w:rPr>
      </w:pPr>
      <w:r>
        <w:rPr>
          <w:color w:val="auto"/>
          <w:highlight w:val="none"/>
        </w:rPr>
        <w:fldChar w:fldCharType="begin"/>
      </w:r>
      <w:r>
        <w:rPr>
          <w:color w:val="auto"/>
          <w:highlight w:val="none"/>
        </w:rPr>
        <w:instrText xml:space="preserve"> HYPERLINK \l "_Toc17731" </w:instrText>
      </w:r>
      <w:r>
        <w:rPr>
          <w:color w:val="auto"/>
          <w:highlight w:val="none"/>
        </w:rPr>
        <w:fldChar w:fldCharType="separate"/>
      </w:r>
      <w:r>
        <w:rPr>
          <w:rFonts w:hint="eastAsia" w:ascii="新宋体" w:hAnsi="新宋体" w:eastAsia="新宋体" w:cs="新宋体"/>
          <w:color w:val="auto"/>
          <w:szCs w:val="36"/>
          <w:highlight w:val="none"/>
        </w:rPr>
        <w:t>第六部分   评标原则及方法</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_Toc17731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47</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spacing w:line="480" w:lineRule="auto"/>
        <w:rPr>
          <w:rFonts w:ascii="新宋体" w:hAnsi="新宋体" w:eastAsia="新宋体" w:cs="新宋体"/>
          <w:b/>
          <w:bCs/>
          <w:color w:val="auto"/>
          <w:sz w:val="22"/>
          <w:szCs w:val="22"/>
          <w:highlight w:val="none"/>
        </w:rPr>
      </w:pPr>
      <w:r>
        <w:rPr>
          <w:rFonts w:hint="eastAsia" w:ascii="新宋体" w:hAnsi="新宋体" w:eastAsia="新宋体" w:cs="新宋体"/>
          <w:bCs/>
          <w:color w:val="auto"/>
          <w:highlight w:val="none"/>
        </w:rPr>
        <w:fldChar w:fldCharType="end"/>
      </w:r>
      <w:r>
        <w:rPr>
          <w:rFonts w:hint="eastAsia" w:ascii="新宋体" w:hAnsi="新宋体" w:eastAsia="新宋体" w:cs="新宋体"/>
          <w:b/>
          <w:bCs/>
          <w:color w:val="auto"/>
          <w:sz w:val="22"/>
          <w:szCs w:val="22"/>
          <w:highlight w:val="none"/>
        </w:rPr>
        <w:t>注：招标文件中加“▲”且加下划线的条款，为招标的实质性要求和条件，着重提醒各投标人注意，并认真查看招标文件中的每一个条款及要求，因误读招标文件而造成的后果，采购人概不负责。</w:t>
      </w:r>
    </w:p>
    <w:p>
      <w:pPr>
        <w:spacing w:line="360" w:lineRule="exact"/>
        <w:ind w:left="538" w:leftChars="256"/>
        <w:jc w:val="right"/>
        <w:rPr>
          <w:rFonts w:ascii="新宋体" w:hAnsi="新宋体" w:eastAsia="新宋体" w:cs="新宋体"/>
          <w:b/>
          <w:bCs/>
          <w:color w:val="auto"/>
          <w:sz w:val="22"/>
          <w:szCs w:val="22"/>
          <w:highlight w:val="none"/>
        </w:rPr>
      </w:pPr>
    </w:p>
    <w:p>
      <w:pPr>
        <w:spacing w:line="380" w:lineRule="exact"/>
        <w:ind w:left="538" w:leftChars="256"/>
        <w:rPr>
          <w:rFonts w:ascii="新宋体" w:hAnsi="新宋体" w:eastAsia="新宋体" w:cs="新宋体"/>
          <w:color w:val="auto"/>
          <w:sz w:val="22"/>
          <w:szCs w:val="22"/>
          <w:highlight w:val="none"/>
        </w:rPr>
      </w:pPr>
    </w:p>
    <w:p>
      <w:pPr>
        <w:spacing w:line="380" w:lineRule="exact"/>
        <w:ind w:left="538" w:leftChars="256"/>
        <w:rPr>
          <w:rFonts w:ascii="新宋体" w:hAnsi="新宋体" w:eastAsia="新宋体" w:cs="新宋体"/>
          <w:color w:val="auto"/>
          <w:sz w:val="22"/>
          <w:szCs w:val="22"/>
          <w:highlight w:val="none"/>
        </w:rPr>
      </w:pPr>
    </w:p>
    <w:p>
      <w:pPr>
        <w:pStyle w:val="4"/>
        <w:spacing w:before="120" w:after="120" w:line="360" w:lineRule="auto"/>
        <w:ind w:right="-1"/>
        <w:rPr>
          <w:rFonts w:ascii="新宋体" w:hAnsi="新宋体" w:eastAsia="新宋体" w:cs="新宋体"/>
          <w:color w:val="auto"/>
          <w:sz w:val="30"/>
          <w:szCs w:val="30"/>
          <w:highlight w:val="none"/>
        </w:rPr>
      </w:pPr>
      <w:r>
        <w:rPr>
          <w:rFonts w:hint="eastAsia" w:ascii="新宋体" w:hAnsi="新宋体" w:eastAsia="新宋体" w:cs="新宋体"/>
          <w:color w:val="auto"/>
          <w:sz w:val="22"/>
          <w:szCs w:val="22"/>
          <w:highlight w:val="none"/>
        </w:rPr>
        <w:br w:type="page"/>
      </w:r>
      <w:bookmarkStart w:id="0" w:name="_Toc462130148"/>
      <w:bookmarkStart w:id="1" w:name="_Toc23968"/>
      <w:bookmarkStart w:id="2" w:name="_Toc30181"/>
      <w:bookmarkStart w:id="3" w:name="_Toc15028"/>
      <w:bookmarkStart w:id="4" w:name="_Toc434310670"/>
      <w:r>
        <w:rPr>
          <w:rFonts w:hint="eastAsia" w:ascii="新宋体" w:hAnsi="新宋体" w:eastAsia="新宋体" w:cs="新宋体"/>
          <w:color w:val="auto"/>
          <w:sz w:val="30"/>
          <w:szCs w:val="30"/>
          <w:highlight w:val="none"/>
        </w:rPr>
        <w:t>浙江省成套招标代理有限公司关于血透水处理机采购项目的</w:t>
      </w:r>
    </w:p>
    <w:p>
      <w:pPr>
        <w:pStyle w:val="4"/>
        <w:spacing w:before="120" w:after="120" w:line="360" w:lineRule="auto"/>
        <w:ind w:right="-1"/>
        <w:rPr>
          <w:rFonts w:ascii="新宋体" w:hAnsi="新宋体" w:eastAsia="新宋体" w:cs="新宋体"/>
          <w:b w:val="0"/>
          <w:bCs w:val="0"/>
          <w:color w:val="auto"/>
          <w:spacing w:val="12"/>
          <w:sz w:val="32"/>
          <w:szCs w:val="32"/>
          <w:highlight w:val="none"/>
        </w:rPr>
      </w:pPr>
      <w:r>
        <w:rPr>
          <w:rFonts w:hint="eastAsia" w:ascii="新宋体" w:hAnsi="新宋体" w:eastAsia="新宋体" w:cs="新宋体"/>
          <w:color w:val="auto"/>
          <w:sz w:val="30"/>
          <w:szCs w:val="30"/>
          <w:highlight w:val="none"/>
        </w:rPr>
        <w:t>公开招标公告</w:t>
      </w:r>
      <w:bookmarkEnd w:id="0"/>
      <w:bookmarkEnd w:id="1"/>
      <w:bookmarkEnd w:id="2"/>
      <w:bookmarkEnd w:id="3"/>
      <w:bookmarkEnd w:id="4"/>
    </w:p>
    <w:p>
      <w:pPr>
        <w:widowControl/>
        <w:spacing w:line="360" w:lineRule="auto"/>
        <w:ind w:left="61" w:leftChars="29" w:right="60"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中华人民共和国政府采购法》等有关规定，经政府采购管理部门批准，浙江省成套招标代理有限公司受温州市瓯海区人民医院委托，就血透水处理机采购项目以公开招标方式进行政府采购，欢迎国内合格的投标人前来投标。</w:t>
      </w:r>
    </w:p>
    <w:p>
      <w:pPr>
        <w:widowControl/>
        <w:spacing w:line="360" w:lineRule="auto"/>
        <w:ind w:right="60"/>
        <w:jc w:val="left"/>
        <w:rPr>
          <w:rFonts w:hint="eastAsia" w:ascii="新宋体" w:hAnsi="新宋体" w:eastAsia="新宋体" w:cs="新宋体"/>
          <w:bCs/>
          <w:color w:val="auto"/>
          <w:kern w:val="0"/>
          <w:sz w:val="22"/>
          <w:szCs w:val="22"/>
          <w:highlight w:val="none"/>
          <w:lang w:eastAsia="zh-CN"/>
        </w:rPr>
      </w:pPr>
      <w:r>
        <w:rPr>
          <w:rFonts w:hint="eastAsia" w:ascii="新宋体" w:hAnsi="新宋体" w:eastAsia="新宋体" w:cs="新宋体"/>
          <w:bCs/>
          <w:color w:val="auto"/>
          <w:kern w:val="0"/>
          <w:sz w:val="22"/>
          <w:szCs w:val="22"/>
          <w:highlight w:val="none"/>
        </w:rPr>
        <w:t>一、招标编号:</w:t>
      </w:r>
      <w:r>
        <w:rPr>
          <w:rFonts w:hint="eastAsia" w:ascii="新宋体" w:hAnsi="新宋体" w:eastAsia="新宋体" w:cs="新宋体"/>
          <w:bCs/>
          <w:color w:val="auto"/>
          <w:kern w:val="0"/>
          <w:sz w:val="22"/>
          <w:szCs w:val="22"/>
          <w:highlight w:val="none"/>
          <w:lang w:eastAsia="zh-CN"/>
        </w:rPr>
        <w:t>CTZB-H2020122CWZ-11</w:t>
      </w:r>
    </w:p>
    <w:p>
      <w:pPr>
        <w:widowControl/>
        <w:spacing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二、采购组织类型：</w:t>
      </w:r>
      <w:bookmarkStart w:id="5" w:name="B09_采购组织类型"/>
      <w:r>
        <w:rPr>
          <w:rFonts w:hint="eastAsia" w:ascii="新宋体" w:hAnsi="新宋体" w:eastAsia="新宋体" w:cs="新宋体"/>
          <w:bCs/>
          <w:color w:val="auto"/>
          <w:kern w:val="0"/>
          <w:sz w:val="22"/>
          <w:szCs w:val="22"/>
          <w:highlight w:val="none"/>
        </w:rPr>
        <w:t>分散采购委托代理</w:t>
      </w:r>
      <w:bookmarkEnd w:id="5"/>
    </w:p>
    <w:p>
      <w:pPr>
        <w:widowControl/>
        <w:spacing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三、招标项目概况（内容、用途、数量、简要技术要求等）：</w:t>
      </w:r>
    </w:p>
    <w:tbl>
      <w:tblPr>
        <w:tblStyle w:val="64"/>
        <w:tblW w:w="9586"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1604"/>
        <w:gridCol w:w="615"/>
        <w:gridCol w:w="663"/>
        <w:gridCol w:w="991"/>
        <w:gridCol w:w="4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4"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序号</w:t>
            </w:r>
          </w:p>
        </w:tc>
        <w:tc>
          <w:tcPr>
            <w:tcW w:w="1604"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标项内容</w:t>
            </w:r>
          </w:p>
        </w:tc>
        <w:tc>
          <w:tcPr>
            <w:tcW w:w="615"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数量</w:t>
            </w:r>
          </w:p>
        </w:tc>
        <w:tc>
          <w:tcPr>
            <w:tcW w:w="663"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单位</w:t>
            </w:r>
          </w:p>
        </w:tc>
        <w:tc>
          <w:tcPr>
            <w:tcW w:w="991"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预算金额</w:t>
            </w:r>
          </w:p>
        </w:tc>
        <w:tc>
          <w:tcPr>
            <w:tcW w:w="4969" w:type="dxa"/>
            <w:tcBorders>
              <w:tl2br w:val="nil"/>
              <w:tr2bl w:val="nil"/>
            </w:tcBorders>
            <w:tcMar>
              <w:top w:w="0" w:type="dxa"/>
              <w:left w:w="108" w:type="dxa"/>
              <w:bottom w:w="0" w:type="dxa"/>
              <w:right w:w="108" w:type="dxa"/>
            </w:tcMar>
            <w:vAlign w:val="center"/>
          </w:tcPr>
          <w:p>
            <w:pPr>
              <w:widowControl/>
              <w:spacing w:line="360" w:lineRule="auto"/>
              <w:ind w:left="60" w:right="60"/>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简要技术要求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4"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w:t>
            </w:r>
          </w:p>
        </w:tc>
        <w:tc>
          <w:tcPr>
            <w:tcW w:w="1604"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血透水处理机</w:t>
            </w:r>
          </w:p>
        </w:tc>
        <w:tc>
          <w:tcPr>
            <w:tcW w:w="615"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663"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 套 </w:t>
            </w:r>
          </w:p>
        </w:tc>
        <w:tc>
          <w:tcPr>
            <w:tcW w:w="991" w:type="dxa"/>
            <w:tcBorders>
              <w:tl2br w:val="nil"/>
              <w:tr2bl w:val="nil"/>
            </w:tcBorders>
            <w:tcMar>
              <w:top w:w="0" w:type="dxa"/>
              <w:left w:w="108" w:type="dxa"/>
              <w:bottom w:w="0" w:type="dxa"/>
              <w:right w:w="108" w:type="dxa"/>
            </w:tcMar>
            <w:vAlign w:val="center"/>
          </w:tcPr>
          <w:p>
            <w:pPr>
              <w:widowControl/>
              <w:spacing w:line="360" w:lineRule="auto"/>
              <w:jc w:val="center"/>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68万元</w:t>
            </w:r>
          </w:p>
        </w:tc>
        <w:tc>
          <w:tcPr>
            <w:tcW w:w="4969" w:type="dxa"/>
            <w:tcBorders>
              <w:tl2br w:val="nil"/>
              <w:tr2bl w:val="nil"/>
            </w:tcBorders>
            <w:tcMar>
              <w:top w:w="0" w:type="dxa"/>
              <w:left w:w="108" w:type="dxa"/>
              <w:bottom w:w="0" w:type="dxa"/>
              <w:right w:w="108" w:type="dxa"/>
            </w:tcMar>
            <w:vAlign w:val="center"/>
          </w:tcPr>
          <w:p>
            <w:pPr>
              <w:pStyle w:val="2"/>
              <w:ind w:firstLine="0" w:firstLineChars="0"/>
              <w:jc w:val="center"/>
              <w:rPr>
                <w:rFonts w:ascii="新宋体" w:hAnsi="新宋体" w:eastAsia="新宋体" w:cs="新宋体"/>
                <w:color w:val="auto"/>
                <w:highlight w:val="none"/>
              </w:rPr>
            </w:pPr>
            <w:r>
              <w:rPr>
                <w:rFonts w:hint="eastAsia" w:ascii="新宋体" w:hAnsi="新宋体" w:eastAsia="新宋体" w:cs="新宋体"/>
                <w:color w:val="auto"/>
                <w:sz w:val="22"/>
                <w:szCs w:val="22"/>
                <w:highlight w:val="none"/>
              </w:rPr>
              <w:t>医院供水经处理后符合AAMI、ASAID标准、国家YY0572-2015血液透析用水标准,详见招标文件第五部分内容。</w:t>
            </w:r>
          </w:p>
        </w:tc>
      </w:tr>
    </w:tbl>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四、投标人资格要求：</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1、基本条件：符合《中华人民共和国政府采购法》第二十二条的规定：</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1）具有独立承担民事责任的能力；</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2）具有良好的商业信誉和健全的财务会计制度；</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3）具有履行合同所必需的设备和专业技术能力；</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4）有依法缴纳税收和社会保障资金的良好记录；</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5）参加政府采购活动前三年内，在经营活动中没有重大违法记录；</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2、供应商未被列入失信被执行人名单、重大税收违法案件当事人名单、政府采购严重违法失信行为记录名单，信用信息以信用中国网站（www.creditchina.gov.cn）、中国政府采购网（www.ccgp.gov.cn）公布为准；</w:t>
      </w:r>
    </w:p>
    <w:p>
      <w:pPr>
        <w:widowControl/>
        <w:spacing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3、单位负责人为同一人或者存在直接控股、管理关系的不同供应商，不得参加同一合同项下的政府采购活动；</w:t>
      </w:r>
    </w:p>
    <w:p>
      <w:pPr>
        <w:widowControl/>
        <w:spacing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4、特定资格条件: </w:t>
      </w:r>
    </w:p>
    <w:p>
      <w:pPr>
        <w:widowControl/>
        <w:spacing w:line="360" w:lineRule="auto"/>
        <w:ind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1）投标人须具有有效的医疗器械经营许可证（如适用）；</w:t>
      </w:r>
    </w:p>
    <w:p>
      <w:pPr>
        <w:widowControl/>
        <w:spacing w:line="360" w:lineRule="auto"/>
        <w:ind w:right="60"/>
        <w:jc w:val="left"/>
        <w:rPr>
          <w:rFonts w:ascii="新宋体" w:hAnsi="新宋体" w:eastAsia="新宋体" w:cs="新宋体"/>
          <w:b/>
          <w:color w:val="auto"/>
          <w:kern w:val="0"/>
          <w:sz w:val="22"/>
          <w:szCs w:val="22"/>
          <w:highlight w:val="none"/>
        </w:rPr>
      </w:pPr>
      <w:r>
        <w:rPr>
          <w:rFonts w:hint="eastAsia" w:ascii="新宋体" w:hAnsi="新宋体" w:eastAsia="新宋体" w:cs="新宋体"/>
          <w:bCs/>
          <w:color w:val="auto"/>
          <w:kern w:val="0"/>
          <w:sz w:val="22"/>
          <w:szCs w:val="22"/>
          <w:highlight w:val="none"/>
        </w:rPr>
        <w:t>5、本项目不接受联合体。</w:t>
      </w:r>
    </w:p>
    <w:p>
      <w:pPr>
        <w:widowControl/>
        <w:spacing w:line="360" w:lineRule="auto"/>
        <w:ind w:left="60" w:right="6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五、获取招标文件方式及时间：</w:t>
      </w:r>
    </w:p>
    <w:p>
      <w:pPr>
        <w:widowControl/>
        <w:numPr>
          <w:ilvl w:val="0"/>
          <w:numId w:val="2"/>
        </w:numPr>
        <w:spacing w:line="360" w:lineRule="auto"/>
        <w:ind w:right="60"/>
        <w:jc w:val="left"/>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获取方式：在浙江政府采购网“采购云”平台”（http://www.zjzfcg.gov.cn/）上申请获取（未注册的供应商请尽早注册，具体获取方法咨询政采云客服电话：400-881-7190），申请获取前须向采购代理机构支付招标文件工本费；</w:t>
      </w:r>
    </w:p>
    <w:p>
      <w:pPr>
        <w:widowControl/>
        <w:numPr>
          <w:ilvl w:val="0"/>
          <w:numId w:val="2"/>
        </w:numPr>
        <w:spacing w:line="360" w:lineRule="auto"/>
        <w:ind w:right="60"/>
        <w:jc w:val="left"/>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获取招标文件时间：</w:t>
      </w:r>
      <w:r>
        <w:rPr>
          <w:rFonts w:hint="eastAsia" w:ascii="新宋体" w:hAnsi="新宋体" w:eastAsia="新宋体" w:cs="新宋体"/>
          <w:snapToGrid w:val="0"/>
          <w:color w:val="auto"/>
          <w:sz w:val="22"/>
          <w:szCs w:val="22"/>
          <w:highlight w:val="none"/>
          <w:lang w:eastAsia="zh-CN"/>
        </w:rPr>
        <w:t>2020年</w:t>
      </w:r>
      <w:r>
        <w:rPr>
          <w:rFonts w:hint="eastAsia" w:ascii="新宋体" w:hAnsi="新宋体" w:eastAsia="新宋体" w:cs="新宋体"/>
          <w:snapToGrid w:val="0"/>
          <w:color w:val="auto"/>
          <w:sz w:val="22"/>
          <w:szCs w:val="22"/>
          <w:highlight w:val="none"/>
          <w:lang w:val="en-US" w:eastAsia="zh-CN"/>
        </w:rPr>
        <w:t>1</w:t>
      </w:r>
      <w:r>
        <w:rPr>
          <w:rFonts w:hint="eastAsia" w:ascii="新宋体" w:hAnsi="新宋体" w:eastAsia="新宋体" w:cs="新宋体"/>
          <w:snapToGrid w:val="0"/>
          <w:color w:val="auto"/>
          <w:sz w:val="22"/>
          <w:szCs w:val="22"/>
          <w:highlight w:val="none"/>
        </w:rPr>
        <w:t>月</w:t>
      </w:r>
      <w:r>
        <w:rPr>
          <w:rFonts w:hint="eastAsia" w:ascii="新宋体" w:hAnsi="新宋体" w:eastAsia="新宋体" w:cs="新宋体"/>
          <w:snapToGrid w:val="0"/>
          <w:color w:val="auto"/>
          <w:sz w:val="22"/>
          <w:szCs w:val="22"/>
          <w:highlight w:val="none"/>
          <w:lang w:val="en-US" w:eastAsia="zh-CN"/>
        </w:rPr>
        <w:t>22</w:t>
      </w:r>
      <w:r>
        <w:rPr>
          <w:rFonts w:hint="eastAsia" w:ascii="新宋体" w:hAnsi="新宋体" w:eastAsia="新宋体" w:cs="新宋体"/>
          <w:snapToGrid w:val="0"/>
          <w:color w:val="auto"/>
          <w:sz w:val="22"/>
          <w:szCs w:val="22"/>
          <w:highlight w:val="none"/>
        </w:rPr>
        <w:t>日起至</w:t>
      </w:r>
      <w:r>
        <w:rPr>
          <w:rFonts w:hint="eastAsia" w:ascii="新宋体" w:hAnsi="新宋体" w:eastAsia="新宋体" w:cs="新宋体"/>
          <w:snapToGrid w:val="0"/>
          <w:color w:val="auto"/>
          <w:sz w:val="22"/>
          <w:szCs w:val="22"/>
          <w:highlight w:val="none"/>
          <w:lang w:eastAsia="zh-CN"/>
        </w:rPr>
        <w:t>2020年</w:t>
      </w:r>
      <w:r>
        <w:rPr>
          <w:rFonts w:hint="eastAsia" w:ascii="新宋体" w:hAnsi="新宋体" w:eastAsia="新宋体" w:cs="新宋体"/>
          <w:snapToGrid w:val="0"/>
          <w:color w:val="auto"/>
          <w:sz w:val="22"/>
          <w:szCs w:val="22"/>
          <w:highlight w:val="none"/>
          <w:lang w:val="en-US" w:eastAsia="zh-CN"/>
        </w:rPr>
        <w:t>2</w:t>
      </w:r>
      <w:r>
        <w:rPr>
          <w:rFonts w:hint="eastAsia" w:ascii="新宋体" w:hAnsi="新宋体" w:eastAsia="新宋体" w:cs="新宋体"/>
          <w:snapToGrid w:val="0"/>
          <w:color w:val="auto"/>
          <w:sz w:val="22"/>
          <w:szCs w:val="22"/>
          <w:highlight w:val="none"/>
        </w:rPr>
        <w:t>月</w:t>
      </w:r>
      <w:r>
        <w:rPr>
          <w:rFonts w:hint="eastAsia" w:ascii="新宋体" w:hAnsi="新宋体" w:eastAsia="新宋体" w:cs="新宋体"/>
          <w:snapToGrid w:val="0"/>
          <w:color w:val="auto"/>
          <w:sz w:val="22"/>
          <w:szCs w:val="22"/>
          <w:highlight w:val="none"/>
          <w:lang w:val="en-US" w:eastAsia="zh-CN"/>
        </w:rPr>
        <w:t>5</w:t>
      </w:r>
      <w:r>
        <w:rPr>
          <w:rFonts w:hint="eastAsia" w:ascii="新宋体" w:hAnsi="新宋体" w:eastAsia="新宋体" w:cs="新宋体"/>
          <w:snapToGrid w:val="0"/>
          <w:color w:val="auto"/>
          <w:sz w:val="22"/>
          <w:szCs w:val="22"/>
          <w:highlight w:val="none"/>
        </w:rPr>
        <w:t>日（招标文件获取截止时间之后潜在供应商仍然可以购买招标文件，但该供应商如对招标文件有疑问应按招标文件规定的询疑截止时间前提出，逾期提出的，采购组织机构可以不予受理、答复。未支付招标文件工本费的潜在供应商拒绝参加投标。）</w:t>
      </w:r>
    </w:p>
    <w:p>
      <w:pPr>
        <w:widowControl/>
        <w:numPr>
          <w:ilvl w:val="0"/>
          <w:numId w:val="2"/>
        </w:numPr>
        <w:spacing w:line="360" w:lineRule="auto"/>
        <w:ind w:right="60"/>
        <w:jc w:val="left"/>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招标文件工本费：人民币500元(售后不退)</w:t>
      </w:r>
    </w:p>
    <w:p>
      <w:pPr>
        <w:widowControl/>
        <w:numPr>
          <w:ilvl w:val="0"/>
          <w:numId w:val="2"/>
        </w:numPr>
        <w:spacing w:line="360" w:lineRule="auto"/>
        <w:ind w:right="60"/>
        <w:jc w:val="left"/>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递交投标文件截止时间：</w:t>
      </w:r>
      <w:r>
        <w:rPr>
          <w:rFonts w:hint="eastAsia" w:ascii="新宋体" w:hAnsi="新宋体" w:eastAsia="新宋体" w:cs="新宋体"/>
          <w:snapToGrid w:val="0"/>
          <w:color w:val="auto"/>
          <w:sz w:val="22"/>
          <w:szCs w:val="22"/>
          <w:highlight w:val="none"/>
          <w:lang w:eastAsia="zh-CN"/>
        </w:rPr>
        <w:t>2020年</w:t>
      </w:r>
      <w:r>
        <w:rPr>
          <w:rFonts w:hint="eastAsia" w:ascii="新宋体" w:hAnsi="新宋体" w:eastAsia="新宋体" w:cs="新宋体"/>
          <w:snapToGrid w:val="0"/>
          <w:color w:val="auto"/>
          <w:sz w:val="22"/>
          <w:szCs w:val="22"/>
          <w:highlight w:val="none"/>
          <w:lang w:val="en-US" w:eastAsia="zh-CN"/>
        </w:rPr>
        <w:t>2</w:t>
      </w:r>
      <w:r>
        <w:rPr>
          <w:rFonts w:hint="eastAsia" w:ascii="新宋体" w:hAnsi="新宋体" w:eastAsia="新宋体" w:cs="新宋体"/>
          <w:snapToGrid w:val="0"/>
          <w:color w:val="auto"/>
          <w:sz w:val="22"/>
          <w:szCs w:val="22"/>
          <w:highlight w:val="none"/>
        </w:rPr>
        <w:t>月</w:t>
      </w:r>
      <w:r>
        <w:rPr>
          <w:rFonts w:hint="eastAsia" w:ascii="新宋体" w:hAnsi="新宋体" w:eastAsia="新宋体" w:cs="新宋体"/>
          <w:snapToGrid w:val="0"/>
          <w:color w:val="auto"/>
          <w:sz w:val="22"/>
          <w:szCs w:val="22"/>
          <w:highlight w:val="none"/>
          <w:lang w:val="en-US" w:eastAsia="zh-CN"/>
        </w:rPr>
        <w:t>13</w:t>
      </w:r>
      <w:r>
        <w:rPr>
          <w:rFonts w:hint="eastAsia" w:ascii="新宋体" w:hAnsi="新宋体" w:eastAsia="新宋体" w:cs="新宋体"/>
          <w:snapToGrid w:val="0"/>
          <w:color w:val="auto"/>
          <w:sz w:val="22"/>
          <w:szCs w:val="22"/>
          <w:highlight w:val="none"/>
        </w:rPr>
        <w:t>日</w:t>
      </w:r>
      <w:r>
        <w:rPr>
          <w:rFonts w:hint="eastAsia" w:ascii="新宋体" w:hAnsi="新宋体" w:eastAsia="新宋体" w:cs="新宋体"/>
          <w:snapToGrid w:val="0"/>
          <w:color w:val="auto"/>
          <w:sz w:val="22"/>
          <w:szCs w:val="22"/>
          <w:highlight w:val="none"/>
          <w:lang w:val="en-US" w:eastAsia="zh-CN"/>
        </w:rPr>
        <w:t>14</w:t>
      </w:r>
      <w:r>
        <w:rPr>
          <w:rFonts w:hint="eastAsia" w:ascii="新宋体" w:hAnsi="新宋体" w:eastAsia="新宋体" w:cs="新宋体"/>
          <w:snapToGrid w:val="0"/>
          <w:color w:val="auto"/>
          <w:sz w:val="22"/>
          <w:szCs w:val="22"/>
          <w:highlight w:val="none"/>
          <w:lang w:val="zh-CN"/>
        </w:rPr>
        <w:t>:30(北京时间)</w:t>
      </w:r>
      <w:r>
        <w:rPr>
          <w:rFonts w:hint="eastAsia" w:ascii="新宋体" w:hAnsi="新宋体" w:eastAsia="新宋体" w:cs="新宋体"/>
          <w:snapToGrid w:val="0"/>
          <w:color w:val="auto"/>
          <w:sz w:val="22"/>
          <w:szCs w:val="22"/>
          <w:highlight w:val="none"/>
        </w:rPr>
        <w:t>。</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六、投标截止时间：2020年2月13日14:30(北京时间)。</w:t>
      </w:r>
    </w:p>
    <w:p>
      <w:pPr>
        <w:autoSpaceDE w:val="0"/>
        <w:autoSpaceDN w:val="0"/>
        <w:adjustRightInd w:val="0"/>
        <w:spacing w:before="60" w:after="60" w:line="360" w:lineRule="auto"/>
        <w:ind w:left="600" w:right="60" w:hanging="539"/>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七、投标文件提交地点：温州市温州大道展宏大厦2栋702室。</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八、开标时间：2020年2月13日14:30(北京时间)</w:t>
      </w:r>
    </w:p>
    <w:p>
      <w:pPr>
        <w:autoSpaceDE w:val="0"/>
        <w:autoSpaceDN w:val="0"/>
        <w:adjustRightInd w:val="0"/>
        <w:spacing w:before="60" w:after="60" w:line="360" w:lineRule="auto"/>
        <w:ind w:left="600" w:right="60" w:hanging="539"/>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九、开标地点：温州市温州大道展宏大厦2栋702室。</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十、投标保证金及交付方式：本项目不要求提供。</w:t>
      </w:r>
    </w:p>
    <w:p>
      <w:pPr>
        <w:autoSpaceDE w:val="0"/>
        <w:autoSpaceDN w:val="0"/>
        <w:adjustRightInd w:val="0"/>
        <w:spacing w:before="60" w:after="60" w:line="360" w:lineRule="auto"/>
        <w:ind w:left="60" w:right="6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十一、其他事项：</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w:t>
      </w:r>
      <w:r>
        <w:rPr>
          <w:rFonts w:hint="eastAsia" w:ascii="新宋体" w:hAnsi="新宋体" w:eastAsia="新宋体" w:cs="新宋体"/>
          <w:color w:val="auto"/>
          <w:kern w:val="0"/>
          <w:szCs w:val="21"/>
          <w:highlight w:val="none"/>
        </w:rPr>
        <w:t>采购公告期限：5个工作日，从公告在浙江政府采购网上发布的次日起算；</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bCs/>
          <w:color w:val="auto"/>
          <w:kern w:val="0"/>
          <w:sz w:val="22"/>
          <w:szCs w:val="22"/>
          <w:highlight w:val="none"/>
        </w:rPr>
        <w:t>供应商在依法获取招标文件后认为招标文件使自己的权益受到损害的，可以自依法获取招标文件之日（获取截止日之后依法获取招标文件的，以获取截止日为准）或者采购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招标公告附件的招标文件仅供阅览使用，未依法获取招标文件的潜在供应商提起的质疑,采购人和采购代理机构将不予受理。质疑函范本、投诉书范本请到浙江政府采购网下载专区下载。</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3</w:t>
      </w:r>
      <w:r>
        <w:rPr>
          <w:rFonts w:hint="eastAsia" w:ascii="新宋体" w:hAnsi="新宋体" w:eastAsia="新宋体" w:cs="新宋体"/>
          <w:color w:val="auto"/>
          <w:kern w:val="0"/>
          <w:sz w:val="22"/>
          <w:szCs w:val="22"/>
          <w:highlight w:val="none"/>
          <w:lang w:val="zh-CN"/>
        </w:rPr>
        <w:t>、招标文件获取截止时间之后潜在供应商仍然可以购买招标文件，但该供应商如对招标文件有疑问应按招标文件规定的询疑截止时间前提出，逾期提出的，采购组织机构可以不予受理、答复。</w:t>
      </w:r>
    </w:p>
    <w:p>
      <w:pPr>
        <w:autoSpaceDE w:val="0"/>
        <w:autoSpaceDN w:val="0"/>
        <w:adjustRightInd w:val="0"/>
        <w:spacing w:before="60" w:after="60" w:line="360" w:lineRule="auto"/>
        <w:ind w:left="62" w:right="62" w:firstLine="44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4</w:t>
      </w:r>
      <w:r>
        <w:rPr>
          <w:rFonts w:hint="eastAsia" w:ascii="新宋体" w:hAnsi="新宋体" w:eastAsia="新宋体" w:cs="新宋体"/>
          <w:color w:val="auto"/>
          <w:kern w:val="0"/>
          <w:sz w:val="22"/>
          <w:szCs w:val="22"/>
          <w:highlight w:val="none"/>
          <w:lang w:val="zh-CN"/>
        </w:rPr>
        <w:t>、潜在供应商可在浙江政府采购网http：//www.zjzfcg.gov.cn进行免费注册，具体详见浙江政府采购网供应商注册要求，中标供应商应在合同签订前完成注册并成为正式注册供应商。</w:t>
      </w:r>
    </w:p>
    <w:p>
      <w:pPr>
        <w:autoSpaceDE w:val="0"/>
        <w:autoSpaceDN w:val="0"/>
        <w:adjustRightInd w:val="0"/>
        <w:spacing w:line="360" w:lineRule="auto"/>
        <w:ind w:firstLine="42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5、本项目对符合财政扶持政策的中小企业（小型、微型）、监狱企业、残疾人福利性单位给予价格优惠扶持；执行节能产品政府强制采购和优先采购政策；执行环境标志产品政府优先采购政策。</w:t>
      </w:r>
    </w:p>
    <w:p>
      <w:pPr>
        <w:widowControl/>
        <w:spacing w:line="360" w:lineRule="auto"/>
        <w:ind w:right="62"/>
        <w:jc w:val="left"/>
        <w:rPr>
          <w:rFonts w:ascii="新宋体" w:hAnsi="新宋体" w:eastAsia="新宋体" w:cs="新宋体"/>
          <w:bCs/>
          <w:color w:val="auto"/>
          <w:kern w:val="0"/>
          <w:sz w:val="22"/>
          <w:szCs w:val="22"/>
          <w:highlight w:val="none"/>
        </w:rPr>
      </w:pPr>
    </w:p>
    <w:p>
      <w:pPr>
        <w:widowControl/>
        <w:spacing w:line="360" w:lineRule="auto"/>
        <w:ind w:right="62"/>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十二、联系方式</w:t>
      </w:r>
    </w:p>
    <w:p>
      <w:pPr>
        <w:widowControl/>
        <w:spacing w:line="360" w:lineRule="auto"/>
        <w:ind w:right="60" w:firstLine="660" w:firstLineChars="3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1、采购代理机构名称：浙江省成套招标代理有限公司</w:t>
      </w:r>
    </w:p>
    <w:p>
      <w:pPr>
        <w:widowControl/>
        <w:spacing w:line="360" w:lineRule="auto"/>
        <w:ind w:left="61" w:leftChars="29" w:right="60"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 址：温州市温州大道展宏大厦2栋702室</w:t>
      </w:r>
    </w:p>
    <w:p>
      <w:pPr>
        <w:widowControl/>
        <w:spacing w:line="360" w:lineRule="auto"/>
        <w:ind w:left="61" w:leftChars="29" w:right="60"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联系人：邵海勇/谢武剑 电话：18967751006/13857110281</w:t>
      </w:r>
    </w:p>
    <w:p>
      <w:pPr>
        <w:widowControl/>
        <w:spacing w:line="360" w:lineRule="auto"/>
        <w:ind w:left="61" w:leftChars="29" w:right="60"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传真： 0577-86071211</w:t>
      </w:r>
    </w:p>
    <w:p>
      <w:pPr>
        <w:widowControl/>
        <w:spacing w:line="360" w:lineRule="auto"/>
        <w:ind w:left="61" w:leftChars="29" w:right="60"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书面质疑受理地点：温州市温州大道展宏大厦2栋702室</w:t>
      </w:r>
    </w:p>
    <w:p>
      <w:pPr>
        <w:widowControl/>
        <w:spacing w:line="360" w:lineRule="auto"/>
        <w:ind w:left="61" w:leftChars="29" w:right="60"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质疑文件接收联系人：肖慧</w:t>
      </w:r>
    </w:p>
    <w:p>
      <w:pPr>
        <w:widowControl/>
        <w:spacing w:line="360" w:lineRule="auto"/>
        <w:ind w:left="61" w:leftChars="29" w:right="60"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联系电话：13606874516</w:t>
      </w:r>
    </w:p>
    <w:p>
      <w:pPr>
        <w:widowControl/>
        <w:spacing w:line="360" w:lineRule="auto"/>
        <w:ind w:right="62" w:firstLine="440" w:firstLineChars="2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 xml:space="preserve"> 2、采购人名称：温州市瓯海区人民医院</w:t>
      </w:r>
    </w:p>
    <w:p>
      <w:pPr>
        <w:widowControl/>
        <w:spacing w:line="360" w:lineRule="auto"/>
        <w:ind w:right="62"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联系地址：温州市瓯海区盛新路82号</w:t>
      </w:r>
    </w:p>
    <w:p>
      <w:pPr>
        <w:widowControl/>
        <w:spacing w:line="360" w:lineRule="auto"/>
        <w:ind w:right="62"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联系人：李先生，电话：0577-88508120</w:t>
      </w:r>
    </w:p>
    <w:p>
      <w:pPr>
        <w:widowControl/>
        <w:spacing w:line="360" w:lineRule="auto"/>
        <w:ind w:right="62"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行业主管部门：温州市瓯海区卫生健康局</w:t>
      </w:r>
    </w:p>
    <w:p>
      <w:pPr>
        <w:widowControl/>
        <w:spacing w:line="360" w:lineRule="auto"/>
        <w:ind w:right="62"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地址：温州市瓯海大道900号</w:t>
      </w:r>
    </w:p>
    <w:p>
      <w:pPr>
        <w:widowControl/>
        <w:spacing w:line="360" w:lineRule="auto"/>
        <w:ind w:right="62"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联系人：季先生,电话：0577-55563914</w:t>
      </w:r>
    </w:p>
    <w:p>
      <w:pPr>
        <w:widowControl/>
        <w:numPr>
          <w:ilvl w:val="0"/>
          <w:numId w:val="3"/>
        </w:numPr>
        <w:spacing w:line="360" w:lineRule="auto"/>
        <w:ind w:right="62" w:firstLine="440" w:firstLineChars="200"/>
        <w:jc w:val="left"/>
        <w:rPr>
          <w:rFonts w:ascii="新宋体" w:hAnsi="新宋体" w:eastAsia="新宋体" w:cs="新宋体"/>
          <w:color w:val="auto"/>
          <w:kern w:val="0"/>
          <w:sz w:val="22"/>
          <w:szCs w:val="22"/>
          <w:highlight w:val="none"/>
          <w:lang w:val="zh-CN"/>
        </w:rPr>
      </w:pPr>
      <w:r>
        <w:rPr>
          <w:rFonts w:hint="eastAsia" w:ascii="新宋体" w:hAnsi="新宋体" w:eastAsia="新宋体" w:cs="新宋体"/>
          <w:bCs/>
          <w:color w:val="auto"/>
          <w:kern w:val="0"/>
          <w:sz w:val="22"/>
          <w:szCs w:val="22"/>
          <w:highlight w:val="none"/>
        </w:rPr>
        <w:t xml:space="preserve"> 政府采购监管部门：</w:t>
      </w:r>
      <w:r>
        <w:rPr>
          <w:rFonts w:hint="eastAsia" w:ascii="新宋体" w:hAnsi="新宋体" w:eastAsia="新宋体" w:cs="新宋体"/>
          <w:color w:val="auto"/>
          <w:kern w:val="0"/>
          <w:sz w:val="22"/>
          <w:szCs w:val="22"/>
          <w:highlight w:val="none"/>
          <w:lang w:val="zh-CN"/>
        </w:rPr>
        <w:t>温州市瓯海区财政局</w:t>
      </w:r>
    </w:p>
    <w:p>
      <w:pPr>
        <w:widowControl/>
        <w:spacing w:line="360" w:lineRule="auto"/>
        <w:ind w:right="62"/>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        地址：温州市瓯海行政中心1号楼</w:t>
      </w:r>
    </w:p>
    <w:p>
      <w:pPr>
        <w:widowControl/>
        <w:spacing w:line="360" w:lineRule="auto"/>
        <w:ind w:right="62" w:firstLine="880" w:firstLineChars="400"/>
        <w:jc w:val="left"/>
        <w:rPr>
          <w:rFonts w:ascii="新宋体" w:hAnsi="新宋体" w:eastAsia="新宋体" w:cs="新宋体"/>
          <w:bCs/>
          <w:color w:val="auto"/>
          <w:kern w:val="0"/>
          <w:sz w:val="22"/>
          <w:szCs w:val="22"/>
          <w:highlight w:val="none"/>
        </w:rPr>
      </w:pPr>
      <w:r>
        <w:rPr>
          <w:rFonts w:hint="eastAsia" w:ascii="新宋体" w:hAnsi="新宋体" w:eastAsia="新宋体" w:cs="新宋体"/>
          <w:color w:val="auto"/>
          <w:kern w:val="0"/>
          <w:sz w:val="22"/>
          <w:szCs w:val="22"/>
          <w:highlight w:val="none"/>
          <w:lang w:val="zh-CN"/>
        </w:rPr>
        <w:t xml:space="preserve">联系人：虞先生，联系电话：0577-88522238 </w:t>
      </w:r>
    </w:p>
    <w:p>
      <w:pPr>
        <w:widowControl/>
        <w:spacing w:line="360" w:lineRule="auto"/>
        <w:ind w:right="60"/>
        <w:jc w:val="left"/>
        <w:rPr>
          <w:rFonts w:ascii="新宋体" w:hAnsi="新宋体" w:eastAsia="新宋体" w:cs="新宋体"/>
          <w:bCs/>
          <w:color w:val="auto"/>
          <w:kern w:val="0"/>
          <w:sz w:val="22"/>
          <w:szCs w:val="22"/>
          <w:highlight w:val="none"/>
        </w:rPr>
      </w:pPr>
    </w:p>
    <w:p>
      <w:pPr>
        <w:pStyle w:val="2"/>
        <w:ind w:firstLine="360"/>
        <w:rPr>
          <w:rFonts w:ascii="新宋体" w:hAnsi="新宋体" w:eastAsia="新宋体" w:cs="新宋体"/>
          <w:color w:val="auto"/>
          <w:sz w:val="36"/>
          <w:szCs w:val="36"/>
          <w:highlight w:val="none"/>
        </w:rPr>
      </w:pPr>
      <w:bookmarkStart w:id="6" w:name="_Toc4634"/>
    </w:p>
    <w:p>
      <w:pPr>
        <w:rPr>
          <w:rFonts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br w:type="page"/>
      </w:r>
    </w:p>
    <w:p>
      <w:pPr>
        <w:pStyle w:val="4"/>
        <w:rPr>
          <w:rFonts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t>投标人须知前附表</w:t>
      </w:r>
    </w:p>
    <w:bookmarkEnd w:id="6"/>
    <w:tbl>
      <w:tblPr>
        <w:tblStyle w:val="64"/>
        <w:tblW w:w="9854" w:type="dxa"/>
        <w:tblInd w:w="0" w:type="dxa"/>
        <w:tblLayout w:type="fixed"/>
        <w:tblCellMar>
          <w:top w:w="0" w:type="dxa"/>
          <w:left w:w="108" w:type="dxa"/>
          <w:bottom w:w="0" w:type="dxa"/>
          <w:right w:w="108" w:type="dxa"/>
        </w:tblCellMar>
      </w:tblPr>
      <w:tblGrid>
        <w:gridCol w:w="929"/>
        <w:gridCol w:w="1806"/>
        <w:gridCol w:w="7119"/>
      </w:tblGrid>
      <w:tr>
        <w:tblPrEx>
          <w:tblLayout w:type="fixed"/>
          <w:tblCellMar>
            <w:top w:w="0" w:type="dxa"/>
            <w:left w:w="108" w:type="dxa"/>
            <w:bottom w:w="0" w:type="dxa"/>
            <w:right w:w="108" w:type="dxa"/>
          </w:tblCellMar>
        </w:tblPrEx>
        <w:trPr>
          <w:trHeight w:val="567"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条款名称</w:t>
            </w:r>
          </w:p>
        </w:tc>
        <w:tc>
          <w:tcPr>
            <w:tcW w:w="711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编列内容</w:t>
            </w:r>
          </w:p>
        </w:tc>
      </w:tr>
      <w:tr>
        <w:tblPrEx>
          <w:tblLayout w:type="fixed"/>
          <w:tblCellMar>
            <w:top w:w="0" w:type="dxa"/>
            <w:left w:w="108" w:type="dxa"/>
            <w:bottom w:w="0" w:type="dxa"/>
            <w:right w:w="108" w:type="dxa"/>
          </w:tblCellMar>
        </w:tblPrEx>
        <w:trPr>
          <w:trHeight w:val="1054"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采购人名称：温州市瓯海区人民医院</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联系地址：温州市瓯海区盛新路82号</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联系人：李先生，电话：0577-88508120</w:t>
            </w:r>
          </w:p>
        </w:tc>
      </w:tr>
      <w:tr>
        <w:tblPrEx>
          <w:tblLayout w:type="fixed"/>
          <w:tblCellMar>
            <w:top w:w="0" w:type="dxa"/>
            <w:left w:w="108" w:type="dxa"/>
            <w:bottom w:w="0" w:type="dxa"/>
            <w:right w:w="108" w:type="dxa"/>
          </w:tblCellMar>
        </w:tblPrEx>
        <w:trPr>
          <w:trHeight w:val="1058"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采购代理机构</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代理机构名称：浙江省成套招标代理有限公司</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代理机构地址：温州市温州大道展宏大厦2栋702室</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联系人：邵海勇/谢武剑 电话：18967751006/13857110281</w:t>
            </w:r>
          </w:p>
        </w:tc>
      </w:tr>
      <w:tr>
        <w:tblPrEx>
          <w:tblLayout w:type="fixed"/>
          <w:tblCellMar>
            <w:top w:w="0" w:type="dxa"/>
            <w:left w:w="108" w:type="dxa"/>
            <w:bottom w:w="0" w:type="dxa"/>
            <w:right w:w="108" w:type="dxa"/>
          </w:tblCellMar>
        </w:tblPrEx>
        <w:trPr>
          <w:trHeight w:val="7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项目名称</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血透水处理机采购</w:t>
            </w:r>
          </w:p>
          <w:p>
            <w:pPr>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spacing w:val="40"/>
                <w:sz w:val="22"/>
                <w:szCs w:val="22"/>
                <w:highlight w:val="none"/>
              </w:rPr>
              <w:t>招标编号</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lang w:eastAsia="zh-CN"/>
              </w:rPr>
              <w:t>CTZB-H2020122CWZ-11</w:t>
            </w:r>
          </w:p>
        </w:tc>
      </w:tr>
      <w:tr>
        <w:tblPrEx>
          <w:tblLayout w:type="fixed"/>
          <w:tblCellMar>
            <w:top w:w="0" w:type="dxa"/>
            <w:left w:w="108" w:type="dxa"/>
            <w:bottom w:w="0" w:type="dxa"/>
            <w:right w:w="108" w:type="dxa"/>
          </w:tblCellMar>
        </w:tblPrEx>
        <w:trPr>
          <w:trHeight w:val="7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招标内容</w:t>
            </w:r>
          </w:p>
        </w:tc>
        <w:tc>
          <w:tcPr>
            <w:tcW w:w="71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详见招标公告，具体要求见招标文件第五部分。</w:t>
            </w:r>
          </w:p>
        </w:tc>
      </w:tr>
      <w:tr>
        <w:tblPrEx>
          <w:tblLayout w:type="fixed"/>
          <w:tblCellMar>
            <w:top w:w="0" w:type="dxa"/>
            <w:left w:w="108" w:type="dxa"/>
            <w:bottom w:w="0" w:type="dxa"/>
            <w:right w:w="108" w:type="dxa"/>
          </w:tblCellMar>
        </w:tblPrEx>
        <w:trPr>
          <w:trHeight w:val="57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交货时间</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highlight w:val="none"/>
              </w:rPr>
            </w:pPr>
            <w:r>
              <w:rPr>
                <w:rFonts w:hint="eastAsia" w:ascii="新宋体" w:hAnsi="新宋体" w:eastAsia="新宋体" w:cs="新宋体"/>
                <w:color w:val="auto"/>
                <w:highlight w:val="none"/>
              </w:rPr>
              <w:t>详见招标第五部分“招标内容及要求”相关内容。</w:t>
            </w:r>
          </w:p>
        </w:tc>
      </w:tr>
      <w:tr>
        <w:tblPrEx>
          <w:tblLayout w:type="fixed"/>
          <w:tblCellMar>
            <w:top w:w="0" w:type="dxa"/>
            <w:left w:w="108" w:type="dxa"/>
            <w:bottom w:w="0" w:type="dxa"/>
            <w:right w:w="108" w:type="dxa"/>
          </w:tblCellMar>
        </w:tblPrEx>
        <w:trPr>
          <w:trHeight w:val="497"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投标人资格要求</w:t>
            </w:r>
          </w:p>
        </w:tc>
        <w:tc>
          <w:tcPr>
            <w:tcW w:w="7119" w:type="dxa"/>
            <w:tcBorders>
              <w:top w:val="single" w:color="auto" w:sz="4" w:space="0"/>
              <w:left w:val="single" w:color="auto" w:sz="4" w:space="0"/>
              <w:bottom w:val="single" w:color="auto" w:sz="4" w:space="0"/>
              <w:right w:val="single" w:color="auto" w:sz="4" w:space="0"/>
            </w:tcBorders>
            <w:vAlign w:val="bottom"/>
          </w:tcPr>
          <w:p>
            <w:pPr>
              <w:widowControl/>
              <w:spacing w:line="360" w:lineRule="auto"/>
              <w:ind w:right="6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详见本项目招标公告。</w:t>
            </w:r>
          </w:p>
        </w:tc>
      </w:tr>
      <w:tr>
        <w:tblPrEx>
          <w:tblLayout w:type="fixed"/>
          <w:tblCellMar>
            <w:top w:w="0" w:type="dxa"/>
            <w:left w:w="108" w:type="dxa"/>
            <w:bottom w:w="0" w:type="dxa"/>
            <w:right w:w="108" w:type="dxa"/>
          </w:tblCellMar>
        </w:tblPrEx>
        <w:trPr>
          <w:trHeight w:val="90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是否接受联合体投标</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不接受</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□接受，应满足下列要求：</w:t>
            </w:r>
          </w:p>
        </w:tc>
      </w:tr>
      <w:tr>
        <w:tblPrEx>
          <w:tblLayout w:type="fixed"/>
          <w:tblCellMar>
            <w:top w:w="0" w:type="dxa"/>
            <w:left w:w="108" w:type="dxa"/>
            <w:bottom w:w="0" w:type="dxa"/>
            <w:right w:w="108" w:type="dxa"/>
          </w:tblCellMar>
        </w:tblPrEx>
        <w:trPr>
          <w:trHeight w:val="9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踏勘现场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□组织</w:t>
            </w:r>
          </w:p>
          <w:p>
            <w:pPr>
              <w:rPr>
                <w:rFonts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不组织,投标人若需踏勘现场，请联系采购人。</w:t>
            </w:r>
          </w:p>
        </w:tc>
      </w:tr>
      <w:tr>
        <w:tblPrEx>
          <w:tblLayout w:type="fixed"/>
          <w:tblCellMar>
            <w:top w:w="0" w:type="dxa"/>
            <w:left w:w="108" w:type="dxa"/>
            <w:bottom w:w="0" w:type="dxa"/>
            <w:right w:w="108" w:type="dxa"/>
          </w:tblCellMar>
        </w:tblPrEx>
        <w:trPr>
          <w:trHeight w:val="70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投标预备会</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□召开</w:t>
            </w:r>
          </w:p>
          <w:p>
            <w:pPr>
              <w:rPr>
                <w:rFonts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不召开</w:t>
            </w:r>
          </w:p>
        </w:tc>
      </w:tr>
      <w:tr>
        <w:tblPrEx>
          <w:tblLayout w:type="fixed"/>
          <w:tblCellMar>
            <w:top w:w="0" w:type="dxa"/>
            <w:left w:w="108" w:type="dxa"/>
            <w:bottom w:w="0" w:type="dxa"/>
            <w:right w:w="108" w:type="dxa"/>
          </w:tblCellMar>
        </w:tblPrEx>
        <w:trPr>
          <w:trHeight w:val="61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投标截止时间</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eastAsia="zh-CN"/>
              </w:rPr>
              <w:t>2020年2月13日14:30</w:t>
            </w:r>
            <w:r>
              <w:rPr>
                <w:rFonts w:hint="eastAsia" w:ascii="新宋体" w:hAnsi="新宋体" w:eastAsia="新宋体" w:cs="新宋体"/>
                <w:color w:val="auto"/>
                <w:kern w:val="0"/>
                <w:sz w:val="22"/>
                <w:szCs w:val="22"/>
                <w:highlight w:val="none"/>
              </w:rPr>
              <w:t>(北京时间)</w:t>
            </w:r>
          </w:p>
        </w:tc>
      </w:tr>
      <w:tr>
        <w:tblPrEx>
          <w:tblLayout w:type="fixed"/>
          <w:tblCellMar>
            <w:top w:w="0" w:type="dxa"/>
            <w:left w:w="108" w:type="dxa"/>
            <w:bottom w:w="0" w:type="dxa"/>
            <w:right w:w="108" w:type="dxa"/>
          </w:tblCellMar>
        </w:tblPrEx>
        <w:trPr>
          <w:trHeight w:val="756"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分包</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□允许</w:t>
            </w:r>
          </w:p>
          <w:p>
            <w:pPr>
              <w:rPr>
                <w:rFonts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不允许</w:t>
            </w:r>
          </w:p>
        </w:tc>
      </w:tr>
      <w:tr>
        <w:tblPrEx>
          <w:tblLayout w:type="fixed"/>
          <w:tblCellMar>
            <w:top w:w="0" w:type="dxa"/>
            <w:left w:w="108" w:type="dxa"/>
            <w:bottom w:w="0" w:type="dxa"/>
            <w:right w:w="108" w:type="dxa"/>
          </w:tblCellMar>
        </w:tblPrEx>
        <w:trPr>
          <w:trHeight w:val="9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偏离</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Layout w:type="fixed"/>
          <w:tblCellMar>
            <w:top w:w="0" w:type="dxa"/>
            <w:left w:w="108" w:type="dxa"/>
            <w:bottom w:w="0" w:type="dxa"/>
            <w:right w:w="108" w:type="dxa"/>
          </w:tblCellMar>
        </w:tblPrEx>
        <w:trPr>
          <w:trHeight w:val="68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投标有效期</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投标文件自投标截止时间起生效，有效期90天。</w:t>
            </w:r>
          </w:p>
        </w:tc>
      </w:tr>
      <w:tr>
        <w:tblPrEx>
          <w:tblLayout w:type="fixed"/>
          <w:tblCellMar>
            <w:top w:w="0" w:type="dxa"/>
            <w:left w:w="108" w:type="dxa"/>
            <w:bottom w:w="0" w:type="dxa"/>
            <w:right w:w="108" w:type="dxa"/>
          </w:tblCellMar>
        </w:tblPrEx>
        <w:trPr>
          <w:trHeight w:val="436"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投标保证金</w:t>
            </w:r>
          </w:p>
        </w:tc>
        <w:tc>
          <w:tcPr>
            <w:tcW w:w="7119" w:type="dxa"/>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lang w:val="zh-CN"/>
              </w:rPr>
              <w:t>投本项目不要求提供</w:t>
            </w:r>
          </w:p>
        </w:tc>
      </w:tr>
      <w:tr>
        <w:tblPrEx>
          <w:tblLayout w:type="fixed"/>
          <w:tblCellMar>
            <w:top w:w="0" w:type="dxa"/>
            <w:left w:w="108" w:type="dxa"/>
            <w:bottom w:w="0" w:type="dxa"/>
            <w:right w:w="108" w:type="dxa"/>
          </w:tblCellMar>
        </w:tblPrEx>
        <w:trPr>
          <w:trHeight w:val="795"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15</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投标文件份数</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投标文件的资格文件、技术资信标、商务（报价）标各一式伍份，其中正本壹份，副本肆份。</w:t>
            </w:r>
          </w:p>
        </w:tc>
      </w:tr>
      <w:tr>
        <w:tblPrEx>
          <w:tblLayout w:type="fixed"/>
          <w:tblCellMar>
            <w:top w:w="0" w:type="dxa"/>
            <w:left w:w="108" w:type="dxa"/>
            <w:bottom w:w="0" w:type="dxa"/>
            <w:right w:w="108" w:type="dxa"/>
          </w:tblCellMar>
        </w:tblPrEx>
        <w:trPr>
          <w:trHeight w:val="493"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16</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包装要求</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highlight w:val="none"/>
              </w:rPr>
            </w:pPr>
            <w:r>
              <w:rPr>
                <w:rFonts w:hint="eastAsia" w:ascii="新宋体" w:hAnsi="新宋体" w:eastAsia="新宋体" w:cs="新宋体"/>
                <w:color w:val="auto"/>
                <w:highlight w:val="none"/>
              </w:rPr>
              <w:t>投标文件的资格文件、技术资信标、商务（报价）标分别密封于各包封袋中并加盖密封印章，并在封套的封口处加盖投标人单位章，并由法定代表人或其授权代表签字或盖章。</w:t>
            </w:r>
          </w:p>
        </w:tc>
      </w:tr>
      <w:tr>
        <w:tblPrEx>
          <w:tblLayout w:type="fixed"/>
          <w:tblCellMar>
            <w:top w:w="0" w:type="dxa"/>
            <w:left w:w="108" w:type="dxa"/>
            <w:bottom w:w="0" w:type="dxa"/>
            <w:right w:w="108" w:type="dxa"/>
          </w:tblCellMar>
        </w:tblPrEx>
        <w:trPr>
          <w:trHeight w:val="66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17</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递交投标</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文件地点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温州市温州大道展宏大厦2栋702室</w:t>
            </w:r>
          </w:p>
        </w:tc>
      </w:tr>
      <w:tr>
        <w:tblPrEx>
          <w:tblLayout w:type="fixed"/>
          <w:tblCellMar>
            <w:top w:w="0" w:type="dxa"/>
            <w:left w:w="108" w:type="dxa"/>
            <w:bottom w:w="0" w:type="dxa"/>
            <w:right w:w="108" w:type="dxa"/>
          </w:tblCellMar>
        </w:tblPrEx>
        <w:trPr>
          <w:trHeight w:val="65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18</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开标时间</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和地点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开标时间：同投标文件递交截止时间</w:t>
            </w:r>
          </w:p>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开标地点：</w:t>
            </w:r>
            <w:r>
              <w:rPr>
                <w:rFonts w:hint="eastAsia" w:ascii="新宋体" w:hAnsi="新宋体" w:eastAsia="新宋体" w:cs="新宋体"/>
                <w:color w:val="auto"/>
                <w:sz w:val="22"/>
                <w:szCs w:val="22"/>
                <w:highlight w:val="none"/>
              </w:rPr>
              <w:t>温州市温州大道展宏大厦2栋702室</w:t>
            </w:r>
          </w:p>
        </w:tc>
      </w:tr>
      <w:tr>
        <w:tblPrEx>
          <w:tblLayout w:type="fixed"/>
          <w:tblCellMar>
            <w:top w:w="0" w:type="dxa"/>
            <w:left w:w="108" w:type="dxa"/>
            <w:bottom w:w="0" w:type="dxa"/>
            <w:right w:w="108" w:type="dxa"/>
          </w:tblCellMar>
        </w:tblPrEx>
        <w:trPr>
          <w:trHeight w:val="1060" w:hRule="atLeas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开评标程序</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（1）宣布开标纪律；</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（2）公布在投标截止时间前递交投标文件的投标人名称，并点名确认投标人是否派授权代表到场；</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（3）宣布唱标人、记录人、监督人员等有关人员姓名；</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（4）密封情况检查：由投标人或其推选的代表检查投标文件密封情况；</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（5）开标顺序：投标人送达投标文件的先后顺序；同时开启资格文件、技术资信标及商务（报价）标;</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（6）确认开标结果：投标人授权代表对开标记录进行当场校核及勘误，并签字确认；并同时由记录人、监督人当场签字确认。</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（7）宣布开标结束。</w:t>
            </w:r>
          </w:p>
          <w:p>
            <w:pPr>
              <w:ind w:left="2"/>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（8）投标人授权代表未参加开标会议；未到场签字确认的，不影响开标，评标过程，视同认可开标结果；事后不得对采购相关人员、开标过程和开标结果提出异议。</w:t>
            </w:r>
          </w:p>
        </w:tc>
      </w:tr>
      <w:tr>
        <w:tblPrEx>
          <w:tblLayout w:type="fixed"/>
          <w:tblCellMar>
            <w:top w:w="0" w:type="dxa"/>
            <w:left w:w="108" w:type="dxa"/>
            <w:bottom w:w="0" w:type="dxa"/>
            <w:right w:w="108" w:type="dxa"/>
          </w:tblCellMar>
        </w:tblPrEx>
        <w:trPr>
          <w:trHeight w:val="650"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20</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w:t>
            </w:r>
          </w:p>
          <w:p>
            <w:pPr>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的组建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bCs/>
                <w:color w:val="auto"/>
                <w:sz w:val="22"/>
                <w:szCs w:val="22"/>
                <w:highlight w:val="none"/>
              </w:rPr>
              <w:t>由采购人依法组建。</w:t>
            </w:r>
          </w:p>
        </w:tc>
      </w:tr>
      <w:tr>
        <w:tblPrEx>
          <w:tblLayout w:type="fixed"/>
          <w:tblCellMar>
            <w:top w:w="0" w:type="dxa"/>
            <w:left w:w="108" w:type="dxa"/>
            <w:bottom w:w="0" w:type="dxa"/>
            <w:right w:w="108" w:type="dxa"/>
          </w:tblCellMar>
        </w:tblPrEx>
        <w:trPr>
          <w:trHeight w:val="110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w:t>
            </w:r>
          </w:p>
        </w:tc>
        <w:tc>
          <w:tcPr>
            <w:tcW w:w="1806"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履约担保</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fldChar w:fldCharType="begin"/>
            </w:r>
            <w:r>
              <w:rPr>
                <w:rFonts w:hint="eastAsia" w:ascii="新宋体" w:hAnsi="新宋体" w:eastAsia="新宋体" w:cs="新宋体"/>
                <w:b/>
                <w:bCs/>
                <w:color w:val="auto"/>
                <w:sz w:val="22"/>
                <w:highlight w:val="none"/>
              </w:rPr>
              <w:instrText xml:space="preserve"> eq \o\ac(</w:instrText>
            </w:r>
            <w:r>
              <w:rPr>
                <w:rFonts w:hint="eastAsia" w:ascii="新宋体" w:hAnsi="新宋体" w:eastAsia="新宋体" w:cs="新宋体"/>
                <w:b/>
                <w:bCs/>
                <w:color w:val="auto"/>
                <w:position w:val="-4"/>
                <w:sz w:val="33"/>
                <w:highlight w:val="none"/>
              </w:rPr>
              <w:instrText xml:space="preserve">□</w:instrText>
            </w:r>
            <w:r>
              <w:rPr>
                <w:rFonts w:hint="eastAsia" w:ascii="新宋体" w:hAnsi="新宋体" w:eastAsia="新宋体" w:cs="新宋体"/>
                <w:b/>
                <w:bCs/>
                <w:color w:val="auto"/>
                <w:sz w:val="22"/>
                <w:highlight w:val="none"/>
              </w:rPr>
              <w:instrText xml:space="preserve">,√)</w:instrText>
            </w:r>
            <w:r>
              <w:rPr>
                <w:rFonts w:hint="eastAsia" w:ascii="新宋体" w:hAnsi="新宋体" w:eastAsia="新宋体" w:cs="新宋体"/>
                <w:b/>
                <w:bCs/>
                <w:color w:val="auto"/>
                <w:sz w:val="22"/>
                <w:highlight w:val="none"/>
              </w:rPr>
              <w:fldChar w:fldCharType="end"/>
            </w:r>
            <w:r>
              <w:rPr>
                <w:rFonts w:hint="eastAsia" w:ascii="新宋体" w:hAnsi="新宋体" w:eastAsia="新宋体" w:cs="新宋体"/>
                <w:b/>
                <w:bCs/>
                <w:color w:val="auto"/>
                <w:sz w:val="22"/>
                <w:highlight w:val="none"/>
              </w:rPr>
              <w:t>不需要</w:t>
            </w:r>
          </w:p>
          <w:p>
            <w:pPr>
              <w:rPr>
                <w:rFonts w:ascii="新宋体" w:hAnsi="新宋体" w:eastAsia="新宋体" w:cs="新宋体"/>
                <w:bCs/>
                <w:color w:val="auto"/>
                <w:sz w:val="22"/>
                <w:highlight w:val="none"/>
              </w:rPr>
            </w:pPr>
            <w:r>
              <w:rPr>
                <w:rFonts w:hint="eastAsia" w:ascii="新宋体" w:hAnsi="新宋体" w:eastAsia="新宋体" w:cs="新宋体"/>
                <w:color w:val="auto"/>
                <w:sz w:val="22"/>
                <w:highlight w:val="none"/>
              </w:rPr>
              <w:t xml:space="preserve">□需要 </w:t>
            </w:r>
            <w:r>
              <w:rPr>
                <w:rFonts w:hint="eastAsia" w:ascii="新宋体" w:hAnsi="新宋体" w:eastAsia="新宋体" w:cs="新宋体"/>
                <w:bCs/>
                <w:color w:val="auto"/>
                <w:sz w:val="22"/>
                <w:highlight w:val="none"/>
              </w:rPr>
              <w:t xml:space="preserve"> 合同签订前中标投标人应提供合同总金额10%的履约保证金至采购人指定账户。</w:t>
            </w:r>
          </w:p>
        </w:tc>
      </w:tr>
      <w:tr>
        <w:tblPrEx>
          <w:tblLayout w:type="fixed"/>
          <w:tblCellMar>
            <w:top w:w="0" w:type="dxa"/>
            <w:left w:w="108" w:type="dxa"/>
            <w:bottom w:w="0" w:type="dxa"/>
            <w:right w:w="108" w:type="dxa"/>
          </w:tblCellMar>
        </w:tblPrEx>
        <w:trPr>
          <w:trHeight w:val="2958"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22</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政府采购</w:t>
            </w:r>
          </w:p>
          <w:p>
            <w:pPr>
              <w:adjustRightInd w:val="0"/>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扶持政策</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1）对符合财政扶持政策的小微企业给予评标价格优惠,具体规定见“第五部分评标原则及方法”。</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2) 中小企业（含中型、小型、微型）指符合中小企业划分标准（工信部联企业[2011]300号），在本项目政府采购活动中提供本企业制造的货物，或者提供其他中小企业制造的货物的企业。本项所称货物不包括使用大型企业注册商标的货物及进口货物。小型、微型企业提供中型企业制造的货物的，视同为中型企业。</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3)监狱企业、残疾人福利性单位视同小微企业，参加本项目投标的，享受小微企业同等的价格扣除。</w:t>
            </w:r>
          </w:p>
          <w:p>
            <w:pP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4)对节能、环保产品优先采购。</w:t>
            </w:r>
          </w:p>
          <w:p>
            <w:pPr>
              <w:rPr>
                <w:rFonts w:ascii="新宋体" w:hAnsi="新宋体" w:eastAsia="新宋体" w:cs="新宋体"/>
                <w:color w:val="auto"/>
                <w:sz w:val="22"/>
                <w:highlight w:val="none"/>
              </w:rPr>
            </w:pPr>
          </w:p>
        </w:tc>
      </w:tr>
      <w:tr>
        <w:tblPrEx>
          <w:tblLayout w:type="fixed"/>
          <w:tblCellMar>
            <w:top w:w="0" w:type="dxa"/>
            <w:left w:w="108" w:type="dxa"/>
            <w:bottom w:w="0" w:type="dxa"/>
            <w:right w:w="108" w:type="dxa"/>
          </w:tblCellMar>
        </w:tblPrEx>
        <w:trPr>
          <w:trHeight w:val="3267"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23</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投标人信用</w:t>
            </w:r>
          </w:p>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查询</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采购人或采购代理机构将对本项目供应商的信用信息进行查询。对列入失信被执行人、重大税收违法案件当事人名单、政府采购严重违法失信行为记录名单及其他不符合《中华人民共和国政府采购法》第二十二条规定条件的供应商，将拒绝其参与本次政府采购活动。</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2）查询渠道为信用中国网站（www.creditchina.gov.cn）、中国政府采购网（www.ccgp.gov.cn）。</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4）信用信息查询记录和证据以网页截图等方式留存。</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5）投标截止日当日网站显示的信用信息将作为资格审查的依据。</w:t>
            </w:r>
          </w:p>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6）联合体成员存在上述不良信用记录的，视同联合体存在不良信用记录</w:t>
            </w:r>
          </w:p>
          <w:p>
            <w:pPr>
              <w:jc w:val="left"/>
              <w:rPr>
                <w:rFonts w:ascii="新宋体" w:hAnsi="新宋体" w:eastAsia="新宋体" w:cs="新宋体"/>
                <w:color w:val="auto"/>
                <w:sz w:val="22"/>
                <w:highlight w:val="none"/>
              </w:rPr>
            </w:pPr>
            <w:r>
              <w:rPr>
                <w:rFonts w:hint="eastAsia" w:ascii="新宋体" w:hAnsi="新宋体" w:eastAsia="新宋体" w:cs="新宋体"/>
                <w:color w:val="auto"/>
                <w:kern w:val="0"/>
                <w:sz w:val="22"/>
                <w:szCs w:val="22"/>
                <w:highlight w:val="none"/>
              </w:rPr>
              <w:t>7）信用信息截止时点为投标文件递交截止日。</w:t>
            </w:r>
          </w:p>
        </w:tc>
      </w:tr>
      <w:tr>
        <w:tblPrEx>
          <w:tblLayout w:type="fixed"/>
          <w:tblCellMar>
            <w:top w:w="0" w:type="dxa"/>
            <w:left w:w="108" w:type="dxa"/>
            <w:bottom w:w="0" w:type="dxa"/>
            <w:right w:w="108" w:type="dxa"/>
          </w:tblCellMar>
        </w:tblPrEx>
        <w:trPr>
          <w:trHeight w:val="1155"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24</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合同备案</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（1）中标投标人须在中标通知书发出之日起30日历天内与采购人签订合同。</w:t>
            </w:r>
          </w:p>
          <w:p>
            <w:pPr>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（2）中标投标人与采购人签订合同后，2日历天内将合同扫描件电子版发给采购代理机构：邮箱：</w:t>
            </w:r>
            <w:r>
              <w:rPr>
                <w:rFonts w:hint="eastAsia" w:ascii="新宋体" w:hAnsi="新宋体" w:eastAsia="新宋体" w:cs="新宋体"/>
                <w:b/>
                <w:color w:val="auto"/>
                <w:sz w:val="22"/>
                <w:highlight w:val="none"/>
                <w:u w:val="single"/>
              </w:rPr>
              <w:t>53514766@qq.com</w:t>
            </w:r>
            <w:r>
              <w:rPr>
                <w:rFonts w:hint="eastAsia" w:ascii="新宋体" w:hAnsi="新宋体" w:eastAsia="新宋体" w:cs="新宋体"/>
                <w:color w:val="auto"/>
                <w:sz w:val="22"/>
                <w:highlight w:val="none"/>
              </w:rPr>
              <w:t>。</w:t>
            </w:r>
          </w:p>
        </w:tc>
      </w:tr>
      <w:tr>
        <w:tblPrEx>
          <w:tblLayout w:type="fixed"/>
          <w:tblCellMar>
            <w:top w:w="0" w:type="dxa"/>
            <w:left w:w="108" w:type="dxa"/>
            <w:bottom w:w="0" w:type="dxa"/>
            <w:right w:w="108" w:type="dxa"/>
          </w:tblCellMar>
        </w:tblPrEx>
        <w:trPr>
          <w:trHeight w:val="981"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25</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合同履约管理</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合同签订后，采购人依法加强对合同履约进行管理，并在中标单位服务、项目验收等重要关节，如实填写《合同验收报告》（或考核资料），并及时向同级财政部门报告验收过程中遇到的问题。</w:t>
            </w:r>
          </w:p>
        </w:tc>
      </w:tr>
      <w:tr>
        <w:tblPrEx>
          <w:tblLayout w:type="fixed"/>
          <w:tblCellMar>
            <w:top w:w="0" w:type="dxa"/>
            <w:left w:w="108" w:type="dxa"/>
            <w:bottom w:w="0" w:type="dxa"/>
            <w:right w:w="108" w:type="dxa"/>
          </w:tblCellMar>
        </w:tblPrEx>
        <w:trPr>
          <w:trHeight w:val="1350" w:hRule="exact"/>
        </w:trPr>
        <w:tc>
          <w:tcPr>
            <w:tcW w:w="92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26</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解释权</w:t>
            </w:r>
          </w:p>
        </w:tc>
        <w:tc>
          <w:tcPr>
            <w:tcW w:w="7119"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如发现招标文件及其评标办法中存在含糊不清、相互矛盾、多种含义以及歧视性不公正条款或违法违规等内容时，请在规定的质疑截止时间前向采购代理机构书面反映，逾期不得再对招标文件的条款提出质疑。招标文件解释权归采购代理机构与采购人所有。</w:t>
            </w:r>
          </w:p>
        </w:tc>
      </w:tr>
    </w:tbl>
    <w:p>
      <w:pPr>
        <w:pStyle w:val="4"/>
        <w:rPr>
          <w:rFonts w:ascii="新宋体" w:hAnsi="新宋体" w:eastAsia="新宋体" w:cs="新宋体"/>
          <w:color w:val="auto"/>
          <w:sz w:val="36"/>
          <w:szCs w:val="36"/>
          <w:highlight w:val="none"/>
        </w:rPr>
      </w:pPr>
      <w:bookmarkStart w:id="7" w:name="_Toc221374622"/>
      <w:bookmarkStart w:id="8" w:name="_Toc221356882"/>
      <w:bookmarkStart w:id="9" w:name="_Toc221356947"/>
      <w:bookmarkStart w:id="10" w:name="_Toc221423615"/>
      <w:bookmarkStart w:id="11" w:name="_Toc222114875"/>
      <w:bookmarkStart w:id="12" w:name="_Toc241404198"/>
      <w:bookmarkStart w:id="13" w:name="_Toc223715994"/>
      <w:bookmarkStart w:id="14" w:name="_Toc239145350"/>
      <w:bookmarkStart w:id="15" w:name="_Toc265529379"/>
      <w:r>
        <w:rPr>
          <w:rFonts w:hint="eastAsia" w:ascii="新宋体" w:hAnsi="新宋体" w:eastAsia="新宋体" w:cs="新宋体"/>
          <w:color w:val="auto"/>
          <w:sz w:val="36"/>
          <w:szCs w:val="36"/>
          <w:highlight w:val="none"/>
        </w:rPr>
        <w:br w:type="page"/>
      </w:r>
      <w:bookmarkStart w:id="16" w:name="_Toc29679"/>
      <w:r>
        <w:rPr>
          <w:rFonts w:hint="eastAsia" w:ascii="新宋体" w:hAnsi="新宋体" w:eastAsia="新宋体" w:cs="新宋体"/>
          <w:color w:val="auto"/>
          <w:sz w:val="36"/>
          <w:szCs w:val="36"/>
          <w:highlight w:val="none"/>
        </w:rPr>
        <w:t>第一部分    投标人须知</w:t>
      </w:r>
      <w:bookmarkEnd w:id="7"/>
      <w:bookmarkEnd w:id="8"/>
      <w:bookmarkEnd w:id="9"/>
      <w:bookmarkEnd w:id="10"/>
      <w:bookmarkEnd w:id="11"/>
      <w:bookmarkEnd w:id="12"/>
      <w:bookmarkEnd w:id="13"/>
      <w:bookmarkEnd w:id="14"/>
      <w:bookmarkEnd w:id="15"/>
      <w:bookmarkEnd w:id="16"/>
    </w:p>
    <w:p>
      <w:pPr>
        <w:spacing w:before="100" w:beforeAutospacing="1" w:after="100" w:afterAutospacing="1" w:line="440" w:lineRule="exact"/>
        <w:jc w:val="center"/>
        <w:outlineLvl w:val="0"/>
        <w:rPr>
          <w:rFonts w:ascii="新宋体" w:hAnsi="新宋体" w:eastAsia="新宋体" w:cs="新宋体"/>
          <w:b/>
          <w:bCs/>
          <w:color w:val="auto"/>
          <w:sz w:val="26"/>
          <w:szCs w:val="26"/>
          <w:highlight w:val="none"/>
        </w:rPr>
      </w:pPr>
      <w:bookmarkStart w:id="17" w:name="_Toc223715995"/>
      <w:bookmarkStart w:id="18" w:name="_Toc239145351"/>
      <w:bookmarkStart w:id="19" w:name="_Toc265529380"/>
      <w:bookmarkStart w:id="20" w:name="_Toc2647"/>
      <w:bookmarkStart w:id="21" w:name="_Toc241404199"/>
      <w:bookmarkStart w:id="22" w:name="_Toc222114876"/>
      <w:bookmarkStart w:id="23" w:name="_Toc221423616"/>
      <w:bookmarkStart w:id="24" w:name="_Toc221374623"/>
      <w:bookmarkStart w:id="25" w:name="_Toc221356948"/>
      <w:bookmarkStart w:id="26" w:name="_Toc221356883"/>
      <w:r>
        <w:rPr>
          <w:rFonts w:hint="eastAsia" w:ascii="新宋体" w:hAnsi="新宋体" w:eastAsia="新宋体" w:cs="新宋体"/>
          <w:b/>
          <w:bCs/>
          <w:color w:val="auto"/>
          <w:sz w:val="26"/>
          <w:szCs w:val="26"/>
          <w:highlight w:val="none"/>
        </w:rPr>
        <w:t>一、  说明</w:t>
      </w:r>
      <w:bookmarkEnd w:id="17"/>
      <w:bookmarkEnd w:id="18"/>
      <w:bookmarkEnd w:id="19"/>
      <w:bookmarkEnd w:id="20"/>
      <w:bookmarkEnd w:id="21"/>
      <w:bookmarkEnd w:id="22"/>
      <w:bookmarkEnd w:id="23"/>
      <w:bookmarkEnd w:id="24"/>
      <w:bookmarkEnd w:id="25"/>
      <w:bookmarkEnd w:id="26"/>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本次招标是按照《中华人民共和国政府采购法》、《政府采购货物和服务招标投标管理办法》和《中华人民共和国政府采购法实施条例》等法律及有关法规组织和实施的。</w:t>
      </w:r>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合格投标人</w:t>
      </w:r>
    </w:p>
    <w:p>
      <w:pPr>
        <w:numPr>
          <w:ilvl w:val="1"/>
          <w:numId w:val="5"/>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投标人合格条件见本项目招标公告及投标人须知前附表；</w:t>
      </w:r>
    </w:p>
    <w:p>
      <w:pPr>
        <w:numPr>
          <w:ilvl w:val="1"/>
          <w:numId w:val="5"/>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本项目谢绝联合体形式投标。</w:t>
      </w:r>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投标人代表</w:t>
      </w:r>
    </w:p>
    <w:p>
      <w:pPr>
        <w:spacing w:line="460" w:lineRule="exact"/>
        <w:ind w:left="538" w:leftChars="25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指全权代表投标人参加投标活动并签署投标文件的人。如果投标人代表不是法定代表人，须持有《法定代表人授权书》。</w:t>
      </w:r>
    </w:p>
    <w:p>
      <w:pPr>
        <w:numPr>
          <w:ilvl w:val="0"/>
          <w:numId w:val="4"/>
        </w:numPr>
        <w:tabs>
          <w:tab w:val="left" w:pos="540"/>
          <w:tab w:val="left" w:pos="900"/>
          <w:tab w:val="clear" w:pos="42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投标费用</w:t>
      </w:r>
    </w:p>
    <w:p>
      <w:pPr>
        <w:spacing w:line="460" w:lineRule="exact"/>
        <w:ind w:left="538" w:leftChars="25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投标人应承担所有与准备和参加投标有关费用，不论投标的结果如何，采购人和采购代理机构均无义务和责任承担这些费用。</w:t>
      </w:r>
    </w:p>
    <w:p>
      <w:pPr>
        <w:spacing w:before="100" w:beforeAutospacing="1" w:after="100" w:afterAutospacing="1" w:line="440" w:lineRule="exact"/>
        <w:jc w:val="center"/>
        <w:outlineLvl w:val="0"/>
        <w:rPr>
          <w:rFonts w:ascii="新宋体" w:hAnsi="新宋体" w:eastAsia="新宋体" w:cs="新宋体"/>
          <w:b/>
          <w:bCs/>
          <w:color w:val="auto"/>
          <w:sz w:val="26"/>
          <w:szCs w:val="26"/>
          <w:highlight w:val="none"/>
        </w:rPr>
      </w:pPr>
      <w:bookmarkStart w:id="27" w:name="_Toc239145352"/>
      <w:bookmarkStart w:id="28" w:name="_Toc241404200"/>
      <w:bookmarkStart w:id="29" w:name="_Toc222114877"/>
      <w:bookmarkStart w:id="30" w:name="_Toc265529381"/>
      <w:bookmarkStart w:id="31" w:name="_Toc221374624"/>
      <w:bookmarkStart w:id="32" w:name="_Toc221356884"/>
      <w:bookmarkStart w:id="33" w:name="_Toc223715996"/>
      <w:bookmarkStart w:id="34" w:name="_Toc9816"/>
      <w:bookmarkStart w:id="35" w:name="_Toc221423617"/>
      <w:bookmarkStart w:id="36" w:name="_Toc221356949"/>
      <w:r>
        <w:rPr>
          <w:rFonts w:hint="eastAsia" w:ascii="新宋体" w:hAnsi="新宋体" w:eastAsia="新宋体" w:cs="新宋体"/>
          <w:b/>
          <w:bCs/>
          <w:color w:val="auto"/>
          <w:sz w:val="26"/>
          <w:szCs w:val="26"/>
          <w:highlight w:val="none"/>
        </w:rPr>
        <w:t>二、 招标文件</w:t>
      </w:r>
      <w:bookmarkEnd w:id="27"/>
      <w:bookmarkEnd w:id="28"/>
      <w:bookmarkEnd w:id="29"/>
      <w:bookmarkEnd w:id="30"/>
      <w:bookmarkEnd w:id="31"/>
      <w:bookmarkEnd w:id="32"/>
      <w:bookmarkEnd w:id="33"/>
      <w:bookmarkEnd w:id="34"/>
      <w:bookmarkEnd w:id="35"/>
      <w:bookmarkEnd w:id="36"/>
    </w:p>
    <w:p>
      <w:pPr>
        <w:numPr>
          <w:ilvl w:val="0"/>
          <w:numId w:val="6"/>
        </w:numPr>
        <w:tabs>
          <w:tab w:val="left" w:pos="540"/>
        </w:tabs>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招标文件由招标文件目录所列内容及相关资料组成。</w:t>
      </w:r>
    </w:p>
    <w:p>
      <w:pPr>
        <w:numPr>
          <w:ilvl w:val="0"/>
          <w:numId w:val="6"/>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招标文件的澄清</w:t>
      </w:r>
    </w:p>
    <w:p>
      <w:pPr>
        <w:spacing w:line="460" w:lineRule="exact"/>
        <w:ind w:left="538" w:leftChars="256"/>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对招标文件如有疑点或未尽事宜要求澄清，或认为有必要进行说明或交流，投标人可以在知道或应知其权益受到损害之日起七个工作日内，以书面形式（包括信函、传真、下同）向采购人提出质疑，但质疑应在招标文件规定的询疑截止时间前使采购人收到，采购人将用书面形式予以答复。如有必要，可将不说明问题来源的答复发给各有关投标人或召开答疑会。如果标书答疑期内未收到有关疑问，视为投标人完全同意招标文件所有条款，且对于招标文件相关表述以及未尽事宜如有争议，以采购人解释为准。</w:t>
      </w:r>
    </w:p>
    <w:p>
      <w:pPr>
        <w:numPr>
          <w:ilvl w:val="0"/>
          <w:numId w:val="6"/>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招标文件的修改</w:t>
      </w:r>
    </w:p>
    <w:p>
      <w:pPr>
        <w:numPr>
          <w:ilvl w:val="1"/>
          <w:numId w:val="7"/>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在投标截止期十五天前，采购人无论是出于何种原因，均可对招标文件用补充文件的方式进行修改，并在浙江政府采购网上发布更正公告。该澄清和修改的内容为招标文件的组成部分。采购人可以视采购具体情况在招标文件要求提交截止时间前，作出延长投标截止时间和开标时间的决定，并将变更时间书面通知所有招标文件收受人，并在浙江政府采购网上发布变更公告。</w:t>
      </w:r>
    </w:p>
    <w:p>
      <w:pPr>
        <w:numPr>
          <w:ilvl w:val="1"/>
          <w:numId w:val="7"/>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本项目投标人均可在本项目报名后下载招标文件，并按招标文件规定的时间、地点递交投标文件（招标文件下载网址：http://www.zjzfcg.gov.cn/；招标文件如有补充更正均见http://www.zjzfcg.gov.cn/）。投标人须在开标前一日自行查看是否有补充更正文件，并按补充更正文件要求投标，否则责任自负。</w:t>
      </w:r>
    </w:p>
    <w:p>
      <w:pPr>
        <w:spacing w:before="100" w:beforeAutospacing="1" w:after="100" w:afterAutospacing="1" w:line="440" w:lineRule="exact"/>
        <w:jc w:val="center"/>
        <w:outlineLvl w:val="0"/>
        <w:rPr>
          <w:rFonts w:ascii="新宋体" w:hAnsi="新宋体" w:eastAsia="新宋体" w:cs="新宋体"/>
          <w:b/>
          <w:bCs/>
          <w:color w:val="auto"/>
          <w:sz w:val="26"/>
          <w:szCs w:val="26"/>
          <w:highlight w:val="none"/>
        </w:rPr>
      </w:pPr>
      <w:bookmarkStart w:id="37" w:name="_Toc221423618"/>
      <w:bookmarkStart w:id="38" w:name="_Toc222114878"/>
      <w:bookmarkStart w:id="39" w:name="_Toc223715997"/>
      <w:bookmarkStart w:id="40" w:name="_Toc239145353"/>
      <w:bookmarkStart w:id="41" w:name="_Toc241404201"/>
      <w:bookmarkStart w:id="42" w:name="_Toc265529382"/>
      <w:bookmarkStart w:id="43" w:name="_Toc15323"/>
      <w:bookmarkStart w:id="44" w:name="_Toc221374625"/>
      <w:bookmarkStart w:id="45" w:name="_Toc221356950"/>
      <w:bookmarkStart w:id="46" w:name="_Toc221356885"/>
      <w:r>
        <w:rPr>
          <w:rFonts w:hint="eastAsia" w:ascii="新宋体" w:hAnsi="新宋体" w:eastAsia="新宋体" w:cs="新宋体"/>
          <w:b/>
          <w:bCs/>
          <w:color w:val="auto"/>
          <w:sz w:val="26"/>
          <w:szCs w:val="26"/>
          <w:highlight w:val="none"/>
        </w:rPr>
        <w:t>三、 投标文件的编制</w:t>
      </w:r>
      <w:bookmarkEnd w:id="37"/>
      <w:bookmarkEnd w:id="38"/>
      <w:bookmarkEnd w:id="39"/>
      <w:bookmarkEnd w:id="40"/>
      <w:bookmarkEnd w:id="41"/>
      <w:bookmarkEnd w:id="42"/>
      <w:bookmarkEnd w:id="43"/>
      <w:bookmarkEnd w:id="44"/>
      <w:bookmarkEnd w:id="45"/>
      <w:bookmarkEnd w:id="46"/>
    </w:p>
    <w:p>
      <w:pPr>
        <w:numPr>
          <w:ilvl w:val="0"/>
          <w:numId w:val="8"/>
        </w:numPr>
        <w:tabs>
          <w:tab w:val="left" w:pos="540"/>
        </w:tabs>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投标人应认真阅读招标文件中所有事项格式、条款和技术规范等。投标人没有按照招标文件要求提交全部资料，或者没有对招标文件各个方面做出实质性响应，导致投标被拒绝的风险由投标人自行承担。</w:t>
      </w:r>
    </w:p>
    <w:p>
      <w:pPr>
        <w:numPr>
          <w:ilvl w:val="0"/>
          <w:numId w:val="8"/>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投标人法律责任</w:t>
      </w:r>
    </w:p>
    <w:p>
      <w:pPr>
        <w:numPr>
          <w:ilvl w:val="1"/>
          <w:numId w:val="9"/>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投标人应保证所提供文件资料的真实性，所有文件资料必须是针对本次投标的。如发现投标人提供了虚假文件资料，其投标将被拒绝，并自行承担相应的法律责任。</w:t>
      </w:r>
    </w:p>
    <w:p>
      <w:pPr>
        <w:numPr>
          <w:ilvl w:val="0"/>
          <w:numId w:val="8"/>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投标文件的构成：</w:t>
      </w:r>
    </w:p>
    <w:p>
      <w:pPr>
        <w:numPr>
          <w:ilvl w:val="1"/>
          <w:numId w:val="10"/>
        </w:numPr>
        <w:tabs>
          <w:tab w:val="left" w:pos="360"/>
          <w:tab w:val="clear" w:pos="992"/>
        </w:tabs>
        <w:spacing w:line="460" w:lineRule="exact"/>
        <w:ind w:left="360" w:hanging="36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投标文件由资格文件、技术资信标、商务（报价）标三部分构成：</w:t>
      </w:r>
    </w:p>
    <w:p>
      <w:pPr>
        <w:numPr>
          <w:ilvl w:val="0"/>
          <w:numId w:val="11"/>
        </w:num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资格文件</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724"/>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 号</w:t>
            </w:r>
          </w:p>
        </w:tc>
        <w:tc>
          <w:tcPr>
            <w:tcW w:w="7724"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 容</w:t>
            </w:r>
          </w:p>
        </w:tc>
        <w:tc>
          <w:tcPr>
            <w:tcW w:w="1283" w:type="dxa"/>
            <w:vAlign w:val="center"/>
          </w:tcPr>
          <w:p>
            <w:pPr>
              <w:tabs>
                <w:tab w:val="center" w:pos="1534"/>
              </w:tabs>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w:t>
            </w:r>
          </w:p>
        </w:tc>
        <w:tc>
          <w:tcPr>
            <w:tcW w:w="7724" w:type="dxa"/>
          </w:tcPr>
          <w:p>
            <w:pPr>
              <w:overflowPunct w:val="0"/>
              <w:spacing w:line="43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u w:val="single"/>
              </w:rPr>
              <w:t>▲资格文件（强制性要求，投标人须根据以下要求提供相关证明材料，否则不能通过资格性审查的责任自负。）</w:t>
            </w:r>
          </w:p>
        </w:tc>
        <w:tc>
          <w:tcPr>
            <w:tcW w:w="1283"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1.1</w:t>
            </w:r>
          </w:p>
        </w:tc>
        <w:tc>
          <w:tcPr>
            <w:tcW w:w="7724" w:type="dxa"/>
            <w:vAlign w:val="center"/>
          </w:tcPr>
          <w:p>
            <w:pP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p>
            <w:pPr>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283" w:type="dxa"/>
            <w:vAlign w:val="center"/>
          </w:tcPr>
          <w:p>
            <w:pPr>
              <w:overflowPunct w:val="0"/>
              <w:spacing w:line="430" w:lineRule="exact"/>
              <w:jc w:val="center"/>
              <w:rPr>
                <w:rFonts w:ascii="新宋体" w:hAnsi="新宋体" w:eastAsia="新宋体" w:cs="新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1.2</w:t>
            </w:r>
          </w:p>
        </w:tc>
        <w:tc>
          <w:tcPr>
            <w:tcW w:w="7724" w:type="dxa"/>
            <w:vAlign w:val="center"/>
          </w:tcPr>
          <w:p>
            <w:pP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eastAsia="zh-CN"/>
              </w:rPr>
              <w:t>2018年12月份或2019年12月份</w:t>
            </w:r>
            <w:r>
              <w:rPr>
                <w:rFonts w:hint="eastAsia" w:ascii="新宋体" w:hAnsi="新宋体" w:eastAsia="新宋体" w:cs="新宋体"/>
                <w:bCs/>
                <w:color w:val="auto"/>
                <w:sz w:val="22"/>
                <w:szCs w:val="22"/>
                <w:highlight w:val="none"/>
              </w:rPr>
              <w:t>的资产负债表及损益表（或利润表）(新成立的公司，必须提供情况说明)</w:t>
            </w:r>
          </w:p>
        </w:tc>
        <w:tc>
          <w:tcPr>
            <w:tcW w:w="1283" w:type="dxa"/>
            <w:vAlign w:val="center"/>
          </w:tcPr>
          <w:p>
            <w:pPr>
              <w:overflowPunct w:val="0"/>
              <w:spacing w:line="430" w:lineRule="exact"/>
              <w:jc w:val="center"/>
              <w:rPr>
                <w:rFonts w:ascii="新宋体" w:hAnsi="新宋体" w:eastAsia="新宋体" w:cs="新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w:t>
            </w:r>
          </w:p>
        </w:tc>
        <w:tc>
          <w:tcPr>
            <w:tcW w:w="7724" w:type="dxa"/>
            <w:vAlign w:val="center"/>
          </w:tcPr>
          <w:p>
            <w:pPr>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zh-CN"/>
              </w:rPr>
              <w:t>具有履行合同所必需的设备和专业技术能力的承诺函</w:t>
            </w:r>
          </w:p>
        </w:tc>
        <w:tc>
          <w:tcPr>
            <w:tcW w:w="1283"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w:t>
            </w:r>
          </w:p>
        </w:tc>
        <w:tc>
          <w:tcPr>
            <w:tcW w:w="7724" w:type="dxa"/>
            <w:vAlign w:val="center"/>
          </w:tcPr>
          <w:p>
            <w:pPr>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lang w:val="zh-CN"/>
              </w:rPr>
              <w:t>参加政府采购活动前3年内</w:t>
            </w:r>
            <w:r>
              <w:rPr>
                <w:rFonts w:hint="eastAsia" w:ascii="新宋体" w:hAnsi="新宋体" w:eastAsia="新宋体" w:cs="新宋体"/>
                <w:color w:val="auto"/>
                <w:sz w:val="22"/>
                <w:szCs w:val="22"/>
                <w:highlight w:val="none"/>
              </w:rPr>
              <w:t>（新成立不满三年的组织机构自成立之日起算）</w:t>
            </w:r>
            <w:r>
              <w:rPr>
                <w:rFonts w:hint="eastAsia" w:ascii="新宋体" w:hAnsi="新宋体" w:eastAsia="新宋体" w:cs="新宋体"/>
                <w:color w:val="auto"/>
                <w:sz w:val="22"/>
                <w:szCs w:val="22"/>
                <w:highlight w:val="none"/>
                <w:lang w:val="zh-CN"/>
              </w:rPr>
              <w:t>在经营活动中没有重大违法记录的声明函</w:t>
            </w:r>
          </w:p>
        </w:tc>
        <w:tc>
          <w:tcPr>
            <w:tcW w:w="1283"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 w:type="dxa"/>
            <w:vAlign w:val="center"/>
          </w:tcPr>
          <w:p>
            <w:pPr>
              <w:overflowPunct w:val="0"/>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1.5</w:t>
            </w:r>
          </w:p>
        </w:tc>
        <w:tc>
          <w:tcPr>
            <w:tcW w:w="7724" w:type="dxa"/>
            <w:vAlign w:val="center"/>
          </w:tcPr>
          <w:p>
            <w:pPr>
              <w:rPr>
                <w:rFonts w:ascii="新宋体" w:hAnsi="新宋体" w:eastAsia="新宋体" w:cs="新宋体"/>
                <w:color w:val="auto"/>
                <w:sz w:val="22"/>
                <w:szCs w:val="22"/>
                <w:highlight w:val="none"/>
                <w:lang w:val="zh-CN"/>
              </w:rPr>
            </w:pPr>
            <w:r>
              <w:rPr>
                <w:rFonts w:hint="eastAsia" w:ascii="新宋体" w:hAnsi="新宋体" w:eastAsia="新宋体" w:cs="新宋体"/>
                <w:bCs/>
                <w:color w:val="auto"/>
                <w:kern w:val="0"/>
                <w:sz w:val="22"/>
                <w:szCs w:val="22"/>
                <w:highlight w:val="none"/>
              </w:rPr>
              <w:t>投标人有效的医疗器械经营许可证证书复印件（如适用）</w:t>
            </w:r>
          </w:p>
        </w:tc>
        <w:tc>
          <w:tcPr>
            <w:tcW w:w="1283" w:type="dxa"/>
            <w:vAlign w:val="center"/>
          </w:tcPr>
          <w:p>
            <w:pPr>
              <w:overflowPunct w:val="0"/>
              <w:spacing w:line="430" w:lineRule="exact"/>
              <w:jc w:val="center"/>
              <w:rPr>
                <w:rFonts w:ascii="新宋体" w:hAnsi="新宋体" w:eastAsia="新宋体" w:cs="新宋体"/>
                <w:b/>
                <w:bCs/>
                <w:color w:val="auto"/>
                <w:sz w:val="22"/>
                <w:szCs w:val="22"/>
                <w:highlight w:val="none"/>
              </w:rPr>
            </w:pPr>
          </w:p>
        </w:tc>
      </w:tr>
    </w:tbl>
    <w:p>
      <w:pPr>
        <w:spacing w:line="430" w:lineRule="exact"/>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注：▲上述基本资格条件审查材料、特定资格条件审查材料有一项不提供的，视为资格审查不通过,不进入后续评审。</w:t>
      </w:r>
    </w:p>
    <w:p>
      <w:pPr>
        <w:spacing w:line="430" w:lineRule="exact"/>
        <w:ind w:left="187" w:leftChars="85" w:hanging="9" w:hangingChars="4"/>
        <w:rPr>
          <w:rFonts w:ascii="新宋体" w:hAnsi="新宋体" w:eastAsia="新宋体" w:cs="新宋体"/>
          <w:b/>
          <w:color w:val="auto"/>
          <w:sz w:val="22"/>
          <w:szCs w:val="22"/>
          <w:highlight w:val="none"/>
        </w:rPr>
      </w:pPr>
    </w:p>
    <w:p>
      <w:pPr>
        <w:spacing w:line="430" w:lineRule="exact"/>
        <w:ind w:left="187" w:leftChars="85" w:hanging="9" w:hangingChars="4"/>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（2）技术资信标</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713"/>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713" w:type="dxa"/>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396" w:type="dxa"/>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713" w:type="dxa"/>
            <w:vAlign w:val="center"/>
          </w:tcPr>
          <w:p>
            <w:pPr>
              <w:spacing w:line="360" w:lineRule="auto"/>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u w:val="single"/>
              </w:rPr>
              <w:t>▲投标函</w:t>
            </w:r>
          </w:p>
        </w:tc>
        <w:tc>
          <w:tcPr>
            <w:tcW w:w="1396"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▲法定代表人诚信投标承诺书</w:t>
            </w:r>
          </w:p>
        </w:tc>
        <w:tc>
          <w:tcPr>
            <w:tcW w:w="1396"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▲法定代表人授权书和授权代表人有效身份证明</w:t>
            </w:r>
          </w:p>
        </w:tc>
        <w:tc>
          <w:tcPr>
            <w:tcW w:w="1396"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7713" w:type="dxa"/>
            <w:vAlign w:val="center"/>
          </w:tcPr>
          <w:p>
            <w:pPr>
              <w:spacing w:line="360" w:lineRule="auto"/>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u w:val="single"/>
              </w:rPr>
              <w:t>▲技术参数及服务条款应答表、商务条款偏离表</w:t>
            </w:r>
          </w:p>
        </w:tc>
        <w:tc>
          <w:tcPr>
            <w:tcW w:w="1396"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7713" w:type="dxa"/>
            <w:vAlign w:val="center"/>
          </w:tcPr>
          <w:p>
            <w:pPr>
              <w:spacing w:line="360" w:lineRule="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资信证明文件（本项为量化评分内容，非强制性要求）</w:t>
            </w:r>
          </w:p>
        </w:tc>
        <w:tc>
          <w:tcPr>
            <w:tcW w:w="1396" w:type="dxa"/>
            <w:vAlign w:val="center"/>
          </w:tcPr>
          <w:p>
            <w:pPr>
              <w:spacing w:line="360" w:lineRule="auto"/>
              <w:jc w:val="center"/>
              <w:rPr>
                <w:rFonts w:ascii="新宋体" w:hAnsi="新宋体" w:eastAsia="新宋体" w:cs="新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2014年1月 1日至今所投产品供货业绩证明材料复印件</w:t>
            </w:r>
          </w:p>
        </w:tc>
        <w:tc>
          <w:tcPr>
            <w:tcW w:w="1396"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13" w:type="dxa"/>
            <w:vAlign w:val="center"/>
          </w:tcPr>
          <w:p>
            <w:pPr>
              <w:spacing w:line="3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1)投标产品列入财政部、发展改革委、生态环境部等部门发布的节能产品品目清单且提供国家确定的认证机构出具的、处于有效期之内的节能产品认证证书。</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2）投标产品列入财政部、发展改革委、生态环境部等部门发布的环境标志产品品目清单且提供国家确定的认证机构出具的、处于有效期之内的环境标志产品认证证书。</w:t>
            </w:r>
          </w:p>
        </w:tc>
        <w:tc>
          <w:tcPr>
            <w:tcW w:w="1396" w:type="dxa"/>
            <w:vAlign w:val="center"/>
          </w:tcPr>
          <w:p>
            <w:pPr>
              <w:spacing w:line="360" w:lineRule="auto"/>
              <w:jc w:val="center"/>
              <w:rPr>
                <w:rFonts w:ascii="新宋体" w:hAnsi="新宋体" w:eastAsia="新宋体" w:cs="新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6）</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投标人情况介绍（格式自定）</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7713" w:type="dxa"/>
            <w:vAlign w:val="center"/>
          </w:tcPr>
          <w:p>
            <w:pPr>
              <w:spacing w:line="360" w:lineRule="auto"/>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提供食品药品监督管理部门核发的完整有效的医疗器械注册或备案证明；（适用于按医疗器械管理的设备，医疗器械注册或备案证明应包括医疗器械注册证、医疗器械注册表、备案证明及备案表等所有与医疗器械注册或备案相关的证明材料）</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7713" w:type="dxa"/>
            <w:vAlign w:val="center"/>
          </w:tcPr>
          <w:p>
            <w:pPr>
              <w:spacing w:line="360" w:lineRule="auto"/>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货物制造商或其它有销售资格（提供证明材料）的供应商出具的授权书（如有）；</w:t>
            </w:r>
          </w:p>
        </w:tc>
        <w:tc>
          <w:tcPr>
            <w:tcW w:w="1396"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7713" w:type="dxa"/>
            <w:vAlign w:val="center"/>
          </w:tcPr>
          <w:p>
            <w:pPr>
              <w:spacing w:line="360" w:lineRule="auto"/>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▲其他法律、法规等规定所投货物合法销售所必须具备的资质要求，提供相关证明材料；（如有）</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所投产品配置清单及产品性能、技术、质量水平的详细描述.</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所投产品配置清单</w:t>
            </w:r>
          </w:p>
        </w:tc>
        <w:tc>
          <w:tcPr>
            <w:tcW w:w="1396"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附件七（2）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所投产品性能、技术、质量水平的详细描述</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免费提供的备品、备件清单及质保期后主要零配件及易损件价格清单</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免费提供的备品、备件清单(格式自拟)</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质保期后主要零配件及易损件价格清单(格式自拟)</w:t>
            </w:r>
          </w:p>
        </w:tc>
        <w:tc>
          <w:tcPr>
            <w:tcW w:w="1396" w:type="dxa"/>
            <w:vAlign w:val="center"/>
          </w:tcPr>
          <w:p>
            <w:pPr>
              <w:spacing w:line="360" w:lineRule="auto"/>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投标产品的样本或彩页</w:t>
            </w:r>
          </w:p>
        </w:tc>
        <w:tc>
          <w:tcPr>
            <w:tcW w:w="1396"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项目的交货、安装、调试、验收、培训等服务的详细实施方案</w:t>
            </w:r>
          </w:p>
        </w:tc>
        <w:tc>
          <w:tcPr>
            <w:tcW w:w="1396"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售后服务网点介绍、服务内容、措施和承诺</w:t>
            </w:r>
          </w:p>
        </w:tc>
        <w:tc>
          <w:tcPr>
            <w:tcW w:w="1396"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技术服务、质量保证、惩罚保证、优惠承诺、售后服务措施及承诺</w:t>
            </w:r>
          </w:p>
        </w:tc>
        <w:tc>
          <w:tcPr>
            <w:tcW w:w="1396" w:type="dxa"/>
            <w:vAlign w:val="center"/>
          </w:tcPr>
          <w:p>
            <w:pPr>
              <w:spacing w:line="360" w:lineRule="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5" w:type="dxa"/>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w:t>
            </w:r>
          </w:p>
        </w:tc>
        <w:tc>
          <w:tcPr>
            <w:tcW w:w="7713" w:type="dxa"/>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投标人认为需要提供的其他材料及说明</w:t>
            </w:r>
          </w:p>
        </w:tc>
        <w:tc>
          <w:tcPr>
            <w:tcW w:w="1396" w:type="dxa"/>
            <w:vAlign w:val="center"/>
          </w:tcPr>
          <w:p>
            <w:pPr>
              <w:spacing w:line="360" w:lineRule="auto"/>
              <w:rPr>
                <w:rFonts w:ascii="新宋体" w:hAnsi="新宋体" w:eastAsia="新宋体" w:cs="新宋体"/>
                <w:color w:val="auto"/>
                <w:sz w:val="22"/>
                <w:szCs w:val="22"/>
                <w:highlight w:val="none"/>
              </w:rPr>
            </w:pPr>
          </w:p>
        </w:tc>
      </w:tr>
    </w:tbl>
    <w:p>
      <w:pPr>
        <w:spacing w:line="430" w:lineRule="exact"/>
        <w:ind w:left="187" w:leftChars="85" w:hanging="9" w:hangingChars="4"/>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注：▲技术资信标编制表格中</w:t>
      </w:r>
      <w:r>
        <w:rPr>
          <w:rFonts w:hint="eastAsia" w:ascii="新宋体" w:hAnsi="新宋体" w:eastAsia="新宋体" w:cs="新宋体"/>
          <w:b/>
          <w:color w:val="auto"/>
          <w:sz w:val="22"/>
          <w:szCs w:val="22"/>
          <w:highlight w:val="none"/>
          <w:u w:val="single"/>
          <w:lang w:val="zh-CN"/>
        </w:rPr>
        <w:t>序号的第</w:t>
      </w:r>
      <w:r>
        <w:rPr>
          <w:rFonts w:hint="eastAsia" w:ascii="新宋体" w:hAnsi="新宋体" w:eastAsia="新宋体" w:cs="新宋体"/>
          <w:b/>
          <w:color w:val="auto"/>
          <w:sz w:val="22"/>
          <w:szCs w:val="22"/>
          <w:highlight w:val="none"/>
          <w:u w:val="single"/>
        </w:rPr>
        <w:t>1)、</w:t>
      </w:r>
      <w:r>
        <w:rPr>
          <w:rFonts w:hint="eastAsia" w:ascii="新宋体" w:hAnsi="新宋体" w:eastAsia="新宋体" w:cs="新宋体"/>
          <w:b/>
          <w:color w:val="auto"/>
          <w:sz w:val="22"/>
          <w:szCs w:val="22"/>
          <w:highlight w:val="none"/>
          <w:u w:val="single"/>
          <w:lang w:val="zh-CN"/>
        </w:rPr>
        <w:t>2）、</w:t>
      </w:r>
      <w:r>
        <w:rPr>
          <w:rFonts w:hint="eastAsia" w:ascii="新宋体" w:hAnsi="新宋体" w:eastAsia="新宋体" w:cs="新宋体"/>
          <w:b/>
          <w:color w:val="auto"/>
          <w:sz w:val="22"/>
          <w:szCs w:val="22"/>
          <w:highlight w:val="none"/>
          <w:u w:val="single"/>
        </w:rPr>
        <w:t>3）、4）</w:t>
      </w:r>
      <w:r>
        <w:rPr>
          <w:rFonts w:hint="eastAsia" w:ascii="新宋体" w:hAnsi="新宋体" w:eastAsia="新宋体" w:cs="新宋体"/>
          <w:b/>
          <w:color w:val="auto"/>
          <w:sz w:val="22"/>
          <w:szCs w:val="22"/>
          <w:highlight w:val="none"/>
          <w:u w:val="single"/>
          <w:lang w:val="zh-CN"/>
        </w:rPr>
        <w:t>项投标人必须提供，否则不能通过符合性审查的，责任自负。</w:t>
      </w:r>
    </w:p>
    <w:p>
      <w:pPr>
        <w:spacing w:line="430" w:lineRule="exact"/>
        <w:ind w:left="187" w:leftChars="85" w:hanging="9" w:hangingChars="4"/>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说明：</w:t>
      </w:r>
    </w:p>
    <w:p>
      <w:pPr>
        <w:numPr>
          <w:ilvl w:val="0"/>
          <w:numId w:val="12"/>
        </w:numPr>
        <w:tabs>
          <w:tab w:val="left" w:pos="5355"/>
        </w:tabs>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2014年1月 1日至今所投产品供货业绩证明材料：</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每业绩须提供证明文件，业绩证明文件以合同文本复印件加盖公章为准；</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合同签订时间为有效时间节点；</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合同文本中须含有所投产品；</w:t>
      </w:r>
    </w:p>
    <w:p>
      <w:pPr>
        <w:numPr>
          <w:ilvl w:val="0"/>
          <w:numId w:val="13"/>
        </w:numPr>
        <w:tabs>
          <w:tab w:val="left" w:pos="1260"/>
          <w:tab w:val="left" w:pos="1620"/>
          <w:tab w:val="left" w:pos="5355"/>
        </w:tabs>
        <w:spacing w:line="430" w:lineRule="exact"/>
        <w:ind w:left="1260" w:firstLine="0"/>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不满足以上要求的供货业绩在评审过程中将不被认可。</w:t>
      </w:r>
    </w:p>
    <w:p>
      <w:pPr>
        <w:numPr>
          <w:ilvl w:val="0"/>
          <w:numId w:val="12"/>
        </w:numPr>
        <w:tabs>
          <w:tab w:val="left" w:pos="5355"/>
        </w:tabs>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投标人可根据招标文件中的技术规格书以及技术资信评分表，提供投标人认为需要提供的文件和资料。</w:t>
      </w:r>
    </w:p>
    <w:p>
      <w:pPr>
        <w:numPr>
          <w:ilvl w:val="0"/>
          <w:numId w:val="12"/>
        </w:numPr>
        <w:tabs>
          <w:tab w:val="left" w:pos="5355"/>
        </w:tabs>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中应承诺：投标人所提供的货物/服务所有权归采购人所有。如若发生侵权事件，其侵权责任与采购人及采购代理机构无关，由投标人承担全部责任。侵权造成的所有相关费用，均由投标人支付，保证不伤害采购人的利益。</w:t>
      </w:r>
    </w:p>
    <w:p>
      <w:pPr>
        <w:numPr>
          <w:ilvl w:val="0"/>
          <w:numId w:val="12"/>
        </w:numPr>
        <w:tabs>
          <w:tab w:val="left" w:pos="5355"/>
        </w:tabs>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投标人可在投标文件中对招标文件中的技术要求选用替代标准、补充或更改，但这些替代标准及补充更改必须相当于或优于招标文件中提出的相应技术要求，并使采购人满意。同时在技术偏离表中作出详细说明。</w:t>
      </w:r>
    </w:p>
    <w:p>
      <w:pPr>
        <w:numPr>
          <w:ilvl w:val="0"/>
          <w:numId w:val="12"/>
        </w:numPr>
        <w:tabs>
          <w:tab w:val="left" w:pos="5355"/>
        </w:tabs>
        <w:spacing w:line="430" w:lineRule="exact"/>
        <w:rPr>
          <w:rFonts w:ascii="新宋体" w:hAnsi="新宋体" w:eastAsia="新宋体" w:cs="新宋体"/>
          <w:b/>
          <w:color w:val="auto"/>
          <w:sz w:val="22"/>
          <w:szCs w:val="22"/>
          <w:highlight w:val="none"/>
          <w:u w:val="single"/>
        </w:rPr>
      </w:pPr>
      <w:r>
        <w:rPr>
          <w:rFonts w:hint="eastAsia" w:ascii="新宋体" w:hAnsi="新宋体" w:eastAsia="新宋体" w:cs="新宋体"/>
          <w:color w:val="auto"/>
          <w:sz w:val="22"/>
          <w:szCs w:val="22"/>
          <w:highlight w:val="none"/>
          <w:u w:val="single"/>
        </w:rPr>
        <w:t>以上所需的各种证书、证件、证明、执照若系复印件，须在复印件上加盖投标人有效的公章。</w:t>
      </w:r>
    </w:p>
    <w:p>
      <w:pPr>
        <w:spacing w:line="430" w:lineRule="exact"/>
        <w:rPr>
          <w:rFonts w:ascii="新宋体" w:hAnsi="新宋体" w:eastAsia="新宋体" w:cs="新宋体"/>
          <w:b/>
          <w:color w:val="auto"/>
          <w:sz w:val="22"/>
          <w:szCs w:val="22"/>
          <w:highlight w:val="none"/>
        </w:rPr>
      </w:pPr>
      <w:bookmarkStart w:id="47" w:name="_Toc221356886"/>
      <w:r>
        <w:rPr>
          <w:rFonts w:hint="eastAsia" w:ascii="新宋体" w:hAnsi="新宋体" w:eastAsia="新宋体" w:cs="新宋体"/>
          <w:b/>
          <w:color w:val="auto"/>
          <w:sz w:val="22"/>
          <w:szCs w:val="22"/>
          <w:highlight w:val="none"/>
        </w:rPr>
        <w:t>（3） 商务（报价）标</w:t>
      </w:r>
      <w:bookmarkEnd w:id="47"/>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369"/>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8"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7369"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577" w:type="dxa"/>
            <w:vAlign w:val="center"/>
          </w:tcPr>
          <w:p>
            <w:pPr>
              <w:spacing w:line="43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8" w:type="dxa"/>
            <w:vAlign w:val="center"/>
          </w:tcPr>
          <w:p>
            <w:pPr>
              <w:spacing w:line="43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369"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开标一览表</w:t>
            </w:r>
          </w:p>
        </w:tc>
        <w:tc>
          <w:tcPr>
            <w:tcW w:w="1577"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 xml:space="preserve">   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369"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投标分项报价表</w:t>
            </w:r>
          </w:p>
        </w:tc>
        <w:tc>
          <w:tcPr>
            <w:tcW w:w="1577" w:type="dxa"/>
            <w:vAlign w:val="center"/>
          </w:tcPr>
          <w:p>
            <w:pPr>
              <w:spacing w:line="430" w:lineRule="exact"/>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 xml:space="preserve">   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8" w:type="dxa"/>
            <w:vAlign w:val="center"/>
          </w:tcPr>
          <w:p>
            <w:pPr>
              <w:spacing w:line="43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369" w:type="dxa"/>
            <w:vAlign w:val="center"/>
          </w:tcPr>
          <w:p>
            <w:pPr>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中小企业声明函（或监狱企业声明函）及其相关的充分的证明材料、残疾人福利性单位声明函</w:t>
            </w:r>
          </w:p>
        </w:tc>
        <w:tc>
          <w:tcPr>
            <w:tcW w:w="1577" w:type="dxa"/>
            <w:vAlign w:val="center"/>
          </w:tcPr>
          <w:p>
            <w:pPr>
              <w:spacing w:line="43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招标文件第二部分相关附件</w:t>
            </w:r>
          </w:p>
        </w:tc>
      </w:tr>
    </w:tbl>
    <w:p>
      <w:pPr>
        <w:numPr>
          <w:ilvl w:val="1"/>
          <w:numId w:val="10"/>
        </w:numPr>
        <w:tabs>
          <w:tab w:val="left" w:pos="360"/>
          <w:tab w:val="clear" w:pos="992"/>
        </w:tabs>
        <w:spacing w:line="360" w:lineRule="auto"/>
        <w:ind w:left="360" w:hanging="36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投标文件格式</w:t>
      </w:r>
    </w:p>
    <w:p>
      <w:pPr>
        <w:numPr>
          <w:ilvl w:val="0"/>
          <w:numId w:val="14"/>
        </w:numPr>
        <w:tabs>
          <w:tab w:val="left" w:pos="5355"/>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投标人应根据招标文件中所提供的格式，内容按顺序填写并装订成册；</w:t>
      </w:r>
    </w:p>
    <w:p>
      <w:pPr>
        <w:numPr>
          <w:ilvl w:val="0"/>
          <w:numId w:val="14"/>
        </w:numPr>
        <w:tabs>
          <w:tab w:val="left" w:pos="5355"/>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投标文件应有目录以及页码，以便评委检索；</w:t>
      </w:r>
    </w:p>
    <w:p>
      <w:pPr>
        <w:numPr>
          <w:ilvl w:val="0"/>
          <w:numId w:val="14"/>
        </w:numPr>
        <w:tabs>
          <w:tab w:val="left" w:pos="5355"/>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投标文件表述内容应简练，尽可能以双面打印（复印）制作；</w:t>
      </w:r>
    </w:p>
    <w:p>
      <w:pPr>
        <w:numPr>
          <w:ilvl w:val="0"/>
          <w:numId w:val="14"/>
        </w:numPr>
        <w:tabs>
          <w:tab w:val="left" w:pos="5355"/>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资格文件、技术资信标、商务（报价）标分别包装于各自标函袋中，标函袋不做统一要求；</w:t>
      </w:r>
    </w:p>
    <w:p>
      <w:pPr>
        <w:numPr>
          <w:ilvl w:val="0"/>
          <w:numId w:val="14"/>
        </w:numPr>
        <w:tabs>
          <w:tab w:val="left" w:pos="5355"/>
        </w:tabs>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说明:若资格文件装订在技术资信标中，由此造成对供应商不利评审的，评标委员会、采购人及采购代理机构不承担任何责任。</w:t>
      </w:r>
    </w:p>
    <w:p>
      <w:pPr>
        <w:tabs>
          <w:tab w:val="left" w:pos="-180"/>
          <w:tab w:val="left" w:pos="180"/>
          <w:tab w:val="left" w:pos="360"/>
        </w:tabs>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10.3 证书原件：</w:t>
      </w:r>
    </w:p>
    <w:p>
      <w:pPr>
        <w:tabs>
          <w:tab w:val="left" w:pos="-180"/>
          <w:tab w:val="left" w:pos="180"/>
          <w:tab w:val="left" w:pos="360"/>
        </w:tabs>
        <w:spacing w:line="360" w:lineRule="auto"/>
        <w:ind w:firstLine="44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证书、证件、证明等原件，属备查项目，供应商可将原件单独包封，但不需与磋商响应文件一同递交，若评标委员会对各供应商投标文件进行评审期间需要对相关证明文件原件进行审核，则由采购代理机构要求供应商提交，届时无法提交的，有可能影响其技术资信得分。</w:t>
      </w:r>
    </w:p>
    <w:p>
      <w:pPr>
        <w:numPr>
          <w:ilvl w:val="0"/>
          <w:numId w:val="8"/>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投标报</w:t>
      </w:r>
      <w:r>
        <w:rPr>
          <w:rFonts w:hint="eastAsia" w:ascii="新宋体" w:hAnsi="新宋体" w:eastAsia="新宋体" w:cs="新宋体"/>
          <w:color w:val="auto"/>
          <w:sz w:val="22"/>
          <w:szCs w:val="22"/>
          <w:highlight w:val="none"/>
        </w:rPr>
        <w:t>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的投标报价应为承包完成本次投标需完成全部工作所发生的所有费用，并承担一切风险责任。投标报价指是指卖方在正确地完全履行合同义务后的货物价款，即货物的供货、税金、运输、保险、装卸、安装、检验（检定费）、配合验收、技术服务、售后服务、质保期保障、材料、采购代理服务费等全部费用，实行固定费用总包干，投标人应根据上述因素自行考虑含入投标产品单价。否则由此而引起的一切费用均视为已包括在报价报价中。</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须认真阅读、充分理解招标文件，如有疑问可在询疑截止时间前送达（或传真）采购代理机构，采购代理机构将会统一解答。任何因对本项目招标文件理解不清、产生歧义等由此产生的费用，视作以含在投标总价中。</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投标人必须按第三部分附件的开标一览表（统一格式）、投标分项报价表（统一格式）的内容填写单价、合价及其他事项，并由法定代表人或授权代表签署。</w:t>
      </w:r>
    </w:p>
    <w:p>
      <w:pPr>
        <w:numPr>
          <w:ilvl w:val="1"/>
          <w:numId w:val="15"/>
        </w:numPr>
        <w:tabs>
          <w:tab w:val="left" w:pos="540"/>
          <w:tab w:val="clear" w:pos="992"/>
        </w:tabs>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所有投标报价均以人民币报价。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采购人不接受任何选择报价，对每一项货物/服务只允许一个报价。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采购人要求分类报价是为了方便评标，但在任何情况下不限制采购人以其认为最合适的条款、条件签订合同的权利。</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所报的投标价在合同执行过程中是固定不变的，不得以任何理由予以变更。任何包含价格调整的要求，将被认为是非实质性响应投标而予以拒绝（经买方认可的设计更改除外）。所有的投标报价均为货物到买方指定地点完成验收投入使用的交钥匙价。</w:t>
      </w:r>
    </w:p>
    <w:p>
      <w:pPr>
        <w:numPr>
          <w:ilvl w:val="1"/>
          <w:numId w:val="15"/>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最低报价不能作为中标的保证。</w:t>
      </w:r>
    </w:p>
    <w:p>
      <w:pPr>
        <w:numPr>
          <w:ilvl w:val="0"/>
          <w:numId w:val="8"/>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投标保证金：本项目不要求提供。</w:t>
      </w:r>
    </w:p>
    <w:p>
      <w:pPr>
        <w:numPr>
          <w:ilvl w:val="0"/>
          <w:numId w:val="8"/>
        </w:numPr>
        <w:tabs>
          <w:tab w:val="left" w:pos="540"/>
        </w:tabs>
        <w:spacing w:line="46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投标有效期</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自开标之日起</w:t>
      </w:r>
      <w:r>
        <w:rPr>
          <w:rFonts w:hint="eastAsia" w:ascii="新宋体" w:hAnsi="新宋体" w:eastAsia="新宋体" w:cs="新宋体"/>
          <w:b/>
          <w:color w:val="auto"/>
          <w:sz w:val="22"/>
          <w:szCs w:val="22"/>
          <w:highlight w:val="none"/>
          <w:u w:val="single"/>
        </w:rPr>
        <w:t xml:space="preserve"> 90</w:t>
      </w:r>
      <w:r>
        <w:rPr>
          <w:rFonts w:hint="eastAsia" w:ascii="新宋体" w:hAnsi="新宋体" w:eastAsia="新宋体" w:cs="新宋体"/>
          <w:b/>
          <w:color w:val="auto"/>
          <w:sz w:val="22"/>
          <w:szCs w:val="22"/>
          <w:highlight w:val="none"/>
        </w:rPr>
        <w:t>天内投标应保持有效。投标有效期短于这个规定期限的投标将视为非响应性投标而予以拒绝。</w:t>
      </w:r>
    </w:p>
    <w:p>
      <w:pPr>
        <w:numPr>
          <w:ilvl w:val="1"/>
          <w:numId w:val="16"/>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特殊情况下，在原投标有效期截止前，采购人可与投标人协商延长投标有效期，这种要求和答复均以书面形式进行。投标人可拒绝接受延期要求。如同意延长投标有效期的投标人不得修改投标文件。</w:t>
      </w:r>
    </w:p>
    <w:p>
      <w:pPr>
        <w:numPr>
          <w:ilvl w:val="0"/>
          <w:numId w:val="8"/>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投标文件的签署和规定</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提供资格文件、技术资信标、商务（报价）标各一式五份的投标文件，分别装订成册。其中正本一份、副本四份，每套投标文件的封面应清楚标明“正本”或“副本”字样，若“正本”与“副本”不符，以“正本”为准。</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投标文件的正本必须打印或用不褪色的墨水书写，并由法定代表人或其授权代表签署，副本可用正本的复印。</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投标文件如有修改和增删必须由投标文件签字人在修改和增删处旁签署或盖章，方才有效。</w:t>
      </w:r>
    </w:p>
    <w:p>
      <w:pPr>
        <w:numPr>
          <w:ilvl w:val="1"/>
          <w:numId w:val="17"/>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投标文件字迹模糊或在关键的技术、商务条款上表述不清楚，将可能导致其投标被拒绝。</w:t>
      </w:r>
    </w:p>
    <w:p>
      <w:pPr>
        <w:numPr>
          <w:ilvl w:val="0"/>
          <w:numId w:val="8"/>
        </w:numPr>
        <w:tabs>
          <w:tab w:val="left" w:pos="540"/>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投标文件的密封及标记</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必须将投标文件的“资格文件”“技术资信标”、“商务（报价）标”分别单独密封，且在各自的密封袋上标明“资格文件”、“技术资信标”、“商务（报价）标”字样；封口处贴上封条，启封处加盖投标单位公章并由法定代表人或其授权代表签字。封皮上写明投标项目名称、招标编号并注明“开标时启封”字样。</w:t>
      </w:r>
    </w:p>
    <w:p>
      <w:pPr>
        <w:numPr>
          <w:ilvl w:val="1"/>
          <w:numId w:val="18"/>
        </w:numPr>
        <w:tabs>
          <w:tab w:val="left" w:pos="540"/>
          <w:tab w:val="clear" w:pos="992"/>
        </w:tabs>
        <w:spacing w:line="46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如果投标人未按上述要求密封及加写标记，导致投标文件被拒绝接收的责任自负。</w:t>
      </w:r>
    </w:p>
    <w:p>
      <w:pPr>
        <w:spacing w:before="100" w:beforeAutospacing="1" w:after="100" w:afterAutospacing="1" w:line="440" w:lineRule="exact"/>
        <w:ind w:left="783" w:hanging="783" w:hangingChars="300"/>
        <w:jc w:val="center"/>
        <w:outlineLvl w:val="0"/>
        <w:rPr>
          <w:rFonts w:ascii="新宋体" w:hAnsi="新宋体" w:eastAsia="新宋体" w:cs="新宋体"/>
          <w:color w:val="auto"/>
          <w:sz w:val="22"/>
          <w:szCs w:val="22"/>
          <w:highlight w:val="none"/>
        </w:rPr>
      </w:pPr>
      <w:bookmarkStart w:id="48" w:name="_Toc265529383"/>
      <w:bookmarkStart w:id="49" w:name="_Toc26923"/>
      <w:bookmarkStart w:id="50" w:name="_Toc221356887"/>
      <w:bookmarkStart w:id="51" w:name="_Toc221356951"/>
      <w:bookmarkStart w:id="52" w:name="_Toc221374626"/>
      <w:bookmarkStart w:id="53" w:name="_Toc221423619"/>
      <w:bookmarkStart w:id="54" w:name="_Toc222114879"/>
      <w:bookmarkStart w:id="55" w:name="_Toc223715998"/>
      <w:bookmarkStart w:id="56" w:name="_Toc239145354"/>
      <w:bookmarkStart w:id="57" w:name="_Toc241404202"/>
      <w:r>
        <w:rPr>
          <w:rFonts w:hint="eastAsia" w:ascii="新宋体" w:hAnsi="新宋体" w:eastAsia="新宋体" w:cs="新宋体"/>
          <w:b/>
          <w:bCs/>
          <w:color w:val="auto"/>
          <w:sz w:val="26"/>
          <w:szCs w:val="26"/>
          <w:highlight w:val="none"/>
        </w:rPr>
        <w:t>四、 投标文件的递交</w:t>
      </w:r>
      <w:bookmarkEnd w:id="48"/>
      <w:bookmarkEnd w:id="49"/>
      <w:bookmarkEnd w:id="50"/>
      <w:bookmarkEnd w:id="51"/>
      <w:bookmarkEnd w:id="52"/>
      <w:bookmarkEnd w:id="53"/>
      <w:bookmarkEnd w:id="54"/>
      <w:bookmarkEnd w:id="55"/>
      <w:bookmarkEnd w:id="56"/>
      <w:bookmarkEnd w:id="57"/>
    </w:p>
    <w:p>
      <w:pPr>
        <w:numPr>
          <w:ilvl w:val="0"/>
          <w:numId w:val="19"/>
        </w:numPr>
        <w:tabs>
          <w:tab w:val="left" w:pos="540"/>
        </w:tabs>
        <w:spacing w:line="360" w:lineRule="auto"/>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投标文件的递交</w:t>
      </w:r>
    </w:p>
    <w:p>
      <w:pPr>
        <w:numPr>
          <w:ilvl w:val="1"/>
          <w:numId w:val="20"/>
        </w:numPr>
        <w:tabs>
          <w:tab w:val="left" w:pos="540"/>
          <w:tab w:val="clear" w:pos="992"/>
        </w:tabs>
        <w:spacing w:line="360" w:lineRule="auto"/>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投标文件必须在规定的投标截止时间前送达到指定的收标地点；</w:t>
      </w:r>
    </w:p>
    <w:p>
      <w:pPr>
        <w:numPr>
          <w:ilvl w:val="1"/>
          <w:numId w:val="20"/>
        </w:numPr>
        <w:tabs>
          <w:tab w:val="left" w:pos="540"/>
          <w:tab w:val="clear" w:pos="992"/>
        </w:tabs>
        <w:spacing w:line="360" w:lineRule="auto"/>
        <w:ind w:left="540" w:hanging="540"/>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▲在递交投标文件同时递交以下证明文件：</w:t>
      </w:r>
    </w:p>
    <w:p>
      <w:pPr>
        <w:numPr>
          <w:ilvl w:val="0"/>
          <w:numId w:val="21"/>
        </w:numPr>
        <w:tabs>
          <w:tab w:val="left" w:pos="420"/>
          <w:tab w:val="left" w:pos="891"/>
          <w:tab w:val="left" w:pos="1070"/>
        </w:tabs>
        <w:overflowPunct w:val="0"/>
        <w:spacing w:line="360" w:lineRule="auto"/>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法定代表人有效身份证明原件（若投标人代表为法定代表人）；</w:t>
      </w:r>
    </w:p>
    <w:p>
      <w:pPr>
        <w:numPr>
          <w:ilvl w:val="0"/>
          <w:numId w:val="21"/>
        </w:numPr>
        <w:tabs>
          <w:tab w:val="left" w:pos="420"/>
          <w:tab w:val="left" w:pos="891"/>
          <w:tab w:val="left" w:pos="1070"/>
        </w:tabs>
        <w:overflowPunct w:val="0"/>
        <w:spacing w:line="360" w:lineRule="auto"/>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法定代表人授权书原件及授权代表有效身份证明原件（若法定代表人另行委派投标人代表，法定代表人授权书原件如密封在投标文件技术资信标中，在技术资信标开启后经评标委员会查验符合要求亦为有效）；</w:t>
      </w:r>
    </w:p>
    <w:p>
      <w:pPr>
        <w:numPr>
          <w:ilvl w:val="0"/>
          <w:numId w:val="21"/>
        </w:numPr>
        <w:tabs>
          <w:tab w:val="left" w:pos="420"/>
          <w:tab w:val="left" w:pos="891"/>
          <w:tab w:val="left" w:pos="1070"/>
        </w:tabs>
        <w:overflowPunct w:val="0"/>
        <w:spacing w:line="360" w:lineRule="auto"/>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企业法人营业执照复印件（加盖公章，如密封在投标文件技术资信标中，在技术资信标开启后经评标委员会查验符合要求亦为有效）。</w:t>
      </w:r>
    </w:p>
    <w:p>
      <w:pPr>
        <w:numPr>
          <w:ilvl w:val="0"/>
          <w:numId w:val="19"/>
        </w:numPr>
        <w:tabs>
          <w:tab w:val="left" w:pos="540"/>
        </w:tabs>
        <w:spacing w:line="360" w:lineRule="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投标文件的修改和撤回</w:t>
      </w:r>
    </w:p>
    <w:p>
      <w:pPr>
        <w:numPr>
          <w:ilvl w:val="1"/>
          <w:numId w:val="22"/>
        </w:numPr>
        <w:tabs>
          <w:tab w:val="left" w:pos="540"/>
          <w:tab w:val="clear" w:pos="992"/>
        </w:tabs>
        <w:spacing w:line="360" w:lineRule="auto"/>
        <w:ind w:left="540" w:hanging="540"/>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在投标截止时间前，投标人可以用书面形式提出修改或撤回其投标并送达到采购人，但不得影响开标活动的正常进行。</w:t>
      </w:r>
    </w:p>
    <w:p>
      <w:pPr>
        <w:numPr>
          <w:ilvl w:val="1"/>
          <w:numId w:val="22"/>
        </w:numPr>
        <w:tabs>
          <w:tab w:val="left" w:pos="540"/>
          <w:tab w:val="clear" w:pos="992"/>
        </w:tabs>
        <w:spacing w:line="360" w:lineRule="auto"/>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“投标文件修改”或“投标文件撤回通知”都应密封并在密封袋上写明投标项目名称、招标编号、投标单位名称，并注明“投标文件修改”或“投标文件撤回通知”字样。</w:t>
      </w:r>
    </w:p>
    <w:p>
      <w:pPr>
        <w:numPr>
          <w:ilvl w:val="1"/>
          <w:numId w:val="22"/>
        </w:numPr>
        <w:tabs>
          <w:tab w:val="left" w:pos="540"/>
          <w:tab w:val="clear" w:pos="992"/>
        </w:tabs>
        <w:spacing w:line="360" w:lineRule="auto"/>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从投标截止日期起至投标有效期满这段时间内，投标人不得撤回其投标文件，投标人强行撤回其投标文件的，应按采购预算金额的2%赔偿对采购组织机构造成的损失</w:t>
      </w:r>
      <w:r>
        <w:rPr>
          <w:rFonts w:hint="eastAsia" w:ascii="新宋体" w:hAnsi="新宋体" w:eastAsia="新宋体" w:cs="新宋体"/>
          <w:color w:val="auto"/>
          <w:sz w:val="22"/>
          <w:szCs w:val="22"/>
          <w:highlight w:val="none"/>
        </w:rPr>
        <w:t>。</w:t>
      </w:r>
    </w:p>
    <w:p>
      <w:pPr>
        <w:numPr>
          <w:ilvl w:val="0"/>
          <w:numId w:val="19"/>
        </w:numPr>
        <w:tabs>
          <w:tab w:val="left" w:pos="540"/>
        </w:tabs>
        <w:spacing w:line="360" w:lineRule="auto"/>
        <w:rPr>
          <w:rFonts w:ascii="新宋体" w:hAnsi="新宋体" w:eastAsia="新宋体" w:cs="新宋体"/>
          <w:bCs/>
          <w:color w:val="auto"/>
          <w:sz w:val="22"/>
          <w:szCs w:val="22"/>
          <w:highlight w:val="none"/>
        </w:rPr>
      </w:pPr>
      <w:r>
        <w:rPr>
          <w:rFonts w:hint="eastAsia" w:ascii="新宋体" w:hAnsi="新宋体" w:eastAsia="新宋体" w:cs="新宋体"/>
          <w:color w:val="auto"/>
          <w:sz w:val="22"/>
          <w:highlight w:val="none"/>
        </w:rPr>
        <w:t>递交投标文件时，需满足以下要求，否则该投标文件予以拒绝：</w:t>
      </w:r>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highlight w:val="none"/>
        </w:rPr>
      </w:pPr>
      <w:bookmarkStart w:id="58" w:name="_Toc10111"/>
      <w:bookmarkStart w:id="59" w:name="_Toc28773"/>
      <w:bookmarkStart w:id="60" w:name="_Toc14942"/>
      <w:bookmarkStart w:id="61" w:name="_Toc22626"/>
      <w:bookmarkStart w:id="62" w:name="_Toc221356952"/>
      <w:bookmarkStart w:id="63" w:name="_Toc221374627"/>
      <w:bookmarkStart w:id="64" w:name="_Toc241404203"/>
      <w:bookmarkStart w:id="65" w:name="_Toc222114880"/>
      <w:bookmarkStart w:id="66" w:name="_Toc223715999"/>
      <w:bookmarkStart w:id="67" w:name="_Toc265529384"/>
      <w:bookmarkStart w:id="68" w:name="_Toc221356888"/>
      <w:bookmarkStart w:id="69" w:name="_Toc221423620"/>
      <w:bookmarkStart w:id="70" w:name="_Toc239145355"/>
      <w:r>
        <w:rPr>
          <w:rFonts w:hint="eastAsia" w:ascii="新宋体" w:hAnsi="新宋体" w:eastAsia="新宋体" w:cs="新宋体"/>
          <w:b/>
          <w:bCs/>
          <w:color w:val="auto"/>
          <w:sz w:val="22"/>
          <w:szCs w:val="22"/>
          <w:highlight w:val="none"/>
        </w:rPr>
        <w:t>18.1在投标截止时间以后送达的投标文件；</w:t>
      </w:r>
      <w:bookmarkEnd w:id="58"/>
      <w:bookmarkEnd w:id="59"/>
      <w:bookmarkEnd w:id="60"/>
      <w:bookmarkEnd w:id="61"/>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highlight w:val="none"/>
        </w:rPr>
      </w:pPr>
      <w:bookmarkStart w:id="71" w:name="_Toc15651"/>
      <w:bookmarkStart w:id="72" w:name="_Toc14059"/>
      <w:bookmarkStart w:id="73" w:name="_Toc28418"/>
      <w:bookmarkStart w:id="74" w:name="_Toc9016"/>
      <w:r>
        <w:rPr>
          <w:rFonts w:hint="eastAsia" w:ascii="新宋体" w:hAnsi="新宋体" w:eastAsia="新宋体" w:cs="新宋体"/>
          <w:b/>
          <w:bCs/>
          <w:color w:val="auto"/>
          <w:sz w:val="22"/>
          <w:szCs w:val="22"/>
          <w:highlight w:val="none"/>
        </w:rPr>
        <w:t>18.2未购买招标文件；</w:t>
      </w:r>
      <w:bookmarkEnd w:id="71"/>
      <w:bookmarkEnd w:id="72"/>
      <w:bookmarkEnd w:id="73"/>
      <w:bookmarkEnd w:id="74"/>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highlight w:val="none"/>
        </w:rPr>
      </w:pPr>
      <w:bookmarkStart w:id="75" w:name="_Toc4380"/>
      <w:bookmarkStart w:id="76" w:name="_Toc31264"/>
      <w:bookmarkStart w:id="77" w:name="_Toc16244"/>
      <w:bookmarkStart w:id="78" w:name="_Toc29177"/>
      <w:r>
        <w:rPr>
          <w:rFonts w:hint="eastAsia" w:ascii="新宋体" w:hAnsi="新宋体" w:eastAsia="新宋体" w:cs="新宋体"/>
          <w:b/>
          <w:bCs/>
          <w:color w:val="auto"/>
          <w:sz w:val="22"/>
          <w:szCs w:val="22"/>
          <w:highlight w:val="none"/>
        </w:rPr>
        <w:t>18.3未密封的投标文件及由于包装不妥在送达途中严重破损或失散的投标文件；</w:t>
      </w:r>
      <w:bookmarkEnd w:id="75"/>
      <w:bookmarkEnd w:id="76"/>
      <w:bookmarkEnd w:id="77"/>
      <w:bookmarkEnd w:id="78"/>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highlight w:val="none"/>
        </w:rPr>
      </w:pPr>
      <w:bookmarkStart w:id="79" w:name="_Toc26116"/>
      <w:bookmarkStart w:id="80" w:name="_Toc12076"/>
      <w:bookmarkStart w:id="81" w:name="_Toc25081"/>
      <w:bookmarkStart w:id="82" w:name="_Toc22326"/>
      <w:r>
        <w:rPr>
          <w:rFonts w:hint="eastAsia" w:ascii="新宋体" w:hAnsi="新宋体" w:eastAsia="新宋体" w:cs="新宋体"/>
          <w:b/>
          <w:bCs/>
          <w:color w:val="auto"/>
          <w:sz w:val="22"/>
          <w:szCs w:val="22"/>
          <w:highlight w:val="none"/>
        </w:rPr>
        <w:t>18.4技术资信标与商务报价标未分别包装密封的投标文件；</w:t>
      </w:r>
      <w:bookmarkEnd w:id="79"/>
      <w:bookmarkEnd w:id="80"/>
      <w:bookmarkEnd w:id="81"/>
      <w:bookmarkEnd w:id="82"/>
    </w:p>
    <w:p>
      <w:pPr>
        <w:tabs>
          <w:tab w:val="left" w:pos="360"/>
          <w:tab w:val="left" w:pos="540"/>
          <w:tab w:val="left" w:pos="1260"/>
        </w:tabs>
        <w:spacing w:line="360" w:lineRule="auto"/>
        <w:ind w:left="777" w:hanging="777" w:hangingChars="352"/>
        <w:outlineLvl w:val="0"/>
        <w:rPr>
          <w:rFonts w:ascii="新宋体" w:hAnsi="新宋体" w:eastAsia="新宋体" w:cs="新宋体"/>
          <w:b/>
          <w:bCs/>
          <w:color w:val="auto"/>
          <w:sz w:val="22"/>
          <w:szCs w:val="22"/>
          <w:highlight w:val="none"/>
        </w:rPr>
      </w:pPr>
      <w:bookmarkStart w:id="83" w:name="_Toc23924"/>
      <w:bookmarkStart w:id="84" w:name="_Toc9216"/>
      <w:bookmarkStart w:id="85" w:name="_Toc3179"/>
      <w:bookmarkStart w:id="86" w:name="_Toc14998"/>
      <w:r>
        <w:rPr>
          <w:rFonts w:hint="eastAsia" w:ascii="新宋体" w:hAnsi="新宋体" w:eastAsia="新宋体" w:cs="新宋体"/>
          <w:b/>
          <w:bCs/>
          <w:color w:val="auto"/>
          <w:sz w:val="22"/>
          <w:szCs w:val="22"/>
          <w:highlight w:val="none"/>
        </w:rPr>
        <w:t>18.5以电讯形式递交的投标文件。</w:t>
      </w:r>
      <w:bookmarkEnd w:id="83"/>
      <w:bookmarkEnd w:id="84"/>
      <w:bookmarkEnd w:id="85"/>
      <w:bookmarkEnd w:id="86"/>
    </w:p>
    <w:p>
      <w:pPr>
        <w:tabs>
          <w:tab w:val="left" w:pos="360"/>
          <w:tab w:val="left" w:pos="540"/>
          <w:tab w:val="left" w:pos="1260"/>
        </w:tabs>
        <w:spacing w:before="100" w:beforeAutospacing="1" w:after="100" w:afterAutospacing="1" w:line="440" w:lineRule="exact"/>
        <w:ind w:left="919" w:hanging="919" w:hangingChars="352"/>
        <w:outlineLvl w:val="0"/>
        <w:rPr>
          <w:rFonts w:ascii="新宋体" w:hAnsi="新宋体" w:eastAsia="新宋体" w:cs="新宋体"/>
          <w:color w:val="auto"/>
          <w:sz w:val="22"/>
          <w:szCs w:val="22"/>
          <w:highlight w:val="none"/>
        </w:rPr>
      </w:pPr>
      <w:bookmarkStart w:id="87" w:name="_Toc12289"/>
      <w:r>
        <w:rPr>
          <w:rFonts w:hint="eastAsia" w:ascii="新宋体" w:hAnsi="新宋体" w:eastAsia="新宋体" w:cs="新宋体"/>
          <w:b/>
          <w:bCs/>
          <w:color w:val="auto"/>
          <w:sz w:val="26"/>
          <w:szCs w:val="26"/>
          <w:highlight w:val="none"/>
        </w:rPr>
        <w:t>五、 开标和评标</w:t>
      </w:r>
      <w:bookmarkEnd w:id="62"/>
      <w:bookmarkEnd w:id="63"/>
      <w:bookmarkEnd w:id="64"/>
      <w:bookmarkEnd w:id="65"/>
      <w:bookmarkEnd w:id="66"/>
      <w:bookmarkEnd w:id="67"/>
      <w:bookmarkEnd w:id="68"/>
      <w:bookmarkEnd w:id="69"/>
      <w:bookmarkEnd w:id="70"/>
      <w:bookmarkEnd w:id="87"/>
    </w:p>
    <w:p>
      <w:pPr>
        <w:numPr>
          <w:ilvl w:val="0"/>
          <w:numId w:val="23"/>
        </w:numPr>
        <w:tabs>
          <w:tab w:val="left" w:pos="540"/>
        </w:tabs>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评标委员会</w:t>
      </w:r>
    </w:p>
    <w:p>
      <w:pPr>
        <w:tabs>
          <w:tab w:val="left" w:pos="540"/>
        </w:tabs>
        <w:spacing w:line="440" w:lineRule="exact"/>
        <w:ind w:firstLine="440" w:firstLineChars="20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采购人按照《中华人民共和国政府采购法》等有关法律、法规的规定组建评标委员会，评标委员会成员由采购人代表和有关技术、经济等方面的专家组成，成员人数为5人（含）以上单数，除采购人代表外的专家将在政府采购云平台评标专家库中随机抽取产生。</w:t>
      </w:r>
    </w:p>
    <w:p>
      <w:pPr>
        <w:numPr>
          <w:ilvl w:val="0"/>
          <w:numId w:val="23"/>
        </w:numPr>
        <w:tabs>
          <w:tab w:val="left" w:pos="540"/>
        </w:tabs>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评标过程的保密性</w:t>
      </w:r>
    </w:p>
    <w:p>
      <w:pPr>
        <w:spacing w:line="440" w:lineRule="exact"/>
        <w:ind w:firstLine="442" w:firstLineChars="2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开标后直至向中标人授予合同时止，凡与评审有关的资料均不得向投标人及与评标无关人员透露。如果投标人在评标过程中试图向采购人和采购代理机构施加影响，其投标将被拒绝。</w:t>
      </w:r>
    </w:p>
    <w:p>
      <w:pPr>
        <w:numPr>
          <w:ilvl w:val="0"/>
          <w:numId w:val="23"/>
        </w:numPr>
        <w:tabs>
          <w:tab w:val="left" w:pos="540"/>
        </w:tabs>
        <w:spacing w:line="440" w:lineRule="exact"/>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开标、评标</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开标时间和地点：见本招标文件“招标公告”。</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邀请所有投标人代表参加，参加开标的代表应准时出席并签名报到以证明其出席。投标人代表对开标过程和开标记录有疑义，以及认为采购人、采购代理机构相关工作人员有需要回避的情形的，应当场提出询问或者回避申请。投标人代表未参加开标会的，视同认可开标结果。</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参加开标大会的投标人应签署不存在影响公平竞争的《政府采购活动现场确认声明书》。未参加开标大会，但被确定为中标人的，应补签《政府采购活动现场确认声明书》。</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开标时，由投标人或其推选的代表检查投标文件密封情况；经确认无误后，由采购代理机构工作人员按各投标人提交投标文件的先后顺序当众拆封、清点资格文件、技术资信标及商务（报价）标（包括</w:t>
      </w:r>
      <w:r>
        <w:rPr>
          <w:rFonts w:hint="eastAsia" w:ascii="新宋体" w:hAnsi="新宋体" w:eastAsia="新宋体" w:cs="新宋体"/>
          <w:b/>
          <w:bCs/>
          <w:color w:val="auto"/>
          <w:sz w:val="22"/>
          <w:szCs w:val="22"/>
          <w:highlight w:val="none"/>
        </w:rPr>
        <w:t>正</w:t>
      </w:r>
      <w:r>
        <w:rPr>
          <w:rFonts w:hint="eastAsia" w:ascii="新宋体" w:hAnsi="新宋体" w:eastAsia="新宋体" w:cs="新宋体"/>
          <w:bCs/>
          <w:color w:val="auto"/>
          <w:sz w:val="22"/>
          <w:szCs w:val="22"/>
          <w:highlight w:val="none"/>
        </w:rPr>
        <w:t>本、副本）数量，宣布投标人名称、投标价格和招标文件规定的需要宣布的其他内容，然后送评标室评审；对不符合装订要求的采购响应文件，由现场工作人员退还投标人代表。采购代理机构指定专人作好记录，存档备查。投标人不足3家的，不得开标。</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开标结束后，</w:t>
      </w:r>
      <w:r>
        <w:rPr>
          <w:rFonts w:hint="eastAsia" w:ascii="新宋体" w:hAnsi="新宋体" w:eastAsia="新宋体" w:cs="新宋体"/>
          <w:color w:val="auto"/>
          <w:sz w:val="22"/>
          <w:szCs w:val="22"/>
          <w:highlight w:val="none"/>
        </w:rPr>
        <w:t>采购人或采购代理机构依法对各投标人进行投标资格审查，审查内容为投标文件所提交证明材料是否能证明符合本项目对合格投标人的实质性要求。通过资格审查视作具备投标资格，审查不合格的投标文件将不进入后续详细评审。</w:t>
      </w:r>
    </w:p>
    <w:p>
      <w:pPr>
        <w:numPr>
          <w:ilvl w:val="1"/>
          <w:numId w:val="24"/>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评标委员会依据招标文件的规定，从投标文件中的有效性、完整性和对招标文件的响应程度进行符合性检查，以确定是否对招标文件的实质性要求作出响应。</w:t>
      </w:r>
    </w:p>
    <w:p>
      <w:pPr>
        <w:numPr>
          <w:ilvl w:val="1"/>
          <w:numId w:val="24"/>
        </w:numPr>
        <w:tabs>
          <w:tab w:val="left" w:pos="540"/>
          <w:tab w:val="clear" w:pos="992"/>
        </w:tabs>
        <w:spacing w:line="440" w:lineRule="exact"/>
        <w:ind w:left="540" w:hanging="540"/>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▲投标人存在下列情况之一的，投标无效:</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1）投标文件正本未按招标文件要求签署、盖章的；</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2）授权代表没有法定代表人合法、有效委托的；</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3）不具备招标文件中规定的资格要求的；</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4）报价超过招标文件中规定的预算金额或者最高限价的；</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5）投标文件含有采购人不能接受的附加条件的（包括招标文件中明确要求不得偏离的招标要求，存在负偏离的）;</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6）投标人递交两份或两份以上内容不同的投标文件，未声明哪一份有效的；</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7）存在串标、抬标或弄虚作假情况的；</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8）明显不符合招标文件中标注“▲”且加下划线的条款；</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9）法律、法规和招标文件规定的其他无效情形（或出现重大偏差）。</w:t>
      </w:r>
    </w:p>
    <w:p>
      <w:pPr>
        <w:numPr>
          <w:ilvl w:val="1"/>
          <w:numId w:val="24"/>
        </w:numPr>
        <w:tabs>
          <w:tab w:val="left" w:pos="540"/>
          <w:tab w:val="clear" w:pos="992"/>
        </w:tabs>
        <w:spacing w:line="440" w:lineRule="exact"/>
        <w:ind w:left="540" w:hanging="540"/>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▲评标委员会发现投标文件有下列情形之一的属于重大偏差(评标委员会按少数服从多数原则认定),按照无效投标处理：</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1）未按招标文件要求编制或字迹模糊、辨认不清的投标文件；</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2）除21.7条款以外，出现其它明显不符合技术规格、技术标准的要求或不满足招标文件技术规格书中的主要参数的投标文件；</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3）除21.7条款以外，出现投标项目数量与招标文件对比出现较大偏差；商务报价明细表计算错误，出现较大差错；</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4）除21.7条款以外，出现其它不符合招标文件中规定的实质性要求的投标文件，是否为偏离实质性要求由评标委员会认定。</w:t>
      </w:r>
    </w:p>
    <w:p>
      <w:pPr>
        <w:numPr>
          <w:ilvl w:val="1"/>
          <w:numId w:val="24"/>
        </w:numPr>
        <w:tabs>
          <w:tab w:val="left" w:pos="540"/>
          <w:tab w:val="clear" w:pos="992"/>
        </w:tabs>
        <w:spacing w:line="440" w:lineRule="exact"/>
        <w:ind w:left="540" w:hanging="540"/>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有下列情形之一的，视为投标人串通投标，其投标无效：</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1)不同投标人的投标文件由同一单位或者个人编制；</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2)不同投标人委托同一单位或者个人办理投标事宜；</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3)不同投标人的投标文件载明的项目管理成员或者联系人员为同一人；</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4）不同投标人的投标文件异常一致或者投标报价呈规律性差异；</w:t>
      </w:r>
    </w:p>
    <w:p>
      <w:pPr>
        <w:tabs>
          <w:tab w:val="left" w:pos="540"/>
        </w:tabs>
        <w:spacing w:line="440" w:lineRule="exact"/>
        <w:ind w:left="638" w:leftChars="3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5）不同投标人的投标文件相互混装；</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“商务（报价）标”评审时，由评标委员会对各投标人的商务报价进行核查，核查时发现投标报价内容不清楚可要求投标人书面澄清，计算上的错误，可按下面方法修正：</w:t>
      </w:r>
    </w:p>
    <w:p>
      <w:pPr>
        <w:numPr>
          <w:ilvl w:val="0"/>
          <w:numId w:val="25"/>
        </w:numPr>
        <w:tabs>
          <w:tab w:val="left" w:pos="720"/>
          <w:tab w:val="clear" w:pos="420"/>
        </w:tabs>
        <w:spacing w:line="440" w:lineRule="exact"/>
        <w:ind w:left="720" w:hanging="720"/>
        <w:rPr>
          <w:rFonts w:ascii="新宋体" w:hAnsi="新宋体" w:eastAsia="新宋体" w:cs="新宋体"/>
          <w:color w:val="auto"/>
          <w:spacing w:val="-4"/>
          <w:sz w:val="22"/>
          <w:szCs w:val="22"/>
          <w:highlight w:val="none"/>
        </w:rPr>
      </w:pPr>
      <w:r>
        <w:rPr>
          <w:rFonts w:hint="eastAsia" w:ascii="新宋体" w:hAnsi="新宋体" w:eastAsia="新宋体" w:cs="新宋体"/>
          <w:color w:val="auto"/>
          <w:spacing w:val="-4"/>
          <w:sz w:val="22"/>
          <w:szCs w:val="22"/>
          <w:highlight w:val="none"/>
        </w:rPr>
        <w:t>投标文件中开标一览表内容与投标分项报价表内容不一致的，以开标一览表（报价表）为准。投标文件的大写金额和小写金额不一致的，以大写金额为准；总价金额与按单价汇总金额不一致的，以单价金额计算结果为准；单价金额小数点或者百分比有明显错位的，以开标一览表的总价为准，并修改单价。</w:t>
      </w:r>
    </w:p>
    <w:p>
      <w:pPr>
        <w:numPr>
          <w:ilvl w:val="0"/>
          <w:numId w:val="25"/>
        </w:numPr>
        <w:tabs>
          <w:tab w:val="left" w:pos="720"/>
          <w:tab w:val="clear" w:pos="420"/>
        </w:tabs>
        <w:spacing w:line="440" w:lineRule="exac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如果投标人不接受对其价格错误进行修正，其投标将被否决。</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在详细评标之前，评标委员会要审查每份投标文件是否实质上响应了招标文件的要求。实质上响应的投标应该是与招标文件要求的全部条款、条件和规格基本相符。没有重大偏离。</w:t>
      </w:r>
      <w:r>
        <w:rPr>
          <w:rFonts w:hint="eastAsia" w:ascii="新宋体" w:hAnsi="新宋体" w:eastAsia="新宋体" w:cs="新宋体"/>
          <w:b/>
          <w:bCs/>
          <w:color w:val="auto"/>
          <w:sz w:val="22"/>
          <w:szCs w:val="22"/>
          <w:highlight w:val="none"/>
        </w:rPr>
        <w:t>评标委员会决定投标的响应性只根据投标文件本身的内容，而不寻求外部的证据。</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
          <w:bCs/>
          <w:color w:val="auto"/>
          <w:sz w:val="22"/>
          <w:szCs w:val="22"/>
          <w:highlight w:val="none"/>
        </w:rPr>
        <w:t>实质上没有响应招标文件要求的投标将被拒绝，</w:t>
      </w:r>
      <w:r>
        <w:rPr>
          <w:rFonts w:hint="eastAsia" w:ascii="新宋体" w:hAnsi="新宋体" w:eastAsia="新宋体" w:cs="新宋体"/>
          <w:bCs/>
          <w:color w:val="auto"/>
          <w:sz w:val="22"/>
          <w:szCs w:val="22"/>
          <w:highlight w:val="none"/>
        </w:rPr>
        <w:t>投标人不得通过修正或撤消不合要求的偏离或保留从而使其投标成为实质上响应的投标。</w:t>
      </w:r>
    </w:p>
    <w:p>
      <w:pPr>
        <w:numPr>
          <w:ilvl w:val="1"/>
          <w:numId w:val="24"/>
        </w:numPr>
        <w:tabs>
          <w:tab w:val="left" w:pos="540"/>
          <w:tab w:val="clear" w:pos="992"/>
        </w:tabs>
        <w:spacing w:line="44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24"/>
        </w:numPr>
        <w:tabs>
          <w:tab w:val="left" w:pos="540"/>
          <w:tab w:val="clear" w:pos="992"/>
        </w:tabs>
        <w:spacing w:line="360" w:lineRule="auto"/>
        <w:ind w:left="540" w:hanging="540"/>
        <w:rPr>
          <w:rFonts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招标文件中加“▲”且加下划线的条款，为实质性条款。对于标书中规定的实质性条款，  </w:t>
      </w:r>
    </w:p>
    <w:p>
      <w:pPr>
        <w:tabs>
          <w:tab w:val="left" w:pos="540"/>
        </w:tabs>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如响应时出现有微小偏离的，判定是否构成实质性偏离，由评标委员会来判定。对重大负偏离</w:t>
      </w:r>
    </w:p>
    <w:p>
      <w:pPr>
        <w:tabs>
          <w:tab w:val="left" w:pos="540"/>
        </w:tabs>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的认定，须经评标委员会多数同意，重大负偏离将被认定为是对招标文件实质上的不响应，其</w:t>
      </w:r>
    </w:p>
    <w:p>
      <w:pPr>
        <w:tabs>
          <w:tab w:val="left" w:pos="540"/>
        </w:tabs>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投标将被视为无效投标。</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评标委员会对审查合格的投标文件按照招标文件中制订的评标方法进行综合评定打分。</w:t>
      </w:r>
    </w:p>
    <w:p>
      <w:pPr>
        <w:numPr>
          <w:ilvl w:val="1"/>
          <w:numId w:val="24"/>
        </w:numPr>
        <w:tabs>
          <w:tab w:val="left" w:pos="540"/>
          <w:tab w:val="clear" w:pos="992"/>
        </w:tabs>
        <w:spacing w:line="440" w:lineRule="exact"/>
        <w:ind w:left="540" w:hanging="540"/>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评标过程中遇到特殊情况，由评标委员会遵循公开、公正原则，采取投票方式按照少数服从多数原则决定。</w:t>
      </w:r>
    </w:p>
    <w:p>
      <w:pPr>
        <w:numPr>
          <w:ilvl w:val="1"/>
          <w:numId w:val="24"/>
        </w:numPr>
        <w:tabs>
          <w:tab w:val="left" w:pos="540"/>
          <w:tab w:val="clear" w:pos="992"/>
        </w:tabs>
        <w:spacing w:line="440" w:lineRule="exact"/>
        <w:ind w:left="540" w:hanging="540"/>
        <w:rPr>
          <w:rFonts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u w:val="single"/>
        </w:rPr>
        <w:t>▲投标截止时间止及评审期间，出现有效供应商不足3家的，则本项目按流（废）标处理，重新组织招标</w:t>
      </w:r>
      <w:r>
        <w:rPr>
          <w:rFonts w:hint="eastAsia" w:ascii="新宋体" w:hAnsi="新宋体" w:eastAsia="新宋体" w:cs="新宋体"/>
          <w:b/>
          <w:color w:val="auto"/>
          <w:sz w:val="22"/>
          <w:szCs w:val="22"/>
          <w:highlight w:val="none"/>
        </w:rPr>
        <w:t>。</w:t>
      </w:r>
    </w:p>
    <w:p>
      <w:pPr>
        <w:numPr>
          <w:ilvl w:val="0"/>
          <w:numId w:val="23"/>
        </w:numPr>
        <w:tabs>
          <w:tab w:val="left" w:pos="540"/>
        </w:tabs>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投标文件的澄清</w:t>
      </w:r>
    </w:p>
    <w:p>
      <w:pPr>
        <w:numPr>
          <w:ilvl w:val="1"/>
          <w:numId w:val="26"/>
        </w:numPr>
        <w:tabs>
          <w:tab w:val="left" w:pos="540"/>
          <w:tab w:val="clear" w:pos="992"/>
        </w:tabs>
        <w:spacing w:line="44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numPr>
          <w:ilvl w:val="1"/>
          <w:numId w:val="26"/>
        </w:numPr>
        <w:tabs>
          <w:tab w:val="left" w:pos="540"/>
          <w:tab w:val="clear" w:pos="992"/>
        </w:tabs>
        <w:spacing w:line="440" w:lineRule="exact"/>
        <w:ind w:left="540" w:hanging="54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经澄清后，若偏差仍存在，且不可接受，投标人则被认为是“没有实质性响应招标文件要求”，其投标不进入下一步评审。</w:t>
      </w:r>
    </w:p>
    <w:p>
      <w:pPr>
        <w:numPr>
          <w:ilvl w:val="0"/>
          <w:numId w:val="23"/>
        </w:numPr>
        <w:spacing w:line="440" w:lineRule="exact"/>
        <w:rPr>
          <w:rFonts w:ascii="新宋体" w:hAnsi="新宋体" w:eastAsia="新宋体" w:cs="新宋体"/>
          <w:color w:val="auto"/>
          <w:sz w:val="22"/>
          <w:szCs w:val="22"/>
          <w:highlight w:val="none"/>
        </w:rPr>
      </w:pPr>
      <w:bookmarkStart w:id="88" w:name="_Toc221356889"/>
      <w:bookmarkStart w:id="89" w:name="_Toc221356953"/>
      <w:bookmarkStart w:id="90" w:name="_Toc221374628"/>
      <w:bookmarkStart w:id="91" w:name="_Toc221423621"/>
      <w:bookmarkStart w:id="92" w:name="_Toc222114881"/>
      <w:bookmarkStart w:id="93" w:name="_Toc223716000"/>
      <w:bookmarkStart w:id="94" w:name="_Toc239145356"/>
      <w:bookmarkStart w:id="95" w:name="_Toc241404204"/>
      <w:bookmarkStart w:id="96" w:name="_Toc265529385"/>
      <w:r>
        <w:rPr>
          <w:rFonts w:hint="eastAsia" w:ascii="新宋体" w:hAnsi="新宋体" w:eastAsia="新宋体" w:cs="新宋体"/>
          <w:bCs/>
          <w:color w:val="auto"/>
          <w:sz w:val="22"/>
          <w:szCs w:val="22"/>
          <w:highlight w:val="none"/>
        </w:rPr>
        <w:t>确定中标候选人</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本次招标由评标委员会推荐中标候选人，采购人根据评标委员会的推荐结果进行最终确认。</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委员会依据法律、法规及招标文件有关规定在有效标中按投标人的综合得分（即技术分与商务分之和）高低进行排序，综合得分前二名的投标人推荐为第一和第二中标候选人（得分相同投标报价低的排序第一；得分且投标报价相同的，由评标委员会成员抽签决定排序）。</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若出现以下情形之一，采购人可视具体情况确定是否由备选中标人为中标人或重新组织招标：</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1）中标人放弃中标资格；</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2）中标人因不可抗力提出不能履行合同；</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3）中标人未能在规定时间内与采购单位签订合同；</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4）经质疑，采购人审查后，中标候选人或中标人确实在本次采购活动中存在违法违规行为或其他原因使质疑成立的。</w:t>
      </w:r>
    </w:p>
    <w:p>
      <w:pPr>
        <w:numPr>
          <w:ilvl w:val="1"/>
          <w:numId w:val="27"/>
        </w:numPr>
        <w:tabs>
          <w:tab w:val="left" w:pos="540"/>
          <w:tab w:val="clear" w:pos="992"/>
        </w:tabs>
        <w:spacing w:line="440" w:lineRule="exact"/>
        <w:ind w:left="540" w:hanging="54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采购人、采购代理机构及评标委员会不向落标的投标人解释落标原因，也不公布评标过程中的相关细节。</w:t>
      </w:r>
    </w:p>
    <w:p>
      <w:pPr>
        <w:numPr>
          <w:ilvl w:val="0"/>
          <w:numId w:val="23"/>
        </w:numPr>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评标细则详见“评标原则及方法”。</w:t>
      </w:r>
    </w:p>
    <w:p>
      <w:pPr>
        <w:spacing w:before="100" w:beforeAutospacing="1" w:after="100" w:afterAutospacing="1" w:line="440" w:lineRule="exact"/>
        <w:ind w:left="-6"/>
        <w:jc w:val="center"/>
        <w:outlineLvl w:val="0"/>
        <w:rPr>
          <w:rFonts w:ascii="新宋体" w:hAnsi="新宋体" w:eastAsia="新宋体" w:cs="新宋体"/>
          <w:b/>
          <w:bCs/>
          <w:color w:val="auto"/>
          <w:sz w:val="26"/>
          <w:szCs w:val="26"/>
          <w:highlight w:val="none"/>
        </w:rPr>
      </w:pPr>
      <w:bookmarkStart w:id="97" w:name="_Toc4524"/>
      <w:r>
        <w:rPr>
          <w:rFonts w:hint="eastAsia" w:ascii="新宋体" w:hAnsi="新宋体" w:eastAsia="新宋体" w:cs="新宋体"/>
          <w:b/>
          <w:bCs/>
          <w:color w:val="auto"/>
          <w:sz w:val="26"/>
          <w:szCs w:val="26"/>
          <w:highlight w:val="none"/>
        </w:rPr>
        <w:t>六、 授予合同</w:t>
      </w:r>
      <w:bookmarkEnd w:id="88"/>
      <w:bookmarkEnd w:id="89"/>
      <w:bookmarkEnd w:id="90"/>
      <w:bookmarkEnd w:id="91"/>
      <w:bookmarkEnd w:id="92"/>
      <w:bookmarkEnd w:id="93"/>
      <w:bookmarkEnd w:id="94"/>
      <w:bookmarkEnd w:id="95"/>
      <w:bookmarkEnd w:id="96"/>
      <w:bookmarkEnd w:id="97"/>
    </w:p>
    <w:p>
      <w:pPr>
        <w:numPr>
          <w:ilvl w:val="0"/>
          <w:numId w:val="23"/>
        </w:numPr>
        <w:spacing w:line="44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确定中标人</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highlight w:val="none"/>
        </w:rPr>
      </w:pPr>
      <w:r>
        <w:rPr>
          <w:rFonts w:hint="eastAsia" w:ascii="新宋体" w:hAnsi="新宋体" w:eastAsia="新宋体" w:cs="新宋体"/>
          <w:color w:val="auto"/>
          <w:highlight w:val="none"/>
        </w:rPr>
        <w:t>采购人自收到评标报告之日起5个工作日内，在评标报告确定的中标候选人名单中按顺序确定中标人。</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中标人确定之日起2个工作日内，在浙江政府采购网上公示中标结果，中标公告期限为1个工作日；</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在公告中标结果的同时，采购人向中标人发出中标通知书。</w:t>
      </w:r>
    </w:p>
    <w:p>
      <w:pPr>
        <w:numPr>
          <w:ilvl w:val="1"/>
          <w:numId w:val="28"/>
        </w:numPr>
        <w:tabs>
          <w:tab w:val="left" w:pos="640"/>
          <w:tab w:val="clear" w:pos="992"/>
        </w:tabs>
        <w:spacing w:line="460" w:lineRule="exact"/>
        <w:ind w:left="652" w:hanging="652"/>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各投标人对评标结果如有异议，应在中标公告期限届满之日起七个工作日内，以书面形式向采购人进行署名提出质疑，但需对质疑内容的真实性承担法律责任。</w:t>
      </w:r>
    </w:p>
    <w:p>
      <w:pPr>
        <w:numPr>
          <w:ilvl w:val="0"/>
          <w:numId w:val="23"/>
        </w:numPr>
        <w:spacing w:line="440" w:lineRule="exact"/>
        <w:rPr>
          <w:rFonts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签订合同</w:t>
      </w:r>
    </w:p>
    <w:p>
      <w:pPr>
        <w:numPr>
          <w:ilvl w:val="1"/>
          <w:numId w:val="29"/>
        </w:numPr>
        <w:tabs>
          <w:tab w:val="left" w:pos="640"/>
          <w:tab w:val="clear" w:pos="992"/>
        </w:tabs>
        <w:spacing w:line="460" w:lineRule="exact"/>
        <w:ind w:left="652" w:hanging="652"/>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中标投标人应当在中标通知书发出之日起30日内与采购人签订合同。中标投标人未经采购人许可，在规定时间内未到采购人处与采购人签订合同，则视为拒签合同。</w:t>
      </w:r>
    </w:p>
    <w:p>
      <w:pPr>
        <w:numPr>
          <w:ilvl w:val="1"/>
          <w:numId w:val="29"/>
        </w:numPr>
        <w:tabs>
          <w:tab w:val="left" w:pos="640"/>
          <w:tab w:val="clear" w:pos="992"/>
        </w:tabs>
        <w:spacing w:line="460" w:lineRule="exact"/>
        <w:ind w:left="652" w:hanging="652"/>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招标文件、中标投标人的投标文件及投标修改文件、评标过程中有关澄清文件及经双方签字的询标纪要（承诺）和中标通知书均作为合同附件。</w:t>
      </w:r>
    </w:p>
    <w:p>
      <w:pPr>
        <w:numPr>
          <w:ilvl w:val="1"/>
          <w:numId w:val="29"/>
        </w:numPr>
        <w:tabs>
          <w:tab w:val="left" w:pos="640"/>
          <w:tab w:val="clear" w:pos="992"/>
        </w:tabs>
        <w:spacing w:line="460" w:lineRule="exact"/>
        <w:ind w:left="652" w:hanging="652"/>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拒签合同的责任</w:t>
      </w:r>
    </w:p>
    <w:p>
      <w:pPr>
        <w:numPr>
          <w:ilvl w:val="1"/>
          <w:numId w:val="29"/>
        </w:numPr>
        <w:tabs>
          <w:tab w:val="left" w:pos="640"/>
          <w:tab w:val="clear" w:pos="992"/>
        </w:tabs>
        <w:spacing w:line="460" w:lineRule="exact"/>
        <w:ind w:left="652" w:hanging="652"/>
        <w:rPr>
          <w:rFonts w:ascii="新宋体" w:hAnsi="新宋体" w:eastAsia="新宋体" w:cs="新宋体"/>
          <w:b/>
          <w:bCs/>
          <w:color w:val="auto"/>
          <w:sz w:val="22"/>
          <w:szCs w:val="22"/>
          <w:highlight w:val="none"/>
          <w:u w:val="single"/>
        </w:rPr>
      </w:pPr>
      <w:r>
        <w:rPr>
          <w:rFonts w:hint="eastAsia" w:ascii="新宋体" w:hAnsi="新宋体" w:eastAsia="新宋体" w:cs="新宋体"/>
          <w:color w:val="auto"/>
          <w:sz w:val="22"/>
          <w:szCs w:val="22"/>
          <w:highlight w:val="none"/>
        </w:rPr>
        <w:t>中标投标人在规定时间内（30日历天）借故否认已经承诺的条件、拒签合同或拒交履约保证金者，以投标违约处理，应按采购预算金额的2%赔偿对采购组织机构造成的损失；采购人重新组织招标的，所需费用由原中标投标人承担。</w:t>
      </w:r>
    </w:p>
    <w:p>
      <w:pPr>
        <w:numPr>
          <w:ilvl w:val="0"/>
          <w:numId w:val="23"/>
        </w:numPr>
        <w:spacing w:line="44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采购代理服务费</w:t>
      </w:r>
    </w:p>
    <w:p>
      <w:pPr>
        <w:tabs>
          <w:tab w:val="left" w:pos="640"/>
        </w:tabs>
        <w:spacing w:line="440" w:lineRule="exact"/>
        <w:rPr>
          <w:rFonts w:ascii="新宋体" w:hAnsi="新宋体" w:eastAsia="新宋体" w:cs="新宋体"/>
          <w:b/>
          <w:color w:val="auto"/>
          <w:spacing w:val="6"/>
          <w:sz w:val="22"/>
          <w:szCs w:val="22"/>
          <w:highlight w:val="none"/>
        </w:rPr>
      </w:pPr>
      <w:r>
        <w:rPr>
          <w:rFonts w:hint="eastAsia" w:ascii="新宋体" w:hAnsi="新宋体" w:eastAsia="新宋体" w:cs="新宋体"/>
          <w:b/>
          <w:color w:val="auto"/>
          <w:sz w:val="22"/>
          <w:szCs w:val="22"/>
          <w:highlight w:val="none"/>
        </w:rPr>
        <w:t>27.1本次招标采购代理服务费按固定金额人民币壹万元整执行收费,由中标人在领取中标通知书之前支付给招标代理机构。</w:t>
      </w:r>
    </w:p>
    <w:p>
      <w:pPr>
        <w:tabs>
          <w:tab w:val="left" w:pos="640"/>
        </w:tabs>
        <w:spacing w:line="440" w:lineRule="exact"/>
        <w:rPr>
          <w:rFonts w:ascii="新宋体" w:hAnsi="新宋体" w:eastAsia="新宋体" w:cs="新宋体"/>
          <w:b/>
          <w:bCs/>
          <w:color w:val="auto"/>
          <w:spacing w:val="6"/>
          <w:sz w:val="22"/>
          <w:szCs w:val="22"/>
          <w:highlight w:val="none"/>
        </w:rPr>
      </w:pPr>
      <w:r>
        <w:rPr>
          <w:rFonts w:hint="eastAsia" w:ascii="新宋体" w:hAnsi="新宋体" w:eastAsia="新宋体" w:cs="新宋体"/>
          <w:b/>
          <w:bCs/>
          <w:color w:val="auto"/>
          <w:spacing w:val="6"/>
          <w:sz w:val="22"/>
          <w:szCs w:val="22"/>
          <w:highlight w:val="none"/>
        </w:rPr>
        <w:t>27.2采购代理服务费可以是现金、支票或汇票。</w:t>
      </w:r>
    </w:p>
    <w:p>
      <w:pPr>
        <w:spacing w:line="440" w:lineRule="exact"/>
        <w:rPr>
          <w:rFonts w:ascii="新宋体" w:hAnsi="新宋体" w:eastAsia="新宋体" w:cs="新宋体"/>
          <w:b/>
          <w:bCs/>
          <w:color w:val="auto"/>
          <w:sz w:val="22"/>
          <w:szCs w:val="22"/>
          <w:highlight w:val="none"/>
        </w:rPr>
      </w:pPr>
    </w:p>
    <w:p>
      <w:pPr>
        <w:pStyle w:val="49"/>
        <w:rPr>
          <w:rFonts w:ascii="新宋体" w:hAnsi="新宋体" w:eastAsia="新宋体" w:cs="新宋体"/>
          <w:color w:val="auto"/>
          <w:kern w:val="2"/>
          <w:sz w:val="36"/>
          <w:szCs w:val="36"/>
          <w:highlight w:val="none"/>
        </w:rPr>
      </w:pPr>
      <w:r>
        <w:rPr>
          <w:rFonts w:hint="eastAsia" w:ascii="新宋体" w:hAnsi="新宋体" w:eastAsia="新宋体" w:cs="新宋体"/>
          <w:b w:val="0"/>
          <w:bCs w:val="0"/>
          <w:color w:val="auto"/>
          <w:sz w:val="22"/>
          <w:szCs w:val="22"/>
          <w:highlight w:val="none"/>
        </w:rPr>
        <w:br w:type="page"/>
      </w:r>
      <w:bookmarkStart w:id="98" w:name="_Toc495955195"/>
      <w:bookmarkStart w:id="99" w:name="_Toc10195"/>
      <w:r>
        <w:rPr>
          <w:rFonts w:hint="eastAsia" w:ascii="新宋体" w:hAnsi="新宋体" w:eastAsia="新宋体" w:cs="新宋体"/>
          <w:color w:val="auto"/>
          <w:kern w:val="2"/>
          <w:sz w:val="36"/>
          <w:szCs w:val="36"/>
          <w:highlight w:val="none"/>
        </w:rPr>
        <w:t>第二部分   政府采购政策功能相关说明</w:t>
      </w:r>
      <w:bookmarkEnd w:id="98"/>
      <w:bookmarkEnd w:id="99"/>
    </w:p>
    <w:p>
      <w:pPr>
        <w:jc w:val="left"/>
        <w:rPr>
          <w:rFonts w:ascii="新宋体" w:hAnsi="新宋体" w:eastAsia="新宋体" w:cs="新宋体"/>
          <w:b/>
          <w:color w:val="auto"/>
          <w:sz w:val="22"/>
          <w:highlight w:val="none"/>
        </w:rPr>
      </w:pPr>
    </w:p>
    <w:p>
      <w:pPr>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一、小、微企业（含监狱企业、残疾人福利性单位）扶持政策说明</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1、文件依据</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（1）关于印发《政府采购促进中小企业发展暂行办法》的通知（财库[2011]181号）</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（2）浙江省财政厅转发财政部 工业和信息化部关于印发《政府采购促进中小企业发展暂行办法》的通知（浙财采监[2012]11号）</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（3）浙江省省财政厅《关于开展政府采购投标人网上注册登记和诚信管理工作的通知》（浙财采监〔2010〕8号)</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（4）《工业和信息化部、国家统计局、国家发展和改革委员会、财政部关于印发中小企业划型标准规定的通知》（工信部联企业[2011]300号）</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（5）财政部、司法部《关于政府采购支持监狱企业发展有关问题的通知》（财库〔2014〕68号）</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（6）《财政部 民政部 中国残疾人联合会关于促进残疾人就业政府采购政策的通知》（财库〔2017〕 141号）</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2、享受小微企业价格折扣应具备的条件与价格折扣比例</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（1）符合中小企业划分标准；</w:t>
      </w:r>
      <w:r>
        <w:rPr>
          <w:rFonts w:hint="eastAsia" w:ascii="新宋体" w:hAnsi="新宋体" w:eastAsia="新宋体" w:cs="新宋体"/>
          <w:bCs/>
          <w:color w:val="auto"/>
          <w:sz w:val="22"/>
          <w:highlight w:val="none"/>
        </w:rPr>
        <w:br w:type="textWrapping"/>
      </w:r>
      <w:r>
        <w:rPr>
          <w:rFonts w:hint="eastAsia" w:ascii="新宋体" w:hAnsi="新宋体" w:eastAsia="新宋体" w:cs="新宋体"/>
          <w:bCs/>
          <w:color w:val="auto"/>
          <w:sz w:val="22"/>
          <w:highlight w:val="none"/>
        </w:rPr>
        <w:t>（2）提供本企业制造的货物、承担的工程或者服务，或者提供其他中小企业制造的货物。本项所称货物不包括使用大型企业注册商标的货物。</w:t>
      </w:r>
      <w:r>
        <w:rPr>
          <w:rFonts w:hint="eastAsia" w:ascii="新宋体" w:hAnsi="新宋体" w:eastAsia="新宋体" w:cs="新宋体"/>
          <w:bCs/>
          <w:color w:val="auto"/>
          <w:sz w:val="22"/>
          <w:highlight w:val="none"/>
        </w:rPr>
        <w:br w:type="textWrapping"/>
      </w:r>
      <w:r>
        <w:rPr>
          <w:rFonts w:hint="eastAsia" w:ascii="新宋体" w:hAnsi="新宋体" w:eastAsia="新宋体" w:cs="新宋体"/>
          <w:bCs/>
          <w:color w:val="auto"/>
          <w:sz w:val="22"/>
          <w:highlight w:val="none"/>
        </w:rPr>
        <w:t>  中小企业划分标准，是指国务院有关部门根据企业从业人员、营业收入、资产总额等指标制定的中小企业划型标准。</w:t>
      </w:r>
      <w:r>
        <w:rPr>
          <w:rFonts w:hint="eastAsia" w:ascii="新宋体" w:hAnsi="新宋体" w:eastAsia="新宋体" w:cs="新宋体"/>
          <w:bCs/>
          <w:color w:val="auto"/>
          <w:sz w:val="22"/>
          <w:highlight w:val="none"/>
        </w:rPr>
        <w:br w:type="textWrapping"/>
      </w:r>
      <w:r>
        <w:rPr>
          <w:rFonts w:hint="eastAsia" w:ascii="新宋体" w:hAnsi="新宋体" w:eastAsia="新宋体" w:cs="新宋体"/>
          <w:bCs/>
          <w:color w:val="auto"/>
          <w:sz w:val="22"/>
          <w:highlight w:val="none"/>
        </w:rPr>
        <w:t>  小型、微型企业提供中型企业制造的货物的，视同为中型企业。</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（3）本项目对小型和微型企业产品的价格给予6%的扣除，用扣除后的价格参与评审。</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u w:val="single"/>
        </w:rPr>
        <w:t>3、享受小微企业价格折扣应提供以下证明材料（投标文件商务（报价）标中，三项证明材料提供不齐全的，不能享受价格扣除）</w:t>
      </w:r>
      <w:r>
        <w:rPr>
          <w:rFonts w:hint="eastAsia" w:ascii="新宋体" w:hAnsi="新宋体" w:eastAsia="新宋体" w:cs="新宋体"/>
          <w:bCs/>
          <w:color w:val="auto"/>
          <w:sz w:val="22"/>
          <w:highlight w:val="none"/>
        </w:rPr>
        <w:t>：</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（1）投标人和投标产品生产企业已通过浙江政府采购网申请注册并成为正式入库供应商的网页打印件（</w:t>
      </w:r>
      <w:r>
        <w:rPr>
          <w:rFonts w:hint="eastAsia" w:ascii="新宋体" w:hAnsi="新宋体" w:eastAsia="新宋体" w:cs="新宋体"/>
          <w:b/>
          <w:color w:val="auto"/>
          <w:sz w:val="22"/>
          <w:highlight w:val="none"/>
        </w:rPr>
        <w:t>网页打印件应当显示为小型或微型企业</w:t>
      </w:r>
      <w:r>
        <w:rPr>
          <w:rFonts w:hint="eastAsia" w:ascii="新宋体" w:hAnsi="新宋体" w:eastAsia="新宋体" w:cs="新宋体"/>
          <w:bCs/>
          <w:color w:val="auto"/>
          <w:sz w:val="22"/>
          <w:highlight w:val="none"/>
        </w:rPr>
        <w:t>）并加盖投标人公章。</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（2）《中小企业声明函》（原件加盖投标人公章，格式见附件1）</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（3）投标人和投标产品生产企业在在小微企业名录系统（http://xwqy.gsxt.gov.cn/）被列入小微企业名录的网页打印件并加盖投标人公章；</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4、</w:t>
      </w:r>
      <w:r>
        <w:rPr>
          <w:rFonts w:hint="eastAsia" w:ascii="新宋体" w:hAnsi="新宋体" w:eastAsia="新宋体" w:cs="新宋体"/>
          <w:bCs/>
          <w:color w:val="auto"/>
          <w:sz w:val="22"/>
          <w:highlight w:val="none"/>
          <w:u w:val="single"/>
        </w:rPr>
        <w:t>享受监狱企业价格折扣应提供以下证明材料（投标文件技术资信标中，不提供的不享受价格折扣）</w:t>
      </w:r>
      <w:r>
        <w:rPr>
          <w:rFonts w:hint="eastAsia" w:ascii="新宋体" w:hAnsi="新宋体" w:eastAsia="新宋体" w:cs="新宋体"/>
          <w:bCs/>
          <w:color w:val="auto"/>
          <w:sz w:val="22"/>
          <w:highlight w:val="none"/>
        </w:rPr>
        <w:t>：</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（1）《监狱企业声明函》（格式见附件2，原件加盖投标人公章）。</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5、</w:t>
      </w:r>
      <w:r>
        <w:rPr>
          <w:rFonts w:hint="eastAsia" w:ascii="新宋体" w:hAnsi="新宋体" w:eastAsia="新宋体" w:cs="新宋体"/>
          <w:bCs/>
          <w:color w:val="auto"/>
          <w:sz w:val="22"/>
          <w:highlight w:val="none"/>
          <w:u w:val="single"/>
        </w:rPr>
        <w:t>享受残疾人福利性单位格折扣应提供以下证明材料（投标文件商务（报价）标中，不提供的不享受价格折扣）</w:t>
      </w:r>
      <w:r>
        <w:rPr>
          <w:rFonts w:hint="eastAsia" w:ascii="新宋体" w:hAnsi="新宋体" w:eastAsia="新宋体" w:cs="新宋体"/>
          <w:bCs/>
          <w:color w:val="auto"/>
          <w:sz w:val="22"/>
          <w:highlight w:val="none"/>
        </w:rPr>
        <w:t>：</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（1）残疾人福利性单位声明函（格式见附件3，原件加盖投标人公章）。在政府采购活动中，残疾人福利性单位视同小型、微型企业，享受评审中价格扣除政策。</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7、</w:t>
      </w:r>
      <w:r>
        <w:rPr>
          <w:rFonts w:hint="eastAsia" w:ascii="新宋体" w:hAnsi="新宋体" w:eastAsia="新宋体" w:cs="新宋体"/>
          <w:bCs/>
          <w:color w:val="auto"/>
          <w:sz w:val="22"/>
          <w:highlight w:val="none"/>
          <w:u w:val="single"/>
        </w:rPr>
        <w:t>监狱企业、残疾人福利性单位参加投标，视为小型、微型企业，享受小微企业政策扶持，监狱企业、残疾人福利性单位属于小型、微型企业的，不重复享受政策。</w:t>
      </w: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jc w:val="center"/>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 xml:space="preserve">附件1                          </w:t>
      </w:r>
      <w:r>
        <w:rPr>
          <w:rFonts w:hint="eastAsia" w:ascii="新宋体" w:hAnsi="新宋体" w:eastAsia="新宋体" w:cs="新宋体"/>
          <w:b/>
          <w:bCs/>
          <w:color w:val="auto"/>
          <w:sz w:val="22"/>
          <w:szCs w:val="22"/>
          <w:highlight w:val="none"/>
        </w:rPr>
        <w:t xml:space="preserve">    中小企业声明函</w:t>
      </w:r>
    </w:p>
    <w:p>
      <w:pPr>
        <w:spacing w:line="440" w:lineRule="atLeas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【非小微企业不用提供】</w:t>
      </w:r>
    </w:p>
    <w:p>
      <w:pPr>
        <w:spacing w:line="440" w:lineRule="atLeast"/>
        <w:rPr>
          <w:rFonts w:ascii="新宋体" w:hAnsi="新宋体" w:eastAsia="新宋体" w:cs="新宋体"/>
          <w:color w:val="auto"/>
          <w:sz w:val="22"/>
          <w:szCs w:val="22"/>
          <w:highlight w:val="none"/>
        </w:rPr>
      </w:pPr>
    </w:p>
    <w:p>
      <w:pPr>
        <w:spacing w:beforeLines="100" w:line="440" w:lineRule="atLeas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本公司郑重声明，根据《政府采购促进中小企业发展暂行办法》（财库[2011]181号）的规定，本公司为______（请填写：中型、小型、微型）企业。即，本公司同时满足以下条件：</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    本公司对上述声明的真实性负责。如有虚假，将依法承担相应责任。</w:t>
      </w:r>
    </w:p>
    <w:p>
      <w:pPr>
        <w:spacing w:beforeLines="100" w:line="440" w:lineRule="atLeast"/>
        <w:ind w:firstLine="440" w:firstLineChars="200"/>
        <w:rPr>
          <w:rFonts w:ascii="新宋体" w:hAnsi="新宋体" w:eastAsia="新宋体" w:cs="新宋体"/>
          <w:color w:val="auto"/>
          <w:sz w:val="22"/>
          <w:szCs w:val="22"/>
          <w:highlight w:val="none"/>
        </w:rPr>
      </w:pPr>
    </w:p>
    <w:p>
      <w:pPr>
        <w:spacing w:beforeLines="100" w:line="440" w:lineRule="atLeast"/>
        <w:ind w:firstLine="440" w:firstLineChars="20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投标人名称（盖章）：              </w:t>
      </w:r>
    </w:p>
    <w:p>
      <w:pPr>
        <w:spacing w:beforeLines="100" w:line="440" w:lineRule="atLeast"/>
        <w:ind w:firstLine="440" w:firstLineChars="20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w:t>
      </w: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附件2</w:t>
      </w:r>
    </w:p>
    <w:p>
      <w:pPr>
        <w:adjustRightInd w:val="0"/>
        <w:snapToGrid w:val="0"/>
        <w:spacing w:line="300" w:lineRule="auto"/>
        <w:jc w:val="center"/>
        <w:rPr>
          <w:rFonts w:ascii="新宋体" w:hAnsi="新宋体" w:eastAsia="新宋体" w:cs="新宋体"/>
          <w:color w:val="auto"/>
          <w:kern w:val="0"/>
          <w:sz w:val="22"/>
          <w:szCs w:val="22"/>
          <w:highlight w:val="none"/>
        </w:rPr>
      </w:pPr>
      <w:r>
        <w:rPr>
          <w:rFonts w:hint="eastAsia" w:ascii="新宋体" w:hAnsi="新宋体" w:eastAsia="新宋体" w:cs="新宋体"/>
          <w:b/>
          <w:color w:val="auto"/>
          <w:spacing w:val="6"/>
          <w:sz w:val="22"/>
          <w:szCs w:val="22"/>
          <w:highlight w:val="none"/>
        </w:rPr>
        <w:t xml:space="preserve">   监狱企业声明函</w:t>
      </w:r>
    </w:p>
    <w:p>
      <w:pPr>
        <w:snapToGrid w:val="0"/>
        <w:spacing w:line="300" w:lineRule="auto"/>
        <w:ind w:firstLine="464" w:firstLineChars="200"/>
        <w:jc w:val="center"/>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【非监狱企业不用提供】</w:t>
      </w:r>
    </w:p>
    <w:p>
      <w:pPr>
        <w:snapToGrid w:val="0"/>
        <w:spacing w:line="300" w:lineRule="auto"/>
        <w:ind w:firstLine="464" w:firstLineChars="200"/>
        <w:jc w:val="center"/>
        <w:rPr>
          <w:rFonts w:ascii="新宋体" w:hAnsi="新宋体" w:eastAsia="新宋体" w:cs="新宋体"/>
          <w:color w:val="auto"/>
          <w:spacing w:val="6"/>
          <w:sz w:val="22"/>
          <w:szCs w:val="22"/>
          <w:highlight w:val="none"/>
        </w:rPr>
      </w:pPr>
    </w:p>
    <w:p>
      <w:pPr>
        <w:snapToGrid w:val="0"/>
        <w:spacing w:line="300" w:lineRule="auto"/>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300" w:lineRule="auto"/>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根据上述标准，我企业属于监狱企业的理由为：。 </w:t>
      </w:r>
    </w:p>
    <w:p>
      <w:pPr>
        <w:snapToGrid w:val="0"/>
        <w:spacing w:line="300" w:lineRule="auto"/>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本企业为参加（项目名称</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）（招标编号</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）采购活动并承担本工程。 </w:t>
      </w:r>
    </w:p>
    <w:p>
      <w:pPr>
        <w:snapToGrid w:val="0"/>
        <w:spacing w:line="300" w:lineRule="auto"/>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本企业对上述声明的真实性负责。如有虚假，将依法承担相应责任。 </w:t>
      </w:r>
    </w:p>
    <w:p>
      <w:pPr>
        <w:tabs>
          <w:tab w:val="left" w:pos="4860"/>
        </w:tabs>
        <w:spacing w:line="588" w:lineRule="exact"/>
        <w:ind w:right="1560" w:firstLine="464" w:firstLineChars="200"/>
        <w:jc w:val="center"/>
        <w:rPr>
          <w:rFonts w:ascii="新宋体" w:hAnsi="新宋体" w:eastAsia="新宋体" w:cs="新宋体"/>
          <w:color w:val="auto"/>
          <w:spacing w:val="6"/>
          <w:sz w:val="22"/>
          <w:szCs w:val="22"/>
          <w:highlight w:val="none"/>
        </w:rPr>
      </w:pPr>
    </w:p>
    <w:p>
      <w:pPr>
        <w:adjustRightInd w:val="0"/>
        <w:snapToGrid w:val="0"/>
        <w:spacing w:line="300" w:lineRule="auto"/>
        <w:ind w:firstLine="440" w:firstLineChars="2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投标人名称（盖章）：</w:t>
      </w:r>
    </w:p>
    <w:p>
      <w:pPr>
        <w:adjustRightInd w:val="0"/>
        <w:snapToGrid w:val="0"/>
        <w:spacing w:line="300" w:lineRule="auto"/>
        <w:ind w:firstLine="440" w:firstLineChars="200"/>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 xml:space="preserve">日期：       年     月   日 </w:t>
      </w:r>
    </w:p>
    <w:p>
      <w:pPr>
        <w:snapToGrid w:val="0"/>
        <w:spacing w:line="300" w:lineRule="auto"/>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snapToGrid w:val="0"/>
        <w:spacing w:line="300" w:lineRule="auto"/>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bookmarkStart w:id="100" w:name="OLE_LINK14"/>
      <w:bookmarkStart w:id="101" w:name="OLE_LINK13"/>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p>
    <w:p>
      <w:pPr>
        <w:spacing w:line="440" w:lineRule="atLeas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附件3</w:t>
      </w:r>
    </w:p>
    <w:p>
      <w:pPr>
        <w:spacing w:line="588" w:lineRule="exact"/>
        <w:jc w:val="center"/>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残疾人福利性单位声明函</w:t>
      </w:r>
    </w:p>
    <w:p>
      <w:pPr>
        <w:spacing w:line="588" w:lineRule="exact"/>
        <w:jc w:val="center"/>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【非残疾人福利性单位不用提供】</w:t>
      </w:r>
    </w:p>
    <w:p>
      <w:pPr>
        <w:spacing w:line="588" w:lineRule="exact"/>
        <w:jc w:val="center"/>
        <w:rPr>
          <w:rFonts w:ascii="新宋体" w:hAnsi="新宋体" w:eastAsia="新宋体" w:cs="新宋体"/>
          <w:color w:val="auto"/>
          <w:spacing w:val="6"/>
          <w:sz w:val="22"/>
          <w:szCs w:val="22"/>
          <w:highlight w:val="none"/>
        </w:rPr>
      </w:pPr>
    </w:p>
    <w:bookmarkEnd w:id="100"/>
    <w:bookmarkEnd w:id="101"/>
    <w:p>
      <w:pPr>
        <w:spacing w:line="588" w:lineRule="exact"/>
        <w:rPr>
          <w:rFonts w:ascii="新宋体" w:hAnsi="新宋体" w:eastAsia="新宋体" w:cs="新宋体"/>
          <w:color w:val="auto"/>
          <w:spacing w:val="6"/>
          <w:sz w:val="22"/>
          <w:szCs w:val="22"/>
          <w:highlight w:val="none"/>
        </w:rPr>
      </w:pPr>
    </w:p>
    <w:p>
      <w:pPr>
        <w:spacing w:line="588" w:lineRule="exact"/>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本单位郑重声明，根据《财政部民政部中国残疾人联合会关于促进残疾人就业政府采购政策的通知》（财库</w:t>
      </w:r>
      <w:r>
        <w:rPr>
          <w:rFonts w:hint="eastAsia" w:ascii="新宋体" w:hAnsi="新宋体" w:eastAsia="新宋体" w:cs="新宋体"/>
          <w:color w:val="auto"/>
          <w:sz w:val="22"/>
          <w:szCs w:val="22"/>
          <w:highlight w:val="none"/>
        </w:rPr>
        <w:t>〔2017〕141</w:t>
      </w:r>
      <w:r>
        <w:rPr>
          <w:rFonts w:hint="eastAsia" w:ascii="新宋体" w:hAnsi="新宋体" w:eastAsia="新宋体" w:cs="新宋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本单位对上述声明的真实性负责。如有虚假，将依法承担相应责任。</w:t>
      </w:r>
    </w:p>
    <w:p>
      <w:pPr>
        <w:spacing w:line="588" w:lineRule="exact"/>
        <w:ind w:firstLine="464" w:firstLineChars="200"/>
        <w:rPr>
          <w:rFonts w:ascii="新宋体" w:hAnsi="新宋体" w:eastAsia="新宋体" w:cs="新宋体"/>
          <w:color w:val="auto"/>
          <w:spacing w:val="6"/>
          <w:sz w:val="22"/>
          <w:szCs w:val="22"/>
          <w:highlight w:val="none"/>
        </w:rPr>
      </w:pPr>
    </w:p>
    <w:p>
      <w:pPr>
        <w:tabs>
          <w:tab w:val="left" w:pos="4860"/>
        </w:tabs>
        <w:spacing w:line="588" w:lineRule="exact"/>
        <w:ind w:right="1560" w:firstLine="464" w:firstLineChars="200"/>
        <w:jc w:val="center"/>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               单位名称（盖章）：</w:t>
      </w:r>
    </w:p>
    <w:p>
      <w:pPr>
        <w:tabs>
          <w:tab w:val="left" w:pos="4860"/>
        </w:tabs>
        <w:spacing w:line="588" w:lineRule="exact"/>
        <w:ind w:right="1560" w:firstLine="464" w:firstLineChars="200"/>
        <w:jc w:val="center"/>
        <w:rPr>
          <w:rFonts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       日  期：</w:t>
      </w: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spacing w:line="440" w:lineRule="atLeast"/>
        <w:jc w:val="left"/>
        <w:rPr>
          <w:rFonts w:ascii="新宋体" w:hAnsi="新宋体" w:eastAsia="新宋体" w:cs="新宋体"/>
          <w:b/>
          <w:color w:val="auto"/>
          <w:sz w:val="22"/>
          <w:highlight w:val="none"/>
        </w:rPr>
      </w:pPr>
    </w:p>
    <w:p>
      <w:pPr>
        <w:pStyle w:val="4"/>
        <w:rPr>
          <w:rFonts w:ascii="新宋体" w:hAnsi="新宋体" w:eastAsia="新宋体" w:cs="新宋体"/>
          <w:color w:val="auto"/>
          <w:sz w:val="36"/>
          <w:szCs w:val="36"/>
          <w:highlight w:val="none"/>
        </w:rPr>
      </w:pPr>
      <w:bookmarkStart w:id="102" w:name="_Toc221356890"/>
      <w:bookmarkStart w:id="103" w:name="_Toc221356954"/>
      <w:bookmarkStart w:id="104" w:name="_Toc221374629"/>
      <w:bookmarkStart w:id="105" w:name="_Toc221423622"/>
      <w:bookmarkStart w:id="106" w:name="_Toc222114882"/>
      <w:bookmarkStart w:id="107" w:name="_Toc223716001"/>
      <w:bookmarkStart w:id="108" w:name="_Toc239145357"/>
      <w:bookmarkStart w:id="109" w:name="_Toc241404205"/>
      <w:bookmarkStart w:id="110" w:name="_Toc265529386"/>
    </w:p>
    <w:p>
      <w:pPr>
        <w:pStyle w:val="4"/>
        <w:rPr>
          <w:rFonts w:ascii="新宋体" w:hAnsi="新宋体" w:eastAsia="新宋体" w:cs="新宋体"/>
          <w:color w:val="auto"/>
          <w:sz w:val="36"/>
          <w:szCs w:val="36"/>
          <w:highlight w:val="none"/>
        </w:rPr>
      </w:pPr>
    </w:p>
    <w:bookmarkEnd w:id="102"/>
    <w:bookmarkEnd w:id="103"/>
    <w:bookmarkEnd w:id="104"/>
    <w:bookmarkEnd w:id="105"/>
    <w:bookmarkEnd w:id="106"/>
    <w:bookmarkEnd w:id="107"/>
    <w:bookmarkEnd w:id="108"/>
    <w:bookmarkEnd w:id="109"/>
    <w:bookmarkEnd w:id="110"/>
    <w:p>
      <w:pPr>
        <w:spacing w:line="440" w:lineRule="exact"/>
        <w:ind w:firstLine="442" w:firstLineChars="200"/>
        <w:rPr>
          <w:rFonts w:ascii="新宋体" w:hAnsi="新宋体" w:eastAsia="新宋体" w:cs="新宋体"/>
          <w:b/>
          <w:color w:val="auto"/>
          <w:sz w:val="22"/>
          <w:szCs w:val="22"/>
          <w:highlight w:val="none"/>
        </w:rPr>
      </w:pPr>
    </w:p>
    <w:p>
      <w:pPr>
        <w:pStyle w:val="4"/>
        <w:rPr>
          <w:rFonts w:ascii="新宋体" w:hAnsi="新宋体" w:eastAsia="新宋体" w:cs="新宋体"/>
          <w:color w:val="auto"/>
          <w:sz w:val="36"/>
          <w:szCs w:val="36"/>
          <w:highlight w:val="none"/>
        </w:rPr>
      </w:pPr>
      <w:bookmarkStart w:id="111" w:name="_Toc4758"/>
      <w:r>
        <w:rPr>
          <w:rFonts w:hint="eastAsia" w:ascii="新宋体" w:hAnsi="新宋体" w:eastAsia="新宋体" w:cs="新宋体"/>
          <w:color w:val="auto"/>
          <w:sz w:val="36"/>
          <w:szCs w:val="36"/>
          <w:highlight w:val="none"/>
        </w:rPr>
        <w:t>第三部分   合同格式</w:t>
      </w:r>
      <w:bookmarkEnd w:id="111"/>
    </w:p>
    <w:p>
      <w:pPr>
        <w:rPr>
          <w:rFonts w:ascii="新宋体" w:hAnsi="新宋体" w:eastAsia="新宋体" w:cs="新宋体"/>
          <w:color w:val="auto"/>
          <w:sz w:val="36"/>
          <w:szCs w:val="36"/>
          <w:highlight w:val="none"/>
        </w:rPr>
      </w:pPr>
    </w:p>
    <w:p>
      <w:pPr>
        <w:rPr>
          <w:rFonts w:ascii="新宋体" w:hAnsi="新宋体" w:eastAsia="新宋体" w:cs="新宋体"/>
          <w:color w:val="auto"/>
          <w:highlight w:val="none"/>
        </w:rPr>
      </w:pPr>
    </w:p>
    <w:p>
      <w:pPr>
        <w:spacing w:line="440" w:lineRule="exact"/>
        <w:ind w:firstLine="442" w:firstLineChars="200"/>
        <w:rPr>
          <w:rFonts w:ascii="新宋体" w:hAnsi="新宋体" w:eastAsia="新宋体" w:cs="新宋体"/>
          <w:b/>
          <w:color w:val="auto"/>
          <w:sz w:val="22"/>
          <w:szCs w:val="22"/>
          <w:highlight w:val="none"/>
        </w:rPr>
      </w:pPr>
    </w:p>
    <w:p>
      <w:pPr>
        <w:spacing w:line="360" w:lineRule="auto"/>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说明：如甲、乙双方同意，合同格式也可以按照其他形式。但合同条款的基本内容应与《中标合同》要求的内容相一致。</w:t>
      </w:r>
    </w:p>
    <w:p>
      <w:pPr>
        <w:autoSpaceDE w:val="0"/>
        <w:autoSpaceDN w:val="0"/>
        <w:spacing w:line="360" w:lineRule="auto"/>
        <w:textAlignment w:val="bottom"/>
        <w:rPr>
          <w:rFonts w:ascii="新宋体" w:hAnsi="新宋体" w:eastAsia="新宋体" w:cs="新宋体"/>
          <w:color w:val="auto"/>
          <w:sz w:val="22"/>
          <w:szCs w:val="22"/>
          <w:highlight w:val="none"/>
        </w:rPr>
      </w:pPr>
    </w:p>
    <w:p>
      <w:pPr>
        <w:autoSpaceDE w:val="0"/>
        <w:autoSpaceDN w:val="0"/>
        <w:spacing w:line="360" w:lineRule="auto"/>
        <w:jc w:val="center"/>
        <w:textAlignment w:val="bottom"/>
        <w:rPr>
          <w:rFonts w:ascii="新宋体" w:hAnsi="新宋体" w:eastAsia="新宋体" w:cs="新宋体"/>
          <w:color w:val="auto"/>
          <w:sz w:val="22"/>
          <w:szCs w:val="22"/>
          <w:highlight w:val="none"/>
        </w:rPr>
      </w:pPr>
    </w:p>
    <w:p>
      <w:pPr>
        <w:autoSpaceDE w:val="0"/>
        <w:autoSpaceDN w:val="0"/>
        <w:spacing w:line="360" w:lineRule="auto"/>
        <w:jc w:val="center"/>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中标合同</w:t>
      </w:r>
    </w:p>
    <w:p>
      <w:pPr>
        <w:autoSpaceDE w:val="0"/>
        <w:autoSpaceDN w:val="0"/>
        <w:spacing w:line="360" w:lineRule="auto"/>
        <w:jc w:val="center"/>
        <w:textAlignment w:val="bottom"/>
        <w:rPr>
          <w:rFonts w:ascii="新宋体" w:hAnsi="新宋体" w:eastAsia="新宋体" w:cs="新宋体"/>
          <w:color w:val="auto"/>
          <w:sz w:val="22"/>
          <w:szCs w:val="22"/>
          <w:highlight w:val="none"/>
        </w:rPr>
      </w:pPr>
    </w:p>
    <w:p>
      <w:pPr>
        <w:autoSpaceDE w:val="0"/>
        <w:autoSpaceDN w:val="0"/>
        <w:spacing w:line="360" w:lineRule="auto"/>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项目名称：</w:t>
      </w:r>
    </w:p>
    <w:p>
      <w:pPr>
        <w:autoSpaceDE w:val="0"/>
        <w:autoSpaceDN w:val="0"/>
        <w:spacing w:line="360" w:lineRule="auto"/>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设备名称：</w:t>
      </w:r>
    </w:p>
    <w:p>
      <w:pPr>
        <w:autoSpaceDE w:val="0"/>
        <w:autoSpaceDN w:val="0"/>
        <w:spacing w:line="360" w:lineRule="auto"/>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合同编号：</w:t>
      </w:r>
    </w:p>
    <w:p>
      <w:pPr>
        <w:autoSpaceDE w:val="0"/>
        <w:autoSpaceDN w:val="0"/>
        <w:spacing w:line="360" w:lineRule="auto"/>
        <w:textAlignment w:val="bottom"/>
        <w:rPr>
          <w:rFonts w:ascii="新宋体" w:hAnsi="新宋体" w:eastAsia="新宋体" w:cs="新宋体"/>
          <w:color w:val="auto"/>
          <w:sz w:val="22"/>
          <w:szCs w:val="22"/>
          <w:highlight w:val="none"/>
        </w:rPr>
      </w:pPr>
    </w:p>
    <w:p>
      <w:pPr>
        <w:autoSpaceDE w:val="0"/>
        <w:autoSpaceDN w:val="0"/>
        <w:spacing w:line="360" w:lineRule="auto"/>
        <w:textAlignment w:val="bottom"/>
        <w:rPr>
          <w:rFonts w:ascii="新宋体" w:hAnsi="新宋体" w:eastAsia="新宋体" w:cs="新宋体"/>
          <w:color w:val="auto"/>
          <w:sz w:val="22"/>
          <w:szCs w:val="22"/>
          <w:highlight w:val="none"/>
        </w:rPr>
      </w:pPr>
    </w:p>
    <w:p>
      <w:pPr>
        <w:autoSpaceDE w:val="0"/>
        <w:autoSpaceDN w:val="0"/>
        <w:spacing w:line="360" w:lineRule="auto"/>
        <w:textAlignment w:val="bottom"/>
        <w:rPr>
          <w:rFonts w:ascii="新宋体" w:hAnsi="新宋体" w:eastAsia="新宋体" w:cs="新宋体"/>
          <w:color w:val="auto"/>
          <w:sz w:val="22"/>
          <w:szCs w:val="22"/>
          <w:highlight w:val="none"/>
        </w:rPr>
      </w:pPr>
    </w:p>
    <w:p>
      <w:pPr>
        <w:autoSpaceDE w:val="0"/>
        <w:autoSpaceDN w:val="0"/>
        <w:spacing w:line="360" w:lineRule="auto"/>
        <w:textAlignment w:val="bottom"/>
        <w:rPr>
          <w:rFonts w:ascii="新宋体" w:hAnsi="新宋体" w:eastAsia="新宋体" w:cs="新宋体"/>
          <w:color w:val="auto"/>
          <w:sz w:val="22"/>
          <w:szCs w:val="22"/>
          <w:highlight w:val="none"/>
        </w:rPr>
      </w:pPr>
    </w:p>
    <w:p>
      <w:pPr>
        <w:autoSpaceDE w:val="0"/>
        <w:autoSpaceDN w:val="0"/>
        <w:spacing w:line="360" w:lineRule="auto"/>
        <w:textAlignment w:val="bottom"/>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甲    方：</w:t>
      </w:r>
    </w:p>
    <w:p>
      <w:pPr>
        <w:autoSpaceDE w:val="0"/>
        <w:autoSpaceDN w:val="0"/>
        <w:spacing w:line="360" w:lineRule="auto"/>
        <w:textAlignment w:val="bottom"/>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乙    方：</w:t>
      </w:r>
    </w:p>
    <w:p>
      <w:pPr>
        <w:autoSpaceDE w:val="0"/>
        <w:autoSpaceDN w:val="0"/>
        <w:spacing w:line="360" w:lineRule="auto"/>
        <w:textAlignment w:val="bottom"/>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签署日期：</w:t>
      </w:r>
    </w:p>
    <w:p>
      <w:pPr>
        <w:spacing w:line="360" w:lineRule="auto"/>
        <w:rPr>
          <w:rFonts w:ascii="新宋体" w:hAnsi="新宋体" w:eastAsia="新宋体" w:cs="新宋体"/>
          <w:b/>
          <w:bCs/>
          <w:color w:val="auto"/>
          <w:sz w:val="22"/>
          <w:szCs w:val="22"/>
          <w:highlight w:val="none"/>
        </w:rPr>
      </w:pPr>
    </w:p>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32"/>
          <w:szCs w:val="32"/>
          <w:highlight w:val="none"/>
        </w:rPr>
        <w:t>（1）</w:t>
      </w:r>
      <w:r>
        <w:rPr>
          <w:rFonts w:hint="eastAsia" w:ascii="新宋体" w:hAnsi="新宋体" w:eastAsia="新宋体" w:cs="新宋体"/>
          <w:b/>
          <w:color w:val="auto"/>
          <w:sz w:val="32"/>
          <w:szCs w:val="32"/>
          <w:highlight w:val="none"/>
        </w:rPr>
        <w:t>合同主要条款</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    定义：</w:t>
      </w:r>
    </w:p>
    <w:p>
      <w:pPr>
        <w:snapToGrid w:val="0"/>
        <w:spacing w:line="360" w:lineRule="auto"/>
        <w:ind w:firstLine="660" w:firstLine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本合同下列述语应解释为：</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  “合同”系指买卖双方签署的，合同格式中载明的买卖双方所达成的协议，包括所有的附件和构成合同的其它文件。</w:t>
      </w:r>
    </w:p>
    <w:p>
      <w:pPr>
        <w:snapToGrid w:val="0"/>
        <w:spacing w:line="360" w:lineRule="auto"/>
        <w:ind w:left="663" w:hanging="663" w:hangingChars="3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  “合同价”是指根据本合同规定，中标人在正确地完全履行合同义务后采购人应支付给中标人的价款（工地价）。即：货物的供货、税金、运输、保险、装卸、安装、检验（检定费）、配合验收、技术服务、售后服务、质保期保障、材料、采购代理服务费等全部费用、实行固定费用总包干。</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  “货物”是指根据合同规定须向买方提供的本次招标采购人所需物品。</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  “服务”是指根据合同规定卖方承担与供货有关的辅助服务，如运输、保险以及其它的伴随服务和合同中规定卖方应承担的其它义务。</w:t>
      </w:r>
    </w:p>
    <w:p>
      <w:pPr>
        <w:snapToGrid w:val="0"/>
        <w:spacing w:line="360" w:lineRule="auto"/>
        <w:ind w:left="440" w:hanging="440" w:hanging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   “现场”是指合同项下货物将要运输的指定地点。</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   “验收”是指合同双方依据规定的程序和条件确认合同项下的货物符合技术规范的要求。</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    标准</w:t>
      </w:r>
    </w:p>
    <w:p>
      <w:pPr>
        <w:snapToGrid w:val="0"/>
        <w:spacing w:line="360" w:lineRule="auto"/>
        <w:ind w:left="719" w:hanging="719" w:hangingChars="327"/>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本合同项下交付的货物应符合技术规格所述的标准。如在招标文件中无相应说明，则以国家颁布的最新版本标准或行业（部）标准或相应的国际标准执行，没有国家或行业（部）标准的则按企业标准执行。</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   除非技术规格中另有规定，计量单位均采用中华人民共和国法定计量单位。</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    专利权</w:t>
      </w:r>
    </w:p>
    <w:p>
      <w:pPr>
        <w:snapToGrid w:val="0"/>
        <w:spacing w:line="360" w:lineRule="auto"/>
        <w:ind w:left="623" w:hanging="622" w:hangingChars="283"/>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   卖方应保证，买方在使用该货物或货物的任何一部分时，免受第三方提出的侵犯其专利权、商标权、著作权或其它知识产权的起诉。卖方应承担由此可能产生的一切法律责任和费用。</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   包装要求</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4.1   </w:t>
      </w:r>
      <w:r>
        <w:rPr>
          <w:rFonts w:hint="eastAsia" w:ascii="新宋体" w:hAnsi="新宋体" w:eastAsia="新宋体" w:cs="新宋体"/>
          <w:color w:val="auto"/>
          <w:spacing w:val="-2"/>
          <w:sz w:val="22"/>
          <w:szCs w:val="22"/>
          <w:highlight w:val="none"/>
        </w:rPr>
        <w:t>除合同另有规定外，卖方应提供货物运至合同规定的最终目的地所需要的包装，以防止货物在转运中损坏或变质。这类包装应采取防霉、防潮、防晒、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破损和丢失的任何损失的责任或费用。</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    装运标记</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   根据货物的特点和运输的不同要求，卖方还应清楚地标注“小心轻放”、“防潮”、“此端向上”、“请勿倒置”“保持干燥”等字样和其他国际贸易中使用的适当标志。</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6.    交货方式</w:t>
      </w:r>
    </w:p>
    <w:p>
      <w:pPr>
        <w:snapToGrid w:val="0"/>
        <w:spacing w:line="360" w:lineRule="auto"/>
        <w:ind w:left="649" w:hanging="649" w:hangingChars="294"/>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6.1   现场交货：中标人负责办理运输和保险，将货物运抵采购人指定的现场并落地就位。有关运输和保险的一切费用由中标人承担。所有货物运抵现场的日期为交货日期。</w:t>
      </w:r>
    </w:p>
    <w:p>
      <w:pPr>
        <w:snapToGrid w:val="0"/>
        <w:spacing w:line="360" w:lineRule="auto"/>
        <w:ind w:left="649" w:hanging="649" w:hangingChars="294"/>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6.2   在现场交货条件下，中标人在货物发运前15天，将要发运货物的名称、规格、数量、尺寸、重量和货物的卸车，贮存的特殊要求以及运输工具名称以及启运日期，以传真形式通知采购人。</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6.3   如因中标人延误将上述内容用传真形式通知采购人，由此引起的一切损失应由中标人承担。</w:t>
      </w:r>
    </w:p>
    <w:p>
      <w:pPr>
        <w:snapToGrid w:val="0"/>
        <w:spacing w:line="360" w:lineRule="auto"/>
        <w:ind w:left="663" w:hanging="663" w:hangingChars="3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7.    付款方式</w:t>
      </w:r>
    </w:p>
    <w:p>
      <w:pPr>
        <w:snapToGrid w:val="0"/>
        <w:spacing w:line="360" w:lineRule="auto"/>
        <w:ind w:left="657" w:leftChars="313"/>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见招标文件第三部分“合同特殊条款”。</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8.    技术文件和资料</w:t>
      </w:r>
    </w:p>
    <w:p>
      <w:pPr>
        <w:snapToGrid w:val="0"/>
        <w:spacing w:line="360" w:lineRule="auto"/>
        <w:ind w:left="660" w:hanging="660" w:hangingChars="300"/>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8.1   提供技术文件和资料的种类和数量在本招标文件《招标内容及要求》中规定，买卖双方可根据采购要求和需要订立具体的技术文件和资料交付时间和数量。</w:t>
      </w:r>
    </w:p>
    <w:p>
      <w:pPr>
        <w:snapToGrid w:val="0"/>
        <w:spacing w:line="360" w:lineRule="auto"/>
        <w:ind w:left="660" w:hanging="660" w:hangingChars="300"/>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8.2   如果买方确认卖方提供的技术文件和资料不完整，或在运输途中丢失，卖方应在收到甲方通知后3天内将这些文件、资料补齐。</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9.    质量保证</w:t>
      </w:r>
    </w:p>
    <w:p>
      <w:pPr>
        <w:snapToGrid w:val="0"/>
        <w:spacing w:line="360" w:lineRule="auto"/>
        <w:ind w:left="660" w:hanging="660" w:hangingChars="300"/>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9.1   卖方所提供的货物应保证是企业原厂生产的，而不是其他地方生产的、全新的、未使用过的，是用一流的工艺和最佳材料制造而成的，并完全符合合同规定的质量、规格和尺寸要求。在货物质量保证期内，卖方应对由于设计、工艺、材料和配套件的缺陷所产生的任何不足或故障负责。</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9.2   根据甲方按检验标准检验的结果或当地质检部门检验的结果，或者在质量保证期内，如果货物的数量、质量或规格与合同不符，或证实货物是有缺陷的，包括潜在的缺陷或使用不符合要求的材料等，甲方应尽快以书面形式通知卖方，提出索赔。卖方在收到通知后，应在规定期限内，更换有缺陷的或不符合要求的规格和尺寸，同时相应延长质量保证期。</w:t>
      </w:r>
    </w:p>
    <w:p>
      <w:pPr>
        <w:snapToGrid w:val="0"/>
        <w:spacing w:line="360" w:lineRule="auto"/>
        <w:ind w:left="660" w:hanging="660" w:hangingChars="300"/>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 xml:space="preserve">9.3 </w:t>
      </w:r>
      <w:r>
        <w:rPr>
          <w:rFonts w:hint="eastAsia" w:ascii="新宋体" w:hAnsi="新宋体" w:eastAsia="新宋体" w:cs="新宋体"/>
          <w:b/>
          <w:bCs/>
          <w:color w:val="auto"/>
          <w:sz w:val="22"/>
          <w:szCs w:val="22"/>
          <w:highlight w:val="none"/>
        </w:rPr>
        <w:t>货物质量保证期</w:t>
      </w:r>
    </w:p>
    <w:p>
      <w:pPr>
        <w:snapToGrid w:val="0"/>
        <w:spacing w:line="360" w:lineRule="auto"/>
        <w:ind w:left="660" w:leftChars="209" w:hanging="221" w:hangingChars="1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见招标文件第三部分“合同特殊条款”。</w:t>
      </w:r>
    </w:p>
    <w:p>
      <w:pPr>
        <w:snapToGrid w:val="0"/>
        <w:spacing w:line="360" w:lineRule="auto"/>
        <w:ind w:left="663" w:hanging="663" w:hangingChars="3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10.   卖方履约延误</w:t>
      </w:r>
    </w:p>
    <w:p>
      <w:pPr>
        <w:snapToGrid w:val="0"/>
        <w:spacing w:line="360" w:lineRule="auto"/>
        <w:ind w:left="440" w:hanging="440" w:hanging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10.1  乙方应按照合同规定的时间交货和提供服务。</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10.2  在履行合同过程中，如果乙方遇到妨碍按时交货和提供服务的情况时，应及时以书面形式将延误的事实、可能拖延的时间和原因通知甲方。甲方在收到乙方通知后，应尽快对情况进行分析评价，并确定是否同意延长交货时间以及是否收取误期赔偿费。延期应通过修改合同的方式由双方认可。</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10.3  除了合同条款中不可抗力的情况外，除甲方同意延误并不收赔偿费外，乙方延误交货或提供服务将按合同条款11条规定被收取误期赔偿费。</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10.4  所有提供的货物的交货、运输及验收都应服从甲方的统一安排。</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11.   误期赔偿费</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11.1  除不可抗力外，如果乙方没有按照合同规定的时间交货和提供服务，甲方应在不影响合同项下的其他补救措施的情况下，从合同价款中扣除误期赔偿费。每延误一周的赔偿费按迟交货物交货价或未提供服务的服务费用的百分之零点五（0.5%）计收，直至交货或提供服务为止。误期赔偿费最高限额为合同价的百分之五（5%）。一旦延到误期赔偿费的最高限额，甲方可考虑终止合同且不承担违约责任。</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   不可抗力</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12.1  如果双方中任何一方由于战争、严重火灾、水灾、破坏性台风和地震以及其它经双方同意属不可抗力的事故，致使合同履行受阻时，履行合同期限应予延长，延长时限应相当于事故所影响的时间，或双方协商解决。</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13.   税费</w:t>
      </w:r>
    </w:p>
    <w:p>
      <w:pPr>
        <w:snapToGrid w:val="0"/>
        <w:spacing w:line="360" w:lineRule="auto"/>
        <w:ind w:left="440" w:hanging="440" w:hanging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13.1  根据国家现行税法对甲方征收的与本合同有关的一切费用由甲方承担。</w:t>
      </w:r>
    </w:p>
    <w:p>
      <w:pPr>
        <w:snapToGrid w:val="0"/>
        <w:spacing w:line="360" w:lineRule="auto"/>
        <w:ind w:left="484" w:hanging="484" w:hangingChars="22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13.2  根据现行税法对乙方征收的与本合同有关的一切税费均由乙方承担。</w:t>
      </w:r>
    </w:p>
    <w:p>
      <w:pPr>
        <w:snapToGrid w:val="0"/>
        <w:spacing w:line="360" w:lineRule="auto"/>
        <w:ind w:left="440" w:hanging="440" w:hanging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13.3  在中国境外发生的与本合同执行有关的一切税费由乙方承担。</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14.   违约终止合同</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  甲方在乙方违约的情况下，如果发生下列情况之一，可考虑终止部分或全部合同：</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乙方未能在合同规定的期限内或甲方同意延长的期限内提供全部或部分货物；</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pacing w:val="40"/>
          <w:sz w:val="22"/>
          <w:szCs w:val="22"/>
          <w:highlight w:val="none"/>
        </w:rPr>
        <w:t>）</w:t>
      </w:r>
      <w:r>
        <w:rPr>
          <w:rFonts w:hint="eastAsia" w:ascii="新宋体" w:hAnsi="新宋体" w:eastAsia="新宋体" w:cs="新宋体"/>
          <w:color w:val="auto"/>
          <w:sz w:val="22"/>
          <w:szCs w:val="22"/>
          <w:highlight w:val="none"/>
        </w:rPr>
        <w:t>乙方未能履行合同规定的任何其他义务。乙方在收到甲方发出的违约通知后30天内，或经甲方书面认可延长的时间内未能纠正其过失。甲方可向乙方发出书面通知，终止部分或合同全部，通知到达乙方时合同即行解除。在这种情况下，并不影响甲方向乙方提出的索赔。</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14.2  如果甲方根据上述第14.1条的规定，终止了全部或部分合同，甲方可以依其认为适当的条件和方法购买与未交货物类似的货物或服务，乙方应承担甲方因购买类似货物或服务而产生的额外支出。但是，乙方应继续执行合同中未终止的部分。</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   双方责任</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  甲方</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按合同规定向乙方支付货款。</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 组织对货物的验收。</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15.2  乙方</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按合同要求提供货物和服务。</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 对所提供的货物和服务质量问题无条件负责处理。</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   争端的解决</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16.1  合同实施或与合同有关的一切争端，买卖双方应通过友好协商解决，如果协商仍得不到解决，任何一方可向履行合同所在地或合同签约地的仲裁机构申请调解或仲裁。</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16.2  仲裁裁决应为最终裁决，对双方均有约束力。</w:t>
      </w:r>
    </w:p>
    <w:p>
      <w:pPr>
        <w:snapToGri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16.3  仲裁费用除仲裁机构另有裁决外应由败诉方承担。</w:t>
      </w:r>
    </w:p>
    <w:p>
      <w:pPr>
        <w:snapToGrid w:val="0"/>
        <w:spacing w:line="360" w:lineRule="auto"/>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16.4  在仲裁期间，除正在执行仲裁的部分外，本合同的其他部分应继续执行。</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17.   转让和分包及产品不可替代</w:t>
      </w:r>
    </w:p>
    <w:p>
      <w:pPr>
        <w:snapToGrid w:val="0"/>
        <w:spacing w:line="360" w:lineRule="auto"/>
        <w:ind w:left="715" w:hanging="715" w:hangingChars="32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17.1  未经甲方事先书面同意，乙方不得部分转让或全部转让和分包其履行合同的义务。</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17.2  产品不可替代，乙方在没有取得甲方的书面授权的情况下，不得将合同货物的生产制造转交其他生产厂商或以其他厂商的产品替代。</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18.   适用法律</w:t>
      </w:r>
    </w:p>
    <w:p>
      <w:pPr>
        <w:snapToGrid w:val="0"/>
        <w:spacing w:line="360" w:lineRule="auto"/>
        <w:ind w:firstLine="660" w:firstLine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本合同按照中华人民共和国的法律进行解释。</w:t>
      </w:r>
    </w:p>
    <w:p>
      <w:pPr>
        <w:snapToGrid w:val="0"/>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19.   合同生效及其他</w:t>
      </w:r>
    </w:p>
    <w:p>
      <w:pPr>
        <w:snapToGrid w:val="0"/>
        <w:spacing w:line="360" w:lineRule="auto"/>
        <w:ind w:left="561" w:hanging="561" w:hangingChars="25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19.1  合同应在双方签字盖章后开始生效。</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19.2  本合同一式柒份，双方各执叁份，采购代理机构执壹份，具有同等效力。</w:t>
      </w:r>
    </w:p>
    <w:p>
      <w:pPr>
        <w:snapToGrid w:val="0"/>
        <w:spacing w:line="360" w:lineRule="auto"/>
        <w:ind w:left="660" w:hanging="660" w:hangingChars="3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19.3  如需修改或补充合同内容，经协商，双方应签署书面修改或补充协议，该协议将作为本合同的一个组成部分。</w:t>
      </w:r>
    </w:p>
    <w:p>
      <w:pPr>
        <w:spacing w:line="360" w:lineRule="auto"/>
        <w:ind w:left="552" w:hanging="552" w:hangingChars="250"/>
        <w:rPr>
          <w:rFonts w:ascii="新宋体" w:hAnsi="新宋体" w:eastAsia="新宋体" w:cs="新宋体"/>
          <w:b/>
          <w:bCs/>
          <w:color w:val="auto"/>
          <w:sz w:val="22"/>
          <w:szCs w:val="22"/>
          <w:highlight w:val="none"/>
        </w:rPr>
      </w:pP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甲方：（印章）                        乙方：（印章）</w:t>
      </w: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全权代表:（签字）                    全权代表:（签字）</w:t>
      </w: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                               地址：</w:t>
      </w: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                           邮政编码：</w:t>
      </w: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                               电话：</w:t>
      </w: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                               传真：</w:t>
      </w: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开户银行：                           开户银行：</w:t>
      </w:r>
    </w:p>
    <w:p>
      <w:pPr>
        <w:spacing w:line="360" w:lineRule="auto"/>
        <w:ind w:firstLine="1210" w:firstLineChars="5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帐号：                               帐号：</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签订日期：</w:t>
      </w:r>
    </w:p>
    <w:p>
      <w:pPr>
        <w:spacing w:line="420" w:lineRule="exact"/>
        <w:ind w:firstLine="1210" w:firstLineChars="550"/>
        <w:rPr>
          <w:rFonts w:ascii="新宋体" w:hAnsi="新宋体" w:eastAsia="新宋体" w:cs="新宋体"/>
          <w:color w:val="auto"/>
          <w:sz w:val="22"/>
          <w:szCs w:val="22"/>
          <w:highlight w:val="none"/>
        </w:rPr>
      </w:pPr>
    </w:p>
    <w:p>
      <w:pPr>
        <w:pStyle w:val="4"/>
        <w:rPr>
          <w:rFonts w:ascii="新宋体" w:hAnsi="新宋体" w:eastAsia="新宋体" w:cs="新宋体"/>
          <w:b w:val="0"/>
          <w:bCs w:val="0"/>
          <w:color w:val="auto"/>
          <w:sz w:val="32"/>
          <w:szCs w:val="32"/>
          <w:highlight w:val="none"/>
        </w:rPr>
      </w:pPr>
    </w:p>
    <w:p>
      <w:pPr>
        <w:pStyle w:val="4"/>
        <w:rPr>
          <w:rFonts w:ascii="新宋体" w:hAnsi="新宋体" w:eastAsia="新宋体" w:cs="新宋体"/>
          <w:b w:val="0"/>
          <w:bCs w:val="0"/>
          <w:color w:val="auto"/>
          <w:sz w:val="32"/>
          <w:szCs w:val="32"/>
          <w:highlight w:val="none"/>
        </w:rPr>
      </w:pPr>
    </w:p>
    <w:p>
      <w:pPr>
        <w:pStyle w:val="4"/>
        <w:rPr>
          <w:rFonts w:ascii="新宋体" w:hAnsi="新宋体" w:eastAsia="新宋体" w:cs="新宋体"/>
          <w:b w:val="0"/>
          <w:bCs w:val="0"/>
          <w:color w:val="auto"/>
          <w:sz w:val="32"/>
          <w:szCs w:val="32"/>
          <w:highlight w:val="none"/>
        </w:rPr>
      </w:pPr>
    </w:p>
    <w:p>
      <w:pPr>
        <w:pStyle w:val="4"/>
        <w:rPr>
          <w:rFonts w:ascii="新宋体" w:hAnsi="新宋体" w:eastAsia="新宋体" w:cs="新宋体"/>
          <w:b w:val="0"/>
          <w:bCs w:val="0"/>
          <w:color w:val="auto"/>
          <w:sz w:val="32"/>
          <w:szCs w:val="32"/>
          <w:highlight w:val="none"/>
        </w:rPr>
      </w:pPr>
    </w:p>
    <w:p>
      <w:pPr>
        <w:pStyle w:val="4"/>
        <w:rPr>
          <w:rFonts w:ascii="新宋体" w:hAnsi="新宋体" w:eastAsia="新宋体" w:cs="新宋体"/>
          <w:b w:val="0"/>
          <w:bCs w:val="0"/>
          <w:color w:val="auto"/>
          <w:sz w:val="32"/>
          <w:szCs w:val="32"/>
          <w:highlight w:val="none"/>
        </w:rPr>
      </w:pPr>
    </w:p>
    <w:p>
      <w:pPr>
        <w:pStyle w:val="4"/>
        <w:rPr>
          <w:rFonts w:ascii="新宋体" w:hAnsi="新宋体" w:eastAsia="新宋体" w:cs="新宋体"/>
          <w:b w:val="0"/>
          <w:bCs w:val="0"/>
          <w:color w:val="auto"/>
          <w:sz w:val="32"/>
          <w:szCs w:val="32"/>
          <w:highlight w:val="none"/>
        </w:rPr>
      </w:pPr>
    </w:p>
    <w:p>
      <w:pPr>
        <w:pStyle w:val="4"/>
        <w:rPr>
          <w:rFonts w:ascii="新宋体" w:hAnsi="新宋体" w:eastAsia="新宋体" w:cs="新宋体"/>
          <w:b w:val="0"/>
          <w:bCs w:val="0"/>
          <w:color w:val="auto"/>
          <w:sz w:val="32"/>
          <w:szCs w:val="32"/>
          <w:highlight w:val="none"/>
        </w:rPr>
      </w:pPr>
    </w:p>
    <w:p>
      <w:pPr>
        <w:pStyle w:val="4"/>
        <w:rPr>
          <w:rFonts w:ascii="新宋体" w:hAnsi="新宋体" w:eastAsia="新宋体" w:cs="新宋体"/>
          <w:b w:val="0"/>
          <w:bCs w:val="0"/>
          <w:color w:val="auto"/>
          <w:sz w:val="32"/>
          <w:szCs w:val="32"/>
          <w:highlight w:val="none"/>
        </w:rPr>
      </w:pPr>
    </w:p>
    <w:p>
      <w:pPr>
        <w:autoSpaceDE w:val="0"/>
        <w:autoSpaceDN w:val="0"/>
        <w:adjustRightInd w:val="0"/>
        <w:spacing w:line="360" w:lineRule="auto"/>
        <w:rPr>
          <w:rFonts w:ascii="新宋体" w:hAnsi="新宋体" w:eastAsia="新宋体" w:cs="新宋体"/>
          <w:color w:val="auto"/>
          <w:sz w:val="22"/>
          <w:szCs w:val="22"/>
          <w:highlight w:val="none"/>
        </w:rPr>
      </w:pPr>
    </w:p>
    <w:p>
      <w:pPr>
        <w:autoSpaceDE w:val="0"/>
        <w:autoSpaceDN w:val="0"/>
        <w:adjustRightInd w:val="0"/>
        <w:spacing w:line="360" w:lineRule="auto"/>
        <w:rPr>
          <w:rFonts w:ascii="新宋体" w:hAnsi="新宋体" w:eastAsia="新宋体" w:cs="新宋体"/>
          <w:color w:val="auto"/>
          <w:sz w:val="22"/>
          <w:szCs w:val="22"/>
          <w:highlight w:val="none"/>
        </w:rPr>
      </w:pPr>
    </w:p>
    <w:p>
      <w:pPr>
        <w:pStyle w:val="4"/>
        <w:rPr>
          <w:rFonts w:ascii="新宋体" w:hAnsi="新宋体" w:eastAsia="新宋体" w:cs="新宋体"/>
          <w:color w:val="auto"/>
          <w:sz w:val="32"/>
          <w:szCs w:val="32"/>
          <w:highlight w:val="none"/>
        </w:rPr>
      </w:pPr>
      <w:bookmarkStart w:id="112" w:name="_Toc28309"/>
      <w:r>
        <w:rPr>
          <w:rFonts w:hint="eastAsia" w:ascii="新宋体" w:hAnsi="新宋体" w:eastAsia="新宋体" w:cs="新宋体"/>
          <w:color w:val="auto"/>
          <w:sz w:val="32"/>
          <w:szCs w:val="32"/>
          <w:highlight w:val="none"/>
        </w:rPr>
        <w:t>(2)合同特殊条款</w:t>
      </w:r>
      <w:bookmarkEnd w:id="112"/>
    </w:p>
    <w:p>
      <w:pPr>
        <w:pStyle w:val="3"/>
        <w:adjustRightInd w:val="0"/>
        <w:snapToGrid w:val="0"/>
        <w:spacing w:line="360" w:lineRule="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一、货物的交货时间及地点</w:t>
      </w:r>
    </w:p>
    <w:p>
      <w:pPr>
        <w:spacing w:line="360" w:lineRule="auto"/>
        <w:ind w:firstLine="331" w:firstLineChars="15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1、交货地点：买方指定地点。</w:t>
      </w:r>
    </w:p>
    <w:p>
      <w:pPr>
        <w:tabs>
          <w:tab w:val="left" w:pos="6480"/>
        </w:tabs>
        <w:autoSpaceDE w:val="0"/>
        <w:autoSpaceDN w:val="0"/>
        <w:adjustRightInd w:val="0"/>
        <w:snapToGrid w:val="0"/>
        <w:spacing w:line="360" w:lineRule="auto"/>
        <w:ind w:firstLine="331" w:firstLineChars="15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2、交货时间：详见招标第五部分“招标内容及要求”相关内容。</w:t>
      </w:r>
    </w:p>
    <w:p>
      <w:pPr>
        <w:tabs>
          <w:tab w:val="left" w:pos="6480"/>
        </w:tabs>
        <w:autoSpaceDE w:val="0"/>
        <w:autoSpaceDN w:val="0"/>
        <w:adjustRightInd w:val="0"/>
        <w:snapToGrid w:val="0"/>
        <w:spacing w:line="360" w:lineRule="auto"/>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二、到货和验收</w:t>
      </w:r>
    </w:p>
    <w:p>
      <w:pPr>
        <w:spacing w:line="360" w:lineRule="auto"/>
        <w:ind w:left="1" w:firstLine="424" w:firstLineChars="193"/>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1、制造中的检验和测试</w:t>
      </w:r>
    </w:p>
    <w:p>
      <w:pPr>
        <w:spacing w:line="360" w:lineRule="auto"/>
        <w:ind w:left="34" w:firstLine="391" w:firstLineChars="178"/>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采购人有权对货物发货前进行检验或测试，中标人应邀请采购人代表到制造厂检查加工工艺、原材料用料和产品质量，并参加出厂检验，以确认所投产品的制造工艺、原材料、质量等是否符合招标文件和投标时提供的样式要求，但不能作为最终验收。中标人应为采购人检验和测试提供各种方便，并承担相应费用，如果检验或测试的产品不能满足招标要求，采购人可以拒绝接受，中标人应更换被拒绝的货物，并承担给采购人造成的经济损失。</w:t>
      </w:r>
    </w:p>
    <w:p>
      <w:pPr>
        <w:spacing w:line="360" w:lineRule="auto"/>
        <w:ind w:firstLine="424" w:firstLineChars="193"/>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 货物交货前，中标人应自行对所投产品的材料、质量、样式等进行详细而全面的检验，并出具检验（检测）报告，提供权威部门出具的检测报告，该检验（检测）报告将作为采购人付款的重要依据，但不能作为最终验收。</w:t>
      </w:r>
    </w:p>
    <w:p>
      <w:pPr>
        <w:spacing w:line="360" w:lineRule="auto"/>
        <w:ind w:firstLine="424" w:firstLineChars="193"/>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2、到货</w:t>
      </w:r>
    </w:p>
    <w:p>
      <w:pPr>
        <w:spacing w:line="360" w:lineRule="auto"/>
        <w:ind w:firstLine="424" w:firstLineChars="193"/>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有货物到达现场后，采购人有权对货物进行抽样检测。抽样检测不合格的可以部分或全部拒收，由此对采购人造成的损失应给予经济赔偿。中标人必须派员到现场与采购人一起清点检验,按供货清单验收,若有缺少或损坏，中标人应立即补足或更换全新同规格、同面料、同样式的产品，并承担相关费用直至使采购人满意为止。</w:t>
      </w:r>
    </w:p>
    <w:p>
      <w:pPr>
        <w:spacing w:line="360" w:lineRule="auto"/>
        <w:ind w:left="17" w:leftChars="8" w:firstLine="407" w:firstLineChars="18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3、验收</w:t>
      </w:r>
    </w:p>
    <w:p>
      <w:pPr>
        <w:spacing w:line="360" w:lineRule="auto"/>
        <w:ind w:firstLine="424" w:firstLineChars="193"/>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中标人已按合同规定提供了符合招标文件规定的要求的货物，并经有关部门检验合格，所有的技术资料和清单已向采购人提交并被接受，验收视为合格，买卖双方签署验收合格证书。 若因中标人制造工艺、质量问题等导致验收不合格，中标人应及时予以处理，直至验收合格，期间发生的一切费用由中标人承担，采购人保留向中标人索赔的权利。中标人在所有货物的到货、验收期间应接受采购人的协调和管理，中标人应采取严格的安全措施，承担由于自身原因所造成的事故责任及其发生的一切费用。</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三、售后服务</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1、中标人提供的货物必须是全新的,并且符合国家质量性能检测标准及该产品的出厂标准。 </w:t>
      </w:r>
    </w:p>
    <w:p>
      <w:pPr>
        <w:spacing w:line="360" w:lineRule="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2、质量保证期：详见招标第五部分“招标内容及要求”相关内容。</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3、投标人应按照投标文件中的承诺，进行其他售后服务工作。</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4、服务：所有设备需要在最终用户现场进行安装、调试、试运行和培训，这些技术服务费应计入投标总价中。</w:t>
      </w:r>
    </w:p>
    <w:p>
      <w:pPr>
        <w:spacing w:line="360" w:lineRule="auto"/>
        <w:rPr>
          <w:rFonts w:ascii="新宋体" w:hAnsi="新宋体" w:eastAsia="新宋体" w:cs="新宋体"/>
          <w:color w:val="auto"/>
          <w:sz w:val="36"/>
          <w:szCs w:val="36"/>
          <w:highlight w:val="none"/>
        </w:rPr>
      </w:pPr>
      <w:r>
        <w:rPr>
          <w:rFonts w:hint="eastAsia" w:ascii="新宋体" w:hAnsi="新宋体" w:eastAsia="新宋体" w:cs="新宋体"/>
          <w:b/>
          <w:color w:val="auto"/>
          <w:sz w:val="22"/>
          <w:szCs w:val="22"/>
          <w:highlight w:val="none"/>
        </w:rPr>
        <w:t>四、付款方式 ：详见招标第五部分“招标内容及要求”相关内容。</w:t>
      </w:r>
      <w:bookmarkStart w:id="113" w:name="_Toc23027"/>
    </w:p>
    <w:p>
      <w:pPr>
        <w:pStyle w:val="4"/>
        <w:rPr>
          <w:rFonts w:ascii="新宋体" w:hAnsi="新宋体" w:eastAsia="新宋体" w:cs="新宋体"/>
          <w:color w:val="auto"/>
          <w:sz w:val="36"/>
          <w:szCs w:val="36"/>
          <w:highlight w:val="none"/>
        </w:rPr>
      </w:pPr>
    </w:p>
    <w:bookmarkEnd w:id="113"/>
    <w:p>
      <w:pPr>
        <w:pStyle w:val="4"/>
        <w:rPr>
          <w:rFonts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t xml:space="preserve">第四部分   </w:t>
      </w:r>
      <w:bookmarkStart w:id="114" w:name="_Toc221356892"/>
      <w:bookmarkStart w:id="115" w:name="_Toc265529388"/>
      <w:bookmarkStart w:id="116" w:name="_Toc223716003"/>
      <w:bookmarkStart w:id="117" w:name="_Toc239145359"/>
      <w:bookmarkStart w:id="118" w:name="_Toc221356956"/>
      <w:bookmarkStart w:id="119" w:name="_Toc221374631"/>
      <w:bookmarkStart w:id="120" w:name="_Toc241404207"/>
      <w:bookmarkStart w:id="121" w:name="_Toc222114884"/>
      <w:bookmarkStart w:id="122" w:name="_Toc221423624"/>
      <w:r>
        <w:rPr>
          <w:rFonts w:hint="eastAsia" w:ascii="新宋体" w:hAnsi="新宋体" w:eastAsia="新宋体" w:cs="新宋体"/>
          <w:color w:val="auto"/>
          <w:sz w:val="36"/>
          <w:szCs w:val="36"/>
          <w:highlight w:val="none"/>
        </w:rPr>
        <w:t>附件</w:t>
      </w:r>
      <w:bookmarkEnd w:id="114"/>
      <w:bookmarkEnd w:id="115"/>
      <w:bookmarkEnd w:id="116"/>
      <w:bookmarkEnd w:id="117"/>
      <w:bookmarkEnd w:id="118"/>
      <w:bookmarkEnd w:id="119"/>
      <w:bookmarkEnd w:id="120"/>
      <w:bookmarkEnd w:id="121"/>
      <w:bookmarkEnd w:id="122"/>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附件一</w:t>
      </w:r>
    </w:p>
    <w:p>
      <w:pPr>
        <w:spacing w:line="460" w:lineRule="exact"/>
        <w:jc w:val="center"/>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 标 函</w:t>
      </w:r>
    </w:p>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温州市瓯海区人民医院：</w:t>
      </w:r>
    </w:p>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浙江省成套招标代理有限公司：</w:t>
      </w:r>
    </w:p>
    <w:p>
      <w:pPr>
        <w:spacing w:line="42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根据贵方为项目（项目编号：）的投标邀请，我方</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（投标人名称）作为投标人正式授权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（授权代表全名，职务）代表我方处理有关本投标的一切事宜。</w:t>
      </w:r>
    </w:p>
    <w:p>
      <w:pPr>
        <w:pStyle w:val="18"/>
        <w:spacing w:line="420" w:lineRule="exact"/>
        <w:ind w:firstLine="440"/>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在此提交的投标文件中，包括如下内</w:t>
      </w:r>
      <w:r>
        <w:rPr>
          <w:rFonts w:hint="eastAsia" w:ascii="新宋体" w:hAnsi="新宋体" w:eastAsia="新宋体" w:cs="新宋体"/>
          <w:color w:val="auto"/>
          <w:sz w:val="22"/>
          <w:highlight w:val="none"/>
        </w:rPr>
        <w:t>容，并已分别单独密封装袋：</w:t>
      </w:r>
    </w:p>
    <w:p>
      <w:pPr>
        <w:pStyle w:val="18"/>
        <w:spacing w:line="420" w:lineRule="exact"/>
        <w:ind w:firstLine="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（—）按“投标人须知”要求编制的投标文件资格文件【正本一份，副本四份】</w:t>
      </w:r>
    </w:p>
    <w:p>
      <w:pPr>
        <w:spacing w:line="420" w:lineRule="exact"/>
        <w:ind w:firstLine="330" w:firstLineChars="1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（二）按“投标人须知”要求编制的投标文件技术资信标【正本一份，副本四份】；</w:t>
      </w:r>
    </w:p>
    <w:p>
      <w:pPr>
        <w:spacing w:line="420" w:lineRule="exact"/>
        <w:ind w:firstLine="330" w:firstLineChars="1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（三）按“投标人须知”要求编制的投标文件商务（报价）标【正本一份，副本四份】</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我方己完全明白招标文件的所有条款要求，并重申以下几点：</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1、已详细阅读全部招标文件，包括招标文件补充文件（如果有，包括相关的补充、更正、澄清公告和文件）、参考资料及有关附件，确认无误。我方完全理解并接受招标文件的各项规定和要求。</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2、同意提供按照贵方可能要求的与投标有关的一切数据或资料等。若贵方需要，我方愿意提供我方作出的一切承诺的证明材料。</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3、如中标，保证按照招标文件要求及投标文件的承诺与采购人签订合同，保证履行合同条款并交纳履约保证金。</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4、中标或者成交后，按要购文件规定与采购人签订合同，拒绝签订合同的，承诺按采购预算金额的2%对采购人进行赔偿；赔偿金额不足以弥补采购人损失的，承诺继续承担超过部分的损失。</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5、中标或者成交后，按采购文件规定的采购代理服务费标准，承诺在签订合同前向采购代理机构支付采购代理服务费。</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6、同意在招标文件中投标人须知规定的开标日期起遵守本投标书中的承诺且在投标有效期满之前均具有约束力。</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7、在开标后规定的投标有效期内不撤回投标文件，强行撤回投标文件的，承诺按采购预算金额的2%赔偿对采购组织机构造成的损失。</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8、完全理解贵方不一定要接受最低价的投标。</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9、在参加本项目前三年内（被通报或者处罚的违法行为有：</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）或（没有因违法经营受到刑事处罚或者责令停产停业、吊销许可证或者执照、较大数额罚款等行政处罚或处罚）或（在至期间禁止参加政府采购活动但是期限届满，须附相关证明文件）</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10、在投标截止前（未被“信用中国”网站(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新宋体" w:hAnsi="新宋体" w:eastAsia="新宋体" w:cs="新宋体"/>
          <w:color w:val="auto"/>
          <w:sz w:val="22"/>
          <w:highlight w:val="none"/>
        </w:rPr>
        <w:t>www.creditchina.gov.cn</w:t>
      </w:r>
      <w:r>
        <w:rPr>
          <w:rFonts w:hint="eastAsia" w:ascii="新宋体" w:hAnsi="新宋体" w:eastAsia="新宋体" w:cs="新宋体"/>
          <w:color w:val="auto"/>
          <w:sz w:val="22"/>
          <w:highlight w:val="none"/>
        </w:rPr>
        <w:fldChar w:fldCharType="end"/>
      </w:r>
      <w:r>
        <w:rPr>
          <w:rFonts w:hint="eastAsia" w:ascii="新宋体" w:hAnsi="新宋体" w:eastAsia="新宋体" w:cs="新宋体"/>
          <w:color w:val="auto"/>
          <w:sz w:val="22"/>
          <w:highlight w:val="none"/>
        </w:rPr>
        <w:t>)列入失信被执行人、重大税收违法案件当事人名单；未被“中国政府采购网”(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新宋体" w:hAnsi="新宋体" w:eastAsia="新宋体" w:cs="新宋体"/>
          <w:color w:val="auto"/>
          <w:sz w:val="22"/>
          <w:highlight w:val="none"/>
        </w:rPr>
        <w:t>www.ccgp.gov.cn</w:t>
      </w:r>
      <w:r>
        <w:rPr>
          <w:rFonts w:hint="eastAsia" w:ascii="新宋体" w:hAnsi="新宋体" w:eastAsia="新宋体" w:cs="新宋体"/>
          <w:color w:val="auto"/>
          <w:sz w:val="22"/>
          <w:highlight w:val="none"/>
        </w:rPr>
        <w:fldChar w:fldCharType="end"/>
      </w:r>
      <w:r>
        <w:rPr>
          <w:rFonts w:hint="eastAsia" w:ascii="新宋体" w:hAnsi="新宋体" w:eastAsia="新宋体" w:cs="新宋体"/>
          <w:color w:val="auto"/>
          <w:sz w:val="22"/>
          <w:highlight w:val="none"/>
        </w:rPr>
        <w:t>)列入政府采购严重违法失信行为记录名单。）或（被“信用中国”或“中国政府采购网”列入……名单。）</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11、单位、法定代表人、本项目授权代表及本项目负责人在参加本项目前三年内（以法院判决书生效日期为准）均无行贿犯罪记录。</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12、如有下列情形之一的，我方愿意被取消中标资格（如中标），并按采购预算金额的2%赔偿对采购组织机构造成的损失，同时继续承担其他一切法律后果，并不再寻求任何旨在减轻或免除法律责任的解释：</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(1)提供虚假材料（承诺）谋取中标、成交的；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(2)采取不正当手段诋毁、排挤其他投标人的；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(3)与采购人、其它投标人或者采购代理机构恶意串通的；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(4)向采购人、采购代理机构行贿或者提供其他不正当利益的；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(5)在招标采购过程中与采购人进行协商谈判的；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(6)拒绝有关部门监督检查或提供虚假情况的。</w:t>
      </w:r>
    </w:p>
    <w:p>
      <w:pPr>
        <w:spacing w:line="420" w:lineRule="exac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13、所有与本投标有关的函件请发往下列地址：</w:t>
      </w:r>
    </w:p>
    <w:p>
      <w:pPr>
        <w:spacing w:line="42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地址</w:t>
      </w:r>
    </w:p>
    <w:p>
      <w:pPr>
        <w:spacing w:line="42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电话</w:t>
      </w:r>
    </w:p>
    <w:p>
      <w:pPr>
        <w:spacing w:line="420" w:lineRule="exact"/>
        <w:ind w:firstLine="435"/>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   传真</w:t>
      </w:r>
    </w:p>
    <w:p>
      <w:pPr>
        <w:spacing w:line="420" w:lineRule="exact"/>
        <w:ind w:firstLine="770" w:firstLineChars="350"/>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电子邮件</w:t>
      </w:r>
    </w:p>
    <w:p>
      <w:pPr>
        <w:spacing w:line="420" w:lineRule="exact"/>
        <w:ind w:firstLine="435"/>
        <w:rPr>
          <w:rFonts w:ascii="新宋体" w:hAnsi="新宋体" w:eastAsia="新宋体" w:cs="新宋体"/>
          <w:color w:val="auto"/>
          <w:sz w:val="22"/>
          <w:szCs w:val="22"/>
          <w:highlight w:val="none"/>
        </w:rPr>
      </w:pPr>
    </w:p>
    <w:p>
      <w:pPr>
        <w:spacing w:line="42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投标人名称（盖章）</w:t>
      </w:r>
    </w:p>
    <w:p>
      <w:pPr>
        <w:spacing w:line="420" w:lineRule="exact"/>
        <w:ind w:firstLine="43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法定代表人或授权代表（签字或盖章）</w:t>
      </w:r>
    </w:p>
    <w:p>
      <w:pPr>
        <w:spacing w:line="460" w:lineRule="exact"/>
        <w:ind w:firstLine="435"/>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                                   日    期</w:t>
      </w:r>
    </w:p>
    <w:p>
      <w:pPr>
        <w:spacing w:line="460" w:lineRule="exact"/>
        <w:ind w:firstLine="435"/>
        <w:rPr>
          <w:rFonts w:ascii="新宋体" w:hAnsi="新宋体" w:eastAsia="新宋体" w:cs="新宋体"/>
          <w:color w:val="auto"/>
          <w:sz w:val="22"/>
          <w:szCs w:val="22"/>
          <w:highlight w:val="none"/>
          <w:u w:val="singl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r>
        <w:rPr>
          <w:rFonts w:hint="eastAsia" w:ascii="新宋体" w:hAnsi="新宋体" w:eastAsia="新宋体" w:cs="新宋体"/>
          <w:b/>
          <w:bCs/>
          <w:color w:val="auto"/>
          <w:sz w:val="22"/>
          <w:szCs w:val="22"/>
          <w:highlight w:val="none"/>
          <w:u w:val="single"/>
        </w:rPr>
        <w:t>▲投标人必须提供本函，不提供按无效投标处理。</w:t>
      </w: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pStyle w:val="29"/>
        <w:snapToGrid w:val="0"/>
        <w:spacing w:line="324" w:lineRule="auto"/>
        <w:jc w:val="center"/>
        <w:rPr>
          <w:rFonts w:ascii="新宋体" w:hAnsi="新宋体" w:eastAsia="新宋体" w:cs="新宋体"/>
          <w:b/>
          <w:color w:val="auto"/>
          <w:sz w:val="30"/>
          <w:highlight w:val="none"/>
        </w:rPr>
      </w:pPr>
    </w:p>
    <w:p>
      <w:pPr>
        <w:pStyle w:val="29"/>
        <w:snapToGrid w:val="0"/>
        <w:spacing w:line="324" w:lineRule="auto"/>
        <w:jc w:val="center"/>
        <w:rPr>
          <w:rFonts w:ascii="新宋体" w:hAnsi="新宋体" w:eastAsia="新宋体" w:cs="新宋体"/>
          <w:b/>
          <w:color w:val="auto"/>
          <w:sz w:val="30"/>
          <w:highlight w:val="none"/>
        </w:rPr>
      </w:pPr>
      <w:r>
        <w:rPr>
          <w:rFonts w:hint="eastAsia" w:ascii="新宋体" w:hAnsi="新宋体" w:eastAsia="新宋体" w:cs="新宋体"/>
          <w:b/>
          <w:color w:val="auto"/>
          <w:sz w:val="30"/>
          <w:highlight w:val="none"/>
        </w:rPr>
        <w:t>(2)法定代表人诚信投标承诺书</w:t>
      </w:r>
    </w:p>
    <w:p>
      <w:pPr>
        <w:spacing w:line="460" w:lineRule="atLeast"/>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本人以企业法定代表人的身份郑重承诺：</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将遵循公开、公平、公正和诚信信用的原则参加</w:t>
      </w:r>
      <w:r>
        <w:rPr>
          <w:rFonts w:hint="eastAsia" w:ascii="新宋体" w:hAnsi="新宋体" w:eastAsia="新宋体" w:cs="新宋体"/>
          <w:color w:val="auto"/>
          <w:sz w:val="22"/>
          <w:highlight w:val="none"/>
          <w:u w:val="single"/>
        </w:rPr>
        <w:t xml:space="preserve">              项目（招标编号：   ）</w:t>
      </w:r>
      <w:r>
        <w:rPr>
          <w:rFonts w:hint="eastAsia" w:ascii="新宋体" w:hAnsi="新宋体" w:eastAsia="新宋体" w:cs="新宋体"/>
          <w:color w:val="auto"/>
          <w:sz w:val="22"/>
          <w:highlight w:val="none"/>
        </w:rPr>
        <w:t>的投标；</w:t>
      </w:r>
    </w:p>
    <w:p>
      <w:pPr>
        <w:spacing w:line="460" w:lineRule="atLeast"/>
        <w:ind w:firstLine="440" w:firstLineChars="200"/>
        <w:jc w:val="left"/>
        <w:rPr>
          <w:rFonts w:ascii="新宋体" w:hAnsi="新宋体" w:eastAsia="新宋体" w:cs="新宋体"/>
          <w:color w:val="auto"/>
          <w:sz w:val="22"/>
          <w:highlight w:val="none"/>
          <w:u w:val="single"/>
        </w:rPr>
      </w:pPr>
      <w:r>
        <w:rPr>
          <w:rFonts w:hint="eastAsia" w:ascii="新宋体" w:hAnsi="新宋体" w:eastAsia="新宋体" w:cs="新宋体"/>
          <w:color w:val="auto"/>
          <w:sz w:val="22"/>
          <w:highlight w:val="none"/>
        </w:rPr>
        <w:t>一、杜绝以收取管理费等形式的一切挂靠、违法转包、分包行为；并选派有丰富经验、无不良行为记录的在项目管理人员、技术人员，严格按招标文件、投标文件及合同等要求保证拟派人员的到岗率。</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二、投标文件所提供的一切材料都是真实、有效、合法的。</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三、不与其他投标人相互串通投标报价，不排挤其他投标人的公平竞争，不损害采购人或其他投标人的合法权益。</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四、不与采购人或采购代理机构串通投标，不损害国家利益，社会公共利益或其他人的合法权益。</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五、不向采购人或者评标委员会成员行贿以牟取中标。</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六、不以其他人名义投标或者以其他方式弄虚作假，骗取中标。</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七、不在开标后进行虚假恶意投诉。</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九、没有被各地、各级财政部门禁止参加政府采购活动，且在限制期限内：    </w:t>
      </w:r>
    </w:p>
    <w:p>
      <w:pPr>
        <w:spacing w:line="460" w:lineRule="atLeast"/>
        <w:ind w:firstLine="440" w:firstLineChars="200"/>
        <w:jc w:val="left"/>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十、参与本项目政府采购活动3年内没有重大违法记录情况。</w:t>
      </w:r>
    </w:p>
    <w:p>
      <w:pPr>
        <w:spacing w:line="460" w:lineRule="atLeast"/>
        <w:ind w:firstLine="440" w:firstLineChars="20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ascii="新宋体" w:hAnsi="新宋体" w:eastAsia="新宋体" w:cs="新宋体"/>
          <w:color w:val="auto"/>
          <w:sz w:val="22"/>
          <w:highlight w:val="none"/>
        </w:rPr>
      </w:pPr>
    </w:p>
    <w:p>
      <w:pPr>
        <w:spacing w:line="460" w:lineRule="atLeast"/>
        <w:ind w:right="1120" w:firstLine="2982" w:firstLineChars="1350"/>
        <w:rPr>
          <w:rFonts w:ascii="新宋体" w:hAnsi="新宋体" w:eastAsia="新宋体" w:cs="新宋体"/>
          <w:b/>
          <w:bCs/>
          <w:color w:val="auto"/>
          <w:sz w:val="22"/>
          <w:highlight w:val="none"/>
        </w:rPr>
      </w:pPr>
    </w:p>
    <w:p>
      <w:pPr>
        <w:spacing w:line="460" w:lineRule="atLeast"/>
        <w:ind w:right="1120" w:firstLine="2982" w:firstLineChars="1350"/>
        <w:rPr>
          <w:rFonts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法定代表人（签字或签章）：</w:t>
      </w:r>
    </w:p>
    <w:p>
      <w:pPr>
        <w:spacing w:line="460" w:lineRule="atLeast"/>
        <w:ind w:right="1120" w:firstLine="2970" w:firstLineChars="13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投标人（盖章）</w:t>
      </w:r>
    </w:p>
    <w:p>
      <w:pPr>
        <w:spacing w:line="460" w:lineRule="atLeast"/>
        <w:ind w:right="1120" w:firstLine="2970" w:firstLineChars="1350"/>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承诺书签署日期：         年  月  日</w:t>
      </w:r>
    </w:p>
    <w:p>
      <w:pPr>
        <w:spacing w:line="460" w:lineRule="atLeast"/>
        <w:ind w:right="1120" w:firstLine="3403" w:firstLineChars="1547"/>
        <w:jc w:val="center"/>
        <w:rPr>
          <w:rFonts w:ascii="新宋体" w:hAnsi="新宋体" w:eastAsia="新宋体" w:cs="新宋体"/>
          <w:color w:val="auto"/>
          <w:sz w:val="22"/>
          <w:highlight w:val="none"/>
        </w:rPr>
      </w:pP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Cs/>
          <w:color w:val="auto"/>
          <w:sz w:val="22"/>
          <w:highlight w:val="none"/>
        </w:rPr>
        <w:t>备注：</w:t>
      </w:r>
      <w:r>
        <w:rPr>
          <w:rFonts w:hint="eastAsia" w:ascii="新宋体" w:hAnsi="新宋体" w:eastAsia="新宋体" w:cs="新宋体"/>
          <w:bCs/>
          <w:color w:val="auto"/>
          <w:sz w:val="22"/>
          <w:highlight w:val="none"/>
          <w:u w:val="single"/>
        </w:rPr>
        <w:t>▲投标人必须提供本承诺书，不提供按无效投标处理。</w:t>
      </w: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附件二：</w:t>
      </w:r>
    </w:p>
    <w:p>
      <w:pPr>
        <w:spacing w:line="460" w:lineRule="exact"/>
        <w:jc w:val="center"/>
        <w:rPr>
          <w:rFonts w:ascii="新宋体" w:hAnsi="新宋体" w:eastAsia="新宋体" w:cs="新宋体"/>
          <w:color w:val="auto"/>
          <w:sz w:val="28"/>
          <w:szCs w:val="28"/>
          <w:highlight w:val="none"/>
        </w:rPr>
      </w:pPr>
    </w:p>
    <w:p>
      <w:pPr>
        <w:spacing w:line="380" w:lineRule="exact"/>
        <w:ind w:left="420"/>
        <w:rPr>
          <w:rFonts w:ascii="新宋体" w:hAnsi="新宋体" w:eastAsia="新宋体" w:cs="新宋体"/>
          <w:b/>
          <w:color w:val="auto"/>
          <w:sz w:val="22"/>
          <w:szCs w:val="22"/>
          <w:highlight w:val="none"/>
        </w:rPr>
      </w:pPr>
      <w:r>
        <w:rPr>
          <w:rFonts w:hint="eastAsia" w:ascii="新宋体" w:hAnsi="新宋体" w:eastAsia="新宋体" w:cs="新宋体"/>
          <w:b/>
          <w:color w:val="auto"/>
          <w:kern w:val="0"/>
          <w:sz w:val="30"/>
          <w:szCs w:val="21"/>
          <w:highlight w:val="none"/>
        </w:rPr>
        <w:t>法定代表人授权书</w:t>
      </w:r>
    </w:p>
    <w:p>
      <w:pPr>
        <w:spacing w:line="420" w:lineRule="exact"/>
        <w:rPr>
          <w:rFonts w:ascii="新宋体" w:hAnsi="新宋体" w:eastAsia="新宋体" w:cs="新宋体"/>
          <w:b/>
          <w:color w:val="auto"/>
          <w:sz w:val="22"/>
          <w:szCs w:val="22"/>
          <w:highlight w:val="none"/>
        </w:rPr>
      </w:pPr>
    </w:p>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温州市瓯海区人民医院:</w:t>
      </w:r>
    </w:p>
    <w:p>
      <w:pPr>
        <w:spacing w:line="42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浙江省成套招标代理有限公司：</w:t>
      </w:r>
    </w:p>
    <w:p>
      <w:pPr>
        <w:spacing w:line="460" w:lineRule="exact"/>
        <w:rPr>
          <w:rFonts w:ascii="新宋体" w:hAnsi="新宋体" w:eastAsia="新宋体" w:cs="新宋体"/>
          <w:color w:val="auto"/>
          <w:sz w:val="22"/>
          <w:szCs w:val="22"/>
          <w:highlight w:val="none"/>
          <w:u w:val="single"/>
        </w:rPr>
      </w:pPr>
    </w:p>
    <w:p>
      <w:pPr>
        <w:spacing w:line="460" w:lineRule="exact"/>
        <w:ind w:firstLine="550" w:firstLine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（投标人全称）法定代表人授权（全权代表姓名）为全权代表，参加贵处组织的（招标项目名称、招标编号）的招标活动，全权代表我方处理招标活动中的一切事宜。</w:t>
      </w:r>
    </w:p>
    <w:p>
      <w:pPr>
        <w:spacing w:line="460" w:lineRule="exact"/>
        <w:ind w:firstLine="2955"/>
        <w:rPr>
          <w:rFonts w:ascii="新宋体" w:hAnsi="新宋体" w:eastAsia="新宋体" w:cs="新宋体"/>
          <w:color w:val="auto"/>
          <w:sz w:val="22"/>
          <w:szCs w:val="22"/>
          <w:highlight w:val="none"/>
        </w:rPr>
      </w:pPr>
    </w:p>
    <w:p>
      <w:pPr>
        <w:spacing w:line="460" w:lineRule="exact"/>
        <w:ind w:firstLine="2955"/>
        <w:rPr>
          <w:rFonts w:ascii="新宋体" w:hAnsi="新宋体" w:eastAsia="新宋体" w:cs="新宋体"/>
          <w:color w:val="auto"/>
          <w:sz w:val="22"/>
          <w:szCs w:val="22"/>
          <w:highlight w:val="none"/>
        </w:rPr>
      </w:pPr>
    </w:p>
    <w:p>
      <w:pPr>
        <w:spacing w:line="460" w:lineRule="exact"/>
        <w:ind w:firstLine="3971" w:firstLineChars="180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 (签字或盖章)：</w:t>
      </w:r>
    </w:p>
    <w:p>
      <w:pPr>
        <w:spacing w:line="460" w:lineRule="exact"/>
        <w:ind w:firstLine="295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投标人全称（公章）：</w:t>
      </w:r>
    </w:p>
    <w:p>
      <w:pPr>
        <w:spacing w:line="460" w:lineRule="exact"/>
        <w:ind w:firstLine="295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日期：     年    月   日</w:t>
      </w:r>
    </w:p>
    <w:p>
      <w:pPr>
        <w:spacing w:line="460" w:lineRule="exact"/>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授权代表姓名：</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详细通讯地址：</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p>
      <w:pPr>
        <w:spacing w:line="46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       邮政编码:</w:t>
      </w:r>
    </w:p>
    <w:p>
      <w:pPr>
        <w:spacing w:line="460" w:lineRule="exact"/>
        <w:rPr>
          <w:rFonts w:ascii="新宋体" w:hAnsi="新宋体" w:eastAsia="新宋体" w:cs="新宋体"/>
          <w:b/>
          <w:bCs/>
          <w:color w:val="auto"/>
          <w:sz w:val="22"/>
          <w:szCs w:val="22"/>
          <w:highlight w:val="none"/>
        </w:rPr>
      </w:pPr>
    </w:p>
    <w:tbl>
      <w:tblPr>
        <w:tblStyle w:val="64"/>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投标人代表身份证复印件</w:t>
            </w:r>
          </w:p>
          <w:p>
            <w:pPr>
              <w:spacing w:line="380" w:lineRule="exact"/>
              <w:jc w:val="center"/>
              <w:rPr>
                <w:rFonts w:ascii="新宋体" w:hAnsi="新宋体" w:eastAsia="新宋体" w:cs="新宋体"/>
                <w:b/>
                <w:bCs/>
                <w:color w:val="auto"/>
                <w:sz w:val="28"/>
                <w:highlight w:val="none"/>
              </w:rPr>
            </w:pPr>
          </w:p>
        </w:tc>
      </w:tr>
    </w:tbl>
    <w:p>
      <w:pPr>
        <w:spacing w:line="460" w:lineRule="exact"/>
        <w:ind w:firstLine="435"/>
        <w:rPr>
          <w:rFonts w:ascii="新宋体" w:hAnsi="新宋体" w:eastAsia="新宋体" w:cs="新宋体"/>
          <w:color w:val="auto"/>
          <w:sz w:val="22"/>
          <w:szCs w:val="22"/>
          <w:highlight w:val="none"/>
          <w:u w:val="single"/>
        </w:rPr>
        <w:sectPr>
          <w:headerReference r:id="rId3" w:type="default"/>
          <w:footerReference r:id="rId4" w:type="default"/>
          <w:footerReference r:id="rId5" w:type="even"/>
          <w:pgSz w:w="11906" w:h="16838"/>
          <w:pgMar w:top="1134" w:right="1312" w:bottom="1402" w:left="1134" w:header="851" w:footer="851" w:gutter="0"/>
          <w:pgNumType w:start="0"/>
          <w:cols w:space="720" w:num="1"/>
          <w:titlePg/>
          <w:docGrid w:linePitch="312" w:charSpace="0"/>
        </w:sectPr>
      </w:pPr>
    </w:p>
    <w:p>
      <w:pPr>
        <w:spacing w:line="38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附件三    </w:t>
      </w:r>
    </w:p>
    <w:p>
      <w:pPr>
        <w:tabs>
          <w:tab w:val="left" w:pos="3900"/>
          <w:tab w:val="center" w:pos="4819"/>
        </w:tabs>
        <w:spacing w:line="460" w:lineRule="exact"/>
        <w:jc w:val="center"/>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开标一览表</w:t>
      </w:r>
    </w:p>
    <w:p>
      <w:pPr>
        <w:tabs>
          <w:tab w:val="left" w:pos="3900"/>
          <w:tab w:val="center" w:pos="4819"/>
        </w:tabs>
        <w:spacing w:line="460" w:lineRule="exact"/>
        <w:jc w:val="center"/>
        <w:rPr>
          <w:rFonts w:ascii="新宋体" w:hAnsi="新宋体" w:eastAsia="新宋体" w:cs="新宋体"/>
          <w:b/>
          <w:bCs/>
          <w:color w:val="auto"/>
          <w:sz w:val="28"/>
          <w:szCs w:val="28"/>
          <w:highlight w:val="none"/>
        </w:rPr>
      </w:pPr>
    </w:p>
    <w:p>
      <w:pPr>
        <w:spacing w:line="380" w:lineRule="exact"/>
        <w:rPr>
          <w:rFonts w:ascii="新宋体" w:hAnsi="新宋体" w:eastAsia="新宋体" w:cs="新宋体"/>
          <w:b/>
          <w:color w:val="auto"/>
          <w:sz w:val="22"/>
          <w:highlight w:val="none"/>
        </w:rPr>
      </w:pPr>
      <w:r>
        <w:rPr>
          <w:rFonts w:hint="eastAsia" w:ascii="新宋体" w:hAnsi="新宋体" w:eastAsia="新宋体" w:cs="新宋体"/>
          <w:b/>
          <w:color w:val="auto"/>
          <w:sz w:val="22"/>
          <w:highlight w:val="none"/>
        </w:rPr>
        <w:t>项目名称： 招标编号：</w:t>
      </w:r>
    </w:p>
    <w:p>
      <w:pPr>
        <w:spacing w:line="380" w:lineRule="exact"/>
        <w:rPr>
          <w:rFonts w:ascii="新宋体" w:hAnsi="新宋体" w:eastAsia="新宋体" w:cs="新宋体"/>
          <w:b/>
          <w:color w:val="auto"/>
          <w:sz w:val="22"/>
          <w:highlight w:val="none"/>
        </w:rPr>
      </w:pPr>
      <w:r>
        <w:rPr>
          <w:rFonts w:hint="eastAsia" w:ascii="新宋体" w:hAnsi="新宋体" w:eastAsia="新宋体" w:cs="新宋体"/>
          <w:b/>
          <w:color w:val="auto"/>
          <w:sz w:val="22"/>
          <w:highlight w:val="none"/>
        </w:rPr>
        <w:t>价格单位：元</w:t>
      </w:r>
    </w:p>
    <w:tbl>
      <w:tblPr>
        <w:tblStyle w:val="64"/>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1"/>
        <w:gridCol w:w="4229"/>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color w:val="auto"/>
                <w:kern w:val="2"/>
                <w:highlight w:val="none"/>
              </w:rPr>
            </w:pPr>
            <w:r>
              <w:rPr>
                <w:rFonts w:hint="eastAsia" w:ascii="新宋体" w:hAnsi="新宋体" w:eastAsia="新宋体" w:cs="新宋体"/>
                <w:color w:val="auto"/>
                <w:kern w:val="2"/>
                <w:highlight w:val="none"/>
              </w:rPr>
              <w:t>项目名称</w:t>
            </w:r>
          </w:p>
        </w:tc>
        <w:tc>
          <w:tcPr>
            <w:tcW w:w="4229" w:type="dxa"/>
            <w:vAlign w:val="center"/>
          </w:tcPr>
          <w:p>
            <w:pPr>
              <w:pStyle w:val="29"/>
              <w:jc w:val="center"/>
              <w:rPr>
                <w:rFonts w:ascii="新宋体" w:hAnsi="新宋体" w:eastAsia="新宋体" w:cs="新宋体"/>
                <w:color w:val="auto"/>
                <w:kern w:val="2"/>
                <w:highlight w:val="none"/>
              </w:rPr>
            </w:pPr>
            <w:r>
              <w:rPr>
                <w:rFonts w:hint="eastAsia" w:ascii="新宋体" w:hAnsi="新宋体" w:eastAsia="新宋体" w:cs="新宋体"/>
                <w:color w:val="auto"/>
                <w:kern w:val="2"/>
                <w:highlight w:val="none"/>
              </w:rPr>
              <w:t>免费质保期</w:t>
            </w:r>
          </w:p>
        </w:tc>
        <w:tc>
          <w:tcPr>
            <w:tcW w:w="2082" w:type="dxa"/>
            <w:vAlign w:val="center"/>
          </w:tcPr>
          <w:p>
            <w:pPr>
              <w:pStyle w:val="29"/>
              <w:jc w:val="center"/>
              <w:rPr>
                <w:rFonts w:ascii="新宋体" w:hAnsi="新宋体" w:eastAsia="新宋体" w:cs="新宋体"/>
                <w:color w:val="auto"/>
                <w:kern w:val="2"/>
                <w:highlight w:val="none"/>
              </w:rPr>
            </w:pPr>
            <w:r>
              <w:rPr>
                <w:rFonts w:hint="eastAsia" w:ascii="新宋体" w:hAnsi="新宋体" w:eastAsia="新宋体" w:cs="新宋体"/>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color w:val="auto"/>
                <w:kern w:val="2"/>
                <w:highlight w:val="none"/>
              </w:rPr>
            </w:pPr>
          </w:p>
        </w:tc>
        <w:tc>
          <w:tcPr>
            <w:tcW w:w="4229" w:type="dxa"/>
            <w:vAlign w:val="center"/>
          </w:tcPr>
          <w:p>
            <w:pPr>
              <w:pStyle w:val="29"/>
              <w:jc w:val="center"/>
              <w:rPr>
                <w:rFonts w:ascii="新宋体" w:hAnsi="新宋体" w:eastAsia="新宋体" w:cs="新宋体"/>
                <w:color w:val="auto"/>
                <w:kern w:val="2"/>
                <w:highlight w:val="none"/>
              </w:rPr>
            </w:pPr>
          </w:p>
        </w:tc>
        <w:tc>
          <w:tcPr>
            <w:tcW w:w="2082" w:type="dxa"/>
            <w:vAlign w:val="center"/>
          </w:tcPr>
          <w:p>
            <w:pPr>
              <w:pStyle w:val="29"/>
              <w:jc w:val="center"/>
              <w:rPr>
                <w:rFonts w:ascii="新宋体" w:hAnsi="新宋体" w:eastAsia="新宋体" w:cs="新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521" w:type="dxa"/>
            <w:vAlign w:val="center"/>
          </w:tcPr>
          <w:p>
            <w:pPr>
              <w:pStyle w:val="29"/>
              <w:jc w:val="center"/>
              <w:rPr>
                <w:rFonts w:ascii="新宋体" w:hAnsi="新宋体" w:eastAsia="新宋体" w:cs="新宋体"/>
                <w:b/>
                <w:color w:val="auto"/>
                <w:kern w:val="2"/>
                <w:highlight w:val="none"/>
              </w:rPr>
            </w:pPr>
            <w:r>
              <w:rPr>
                <w:rFonts w:hint="eastAsia" w:ascii="新宋体" w:hAnsi="新宋体" w:eastAsia="新宋体" w:cs="新宋体"/>
                <w:b/>
                <w:color w:val="auto"/>
                <w:kern w:val="2"/>
                <w:highlight w:val="none"/>
              </w:rPr>
              <w:t>投标</w:t>
            </w:r>
            <w:r>
              <w:rPr>
                <w:rFonts w:hint="eastAsia" w:ascii="新宋体" w:hAnsi="新宋体" w:eastAsia="新宋体" w:cs="新宋体"/>
                <w:b/>
                <w:color w:val="auto"/>
                <w:sz w:val="22"/>
                <w:highlight w:val="none"/>
              </w:rPr>
              <w:t>总</w:t>
            </w:r>
            <w:r>
              <w:rPr>
                <w:rFonts w:hint="eastAsia" w:ascii="新宋体" w:hAnsi="新宋体" w:eastAsia="新宋体" w:cs="新宋体"/>
                <w:b/>
                <w:color w:val="auto"/>
                <w:kern w:val="2"/>
                <w:highlight w:val="none"/>
              </w:rPr>
              <w:t>价（人民币元）</w:t>
            </w:r>
          </w:p>
        </w:tc>
        <w:tc>
          <w:tcPr>
            <w:tcW w:w="6311" w:type="dxa"/>
            <w:gridSpan w:val="2"/>
            <w:vAlign w:val="center"/>
          </w:tcPr>
          <w:p>
            <w:pPr>
              <w:pStyle w:val="29"/>
              <w:rPr>
                <w:rFonts w:ascii="新宋体" w:hAnsi="新宋体" w:eastAsia="新宋体" w:cs="新宋体"/>
                <w:b/>
                <w:color w:val="auto"/>
                <w:kern w:val="2"/>
                <w:highlight w:val="none"/>
              </w:rPr>
            </w:pPr>
            <w:r>
              <w:rPr>
                <w:rFonts w:hint="eastAsia" w:ascii="新宋体" w:hAnsi="新宋体" w:eastAsia="新宋体" w:cs="新宋体"/>
                <w:b/>
                <w:color w:val="auto"/>
                <w:kern w:val="2"/>
                <w:highlight w:val="none"/>
              </w:rPr>
              <w:t>（大写）</w:t>
            </w:r>
          </w:p>
          <w:p>
            <w:pPr>
              <w:pStyle w:val="29"/>
              <w:rPr>
                <w:rFonts w:ascii="新宋体" w:hAnsi="新宋体" w:eastAsia="新宋体" w:cs="新宋体"/>
                <w:color w:val="auto"/>
                <w:kern w:val="2"/>
                <w:highlight w:val="none"/>
              </w:rPr>
            </w:pPr>
            <w:r>
              <w:rPr>
                <w:rFonts w:hint="eastAsia" w:ascii="新宋体" w:hAnsi="新宋体" w:eastAsia="新宋体" w:cs="新宋体"/>
                <w:b/>
                <w:color w:val="auto"/>
                <w:kern w:val="2"/>
                <w:highlight w:val="none"/>
              </w:rPr>
              <w:t>（小写）</w:t>
            </w:r>
          </w:p>
        </w:tc>
      </w:tr>
    </w:tbl>
    <w:p>
      <w:pPr>
        <w:spacing w:line="380" w:lineRule="exact"/>
        <w:ind w:left="532" w:leftChars="-66" w:hanging="671" w:hangingChars="304"/>
        <w:rPr>
          <w:rFonts w:ascii="新宋体" w:hAnsi="新宋体" w:eastAsia="新宋体" w:cs="新宋体"/>
          <w:b/>
          <w:color w:val="auto"/>
          <w:sz w:val="22"/>
          <w:highlight w:val="none"/>
        </w:rPr>
      </w:pPr>
      <w:r>
        <w:rPr>
          <w:rFonts w:hint="eastAsia" w:ascii="新宋体" w:hAnsi="新宋体" w:eastAsia="新宋体" w:cs="新宋体"/>
          <w:b/>
          <w:color w:val="auto"/>
          <w:sz w:val="22"/>
          <w:highlight w:val="none"/>
        </w:rPr>
        <w:t>说明：</w:t>
      </w:r>
    </w:p>
    <w:p>
      <w:pPr>
        <w:spacing w:line="380" w:lineRule="exact"/>
        <w:ind w:left="523" w:leftChars="247" w:hanging="4" w:hangingChars="2"/>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Cs/>
          <w:color w:val="auto"/>
          <w:sz w:val="22"/>
          <w:highlight w:val="none"/>
          <w:u w:val="single"/>
        </w:rPr>
        <w:t>▲</w:t>
      </w:r>
      <w:r>
        <w:rPr>
          <w:rFonts w:hint="eastAsia" w:ascii="新宋体" w:hAnsi="新宋体" w:eastAsia="新宋体" w:cs="新宋体"/>
          <w:b/>
          <w:color w:val="auto"/>
          <w:sz w:val="22"/>
          <w:highlight w:val="none"/>
          <w:u w:val="single"/>
        </w:rPr>
        <w:t>本表中的投标总价须与附件四《投标分项报价表》中的“设备总价”相一致。</w:t>
      </w:r>
    </w:p>
    <w:p>
      <w:pPr>
        <w:spacing w:line="380" w:lineRule="exact"/>
        <w:rPr>
          <w:rFonts w:ascii="新宋体" w:hAnsi="新宋体" w:eastAsia="新宋体" w:cs="新宋体"/>
          <w:b/>
          <w:color w:val="auto"/>
          <w:sz w:val="22"/>
          <w:highlight w:val="none"/>
        </w:rPr>
      </w:pPr>
      <w:r>
        <w:rPr>
          <w:rFonts w:hint="eastAsia" w:ascii="新宋体" w:hAnsi="新宋体" w:eastAsia="新宋体" w:cs="新宋体"/>
          <w:b/>
          <w:bCs/>
          <w:color w:val="auto"/>
          <w:sz w:val="22"/>
          <w:szCs w:val="22"/>
          <w:highlight w:val="none"/>
        </w:rPr>
        <w:t>2.</w:t>
      </w:r>
      <w:r>
        <w:rPr>
          <w:rFonts w:hint="eastAsia" w:ascii="新宋体" w:hAnsi="新宋体" w:eastAsia="新宋体" w:cs="新宋体"/>
          <w:bCs/>
          <w:color w:val="auto"/>
          <w:sz w:val="22"/>
          <w:highlight w:val="none"/>
          <w:u w:val="single"/>
        </w:rPr>
        <w:t>▲</w:t>
      </w:r>
      <w:r>
        <w:rPr>
          <w:rFonts w:hint="eastAsia" w:ascii="新宋体" w:hAnsi="新宋体" w:eastAsia="新宋体" w:cs="新宋体"/>
          <w:b/>
          <w:color w:val="auto"/>
          <w:sz w:val="22"/>
          <w:szCs w:val="22"/>
          <w:highlight w:val="none"/>
          <w:u w:val="single"/>
        </w:rPr>
        <w:t>不提供开标一览表的投标文件将被视为未实质性响应招标文件。</w:t>
      </w:r>
    </w:p>
    <w:p>
      <w:pPr>
        <w:spacing w:line="380" w:lineRule="exact"/>
        <w:rPr>
          <w:rFonts w:ascii="新宋体" w:hAnsi="新宋体" w:eastAsia="新宋体" w:cs="新宋体"/>
          <w:color w:val="auto"/>
          <w:sz w:val="22"/>
          <w:szCs w:val="22"/>
          <w:highlight w:val="none"/>
        </w:rPr>
      </w:pPr>
    </w:p>
    <w:p>
      <w:pPr>
        <w:spacing w:line="380" w:lineRule="exact"/>
        <w:rPr>
          <w:rFonts w:ascii="新宋体" w:hAnsi="新宋体" w:eastAsia="新宋体" w:cs="新宋体"/>
          <w:color w:val="auto"/>
          <w:sz w:val="22"/>
          <w:szCs w:val="22"/>
          <w:highlight w:val="none"/>
        </w:rPr>
      </w:pPr>
    </w:p>
    <w:p>
      <w:pPr>
        <w:spacing w:line="380" w:lineRule="exact"/>
        <w:rPr>
          <w:rFonts w:ascii="新宋体" w:hAnsi="新宋体" w:eastAsia="新宋体" w:cs="新宋体"/>
          <w:color w:val="auto"/>
          <w:sz w:val="22"/>
          <w:szCs w:val="22"/>
          <w:highlight w:val="none"/>
        </w:rPr>
      </w:pPr>
    </w:p>
    <w:p>
      <w:pPr>
        <w:spacing w:line="38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38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tabs>
          <w:tab w:val="left" w:pos="3990"/>
          <w:tab w:val="center" w:pos="4819"/>
        </w:tabs>
        <w:spacing w:line="460" w:lineRule="exact"/>
        <w:jc w:val="left"/>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ab/>
      </w:r>
    </w:p>
    <w:p>
      <w:pPr>
        <w:spacing w:line="380" w:lineRule="exact"/>
        <w:ind w:firstLine="9460" w:firstLineChars="4300"/>
        <w:rPr>
          <w:rFonts w:ascii="新宋体" w:hAnsi="新宋体" w:eastAsia="新宋体" w:cs="新宋体"/>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spacing w:line="380" w:lineRule="exact"/>
        <w:rPr>
          <w:rFonts w:ascii="新宋体" w:hAnsi="新宋体" w:eastAsia="新宋体" w:cs="新宋体"/>
          <w:b/>
          <w:bCs/>
          <w:color w:val="auto"/>
          <w:sz w:val="22"/>
          <w:szCs w:val="22"/>
          <w:highlight w:val="none"/>
        </w:rPr>
      </w:pPr>
    </w:p>
    <w:p>
      <w:pP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p>
    <w:p>
      <w:pPr>
        <w:spacing w:line="380" w:lineRule="exact"/>
        <w:rPr>
          <w:rFonts w:ascii="新宋体" w:hAnsi="新宋体" w:eastAsia="新宋体" w:cs="新宋体"/>
          <w:color w:val="auto"/>
          <w:sz w:val="24"/>
          <w:highlight w:val="none"/>
        </w:rPr>
      </w:pPr>
      <w:r>
        <w:rPr>
          <w:rFonts w:hint="eastAsia" w:ascii="新宋体" w:hAnsi="新宋体" w:eastAsia="新宋体" w:cs="新宋体"/>
          <w:b/>
          <w:bCs/>
          <w:color w:val="auto"/>
          <w:sz w:val="22"/>
          <w:szCs w:val="22"/>
          <w:highlight w:val="none"/>
        </w:rPr>
        <w:t xml:space="preserve">附件四 </w:t>
      </w:r>
    </w:p>
    <w:p>
      <w:pPr>
        <w:spacing w:line="360" w:lineRule="auto"/>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投标分项报价表</w:t>
      </w:r>
    </w:p>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p>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招标编号：</w:t>
      </w:r>
    </w:p>
    <w:p>
      <w:pPr>
        <w:pStyle w:val="29"/>
        <w:spacing w:line="360" w:lineRule="auto"/>
        <w:ind w:left="469" w:hanging="469"/>
        <w:jc w:val="righ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（价格单位：元人民币）</w:t>
      </w:r>
    </w:p>
    <w:tbl>
      <w:tblPr>
        <w:tblStyle w:val="64"/>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73"/>
        <w:gridCol w:w="1455"/>
        <w:gridCol w:w="1539"/>
        <w:gridCol w:w="701"/>
        <w:gridCol w:w="1167"/>
        <w:gridCol w:w="95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tcBorders>
              <w:top w:val="single" w:color="auto" w:sz="12" w:space="0"/>
              <w:left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57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设备名称</w:t>
            </w:r>
          </w:p>
        </w:tc>
        <w:tc>
          <w:tcPr>
            <w:tcW w:w="145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品牌型号规格、产地</w:t>
            </w:r>
          </w:p>
        </w:tc>
        <w:tc>
          <w:tcPr>
            <w:tcW w:w="1539"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制造厂商名称</w:t>
            </w:r>
          </w:p>
        </w:tc>
        <w:tc>
          <w:tcPr>
            <w:tcW w:w="701"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1167"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出厂单价</w:t>
            </w:r>
          </w:p>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95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总价</w:t>
            </w:r>
          </w:p>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（含税）</w:t>
            </w:r>
          </w:p>
        </w:tc>
        <w:tc>
          <w:tcPr>
            <w:tcW w:w="1457" w:type="dxa"/>
            <w:tcBorders>
              <w:top w:val="single" w:color="auto" w:sz="12" w:space="0"/>
              <w:bottom w:val="single" w:color="auto" w:sz="12" w:space="0"/>
              <w:right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w:t>
            </w:r>
          </w:p>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39"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701"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167"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95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457"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费用名称</w:t>
            </w: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金额</w:t>
            </w: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3028" w:type="dxa"/>
            <w:gridSpan w:val="2"/>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3407" w:type="dxa"/>
            <w:gridSpan w:val="3"/>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410" w:type="dxa"/>
            <w:gridSpan w:val="2"/>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费用价格（小计）</w:t>
            </w:r>
          </w:p>
        </w:tc>
        <w:tc>
          <w:tcPr>
            <w:tcW w:w="5817" w:type="dxa"/>
            <w:gridSpan w:val="5"/>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3"/>
            <w:tcBorders>
              <w:left w:val="single" w:color="auto" w:sz="12" w:space="0"/>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设备总价（设备价格+费用价格）</w:t>
            </w:r>
          </w:p>
          <w:p>
            <w:pPr>
              <w:pStyle w:val="29"/>
              <w:spacing w:line="360" w:lineRule="auto"/>
              <w:ind w:left="469" w:hanging="469"/>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（合计）</w:t>
            </w:r>
          </w:p>
        </w:tc>
        <w:tc>
          <w:tcPr>
            <w:tcW w:w="5817" w:type="dxa"/>
            <w:gridSpan w:val="5"/>
            <w:tcBorders>
              <w:bottom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bl>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r>
        <w:rPr>
          <w:rFonts w:hint="eastAsia" w:ascii="新宋体" w:hAnsi="新宋体" w:eastAsia="新宋体" w:cs="新宋体"/>
          <w:b/>
          <w:bCs/>
          <w:color w:val="auto"/>
          <w:sz w:val="22"/>
          <w:szCs w:val="22"/>
          <w:highlight w:val="none"/>
          <w:u w:val="single"/>
        </w:rPr>
        <w:t>▲血透水处理机采购预算为人民币68万元整；如投标人设备总价超过采购预算，其投标文件作无效标处理。</w:t>
      </w:r>
    </w:p>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b/>
          <w:bCs/>
          <w:color w:val="auto"/>
          <w:sz w:val="22"/>
          <w:szCs w:val="22"/>
          <w:highlight w:val="none"/>
          <w:u w:val="single"/>
        </w:rPr>
        <w:t>▲</w:t>
      </w:r>
      <w:r>
        <w:rPr>
          <w:rFonts w:hint="eastAsia" w:ascii="新宋体" w:hAnsi="新宋体" w:eastAsia="新宋体" w:cs="新宋体"/>
          <w:color w:val="auto"/>
          <w:sz w:val="22"/>
          <w:szCs w:val="22"/>
          <w:highlight w:val="none"/>
          <w:u w:val="single"/>
        </w:rPr>
        <w:t>不提供详细分项报价将视为没有实质性响应招标文件，投标文件将被拒绝；</w:t>
      </w:r>
    </w:p>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3、本表可在不改变格式的情况下根据具体需要自行增减；</w:t>
      </w:r>
    </w:p>
    <w:p>
      <w:pPr>
        <w:spacing w:line="380" w:lineRule="exact"/>
        <w:ind w:firstLine="720"/>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pStyle w:val="2"/>
        <w:ind w:firstLine="240"/>
        <w:rPr>
          <w:rFonts w:ascii="新宋体" w:hAnsi="新宋体" w:eastAsia="新宋体" w:cs="新宋体"/>
          <w:color w:val="auto"/>
          <w:sz w:val="24"/>
          <w:highlight w:val="none"/>
        </w:rPr>
      </w:pPr>
    </w:p>
    <w:p>
      <w:pPr>
        <w:pStyle w:val="2"/>
        <w:ind w:firstLine="240"/>
        <w:rPr>
          <w:rFonts w:ascii="新宋体" w:hAnsi="新宋体" w:eastAsia="新宋体" w:cs="新宋体"/>
          <w:color w:val="auto"/>
          <w:sz w:val="24"/>
          <w:highlight w:val="none"/>
        </w:rPr>
      </w:pP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附件五</w:t>
      </w:r>
    </w:p>
    <w:p>
      <w:pPr>
        <w:spacing w:line="460" w:lineRule="exact"/>
        <w:jc w:val="center"/>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 xml:space="preserve"> (1)技术参数及服务条款应答表</w:t>
      </w:r>
    </w:p>
    <w:p>
      <w:pPr>
        <w:ind w:firstLine="435"/>
        <w:jc w:val="center"/>
        <w:rPr>
          <w:rFonts w:ascii="新宋体" w:hAnsi="新宋体" w:eastAsia="新宋体" w:cs="新宋体"/>
          <w:b/>
          <w:color w:val="auto"/>
          <w:sz w:val="44"/>
          <w:highlight w:val="none"/>
        </w:rPr>
      </w:pPr>
    </w:p>
    <w:p>
      <w:pPr>
        <w:overflowPunct w:val="0"/>
        <w:spacing w:line="38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项目名称：                                      招标编号：</w:t>
      </w:r>
    </w:p>
    <w:p>
      <w:pPr>
        <w:ind w:firstLine="361" w:firstLineChars="150"/>
        <w:rPr>
          <w:rFonts w:ascii="新宋体" w:hAnsi="新宋体" w:eastAsia="新宋体" w:cs="新宋体"/>
          <w:b/>
          <w:color w:val="auto"/>
          <w:sz w:val="24"/>
          <w:highlight w:val="none"/>
        </w:rPr>
      </w:pPr>
    </w:p>
    <w:tbl>
      <w:tblPr>
        <w:tblStyle w:val="64"/>
        <w:tblW w:w="98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73"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2538"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招标文件技术规格</w:t>
            </w:r>
          </w:p>
        </w:tc>
        <w:tc>
          <w:tcPr>
            <w:tcW w:w="2326"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实际技术规格</w:t>
            </w:r>
          </w:p>
        </w:tc>
        <w:tc>
          <w:tcPr>
            <w:tcW w:w="2115"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偏离</w:t>
            </w:r>
          </w:p>
        </w:tc>
        <w:tc>
          <w:tcPr>
            <w:tcW w:w="1902"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0"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ascii="新宋体" w:hAnsi="新宋体" w:eastAsia="新宋体" w:cs="新宋体"/>
                <w:color w:val="auto"/>
                <w:sz w:val="22"/>
                <w:szCs w:val="22"/>
                <w:highlight w:val="none"/>
              </w:rPr>
            </w:pPr>
          </w:p>
        </w:tc>
        <w:tc>
          <w:tcPr>
            <w:tcW w:w="2538" w:type="dxa"/>
            <w:vAlign w:val="center"/>
          </w:tcPr>
          <w:p>
            <w:pPr>
              <w:jc w:val="center"/>
              <w:rPr>
                <w:rFonts w:ascii="新宋体" w:hAnsi="新宋体" w:eastAsia="新宋体" w:cs="新宋体"/>
                <w:color w:val="auto"/>
                <w:sz w:val="22"/>
                <w:szCs w:val="22"/>
                <w:highlight w:val="none"/>
              </w:rPr>
            </w:pPr>
          </w:p>
        </w:tc>
        <w:tc>
          <w:tcPr>
            <w:tcW w:w="2326" w:type="dxa"/>
            <w:vAlign w:val="center"/>
          </w:tcPr>
          <w:p>
            <w:pPr>
              <w:jc w:val="center"/>
              <w:rPr>
                <w:rFonts w:ascii="新宋体" w:hAnsi="新宋体" w:eastAsia="新宋体" w:cs="新宋体"/>
                <w:color w:val="auto"/>
                <w:sz w:val="22"/>
                <w:szCs w:val="22"/>
                <w:highlight w:val="none"/>
              </w:rPr>
            </w:pPr>
          </w:p>
        </w:tc>
        <w:tc>
          <w:tcPr>
            <w:tcW w:w="2115" w:type="dxa"/>
            <w:vAlign w:val="center"/>
          </w:tcPr>
          <w:p>
            <w:pPr>
              <w:jc w:val="center"/>
              <w:rPr>
                <w:rFonts w:ascii="新宋体" w:hAnsi="新宋体" w:eastAsia="新宋体" w:cs="新宋体"/>
                <w:color w:val="auto"/>
                <w:sz w:val="22"/>
                <w:szCs w:val="22"/>
                <w:highlight w:val="none"/>
              </w:rPr>
            </w:pPr>
          </w:p>
        </w:tc>
        <w:tc>
          <w:tcPr>
            <w:tcW w:w="1902" w:type="dxa"/>
            <w:vAlign w:val="center"/>
          </w:tcPr>
          <w:p>
            <w:pPr>
              <w:jc w:val="center"/>
              <w:rPr>
                <w:rFonts w:ascii="新宋体" w:hAnsi="新宋体" w:eastAsia="新宋体" w:cs="新宋体"/>
                <w:color w:val="auto"/>
                <w:sz w:val="22"/>
                <w:szCs w:val="22"/>
                <w:highlight w:val="none"/>
              </w:rPr>
            </w:pPr>
          </w:p>
        </w:tc>
      </w:tr>
    </w:tbl>
    <w:p>
      <w:pPr>
        <w:rPr>
          <w:rFonts w:ascii="新宋体" w:hAnsi="新宋体" w:eastAsia="新宋体" w:cs="新宋体"/>
          <w:color w:val="auto"/>
          <w:sz w:val="24"/>
          <w:highlight w:val="none"/>
        </w:rPr>
      </w:pPr>
    </w:p>
    <w:p>
      <w:pPr>
        <w:spacing w:line="400" w:lineRule="exact"/>
        <w:ind w:left="218" w:leftChars="1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p>
      <w:pPr>
        <w:spacing w:line="400" w:lineRule="exact"/>
        <w:ind w:left="218" w:leftChars="104"/>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1、如有偏离，必须在偏离表中进行详细对比说明并注明正偏离和负偏离，如不说明偏离情况，视为完全响应招标文件要求无偏离.</w:t>
      </w:r>
    </w:p>
    <w:p>
      <w:pPr>
        <w:spacing w:line="400" w:lineRule="exact"/>
        <w:ind w:firstLine="220" w:firstLineChars="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u w:val="single"/>
        </w:rPr>
        <w:t>▲不提供此表将视为没有实质性响应招标文件，按无效投标处理。</w:t>
      </w:r>
    </w:p>
    <w:p>
      <w:pPr>
        <w:spacing w:line="400" w:lineRule="exact"/>
        <w:rPr>
          <w:rFonts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400" w:lineRule="exact"/>
        <w:ind w:firstLine="770" w:firstLineChars="3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400" w:lineRule="exact"/>
        <w:rPr>
          <w:rFonts w:ascii="新宋体" w:hAnsi="新宋体" w:eastAsia="新宋体" w:cs="新宋体"/>
          <w:color w:val="auto"/>
          <w:sz w:val="22"/>
          <w:szCs w:val="22"/>
          <w:highlight w:val="none"/>
        </w:rPr>
      </w:pPr>
    </w:p>
    <w:p>
      <w:pPr>
        <w:spacing w:line="500" w:lineRule="exact"/>
        <w:jc w:val="center"/>
        <w:rPr>
          <w:rFonts w:ascii="新宋体" w:hAnsi="新宋体" w:eastAsia="新宋体" w:cs="新宋体"/>
          <w:b/>
          <w:bCs/>
          <w:color w:val="auto"/>
          <w:sz w:val="28"/>
          <w:szCs w:val="28"/>
          <w:highlight w:val="none"/>
        </w:rPr>
      </w:pPr>
      <w:r>
        <w:rPr>
          <w:rFonts w:hint="eastAsia" w:ascii="新宋体" w:hAnsi="新宋体" w:eastAsia="新宋体" w:cs="新宋体"/>
          <w:color w:val="auto"/>
          <w:sz w:val="24"/>
          <w:highlight w:val="none"/>
        </w:rPr>
        <w:br w:type="page"/>
      </w:r>
      <w:r>
        <w:rPr>
          <w:rFonts w:hint="eastAsia" w:ascii="新宋体" w:hAnsi="新宋体" w:eastAsia="新宋体" w:cs="新宋体"/>
          <w:b/>
          <w:bCs/>
          <w:color w:val="auto"/>
          <w:sz w:val="28"/>
          <w:szCs w:val="28"/>
          <w:highlight w:val="none"/>
        </w:rPr>
        <w:t>(2)商务条款偏离表</w:t>
      </w:r>
    </w:p>
    <w:p>
      <w:pPr>
        <w:ind w:firstLine="435"/>
        <w:jc w:val="center"/>
        <w:rPr>
          <w:rFonts w:ascii="新宋体" w:hAnsi="新宋体" w:eastAsia="新宋体" w:cs="新宋体"/>
          <w:b/>
          <w:color w:val="auto"/>
          <w:sz w:val="44"/>
          <w:highlight w:val="none"/>
        </w:rPr>
      </w:pPr>
    </w:p>
    <w:p>
      <w:pPr>
        <w:overflowPunct w:val="0"/>
        <w:spacing w:line="38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项目名称：                                      招标编号：</w:t>
      </w:r>
    </w:p>
    <w:p>
      <w:pPr>
        <w:ind w:firstLine="221" w:firstLineChars="100"/>
        <w:rPr>
          <w:rFonts w:ascii="新宋体" w:hAnsi="新宋体" w:eastAsia="新宋体" w:cs="新宋体"/>
          <w:b/>
          <w:color w:val="auto"/>
          <w:sz w:val="22"/>
          <w:szCs w:val="22"/>
          <w:highlight w:val="none"/>
        </w:rPr>
      </w:pPr>
    </w:p>
    <w:tbl>
      <w:tblPr>
        <w:tblStyle w:val="64"/>
        <w:tblW w:w="98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21"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55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条款内容</w:t>
            </w:r>
          </w:p>
        </w:tc>
        <w:tc>
          <w:tcPr>
            <w:tcW w:w="2184"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招标文件商务条款描述</w:t>
            </w:r>
          </w:p>
        </w:tc>
        <w:tc>
          <w:tcPr>
            <w:tcW w:w="2402"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投标文件商务条款</w:t>
            </w:r>
          </w:p>
        </w:tc>
        <w:tc>
          <w:tcPr>
            <w:tcW w:w="1200"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偏离</w:t>
            </w:r>
          </w:p>
        </w:tc>
        <w:tc>
          <w:tcPr>
            <w:tcW w:w="1588"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0" w:hRule="atLeast"/>
          <w:jc w:val="center"/>
        </w:trPr>
        <w:tc>
          <w:tcPr>
            <w:tcW w:w="921"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55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付款方式</w:t>
            </w:r>
          </w:p>
        </w:tc>
        <w:tc>
          <w:tcPr>
            <w:tcW w:w="2184" w:type="dxa"/>
            <w:vAlign w:val="center"/>
          </w:tcPr>
          <w:p>
            <w:pPr>
              <w:jc w:val="center"/>
              <w:rPr>
                <w:rFonts w:ascii="新宋体" w:hAnsi="新宋体" w:eastAsia="新宋体" w:cs="新宋体"/>
                <w:color w:val="auto"/>
                <w:sz w:val="22"/>
                <w:szCs w:val="22"/>
                <w:highlight w:val="none"/>
              </w:rPr>
            </w:pPr>
          </w:p>
        </w:tc>
        <w:tc>
          <w:tcPr>
            <w:tcW w:w="2402" w:type="dxa"/>
            <w:vAlign w:val="center"/>
          </w:tcPr>
          <w:p>
            <w:pPr>
              <w:jc w:val="center"/>
              <w:rPr>
                <w:rFonts w:ascii="新宋体" w:hAnsi="新宋体" w:eastAsia="新宋体" w:cs="新宋体"/>
                <w:color w:val="auto"/>
                <w:sz w:val="22"/>
                <w:szCs w:val="22"/>
                <w:highlight w:val="none"/>
              </w:rPr>
            </w:pPr>
          </w:p>
        </w:tc>
        <w:tc>
          <w:tcPr>
            <w:tcW w:w="1200" w:type="dxa"/>
            <w:vAlign w:val="center"/>
          </w:tcPr>
          <w:p>
            <w:pPr>
              <w:jc w:val="center"/>
              <w:rPr>
                <w:rFonts w:ascii="新宋体" w:hAnsi="新宋体" w:eastAsia="新宋体" w:cs="新宋体"/>
                <w:color w:val="auto"/>
                <w:sz w:val="22"/>
                <w:szCs w:val="22"/>
                <w:highlight w:val="none"/>
              </w:rPr>
            </w:pPr>
          </w:p>
        </w:tc>
        <w:tc>
          <w:tcPr>
            <w:tcW w:w="1588"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55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交货时间</w:t>
            </w:r>
          </w:p>
        </w:tc>
        <w:tc>
          <w:tcPr>
            <w:tcW w:w="2184" w:type="dxa"/>
            <w:vAlign w:val="center"/>
          </w:tcPr>
          <w:p>
            <w:pPr>
              <w:jc w:val="center"/>
              <w:rPr>
                <w:rFonts w:ascii="新宋体" w:hAnsi="新宋体" w:eastAsia="新宋体" w:cs="新宋体"/>
                <w:color w:val="auto"/>
                <w:sz w:val="22"/>
                <w:szCs w:val="22"/>
                <w:highlight w:val="none"/>
              </w:rPr>
            </w:pPr>
          </w:p>
        </w:tc>
        <w:tc>
          <w:tcPr>
            <w:tcW w:w="2402" w:type="dxa"/>
            <w:vAlign w:val="center"/>
          </w:tcPr>
          <w:p>
            <w:pPr>
              <w:jc w:val="center"/>
              <w:rPr>
                <w:rFonts w:ascii="新宋体" w:hAnsi="新宋体" w:eastAsia="新宋体" w:cs="新宋体"/>
                <w:color w:val="auto"/>
                <w:sz w:val="22"/>
                <w:szCs w:val="22"/>
                <w:highlight w:val="none"/>
              </w:rPr>
            </w:pPr>
          </w:p>
        </w:tc>
        <w:tc>
          <w:tcPr>
            <w:tcW w:w="1200" w:type="dxa"/>
            <w:vAlign w:val="center"/>
          </w:tcPr>
          <w:p>
            <w:pPr>
              <w:jc w:val="center"/>
              <w:rPr>
                <w:rFonts w:ascii="新宋体" w:hAnsi="新宋体" w:eastAsia="新宋体" w:cs="新宋体"/>
                <w:color w:val="auto"/>
                <w:sz w:val="22"/>
                <w:szCs w:val="22"/>
                <w:highlight w:val="none"/>
              </w:rPr>
            </w:pPr>
          </w:p>
        </w:tc>
        <w:tc>
          <w:tcPr>
            <w:tcW w:w="1588"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55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交货地点</w:t>
            </w:r>
          </w:p>
        </w:tc>
        <w:tc>
          <w:tcPr>
            <w:tcW w:w="2184" w:type="dxa"/>
            <w:vAlign w:val="center"/>
          </w:tcPr>
          <w:p>
            <w:pPr>
              <w:jc w:val="center"/>
              <w:rPr>
                <w:rFonts w:ascii="新宋体" w:hAnsi="新宋体" w:eastAsia="新宋体" w:cs="新宋体"/>
                <w:color w:val="auto"/>
                <w:sz w:val="22"/>
                <w:szCs w:val="22"/>
                <w:highlight w:val="none"/>
              </w:rPr>
            </w:pPr>
          </w:p>
        </w:tc>
        <w:tc>
          <w:tcPr>
            <w:tcW w:w="2402" w:type="dxa"/>
            <w:vAlign w:val="center"/>
          </w:tcPr>
          <w:p>
            <w:pPr>
              <w:jc w:val="center"/>
              <w:rPr>
                <w:rFonts w:ascii="新宋体" w:hAnsi="新宋体" w:eastAsia="新宋体" w:cs="新宋体"/>
                <w:color w:val="auto"/>
                <w:sz w:val="22"/>
                <w:szCs w:val="22"/>
                <w:highlight w:val="none"/>
              </w:rPr>
            </w:pPr>
          </w:p>
        </w:tc>
        <w:tc>
          <w:tcPr>
            <w:tcW w:w="1200" w:type="dxa"/>
            <w:vAlign w:val="center"/>
          </w:tcPr>
          <w:p>
            <w:pPr>
              <w:jc w:val="center"/>
              <w:rPr>
                <w:rFonts w:ascii="新宋体" w:hAnsi="新宋体" w:eastAsia="新宋体" w:cs="新宋体"/>
                <w:color w:val="auto"/>
                <w:sz w:val="22"/>
                <w:szCs w:val="22"/>
                <w:highlight w:val="none"/>
              </w:rPr>
            </w:pPr>
          </w:p>
        </w:tc>
        <w:tc>
          <w:tcPr>
            <w:tcW w:w="1588"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55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w:t>
            </w:r>
          </w:p>
        </w:tc>
        <w:tc>
          <w:tcPr>
            <w:tcW w:w="2184" w:type="dxa"/>
            <w:vAlign w:val="center"/>
          </w:tcPr>
          <w:p>
            <w:pPr>
              <w:jc w:val="center"/>
              <w:rPr>
                <w:rFonts w:ascii="新宋体" w:hAnsi="新宋体" w:eastAsia="新宋体" w:cs="新宋体"/>
                <w:color w:val="auto"/>
                <w:sz w:val="22"/>
                <w:szCs w:val="22"/>
                <w:highlight w:val="none"/>
              </w:rPr>
            </w:pPr>
          </w:p>
        </w:tc>
        <w:tc>
          <w:tcPr>
            <w:tcW w:w="2402" w:type="dxa"/>
            <w:vAlign w:val="center"/>
          </w:tcPr>
          <w:p>
            <w:pPr>
              <w:jc w:val="center"/>
              <w:rPr>
                <w:rFonts w:ascii="新宋体" w:hAnsi="新宋体" w:eastAsia="新宋体" w:cs="新宋体"/>
                <w:color w:val="auto"/>
                <w:sz w:val="22"/>
                <w:szCs w:val="22"/>
                <w:highlight w:val="none"/>
              </w:rPr>
            </w:pPr>
          </w:p>
        </w:tc>
        <w:tc>
          <w:tcPr>
            <w:tcW w:w="1200" w:type="dxa"/>
            <w:vAlign w:val="center"/>
          </w:tcPr>
          <w:p>
            <w:pPr>
              <w:jc w:val="center"/>
              <w:rPr>
                <w:rFonts w:ascii="新宋体" w:hAnsi="新宋体" w:eastAsia="新宋体" w:cs="新宋体"/>
                <w:color w:val="auto"/>
                <w:sz w:val="22"/>
                <w:szCs w:val="22"/>
                <w:highlight w:val="none"/>
              </w:rPr>
            </w:pPr>
          </w:p>
        </w:tc>
        <w:tc>
          <w:tcPr>
            <w:tcW w:w="1588"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1559" w:type="dxa"/>
            <w:vAlign w:val="center"/>
          </w:tcPr>
          <w:p>
            <w:pPr>
              <w:jc w:val="center"/>
              <w:rPr>
                <w:rFonts w:ascii="新宋体" w:hAnsi="新宋体" w:eastAsia="新宋体" w:cs="新宋体"/>
                <w:color w:val="auto"/>
                <w:sz w:val="22"/>
                <w:szCs w:val="22"/>
                <w:highlight w:val="none"/>
              </w:rPr>
            </w:pPr>
          </w:p>
        </w:tc>
        <w:tc>
          <w:tcPr>
            <w:tcW w:w="2184" w:type="dxa"/>
            <w:vAlign w:val="center"/>
          </w:tcPr>
          <w:p>
            <w:pPr>
              <w:jc w:val="center"/>
              <w:rPr>
                <w:rFonts w:ascii="新宋体" w:hAnsi="新宋体" w:eastAsia="新宋体" w:cs="新宋体"/>
                <w:color w:val="auto"/>
                <w:sz w:val="22"/>
                <w:szCs w:val="22"/>
                <w:highlight w:val="none"/>
              </w:rPr>
            </w:pPr>
          </w:p>
        </w:tc>
        <w:tc>
          <w:tcPr>
            <w:tcW w:w="2402" w:type="dxa"/>
            <w:vAlign w:val="center"/>
          </w:tcPr>
          <w:p>
            <w:pPr>
              <w:jc w:val="center"/>
              <w:rPr>
                <w:rFonts w:ascii="新宋体" w:hAnsi="新宋体" w:eastAsia="新宋体" w:cs="新宋体"/>
                <w:color w:val="auto"/>
                <w:sz w:val="22"/>
                <w:szCs w:val="22"/>
                <w:highlight w:val="none"/>
              </w:rPr>
            </w:pPr>
          </w:p>
        </w:tc>
        <w:tc>
          <w:tcPr>
            <w:tcW w:w="1200" w:type="dxa"/>
            <w:vAlign w:val="center"/>
          </w:tcPr>
          <w:p>
            <w:pPr>
              <w:jc w:val="center"/>
              <w:rPr>
                <w:rFonts w:ascii="新宋体" w:hAnsi="新宋体" w:eastAsia="新宋体" w:cs="新宋体"/>
                <w:color w:val="auto"/>
                <w:sz w:val="22"/>
                <w:szCs w:val="22"/>
                <w:highlight w:val="none"/>
              </w:rPr>
            </w:pPr>
          </w:p>
        </w:tc>
        <w:tc>
          <w:tcPr>
            <w:tcW w:w="1588" w:type="dxa"/>
            <w:vAlign w:val="center"/>
          </w:tcPr>
          <w:p>
            <w:pPr>
              <w:jc w:val="center"/>
              <w:rPr>
                <w:rFonts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559" w:type="dxa"/>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2184" w:type="dxa"/>
            <w:vAlign w:val="center"/>
          </w:tcPr>
          <w:p>
            <w:pPr>
              <w:jc w:val="center"/>
              <w:rPr>
                <w:rFonts w:ascii="新宋体" w:hAnsi="新宋体" w:eastAsia="新宋体" w:cs="新宋体"/>
                <w:color w:val="auto"/>
                <w:sz w:val="22"/>
                <w:szCs w:val="22"/>
                <w:highlight w:val="none"/>
              </w:rPr>
            </w:pPr>
          </w:p>
        </w:tc>
        <w:tc>
          <w:tcPr>
            <w:tcW w:w="2402" w:type="dxa"/>
            <w:vAlign w:val="center"/>
          </w:tcPr>
          <w:p>
            <w:pPr>
              <w:jc w:val="center"/>
              <w:rPr>
                <w:rFonts w:ascii="新宋体" w:hAnsi="新宋体" w:eastAsia="新宋体" w:cs="新宋体"/>
                <w:color w:val="auto"/>
                <w:sz w:val="22"/>
                <w:szCs w:val="22"/>
                <w:highlight w:val="none"/>
              </w:rPr>
            </w:pPr>
          </w:p>
        </w:tc>
        <w:tc>
          <w:tcPr>
            <w:tcW w:w="1200" w:type="dxa"/>
            <w:vAlign w:val="center"/>
          </w:tcPr>
          <w:p>
            <w:pPr>
              <w:jc w:val="center"/>
              <w:rPr>
                <w:rFonts w:ascii="新宋体" w:hAnsi="新宋体" w:eastAsia="新宋体" w:cs="新宋体"/>
                <w:color w:val="auto"/>
                <w:sz w:val="22"/>
                <w:szCs w:val="22"/>
                <w:highlight w:val="none"/>
              </w:rPr>
            </w:pPr>
          </w:p>
        </w:tc>
        <w:tc>
          <w:tcPr>
            <w:tcW w:w="1588" w:type="dxa"/>
            <w:vAlign w:val="center"/>
          </w:tcPr>
          <w:p>
            <w:pPr>
              <w:jc w:val="center"/>
              <w:rPr>
                <w:rFonts w:ascii="新宋体" w:hAnsi="新宋体" w:eastAsia="新宋体" w:cs="新宋体"/>
                <w:color w:val="auto"/>
                <w:sz w:val="22"/>
                <w:szCs w:val="22"/>
                <w:highlight w:val="none"/>
              </w:rPr>
            </w:pPr>
          </w:p>
        </w:tc>
      </w:tr>
    </w:tbl>
    <w:p>
      <w:pPr>
        <w:spacing w:line="50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说明：</w:t>
      </w:r>
    </w:p>
    <w:p>
      <w:pPr>
        <w:spacing w:line="50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1、如有偏离，必须在偏离表中进行详细对比说明并注明正偏离和负偏离，如不说明偏离情况，视为完全响应招标文件要求无偏离。</w:t>
      </w:r>
    </w:p>
    <w:p>
      <w:pPr>
        <w:spacing w:line="5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u w:val="single"/>
        </w:rPr>
        <w:t>▲不提供此表将视为没有实质性响应招标文件，按无效投标处理；</w:t>
      </w:r>
    </w:p>
    <w:p>
      <w:pPr>
        <w:spacing w:line="500" w:lineRule="exact"/>
        <w:ind w:firstLine="4400" w:firstLineChars="2000"/>
        <w:rPr>
          <w:rFonts w:ascii="新宋体" w:hAnsi="新宋体" w:eastAsia="新宋体" w:cs="新宋体"/>
          <w:color w:val="auto"/>
          <w:sz w:val="22"/>
          <w:szCs w:val="22"/>
          <w:highlight w:val="none"/>
        </w:rPr>
      </w:pPr>
    </w:p>
    <w:p>
      <w:pPr>
        <w:spacing w:line="500" w:lineRule="exact"/>
        <w:ind w:firstLine="4400" w:firstLineChars="2000"/>
        <w:rPr>
          <w:rFonts w:ascii="新宋体" w:hAnsi="新宋体" w:eastAsia="新宋体" w:cs="新宋体"/>
          <w:color w:val="auto"/>
          <w:sz w:val="22"/>
          <w:szCs w:val="22"/>
          <w:highlight w:val="none"/>
        </w:rPr>
      </w:pPr>
    </w:p>
    <w:p>
      <w:pPr>
        <w:spacing w:line="500" w:lineRule="exact"/>
        <w:ind w:firstLine="4400" w:firstLineChars="2000"/>
        <w:rPr>
          <w:rFonts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tabs>
          <w:tab w:val="left" w:pos="840"/>
        </w:tabs>
        <w:adjustRightInd w:val="0"/>
        <w:snapToGrid w:val="0"/>
        <w:spacing w:line="360" w:lineRule="auto"/>
        <w:ind w:left="420" w:leftChars="200"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460" w:lineRule="exact"/>
        <w:rPr>
          <w:rFonts w:ascii="新宋体" w:hAnsi="新宋体" w:eastAsia="新宋体" w:cs="新宋体"/>
          <w:color w:val="auto"/>
          <w:sz w:val="22"/>
          <w:szCs w:val="22"/>
          <w:highlight w:val="none"/>
        </w:rPr>
      </w:pPr>
    </w:p>
    <w:p>
      <w:pPr>
        <w:spacing w:line="460" w:lineRule="exact"/>
        <w:jc w:val="center"/>
        <w:rPr>
          <w:rFonts w:ascii="新宋体" w:hAnsi="新宋体" w:eastAsia="新宋体" w:cs="新宋体"/>
          <w:color w:val="auto"/>
          <w:sz w:val="24"/>
          <w:highlight w:val="none"/>
        </w:rPr>
      </w:pPr>
    </w:p>
    <w:p>
      <w:pPr>
        <w:spacing w:line="460" w:lineRule="exact"/>
        <w:jc w:val="center"/>
        <w:rPr>
          <w:rFonts w:ascii="新宋体" w:hAnsi="新宋体" w:eastAsia="新宋体" w:cs="新宋体"/>
          <w:color w:val="auto"/>
          <w:sz w:val="24"/>
          <w:highlight w:val="none"/>
        </w:rPr>
      </w:pPr>
    </w:p>
    <w:p>
      <w:pPr>
        <w:spacing w:line="460" w:lineRule="exact"/>
        <w:rPr>
          <w:rFonts w:ascii="新宋体" w:hAnsi="新宋体" w:eastAsia="新宋体" w:cs="新宋体"/>
          <w:b/>
          <w:bCs/>
          <w:color w:val="auto"/>
          <w:sz w:val="22"/>
          <w:szCs w:val="22"/>
          <w:highlight w:val="none"/>
        </w:rPr>
      </w:pPr>
      <w:r>
        <w:rPr>
          <w:rFonts w:hint="eastAsia" w:ascii="新宋体" w:hAnsi="新宋体" w:eastAsia="新宋体" w:cs="新宋体"/>
          <w:b/>
          <w:color w:val="auto"/>
          <w:sz w:val="28"/>
          <w:szCs w:val="28"/>
          <w:highlight w:val="none"/>
        </w:rPr>
        <w:t>附件六 资格文件</w:t>
      </w:r>
    </w:p>
    <w:p>
      <w:pPr>
        <w:overflowPunct w:val="0"/>
        <w:spacing w:line="460" w:lineRule="exact"/>
        <w:ind w:firstLine="108" w:firstLineChars="49"/>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（1）企业/事业单位法人有效营业执照、税务登记证（如为多证合一仅需提供营业执照）；</w:t>
      </w:r>
    </w:p>
    <w:p>
      <w:pPr>
        <w:overflowPunct w:val="0"/>
        <w:spacing w:line="460" w:lineRule="exact"/>
        <w:ind w:firstLine="108" w:firstLineChars="49"/>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（2）</w:t>
      </w:r>
      <w:r>
        <w:rPr>
          <w:rFonts w:hint="eastAsia" w:ascii="新宋体" w:hAnsi="新宋体" w:eastAsia="新宋体" w:cs="新宋体"/>
          <w:b/>
          <w:bCs/>
          <w:color w:val="auto"/>
          <w:sz w:val="22"/>
          <w:szCs w:val="22"/>
          <w:highlight w:val="none"/>
          <w:lang w:eastAsia="zh-CN"/>
        </w:rPr>
        <w:t>2018年12月份或2019年12月份</w:t>
      </w:r>
      <w:r>
        <w:rPr>
          <w:rFonts w:hint="eastAsia" w:ascii="新宋体" w:hAnsi="新宋体" w:eastAsia="新宋体" w:cs="新宋体"/>
          <w:b/>
          <w:bCs/>
          <w:color w:val="auto"/>
          <w:sz w:val="22"/>
          <w:szCs w:val="22"/>
          <w:highlight w:val="none"/>
        </w:rPr>
        <w:t>的资产负债表及损益表（或利润表）(新成立的公司，必须提供情况说明)；</w:t>
      </w:r>
    </w:p>
    <w:p>
      <w:pPr>
        <w:tabs>
          <w:tab w:val="left" w:pos="840"/>
        </w:tabs>
        <w:overflowPunct w:val="0"/>
        <w:spacing w:line="460" w:lineRule="exact"/>
        <w:ind w:left="42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（3）资格文件中及技术资信标中要求的其它资格证明材料;</w:t>
      </w:r>
    </w:p>
    <w:p>
      <w:pPr>
        <w:tabs>
          <w:tab w:val="left" w:pos="840"/>
        </w:tabs>
        <w:overflowPunct w:val="0"/>
        <w:spacing w:line="460" w:lineRule="exact"/>
        <w:ind w:left="420" w:firstLine="221" w:firstLineChars="1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(4)投标人有效的医疗器械经营许可证证书复印件;</w:t>
      </w:r>
    </w:p>
    <w:p>
      <w:pPr>
        <w:overflowPunct w:val="0"/>
        <w:spacing w:line="460" w:lineRule="exact"/>
        <w:rPr>
          <w:rFonts w:ascii="新宋体" w:hAnsi="新宋体" w:eastAsia="新宋体" w:cs="新宋体"/>
          <w:b/>
          <w:bCs/>
          <w:color w:val="auto"/>
          <w:sz w:val="22"/>
          <w:szCs w:val="22"/>
          <w:highlight w:val="none"/>
        </w:rPr>
      </w:pPr>
    </w:p>
    <w:p>
      <w:pPr>
        <w:overflowPunct w:val="0"/>
        <w:spacing w:line="460" w:lineRule="exact"/>
        <w:ind w:firstLine="442" w:firstLineChars="20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备注：以上证书、材料若为复印件，须加盖投标人公章。</w:t>
      </w: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color w:val="auto"/>
          <w:kern w:val="0"/>
          <w:sz w:val="22"/>
          <w:szCs w:val="22"/>
          <w:highlight w:val="none"/>
        </w:rPr>
      </w:pPr>
      <w:r>
        <w:rPr>
          <w:rFonts w:hint="eastAsia" w:ascii="新宋体" w:hAnsi="新宋体" w:eastAsia="新宋体" w:cs="新宋体"/>
          <w:b/>
          <w:bCs/>
          <w:color w:val="auto"/>
          <w:sz w:val="22"/>
          <w:szCs w:val="22"/>
          <w:highlight w:val="none"/>
        </w:rPr>
        <w:t xml:space="preserve">（5）  </w:t>
      </w:r>
      <w:r>
        <w:rPr>
          <w:rFonts w:hint="eastAsia" w:ascii="新宋体" w:hAnsi="新宋体" w:eastAsia="新宋体" w:cs="新宋体"/>
          <w:b/>
          <w:color w:val="auto"/>
          <w:kern w:val="0"/>
          <w:sz w:val="28"/>
          <w:szCs w:val="28"/>
          <w:highlight w:val="none"/>
        </w:rPr>
        <w:t>具有履行合同所必需的设备和专业技术能力的承诺函</w:t>
      </w:r>
    </w:p>
    <w:p>
      <w:pPr>
        <w:widowControl/>
        <w:adjustRightInd w:val="0"/>
        <w:snapToGrid w:val="0"/>
        <w:spacing w:line="360" w:lineRule="auto"/>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（采购人）</w:t>
      </w:r>
      <w:r>
        <w:rPr>
          <w:rFonts w:hint="eastAsia" w:ascii="新宋体" w:hAnsi="新宋体" w:eastAsia="新宋体" w:cs="新宋体"/>
          <w:color w:val="auto"/>
          <w:kern w:val="0"/>
          <w:sz w:val="22"/>
          <w:szCs w:val="22"/>
          <w:highlight w:val="none"/>
        </w:rPr>
        <w:t>：</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承诺具有履行合同所必需的设备和专业技术能力。如有虚假，采购人可取消我方任何资格（投标/中标/签订合同），我方对此无任何异议。</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spacing w:line="480" w:lineRule="auto"/>
        <w:ind w:left="1260" w:hanging="559"/>
        <w:rPr>
          <w:rFonts w:ascii="新宋体" w:hAnsi="新宋体" w:eastAsia="新宋体" w:cs="新宋体"/>
          <w:b/>
          <w:bCs/>
          <w:color w:val="auto"/>
          <w:sz w:val="22"/>
          <w:szCs w:val="22"/>
          <w:highlight w:val="none"/>
        </w:rPr>
      </w:pPr>
    </w:p>
    <w:p>
      <w:pPr>
        <w:widowControl/>
        <w:adjustRightInd w:val="0"/>
        <w:snapToGrid w:val="0"/>
        <w:spacing w:line="360" w:lineRule="auto"/>
        <w:jc w:val="center"/>
        <w:rPr>
          <w:rFonts w:ascii="新宋体" w:hAnsi="新宋体" w:eastAsia="新宋体" w:cs="新宋体"/>
          <w:b/>
          <w:color w:val="auto"/>
          <w:kern w:val="0"/>
          <w:sz w:val="32"/>
          <w:szCs w:val="21"/>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bCs/>
          <w:color w:val="auto"/>
          <w:sz w:val="22"/>
          <w:szCs w:val="22"/>
          <w:highlight w:val="none"/>
        </w:rPr>
      </w:pPr>
    </w:p>
    <w:p>
      <w:pPr>
        <w:widowControl/>
        <w:adjustRightInd w:val="0"/>
        <w:snapToGrid w:val="0"/>
        <w:spacing w:line="360" w:lineRule="auto"/>
        <w:rPr>
          <w:rFonts w:ascii="新宋体" w:hAnsi="新宋体" w:eastAsia="新宋体" w:cs="新宋体"/>
          <w:b/>
          <w:color w:val="auto"/>
          <w:kern w:val="0"/>
          <w:sz w:val="28"/>
          <w:szCs w:val="28"/>
          <w:highlight w:val="none"/>
        </w:rPr>
      </w:pPr>
      <w:r>
        <w:rPr>
          <w:rFonts w:hint="eastAsia" w:ascii="新宋体" w:hAnsi="新宋体" w:eastAsia="新宋体" w:cs="新宋体"/>
          <w:b/>
          <w:bCs/>
          <w:color w:val="auto"/>
          <w:sz w:val="22"/>
          <w:szCs w:val="22"/>
          <w:highlight w:val="none"/>
        </w:rPr>
        <w:t xml:space="preserve">（6）       </w:t>
      </w:r>
      <w:r>
        <w:rPr>
          <w:rFonts w:hint="eastAsia" w:ascii="新宋体" w:hAnsi="新宋体" w:eastAsia="新宋体" w:cs="新宋体"/>
          <w:b/>
          <w:color w:val="auto"/>
          <w:kern w:val="0"/>
          <w:sz w:val="28"/>
          <w:szCs w:val="28"/>
          <w:highlight w:val="none"/>
        </w:rPr>
        <w:t>参加政府采购活动前3年内在经营活动中没有重大违法记录的</w:t>
      </w:r>
    </w:p>
    <w:p>
      <w:pPr>
        <w:widowControl/>
        <w:adjustRightInd w:val="0"/>
        <w:snapToGrid w:val="0"/>
        <w:spacing w:line="360" w:lineRule="auto"/>
        <w:jc w:val="center"/>
        <w:rPr>
          <w:rFonts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t>声明函</w:t>
      </w:r>
    </w:p>
    <w:p>
      <w:pPr>
        <w:widowControl/>
        <w:adjustRightInd w:val="0"/>
        <w:snapToGrid w:val="0"/>
        <w:spacing w:line="360" w:lineRule="auto"/>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（采购人）</w:t>
      </w:r>
      <w:r>
        <w:rPr>
          <w:rFonts w:hint="eastAsia" w:ascii="新宋体" w:hAnsi="新宋体" w:eastAsia="新宋体" w:cs="新宋体"/>
          <w:color w:val="auto"/>
          <w:kern w:val="0"/>
          <w:sz w:val="22"/>
          <w:szCs w:val="22"/>
          <w:highlight w:val="none"/>
        </w:rPr>
        <w:t>：</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我方</w:t>
      </w:r>
      <w:r>
        <w:rPr>
          <w:rFonts w:hint="eastAsia" w:ascii="新宋体" w:hAnsi="新宋体" w:eastAsia="新宋体" w:cs="新宋体"/>
          <w:color w:val="auto"/>
          <w:kern w:val="0"/>
          <w:sz w:val="22"/>
          <w:szCs w:val="22"/>
          <w:highlight w:val="none"/>
          <w:u w:val="single"/>
        </w:rPr>
        <w:t xml:space="preserve"> （供应商）</w:t>
      </w:r>
      <w:r>
        <w:rPr>
          <w:rFonts w:hint="eastAsia" w:ascii="新宋体" w:hAnsi="新宋体" w:eastAsia="新宋体" w:cs="新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特此承诺！</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供应商名称（盖章） ：</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法定代表人或其授权代表（签字或盖章）：</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spacing w:line="38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rPr>
        <w:t>附件七</w:t>
      </w:r>
    </w:p>
    <w:p>
      <w:pPr>
        <w:spacing w:line="460" w:lineRule="exact"/>
        <w:jc w:val="center"/>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资信证明文件</w:t>
      </w:r>
    </w:p>
    <w:p>
      <w:pPr>
        <w:spacing w:line="460" w:lineRule="exact"/>
        <w:jc w:val="center"/>
        <w:rPr>
          <w:rFonts w:ascii="新宋体" w:hAnsi="新宋体" w:eastAsia="新宋体" w:cs="新宋体"/>
          <w:b/>
          <w:bCs/>
          <w:color w:val="auto"/>
          <w:sz w:val="28"/>
          <w:szCs w:val="28"/>
          <w:highlight w:val="none"/>
        </w:rPr>
      </w:pPr>
    </w:p>
    <w:p>
      <w:pPr>
        <w:tabs>
          <w:tab w:val="left" w:pos="540"/>
          <w:tab w:val="left" w:pos="780"/>
        </w:tabs>
        <w:spacing w:line="400" w:lineRule="exact"/>
        <w:ind w:left="18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              2014年1月 1日至今所投产品供货业绩情况一览表</w:t>
      </w:r>
    </w:p>
    <w:p>
      <w:pPr>
        <w:tabs>
          <w:tab w:val="left" w:pos="540"/>
          <w:tab w:val="left" w:pos="780"/>
        </w:tabs>
        <w:spacing w:line="400" w:lineRule="exact"/>
        <w:rPr>
          <w:rFonts w:ascii="新宋体" w:hAnsi="新宋体" w:eastAsia="新宋体" w:cs="新宋体"/>
          <w:b/>
          <w:color w:val="auto"/>
          <w:sz w:val="22"/>
          <w:szCs w:val="22"/>
          <w:highlight w:val="none"/>
        </w:rPr>
      </w:pPr>
    </w:p>
    <w:tbl>
      <w:tblPr>
        <w:tblStyle w:val="6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545"/>
        <w:gridCol w:w="1588"/>
        <w:gridCol w:w="2042"/>
        <w:gridCol w:w="1476"/>
        <w:gridCol w:w="101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项目单位</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项目金额</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合同日期</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联系人</w:t>
            </w:r>
          </w:p>
        </w:tc>
        <w:tc>
          <w:tcPr>
            <w:tcW w:w="1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45"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588"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2042"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47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011"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after="120" w:line="360" w:lineRule="atLeast"/>
              <w:jc w:val="center"/>
              <w:rPr>
                <w:rFonts w:ascii="新宋体" w:hAnsi="新宋体" w:eastAsia="新宋体" w:cs="新宋体"/>
                <w:color w:val="auto"/>
                <w:sz w:val="22"/>
                <w:szCs w:val="22"/>
                <w:highlight w:val="none"/>
              </w:rPr>
            </w:pPr>
          </w:p>
        </w:tc>
      </w:tr>
    </w:tbl>
    <w:p>
      <w:pPr>
        <w:spacing w:line="5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此表仅提供了表格形式，供应商应根据需要准备足够数量的表格来填写。</w:t>
      </w:r>
    </w:p>
    <w:p>
      <w:pPr>
        <w:spacing w:line="400" w:lineRule="exac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u w:val="thick"/>
        </w:rPr>
        <w:t>2、投标人不按此要求填写此项内容或未按招标文件要求提供业绩证明材料将视为无业绩，不纳入评分范围</w:t>
      </w:r>
      <w:r>
        <w:rPr>
          <w:rFonts w:hint="eastAsia" w:ascii="新宋体" w:hAnsi="新宋体" w:eastAsia="新宋体" w:cs="新宋体"/>
          <w:b/>
          <w:bCs/>
          <w:color w:val="auto"/>
          <w:sz w:val="22"/>
          <w:szCs w:val="22"/>
          <w:highlight w:val="none"/>
        </w:rPr>
        <w:t>。</w:t>
      </w:r>
    </w:p>
    <w:p>
      <w:pPr>
        <w:spacing w:line="400" w:lineRule="exact"/>
        <w:ind w:left="180"/>
        <w:rPr>
          <w:rFonts w:ascii="新宋体" w:hAnsi="新宋体" w:eastAsia="新宋体" w:cs="新宋体"/>
          <w:b/>
          <w:color w:val="auto"/>
          <w:sz w:val="22"/>
          <w:szCs w:val="22"/>
          <w:highlight w:val="none"/>
        </w:rPr>
      </w:pP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tabs>
          <w:tab w:val="left" w:pos="840"/>
          <w:tab w:val="left" w:pos="5400"/>
        </w:tabs>
        <w:adjustRightInd w:val="0"/>
        <w:snapToGrid w:val="0"/>
        <w:spacing w:line="400" w:lineRule="exact"/>
        <w:ind w:left="420" w:leftChars="200" w:firstLine="4620" w:firstLineChars="21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380" w:lineRule="exact"/>
        <w:rPr>
          <w:rFonts w:ascii="新宋体" w:hAnsi="新宋体" w:eastAsia="新宋体" w:cs="新宋体"/>
          <w:color w:val="auto"/>
          <w:sz w:val="22"/>
          <w:szCs w:val="22"/>
          <w:highlight w:val="none"/>
        </w:rPr>
      </w:pPr>
    </w:p>
    <w:p>
      <w:pPr>
        <w:jc w:val="center"/>
        <w:rPr>
          <w:rFonts w:ascii="新宋体" w:hAnsi="新宋体" w:eastAsia="新宋体" w:cs="新宋体"/>
          <w:b/>
          <w:color w:val="auto"/>
          <w:sz w:val="28"/>
          <w:highlight w:val="none"/>
        </w:rPr>
      </w:pP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（2）所投产品配置清单</w:t>
      </w:r>
    </w:p>
    <w:p>
      <w:pPr>
        <w:pStyle w:val="2"/>
        <w:ind w:firstLine="0" w:firstLineChars="0"/>
        <w:rPr>
          <w:color w:val="auto"/>
          <w:highlight w:val="none"/>
        </w:rPr>
      </w:pPr>
    </w:p>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项目名称：招标编号：</w:t>
      </w:r>
    </w:p>
    <w:tbl>
      <w:tblPr>
        <w:tblStyle w:val="64"/>
        <w:tblW w:w="1018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73"/>
        <w:gridCol w:w="2098"/>
        <w:gridCol w:w="1965"/>
        <w:gridCol w:w="175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top w:val="single" w:color="auto" w:sz="12" w:space="0"/>
              <w:left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573"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设备名称</w:t>
            </w:r>
          </w:p>
        </w:tc>
        <w:tc>
          <w:tcPr>
            <w:tcW w:w="2098"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品牌型号规格、产地</w:t>
            </w:r>
          </w:p>
        </w:tc>
        <w:tc>
          <w:tcPr>
            <w:tcW w:w="196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制造厂商名称</w:t>
            </w:r>
          </w:p>
        </w:tc>
        <w:tc>
          <w:tcPr>
            <w:tcW w:w="1755" w:type="dxa"/>
            <w:tcBorders>
              <w:top w:val="single" w:color="auto" w:sz="12" w:space="0"/>
              <w:bottom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1995" w:type="dxa"/>
            <w:tcBorders>
              <w:top w:val="single" w:color="auto" w:sz="12" w:space="0"/>
              <w:bottom w:val="single" w:color="auto" w:sz="12" w:space="0"/>
              <w:right w:val="single" w:color="auto" w:sz="12" w:space="0"/>
            </w:tcBorders>
            <w:vAlign w:val="center"/>
          </w:tcPr>
          <w:p>
            <w:pPr>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免费质保期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top w:val="single" w:color="auto" w:sz="12" w:space="0"/>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tcBorders>
              <w:top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top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95" w:type="dxa"/>
            <w:tcBorders>
              <w:left w:val="single" w:color="auto" w:sz="12" w:space="0"/>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573"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2098"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65"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755" w:type="dxa"/>
            <w:tcBorders>
              <w:bottom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c>
          <w:tcPr>
            <w:tcW w:w="1995" w:type="dxa"/>
            <w:tcBorders>
              <w:bottom w:val="single" w:color="auto" w:sz="12" w:space="0"/>
              <w:right w:val="single" w:color="auto" w:sz="12" w:space="0"/>
            </w:tcBorders>
            <w:vAlign w:val="center"/>
          </w:tcPr>
          <w:p>
            <w:pPr>
              <w:pStyle w:val="29"/>
              <w:spacing w:line="360" w:lineRule="auto"/>
              <w:ind w:left="469" w:hanging="469"/>
              <w:jc w:val="center"/>
              <w:rPr>
                <w:rFonts w:ascii="新宋体" w:hAnsi="新宋体" w:eastAsia="新宋体" w:cs="新宋体"/>
                <w:color w:val="auto"/>
                <w:sz w:val="22"/>
                <w:szCs w:val="22"/>
                <w:highlight w:val="none"/>
              </w:rPr>
            </w:pPr>
          </w:p>
        </w:tc>
      </w:tr>
    </w:tbl>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pStyle w:val="29"/>
        <w:spacing w:line="360" w:lineRule="auto"/>
        <w:ind w:left="469" w:hanging="46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1、本表根据具体需要自行增减；</w:t>
      </w:r>
    </w:p>
    <w:p>
      <w:pPr>
        <w:spacing w:line="360" w:lineRule="auto"/>
        <w:rPr>
          <w:rFonts w:ascii="新宋体" w:hAnsi="新宋体" w:eastAsia="新宋体" w:cs="新宋体"/>
          <w:color w:val="auto"/>
          <w:sz w:val="22"/>
          <w:szCs w:val="22"/>
          <w:highlight w:val="none"/>
        </w:rPr>
      </w:pPr>
    </w:p>
    <w:p>
      <w:pPr>
        <w:spacing w:line="380" w:lineRule="exact"/>
        <w:ind w:firstLine="720"/>
        <w:rPr>
          <w:rFonts w:ascii="新宋体" w:hAnsi="新宋体" w:eastAsia="新宋体" w:cs="新宋体"/>
          <w:color w:val="auto"/>
          <w:sz w:val="22"/>
          <w:szCs w:val="22"/>
          <w:highlight w:val="none"/>
        </w:rPr>
      </w:pP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法定代表人或授权代表（签字或盖章）：</w:t>
      </w:r>
    </w:p>
    <w:p>
      <w:pPr>
        <w:spacing w:line="46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pStyle w:val="2"/>
        <w:ind w:firstLine="200"/>
        <w:rPr>
          <w:rFonts w:eastAsia="新宋体"/>
          <w:color w:val="auto"/>
          <w:highlight w:val="none"/>
        </w:rPr>
      </w:pP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附件八</w:t>
      </w:r>
    </w:p>
    <w:p>
      <w:pPr>
        <w:spacing w:line="360" w:lineRule="auto"/>
        <w:jc w:val="center"/>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制造商出具的授权函(参考格式)</w:t>
      </w:r>
    </w:p>
    <w:p>
      <w:pPr>
        <w:spacing w:line="360" w:lineRule="auto"/>
        <w:rPr>
          <w:rFonts w:ascii="新宋体" w:hAnsi="新宋体" w:eastAsia="新宋体" w:cs="新宋体"/>
          <w:b/>
          <w:bCs/>
          <w:color w:val="auto"/>
          <w:sz w:val="22"/>
          <w:szCs w:val="22"/>
          <w:highlight w:val="none"/>
        </w:rPr>
      </w:pPr>
    </w:p>
    <w:p>
      <w:pPr>
        <w:spacing w:line="360" w:lineRule="auto"/>
        <w:rPr>
          <w:rFonts w:ascii="新宋体" w:hAnsi="新宋体" w:eastAsia="新宋体" w:cs="新宋体"/>
          <w:bCs/>
          <w:color w:val="auto"/>
          <w:sz w:val="22"/>
          <w:szCs w:val="22"/>
          <w:highlight w:val="none"/>
          <w:u w:val="single"/>
        </w:rPr>
      </w:pPr>
      <w:r>
        <w:rPr>
          <w:rFonts w:hint="eastAsia" w:ascii="新宋体" w:hAnsi="新宋体" w:eastAsia="新宋体" w:cs="新宋体"/>
          <w:bCs/>
          <w:color w:val="auto"/>
          <w:sz w:val="22"/>
          <w:szCs w:val="22"/>
          <w:highlight w:val="none"/>
        </w:rPr>
        <w:t>致：</w:t>
      </w:r>
      <w:r>
        <w:rPr>
          <w:rFonts w:hint="eastAsia" w:ascii="新宋体" w:hAnsi="新宋体" w:eastAsia="新宋体" w:cs="新宋体"/>
          <w:bCs/>
          <w:color w:val="auto"/>
          <w:sz w:val="22"/>
          <w:szCs w:val="22"/>
          <w:highlight w:val="none"/>
          <w:u w:val="single"/>
        </w:rPr>
        <w:t xml:space="preserve">         （采购人）        </w:t>
      </w:r>
    </w:p>
    <w:p>
      <w:pPr>
        <w:spacing w:line="360" w:lineRule="auto"/>
        <w:ind w:firstLine="48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我们(</w:t>
      </w:r>
      <w:r>
        <w:rPr>
          <w:rFonts w:hint="eastAsia" w:ascii="新宋体" w:hAnsi="新宋体" w:eastAsia="新宋体" w:cs="新宋体"/>
          <w:color w:val="auto"/>
          <w:sz w:val="22"/>
          <w:szCs w:val="22"/>
          <w:highlight w:val="none"/>
          <w:u w:val="single"/>
        </w:rPr>
        <w:t>制造商名称</w:t>
      </w:r>
      <w:r>
        <w:rPr>
          <w:rFonts w:hint="eastAsia" w:ascii="新宋体" w:hAnsi="新宋体" w:eastAsia="新宋体" w:cs="新宋体"/>
          <w:color w:val="auto"/>
          <w:sz w:val="22"/>
          <w:szCs w:val="22"/>
          <w:highlight w:val="none"/>
        </w:rPr>
        <w:t>)是按</w:t>
      </w:r>
      <w:r>
        <w:rPr>
          <w:rFonts w:hint="eastAsia" w:ascii="新宋体" w:hAnsi="新宋体" w:eastAsia="新宋体" w:cs="新宋体"/>
          <w:color w:val="auto"/>
          <w:sz w:val="22"/>
          <w:szCs w:val="22"/>
          <w:highlight w:val="none"/>
          <w:u w:val="single"/>
        </w:rPr>
        <w:t>（国家名称）</w:t>
      </w:r>
      <w:r>
        <w:rPr>
          <w:rFonts w:hint="eastAsia" w:ascii="新宋体" w:hAnsi="新宋体" w:eastAsia="新宋体" w:cs="新宋体"/>
          <w:color w:val="auto"/>
          <w:sz w:val="22"/>
          <w:szCs w:val="22"/>
          <w:highlight w:val="none"/>
        </w:rPr>
        <w:t>法律成立的一家制造商，主要营业地点设在（</w:t>
      </w:r>
      <w:r>
        <w:rPr>
          <w:rFonts w:hint="eastAsia" w:ascii="新宋体" w:hAnsi="新宋体" w:eastAsia="新宋体" w:cs="新宋体"/>
          <w:color w:val="auto"/>
          <w:sz w:val="22"/>
          <w:szCs w:val="22"/>
          <w:highlight w:val="none"/>
          <w:u w:val="single"/>
        </w:rPr>
        <w:t>制造商地址</w:t>
      </w:r>
      <w:r>
        <w:rPr>
          <w:rFonts w:hint="eastAsia" w:ascii="新宋体" w:hAnsi="新宋体" w:eastAsia="新宋体" w:cs="新宋体"/>
          <w:color w:val="auto"/>
          <w:sz w:val="22"/>
          <w:szCs w:val="22"/>
          <w:highlight w:val="none"/>
        </w:rPr>
        <w:t>）。兹指派按中华人民共和国法律成立的，主要营业地点设在（</w:t>
      </w:r>
      <w:r>
        <w:rPr>
          <w:rFonts w:hint="eastAsia" w:ascii="新宋体" w:hAnsi="新宋体" w:eastAsia="新宋体" w:cs="新宋体"/>
          <w:color w:val="auto"/>
          <w:sz w:val="22"/>
          <w:szCs w:val="22"/>
          <w:highlight w:val="none"/>
          <w:u w:val="single"/>
        </w:rPr>
        <w:t>供应商地址</w:t>
      </w:r>
      <w:r>
        <w:rPr>
          <w:rFonts w:hint="eastAsia" w:ascii="新宋体" w:hAnsi="新宋体" w:eastAsia="新宋体" w:cs="新宋体"/>
          <w:color w:val="auto"/>
          <w:sz w:val="22"/>
          <w:szCs w:val="22"/>
          <w:highlight w:val="none"/>
        </w:rPr>
        <w:t>）的（</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）作为我方真正的和合法代理人进行下列有效的活动：</w:t>
      </w:r>
    </w:p>
    <w:p>
      <w:pPr>
        <w:spacing w:line="360" w:lineRule="auto"/>
        <w:ind w:left="586" w:leftChars="17"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（1）代表我方在中华人民共和国办理贵方（采购项目名称、编号）采购项目的报价邀请要求提供的由我方制造的货物的有关事宜，并对我方具有约束力。</w:t>
      </w:r>
    </w:p>
    <w:p>
      <w:pPr>
        <w:spacing w:line="360" w:lineRule="auto"/>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（2）作为制造商，我方保证以报价合作者来约束自己，并对该报价共同和分别承担报价文件中所规定的义务。</w:t>
      </w:r>
    </w:p>
    <w:p>
      <w:pPr>
        <w:spacing w:line="360" w:lineRule="auto"/>
        <w:ind w:left="550" w:hanging="550" w:hangingChars="2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（3）我方兹授予（</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）全权办理和履行上述我方为完成上述各点所必须的事宜，具有替换或撤销的全权。兹确认（</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）或其正式授权代表依此合法地办理一切事宜。</w:t>
      </w:r>
    </w:p>
    <w:p>
      <w:pPr>
        <w:spacing w:line="360" w:lineRule="auto"/>
        <w:ind w:firstLine="550" w:firstLineChars="250"/>
        <w:rPr>
          <w:rFonts w:ascii="新宋体" w:hAnsi="新宋体" w:eastAsia="新宋体" w:cs="新宋体"/>
          <w:color w:val="auto"/>
          <w:sz w:val="22"/>
          <w:szCs w:val="22"/>
          <w:highlight w:val="none"/>
        </w:rPr>
      </w:pPr>
    </w:p>
    <w:p>
      <w:pPr>
        <w:spacing w:line="360" w:lineRule="auto"/>
        <w:ind w:left="548" w:leftChars="261" w:firstLine="2"/>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我方于年月日签署本文件，（</w:t>
      </w:r>
      <w:r>
        <w:rPr>
          <w:rFonts w:hint="eastAsia" w:ascii="新宋体" w:hAnsi="新宋体" w:eastAsia="新宋体" w:cs="新宋体"/>
          <w:color w:val="auto"/>
          <w:sz w:val="22"/>
          <w:szCs w:val="22"/>
          <w:highlight w:val="none"/>
          <w:u w:val="single"/>
        </w:rPr>
        <w:t>供应商名称</w:t>
      </w:r>
      <w:r>
        <w:rPr>
          <w:rFonts w:hint="eastAsia" w:ascii="新宋体" w:hAnsi="新宋体" w:eastAsia="新宋体" w:cs="新宋体"/>
          <w:color w:val="auto"/>
          <w:sz w:val="22"/>
          <w:szCs w:val="22"/>
          <w:highlight w:val="none"/>
        </w:rPr>
        <w:t>）于年月日接受此件，以此为证。</w:t>
      </w:r>
    </w:p>
    <w:p>
      <w:pPr>
        <w:spacing w:line="360" w:lineRule="auto"/>
        <w:rPr>
          <w:rFonts w:ascii="新宋体" w:hAnsi="新宋体" w:eastAsia="新宋体" w:cs="新宋体"/>
          <w:color w:val="auto"/>
          <w:sz w:val="22"/>
          <w:szCs w:val="22"/>
          <w:highlight w:val="none"/>
        </w:rPr>
      </w:pPr>
    </w:p>
    <w:p>
      <w:pPr>
        <w:spacing w:line="360" w:lineRule="auto"/>
        <w:rPr>
          <w:rFonts w:ascii="新宋体" w:hAnsi="新宋体" w:eastAsia="新宋体" w:cs="新宋体"/>
          <w:color w:val="auto"/>
          <w:sz w:val="22"/>
          <w:szCs w:val="22"/>
          <w:highlight w:val="none"/>
        </w:rPr>
      </w:pPr>
    </w:p>
    <w:p>
      <w:pPr>
        <w:spacing w:line="360" w:lineRule="auto"/>
        <w:rPr>
          <w:rFonts w:ascii="新宋体" w:hAnsi="新宋体" w:eastAsia="新宋体" w:cs="新宋体"/>
          <w:color w:val="auto"/>
          <w:sz w:val="22"/>
          <w:szCs w:val="22"/>
          <w:highlight w:val="none"/>
        </w:rPr>
      </w:pPr>
    </w:p>
    <w:p>
      <w:pPr>
        <w:spacing w:line="360" w:lineRule="auto"/>
        <w:ind w:firstLine="5247" w:firstLineChars="238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制造商名称</w:t>
      </w:r>
    </w:p>
    <w:p>
      <w:pPr>
        <w:spacing w:line="360" w:lineRule="auto"/>
        <w:ind w:firstLine="5247" w:firstLineChars="2385"/>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法定代表人姓名和职务</w:t>
      </w:r>
    </w:p>
    <w:p>
      <w:pPr>
        <w:spacing w:line="360" w:lineRule="auto"/>
        <w:ind w:firstLine="5247" w:firstLineChars="2385"/>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签字人姓名 </w:t>
      </w:r>
    </w:p>
    <w:p>
      <w:pPr>
        <w:spacing w:line="380" w:lineRule="exact"/>
        <w:ind w:firstLine="4400" w:firstLineChars="2000"/>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 xml:space="preserve">        签字人签名</w:t>
      </w: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ascii="新宋体" w:hAnsi="新宋体" w:eastAsia="新宋体" w:cs="新宋体"/>
          <w:b/>
          <w:bCs/>
          <w:color w:val="auto"/>
          <w:sz w:val="36"/>
          <w:szCs w:val="36"/>
          <w:highlight w:val="none"/>
        </w:rPr>
      </w:pPr>
    </w:p>
    <w:p>
      <w:pPr>
        <w:spacing w:line="380" w:lineRule="exact"/>
        <w:jc w:val="center"/>
        <w:rPr>
          <w:rFonts w:hint="eastAsia" w:ascii="新宋体" w:hAnsi="新宋体" w:eastAsia="新宋体" w:cs="新宋体"/>
          <w:b/>
          <w:bCs/>
          <w:color w:val="auto"/>
          <w:sz w:val="36"/>
          <w:szCs w:val="36"/>
          <w:highlight w:val="none"/>
        </w:rPr>
      </w:pPr>
    </w:p>
    <w:p>
      <w:pPr>
        <w:rPr>
          <w:rFonts w:hint="eastAsia" w:ascii="新宋体" w:hAnsi="新宋体" w:eastAsia="新宋体" w:cs="新宋体"/>
          <w:b/>
          <w:bCs/>
          <w:color w:val="auto"/>
          <w:sz w:val="36"/>
          <w:szCs w:val="36"/>
          <w:highlight w:val="none"/>
        </w:rPr>
      </w:pPr>
      <w:r>
        <w:rPr>
          <w:rFonts w:hint="eastAsia" w:ascii="新宋体" w:hAnsi="新宋体" w:eastAsia="新宋体" w:cs="新宋体"/>
          <w:b/>
          <w:bCs/>
          <w:color w:val="auto"/>
          <w:sz w:val="36"/>
          <w:szCs w:val="36"/>
          <w:highlight w:val="none"/>
        </w:rPr>
        <w:br w:type="page"/>
      </w:r>
    </w:p>
    <w:p>
      <w:pPr>
        <w:spacing w:line="380" w:lineRule="exact"/>
        <w:jc w:val="center"/>
        <w:rPr>
          <w:rFonts w:ascii="新宋体" w:hAnsi="新宋体" w:eastAsia="新宋体" w:cs="新宋体"/>
          <w:color w:val="auto"/>
          <w:sz w:val="36"/>
          <w:szCs w:val="36"/>
          <w:highlight w:val="none"/>
        </w:rPr>
      </w:pPr>
      <w:r>
        <w:rPr>
          <w:rFonts w:hint="eastAsia" w:ascii="新宋体" w:hAnsi="新宋体" w:eastAsia="新宋体" w:cs="新宋体"/>
          <w:b/>
          <w:bCs/>
          <w:color w:val="auto"/>
          <w:sz w:val="36"/>
          <w:szCs w:val="36"/>
          <w:highlight w:val="none"/>
        </w:rPr>
        <w:t>第五部分   招标内容及要求</w:t>
      </w:r>
    </w:p>
    <w:p>
      <w:pPr>
        <w:spacing w:line="360" w:lineRule="auto"/>
        <w:rPr>
          <w:rFonts w:ascii="新宋体" w:hAnsi="新宋体" w:eastAsia="新宋体" w:cs="新宋体"/>
          <w:b/>
          <w:color w:val="auto"/>
          <w:sz w:val="22"/>
          <w:szCs w:val="22"/>
          <w:highlight w:val="none"/>
        </w:rPr>
      </w:pPr>
      <w:bookmarkStart w:id="123" w:name="_Toc241404209"/>
      <w:bookmarkStart w:id="124" w:name="_Toc221356897"/>
      <w:bookmarkStart w:id="125" w:name="_Toc222114886"/>
      <w:bookmarkStart w:id="126" w:name="_Toc221356960"/>
      <w:bookmarkStart w:id="127" w:name="_Toc239145361"/>
      <w:bookmarkStart w:id="128" w:name="_Toc221374633"/>
      <w:bookmarkStart w:id="129" w:name="_Toc223716005"/>
      <w:bookmarkStart w:id="130" w:name="_Toc221423626"/>
      <w:bookmarkStart w:id="131" w:name="_Toc265529390"/>
      <w:r>
        <w:rPr>
          <w:rFonts w:hint="eastAsia" w:ascii="新宋体" w:hAnsi="新宋体" w:eastAsia="新宋体" w:cs="新宋体"/>
          <w:b/>
          <w:color w:val="auto"/>
          <w:sz w:val="22"/>
          <w:szCs w:val="22"/>
          <w:highlight w:val="none"/>
        </w:rPr>
        <w:t>一、采购原则及规范</w:t>
      </w:r>
    </w:p>
    <w:p>
      <w:pPr>
        <w:pStyle w:val="33"/>
        <w:tabs>
          <w:tab w:val="left" w:pos="540"/>
        </w:tabs>
        <w:spacing w:line="360" w:lineRule="auto"/>
        <w:ind w:firstLine="426" w:firstLineChars="0"/>
        <w:rPr>
          <w:rFonts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1、</w:t>
      </w:r>
      <w:r>
        <w:rPr>
          <w:rFonts w:hint="eastAsia" w:ascii="新宋体" w:hAnsi="新宋体" w:eastAsia="新宋体" w:cs="新宋体"/>
          <w:bCs/>
          <w:color w:val="auto"/>
          <w:kern w:val="0"/>
          <w:sz w:val="22"/>
          <w:szCs w:val="22"/>
          <w:highlight w:val="none"/>
          <w:u w:val="single"/>
        </w:rPr>
        <w:t>▲本次招标只设一个标项，投标供应商必须对全部采购内容进行投标，不允许仅对部分内容进行投标报价。</w:t>
      </w:r>
    </w:p>
    <w:p>
      <w:pPr>
        <w:pStyle w:val="33"/>
        <w:tabs>
          <w:tab w:val="left" w:pos="540"/>
        </w:tabs>
        <w:spacing w:line="360" w:lineRule="auto"/>
        <w:ind w:firstLine="426" w:firstLineChars="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2、所涉及产品的产品标准、规范，验收标准、规范，应符合国家有关条例及规范，如有新的标准应采纳新标准，如是国外相应标准应得到采购人认可。</w:t>
      </w:r>
    </w:p>
    <w:p>
      <w:pPr>
        <w:spacing w:line="360" w:lineRule="auto"/>
        <w:rPr>
          <w:rFonts w:ascii="新宋体" w:hAnsi="新宋体" w:eastAsia="新宋体" w:cs="新宋体"/>
          <w:b/>
          <w:bCs/>
          <w:color w:val="auto"/>
          <w:sz w:val="22"/>
          <w:szCs w:val="22"/>
          <w:highlight w:val="none"/>
          <w:lang w:val="zh-CN"/>
        </w:rPr>
      </w:pPr>
      <w:r>
        <w:rPr>
          <w:rFonts w:hint="eastAsia" w:ascii="新宋体" w:hAnsi="新宋体" w:eastAsia="新宋体" w:cs="新宋体"/>
          <w:b/>
          <w:bCs/>
          <w:color w:val="auto"/>
          <w:sz w:val="22"/>
          <w:szCs w:val="22"/>
          <w:highlight w:val="none"/>
        </w:rPr>
        <w:t>二、</w:t>
      </w:r>
      <w:r>
        <w:rPr>
          <w:rFonts w:hint="eastAsia" w:ascii="新宋体" w:hAnsi="新宋体" w:eastAsia="新宋体" w:cs="新宋体"/>
          <w:b/>
          <w:bCs/>
          <w:color w:val="auto"/>
          <w:sz w:val="22"/>
          <w:szCs w:val="22"/>
          <w:highlight w:val="none"/>
          <w:lang w:val="zh-CN"/>
        </w:rPr>
        <w:t>采购内容及要求</w:t>
      </w:r>
    </w:p>
    <w:p>
      <w:pPr>
        <w:pStyle w:val="2"/>
        <w:ind w:firstLine="0" w:firstLineChars="0"/>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zh-CN"/>
        </w:rPr>
        <w:t>（一）技术参数内容及要求</w:t>
      </w:r>
    </w:p>
    <w:tbl>
      <w:tblPr>
        <w:tblStyle w:val="64"/>
        <w:tblW w:w="97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1275"/>
        <w:gridCol w:w="73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2"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设备名称</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血液透析用制水设备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设备数量</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全自动源水动态稳压系统一套 ，全自动多介质过滤器一套，全自动活性炭罐二套，全自动软化器一套，双级反渗透主机一套，高压泵采用丹麦格兰富品牌，膜组织构成：原装进口8英寸膜元件7-8支，热灭菌系统一套，大循环+小循环无死腔卫生级纯水管路一套,水处理机用房建设和装修。系统需具备但不限于以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设备用途</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血透用水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w:t>
            </w:r>
          </w:p>
        </w:tc>
        <w:tc>
          <w:tcPr>
            <w:tcW w:w="8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4.1</w:t>
            </w:r>
          </w:p>
        </w:tc>
        <w:tc>
          <w:tcPr>
            <w:tcW w:w="8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b/>
                <w:color w:val="auto"/>
                <w:kern w:val="0"/>
                <w:sz w:val="22"/>
                <w:szCs w:val="22"/>
                <w:highlight w:val="none"/>
                <w:u w:val="single"/>
              </w:rPr>
              <w:t>▲</w:t>
            </w:r>
            <w:r>
              <w:rPr>
                <w:rFonts w:hint="eastAsia" w:ascii="新宋体" w:hAnsi="新宋体" w:eastAsia="新宋体" w:cs="新宋体"/>
                <w:color w:val="auto"/>
                <w:sz w:val="22"/>
                <w:szCs w:val="22"/>
                <w:highlight w:val="none"/>
                <w:u w:val="single"/>
              </w:rPr>
              <w:t>医院供水经处理后符合AAMI、ASAID标准、国家YY0572-2015血液透析用水标准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4.2</w:t>
            </w:r>
          </w:p>
        </w:tc>
        <w:tc>
          <w:tcPr>
            <w:tcW w:w="8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产水量≥3000升/小时（15℃），直供水或变频直供水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5</w:t>
            </w:r>
          </w:p>
        </w:tc>
        <w:tc>
          <w:tcPr>
            <w:tcW w:w="8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restart"/>
            <w:tcBorders>
              <w:top w:val="single" w:color="auto" w:sz="4" w:space="0"/>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5.1</w:t>
            </w:r>
          </w:p>
        </w:tc>
        <w:tc>
          <w:tcPr>
            <w:tcW w:w="1275" w:type="dxa"/>
            <w:vMerge w:val="restart"/>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预处理系统</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1、预处理由原水泵、砂滤器、炭滤器、软水器、精密过滤器组成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top w:val="single" w:color="auto" w:sz="4" w:space="0"/>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2、原水泵：为了提高系统的稳定性，原水泵采用格兰富\威乐\ITT品牌，扬程流量满足设计要求，采用变频控制,变频器采用施耐德\ABB\欧姆龙品牌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3、砂滤器：罐体材质为玻璃钢，滨特尔\韦赛博品牌，容量≥2472型；自动控制器为原装进口富莱\滨特尔\韦赛博品牌；采用卫生级石英砂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3、碳滤器：罐体材质为玻璃钢，滨特尔\韦赛博品牌，容量≥2472型；自动控制器为原装进口富莱\滨特尔\韦赛博品牌；采用椰壳活性炭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4、软化器：罐体材质为玻璃钢，滨特尔\韦赛博品牌，容量≥2472型；自动控制器为原装进口富莱\滨特尔\韦赛博品牌；采用高吸附量型树脂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5、精密过滤器：材质为不锈钢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6、其它：精密过滤器后面配备不锈钢平衡器一个，作为缓冲、消毒之用，具备动态平衡功能，根据终端用水量自动调节进水速度与流量，液位差控制在2cm以内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restart"/>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w:t>
            </w:r>
          </w:p>
        </w:tc>
        <w:tc>
          <w:tcPr>
            <w:tcW w:w="1275" w:type="dxa"/>
            <w:vMerge w:val="restart"/>
            <w:tcBorders>
              <w:left w:val="single" w:color="auto" w:sz="4" w:space="0"/>
              <w:right w:val="single" w:color="auto" w:sz="4" w:space="0"/>
            </w:tcBorders>
            <w:vAlign w:val="center"/>
          </w:tcPr>
          <w:p>
            <w:pPr>
              <w:adjustRightInd w:val="0"/>
              <w:spacing w:line="360" w:lineRule="auto"/>
              <w:rPr>
                <w:rFonts w:ascii="新宋体" w:hAnsi="新宋体" w:eastAsia="新宋体" w:cs="新宋体"/>
                <w:color w:val="auto"/>
                <w:sz w:val="22"/>
                <w:szCs w:val="22"/>
                <w:highlight w:val="none"/>
              </w:rPr>
            </w:pPr>
            <w:r>
              <w:rPr>
                <w:rFonts w:hint="eastAsia" w:ascii="新宋体" w:hAnsi="新宋体" w:eastAsia="新宋体" w:cs="新宋体"/>
                <w:snapToGrid w:val="0"/>
                <w:color w:val="auto"/>
                <w:sz w:val="22"/>
                <w:szCs w:val="22"/>
                <w:highlight w:val="none"/>
              </w:rPr>
              <w:t>主机系统</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1、双级反渗透，一、二级都能单独工作，一级产水≥4000升/时，二级产水≥3000升/时  (15℃）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adjustRightInd w:val="0"/>
              <w:spacing w:line="360" w:lineRule="auto"/>
              <w:rPr>
                <w:rFonts w:ascii="新宋体" w:hAnsi="新宋体" w:eastAsia="新宋体" w:cs="新宋体"/>
                <w:snapToGrid w:val="0"/>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330" w:hanging="330" w:hangingChars="150"/>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2、</w:t>
            </w:r>
            <w:r>
              <w:rPr>
                <w:rFonts w:hint="eastAsia" w:ascii="新宋体" w:hAnsi="新宋体" w:eastAsia="新宋体" w:cs="新宋体"/>
                <w:color w:val="auto"/>
                <w:sz w:val="22"/>
                <w:szCs w:val="22"/>
                <w:highlight w:val="none"/>
              </w:rPr>
              <w:t>采用聚酰胺材质，采用原装进口陶氏\海德能\东丽反渗透膜，型号 8040，膜壳采用不锈钢材质，整机膜数量不低于7支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adjustRightInd w:val="0"/>
              <w:spacing w:line="360" w:lineRule="auto"/>
              <w:rPr>
                <w:rFonts w:ascii="新宋体" w:hAnsi="新宋体" w:eastAsia="新宋体" w:cs="新宋体"/>
                <w:snapToGrid w:val="0"/>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330" w:hanging="330" w:hangingChars="150"/>
              <w:rPr>
                <w:rFonts w:ascii="新宋体" w:hAnsi="新宋体" w:eastAsia="新宋体" w:cs="新宋体"/>
                <w:snapToGrid w:val="0"/>
                <w:color w:val="auto"/>
                <w:sz w:val="22"/>
                <w:szCs w:val="22"/>
                <w:highlight w:val="none"/>
              </w:rPr>
            </w:pPr>
            <w:r>
              <w:rPr>
                <w:rStyle w:val="579"/>
                <w:rFonts w:hint="eastAsia" w:ascii="新宋体" w:hAnsi="新宋体" w:eastAsia="新宋体" w:cs="新宋体"/>
                <w:color w:val="auto"/>
                <w:sz w:val="22"/>
                <w:szCs w:val="22"/>
                <w:highlight w:val="none"/>
              </w:rPr>
              <w:t>★3、</w:t>
            </w:r>
            <w:r>
              <w:rPr>
                <w:rFonts w:hint="eastAsia" w:ascii="新宋体" w:hAnsi="新宋体" w:eastAsia="新宋体" w:cs="新宋体"/>
                <w:snapToGrid w:val="0"/>
                <w:color w:val="auto"/>
                <w:sz w:val="22"/>
                <w:szCs w:val="22"/>
                <w:highlight w:val="none"/>
              </w:rPr>
              <w:t>主机采用不锈钢管路，一、二级高压泵规格型号满足系统设计要求，采用</w:t>
            </w:r>
            <w:r>
              <w:rPr>
                <w:rFonts w:hint="eastAsia" w:ascii="新宋体" w:hAnsi="新宋体" w:eastAsia="新宋体" w:cs="新宋体"/>
                <w:color w:val="auto"/>
                <w:sz w:val="22"/>
                <w:szCs w:val="22"/>
                <w:highlight w:val="none"/>
              </w:rPr>
              <w:t>格兰富\威乐\ITT品牌。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adjustRightInd w:val="0"/>
              <w:spacing w:line="360" w:lineRule="auto"/>
              <w:rPr>
                <w:rFonts w:ascii="新宋体" w:hAnsi="新宋体" w:eastAsia="新宋体" w:cs="新宋体"/>
                <w:snapToGrid w:val="0"/>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4、</w:t>
            </w:r>
            <w:r>
              <w:rPr>
                <w:rFonts w:hint="eastAsia" w:ascii="新宋体" w:hAnsi="新宋体" w:eastAsia="新宋体" w:cs="新宋体"/>
                <w:color w:val="auto"/>
                <w:sz w:val="22"/>
                <w:szCs w:val="22"/>
                <w:highlight w:val="none"/>
              </w:rPr>
              <w:t>系统具备自动反向膜冲洗功能，一、二级中间无中间水箱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adjustRightInd w:val="0"/>
              <w:spacing w:line="360" w:lineRule="auto"/>
              <w:rPr>
                <w:rFonts w:ascii="新宋体" w:hAnsi="新宋体" w:eastAsia="新宋体" w:cs="新宋体"/>
                <w:snapToGrid w:val="0"/>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330" w:hanging="330" w:hangingChars="150"/>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5、</w:t>
            </w:r>
            <w:r>
              <w:rPr>
                <w:rFonts w:hint="eastAsia" w:ascii="新宋体" w:hAnsi="新宋体" w:eastAsia="新宋体" w:cs="新宋体"/>
                <w:color w:val="auto"/>
                <w:sz w:val="22"/>
                <w:szCs w:val="22"/>
                <w:highlight w:val="none"/>
              </w:rPr>
              <w:t>系统所有控制阀件均采用电动阀，其它元器件均采用国际名牌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tcBorders>
              <w:left w:val="single" w:color="auto" w:sz="4" w:space="0"/>
              <w:right w:val="single" w:color="auto" w:sz="4" w:space="0"/>
            </w:tcBorders>
            <w:vAlign w:val="center"/>
          </w:tcPr>
          <w:p>
            <w:pPr>
              <w:adjustRightInd w:val="0"/>
              <w:spacing w:line="360" w:lineRule="auto"/>
              <w:rPr>
                <w:rFonts w:ascii="新宋体" w:hAnsi="新宋体" w:eastAsia="新宋体" w:cs="新宋体"/>
                <w:snapToGrid w:val="0"/>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330" w:hanging="330" w:hangingChars="150"/>
              <w:rPr>
                <w:rFonts w:ascii="新宋体" w:hAnsi="新宋体" w:eastAsia="新宋体" w:cs="新宋体"/>
                <w:snapToGrid w:val="0"/>
                <w:color w:val="auto"/>
                <w:sz w:val="22"/>
                <w:szCs w:val="22"/>
                <w:highlight w:val="none"/>
              </w:rPr>
            </w:pPr>
            <w:r>
              <w:rPr>
                <w:rStyle w:val="579"/>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rPr>
              <w:t>设备自带热灭菌系统，具备全自动一键灭菌功能，对供水系统管路进行灭菌。灭菌时回水温度最末端＞100℃，禁止采用外连水箱消毒。（需提供CFDA注册文件证明设备带灭菌系统、必须有三甲医院成熟应用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tcBorders>
              <w:left w:val="single" w:color="auto" w:sz="4" w:space="0"/>
              <w:right w:val="single" w:color="auto" w:sz="4" w:space="0"/>
            </w:tcBorders>
            <w:vAlign w:val="center"/>
          </w:tcPr>
          <w:p>
            <w:pPr>
              <w:adjustRightInd w:val="0"/>
              <w:spacing w:line="360" w:lineRule="auto"/>
              <w:rPr>
                <w:rFonts w:ascii="新宋体" w:hAnsi="新宋体" w:eastAsia="新宋体" w:cs="新宋体"/>
                <w:snapToGrid w:val="0"/>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330" w:hanging="330" w:hangingChars="150"/>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7、</w:t>
            </w:r>
            <w:r>
              <w:rPr>
                <w:rFonts w:hint="eastAsia" w:ascii="新宋体" w:hAnsi="新宋体" w:eastAsia="新宋体" w:cs="新宋体"/>
                <w:color w:val="auto"/>
                <w:sz w:val="22"/>
                <w:szCs w:val="22"/>
                <w:highlight w:val="none"/>
              </w:rPr>
              <w:t>整机须提供电磁兼容检测报告。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restart"/>
            <w:tcBorders>
              <w:top w:val="single" w:color="auto" w:sz="4" w:space="0"/>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5.3</w:t>
            </w:r>
          </w:p>
        </w:tc>
        <w:tc>
          <w:tcPr>
            <w:tcW w:w="1275" w:type="dxa"/>
            <w:vMerge w:val="restart"/>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技术及控制系统</w:t>
            </w:r>
          </w:p>
        </w:tc>
        <w:tc>
          <w:tcPr>
            <w:tcW w:w="7382" w:type="dxa"/>
            <w:tcBorders>
              <w:top w:val="single" w:color="auto" w:sz="4" w:space="0"/>
              <w:left w:val="single" w:color="auto" w:sz="4" w:space="0"/>
              <w:bottom w:val="single" w:color="auto" w:sz="4" w:space="0"/>
              <w:right w:val="single" w:color="auto" w:sz="4" w:space="0"/>
            </w:tcBorders>
          </w:tcPr>
          <w:p>
            <w:pPr>
              <w:numPr>
                <w:ilvl w:val="0"/>
                <w:numId w:val="30"/>
              </w:numPr>
              <w:spacing w:line="360" w:lineRule="auto"/>
              <w:rPr>
                <w:rFonts w:ascii="新宋体" w:hAnsi="新宋体" w:eastAsia="新宋体" w:cs="新宋体"/>
                <w:color w:val="auto"/>
                <w:sz w:val="22"/>
                <w:szCs w:val="22"/>
                <w:highlight w:val="none"/>
              </w:rPr>
            </w:pPr>
            <w:r>
              <w:rPr>
                <w:rStyle w:val="579"/>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rPr>
              <w:t>系统采用plc微电脑控制，为了保证系统操作稳定，采用触摸屏操作界面，尺寸≥7寸， plc与触摸屏均采用施耐德\欧姆龙\西门子品牌，微电脑系统故障时具备一键启动功能。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tcPr>
          <w:p>
            <w:pPr>
              <w:numPr>
                <w:ilvl w:val="0"/>
                <w:numId w:val="30"/>
              </w:numPr>
              <w:spacing w:line="360" w:lineRule="auto"/>
              <w:rPr>
                <w:rFonts w:ascii="新宋体" w:hAnsi="新宋体" w:eastAsia="新宋体" w:cs="新宋体"/>
                <w:color w:val="auto"/>
                <w:sz w:val="22"/>
                <w:szCs w:val="22"/>
                <w:highlight w:val="none"/>
              </w:rPr>
            </w:pPr>
            <w:r>
              <w:rPr>
                <w:rStyle w:val="579"/>
                <w:rFonts w:hint="eastAsia" w:ascii="新宋体" w:hAnsi="新宋体" w:eastAsia="新宋体" w:cs="新宋体"/>
                <w:color w:val="auto"/>
                <w:sz w:val="22"/>
                <w:szCs w:val="22"/>
                <w:highlight w:val="none"/>
              </w:rPr>
              <w:t>★灭菌/</w:t>
            </w:r>
            <w:r>
              <w:rPr>
                <w:rFonts w:hint="eastAsia" w:ascii="新宋体" w:hAnsi="新宋体" w:eastAsia="新宋体" w:cs="新宋体"/>
                <w:color w:val="auto"/>
                <w:sz w:val="22"/>
                <w:szCs w:val="22"/>
                <w:highlight w:val="none"/>
              </w:rPr>
              <w:t>热消毒与主机集成控制，操作系统中有手动、自动、热消毒、化学消毒、系统参数等多个界面组成，热消毒具备全自动夜间无人监守运行功能，并可根据业主需要自主设定消毒时间与周期。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tcPr>
          <w:p>
            <w:pPr>
              <w:numPr>
                <w:ilvl w:val="0"/>
                <w:numId w:val="30"/>
              </w:num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系统拥有全自动消毒、自动开关机、故障自动提示功能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tcPr>
          <w:p>
            <w:pPr>
              <w:numPr>
                <w:ilvl w:val="0"/>
                <w:numId w:val="30"/>
              </w:num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具备自动检测、自动运行、相关连锁保护功能、低压、高压、电源保护、水质超标等报警功能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color w:val="auto"/>
                <w:sz w:val="22"/>
                <w:szCs w:val="22"/>
                <w:highlight w:val="none"/>
              </w:rPr>
            </w:pPr>
            <w:r>
              <w:rPr>
                <w:rStyle w:val="579"/>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rPr>
              <w:t>设备具有防淹水功能，保护透析大厅安全,提供相关证明文件。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6、控制系统及程序拥有独立的设计版权（需提供软件著作权证）。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restart"/>
            <w:tcBorders>
              <w:top w:val="single" w:color="auto" w:sz="4" w:space="0"/>
              <w:left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5.4</w:t>
            </w:r>
          </w:p>
        </w:tc>
        <w:tc>
          <w:tcPr>
            <w:tcW w:w="1275" w:type="dxa"/>
            <w:vMerge w:val="restart"/>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循环管路</w:t>
            </w:r>
          </w:p>
        </w:tc>
        <w:tc>
          <w:tcPr>
            <w:tcW w:w="7382" w:type="dxa"/>
            <w:tcBorders>
              <w:top w:val="single" w:color="auto" w:sz="4" w:space="0"/>
              <w:left w:val="single" w:color="auto" w:sz="4" w:space="0"/>
              <w:bottom w:val="single" w:color="auto" w:sz="4" w:space="0"/>
              <w:right w:val="single" w:color="auto" w:sz="4" w:space="0"/>
            </w:tcBorders>
            <w:vAlign w:val="center"/>
          </w:tcPr>
          <w:p>
            <w:pPr>
              <w:pStyle w:val="577"/>
              <w:spacing w:line="360" w:lineRule="auto"/>
              <w:ind w:firstLine="0" w:firstLineChars="0"/>
              <w:rPr>
                <w:rFonts w:ascii="新宋体" w:hAnsi="新宋体" w:eastAsia="新宋体" w:cs="新宋体"/>
                <w:color w:val="auto"/>
                <w:sz w:val="22"/>
                <w:szCs w:val="22"/>
                <w:highlight w:val="none"/>
              </w:rPr>
            </w:pPr>
            <w:r>
              <w:rPr>
                <w:rStyle w:val="579"/>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rPr>
              <w:t>管路、阀件均采用316卡压管或SUS304焊接管不锈钢，管路表面做保温处理，保温材料厚度不低于1.5cm，主供水管与透析机连接采用U型不锈钢软连接小循环结构，能够在线对透析供水主管道与透析机连接软管消毒；（提供成熟应用案例和相关证明文件）</w:t>
            </w:r>
            <w:r>
              <w:rPr>
                <w:rFonts w:hint="eastAsia" w:ascii="新宋体" w:hAnsi="新宋体" w:eastAsia="新宋体" w:cs="新宋体"/>
                <w:color w:val="auto"/>
                <w:sz w:val="22"/>
                <w:szCs w:val="22"/>
                <w:highlight w:val="none"/>
              </w:rPr>
              <w:br w:type="textWrapping"/>
            </w:r>
            <w:r>
              <w:rPr>
                <w:rFonts w:hint="eastAsia" w:ascii="新宋体" w:hAnsi="新宋体" w:eastAsia="新宋体" w:cs="新宋体"/>
                <w:color w:val="auto"/>
                <w:sz w:val="22"/>
                <w:szCs w:val="22"/>
                <w:highlight w:val="none"/>
              </w:rPr>
              <w:t>所有材料及人工费均由中标方承担。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color w:val="auto"/>
                <w:sz w:val="22"/>
                <w:szCs w:val="22"/>
                <w:highlight w:val="none"/>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Style w:val="579"/>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rPr>
              <w:t>管路全程无死腔，确保真正实现活水透析，未端装有原装进口斯德宝恒压阀已保证透析室水压的稳定。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6</w:t>
            </w:r>
          </w:p>
        </w:tc>
        <w:tc>
          <w:tcPr>
            <w:tcW w:w="8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331" w:hanging="331" w:hangingChars="150"/>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1101" w:type="dxa"/>
            <w:vMerge w:val="restart"/>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6.1</w:t>
            </w:r>
          </w:p>
        </w:tc>
        <w:tc>
          <w:tcPr>
            <w:tcW w:w="1275" w:type="dxa"/>
            <w:vMerge w:val="restart"/>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售后服务</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1、维修响应时间2小时， 6小时解决相应故障，如24小时暂时不能修复需提供备用方案或设备。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1101" w:type="dxa"/>
            <w:vMerge w:val="continue"/>
            <w:tcBorders>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1275" w:type="dxa"/>
            <w:vMerge w:val="continue"/>
            <w:tcBorders>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2、投标商应提供详细的售后服务方案如配件、耗材价格清单等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交货期限</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1、中标即日起1个月内，中标方免费将货送至医院安装现场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6.3</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安装期限</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1、接用户通知后7个工作日内全部调试完成，安装标准符合国家有关安全技术规范和技术标准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6.4</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验收标准</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1、验收标准：应与产品原始样本技术数据及标书技术文件一致，符合国家有关技术规范和技术标准（提供水质检测报告）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restart"/>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6.5</w:t>
            </w:r>
          </w:p>
        </w:tc>
        <w:tc>
          <w:tcPr>
            <w:tcW w:w="1275" w:type="dxa"/>
            <w:vMerge w:val="restart"/>
            <w:tcBorders>
              <w:top w:val="single" w:color="auto" w:sz="4" w:space="0"/>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保修期限</w:t>
            </w:r>
          </w:p>
        </w:tc>
        <w:tc>
          <w:tcPr>
            <w:tcW w:w="7382" w:type="dxa"/>
            <w:tcBorders>
              <w:top w:val="single" w:color="auto" w:sz="4" w:space="0"/>
              <w:left w:val="single" w:color="auto" w:sz="4" w:space="0"/>
              <w:bottom w:val="single" w:color="auto" w:sz="4" w:space="0"/>
              <w:right w:val="single" w:color="auto" w:sz="4" w:space="0"/>
            </w:tcBorders>
            <w:vAlign w:val="center"/>
          </w:tcPr>
          <w:p>
            <w:pPr>
              <w:numPr>
                <w:ilvl w:val="0"/>
                <w:numId w:val="31"/>
              </w:numPr>
              <w:spacing w:line="360" w:lineRule="auto"/>
              <w:ind w:left="330" w:hanging="330" w:hangingChars="150"/>
              <w:rPr>
                <w:rFonts w:ascii="新宋体" w:hAnsi="新宋体" w:eastAsia="新宋体" w:cs="新宋体"/>
                <w:bCs/>
                <w:color w:val="auto"/>
                <w:sz w:val="22"/>
                <w:szCs w:val="22"/>
                <w:highlight w:val="none"/>
                <w:u w:val="single"/>
              </w:rPr>
            </w:pPr>
            <w:r>
              <w:rPr>
                <w:rFonts w:hint="eastAsia" w:ascii="新宋体" w:hAnsi="新宋体" w:eastAsia="新宋体" w:cs="新宋体"/>
                <w:bCs/>
                <w:color w:val="auto"/>
                <w:kern w:val="0"/>
                <w:sz w:val="22"/>
                <w:szCs w:val="22"/>
                <w:highlight w:val="none"/>
                <w:u w:val="single"/>
              </w:rPr>
              <w:t>▲</w:t>
            </w:r>
            <w:r>
              <w:rPr>
                <w:rFonts w:hint="eastAsia" w:ascii="新宋体" w:hAnsi="新宋体" w:eastAsia="新宋体" w:cs="新宋体"/>
                <w:bCs/>
                <w:color w:val="auto"/>
                <w:sz w:val="22"/>
                <w:szCs w:val="22"/>
                <w:highlight w:val="none"/>
                <w:u w:val="single"/>
              </w:rPr>
              <w:t>设备验收合格后免费质保期≧1年。</w:t>
            </w:r>
          </w:p>
          <w:p>
            <w:pPr>
              <w:numPr>
                <w:ilvl w:val="0"/>
                <w:numId w:val="31"/>
              </w:num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维保期内配件、耗材、维修费均由中标方承担，保修期满后免收维修费，保证零配件供应8年以上（提供原厂保证书）, 设备使用正常后,由医院组织验收,保修启始时间以医院验收合格时间为准。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01"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1275" w:type="dxa"/>
            <w:vMerge w:val="continue"/>
            <w:tcBorders>
              <w:left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2、免费提供操作和维修培训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6.6</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付款方式</w:t>
            </w:r>
          </w:p>
        </w:tc>
        <w:tc>
          <w:tcPr>
            <w:tcW w:w="7382" w:type="dxa"/>
            <w:tcBorders>
              <w:top w:val="single" w:color="auto" w:sz="4" w:space="0"/>
              <w:left w:val="single" w:color="auto" w:sz="4" w:space="0"/>
              <w:bottom w:val="single" w:color="auto" w:sz="4" w:space="0"/>
              <w:right w:val="single" w:color="auto" w:sz="4" w:space="0"/>
            </w:tcBorders>
            <w:vAlign w:val="center"/>
          </w:tcPr>
          <w:p>
            <w:pPr>
              <w:spacing w:line="360" w:lineRule="auto"/>
              <w:ind w:left="330" w:hanging="330" w:hanging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1、验收合格后1个月内付90%，正常运行半年后付清余款</w:t>
            </w:r>
          </w:p>
        </w:tc>
      </w:tr>
    </w:tbl>
    <w:p>
      <w:pPr>
        <w:pStyle w:val="2"/>
        <w:ind w:firstLine="200"/>
        <w:rPr>
          <w:rFonts w:ascii="新宋体" w:hAnsi="新宋体" w:eastAsia="新宋体" w:cs="新宋体"/>
          <w:color w:val="auto"/>
          <w:highlight w:val="none"/>
        </w:rPr>
      </w:pPr>
    </w:p>
    <w:p>
      <w:pPr>
        <w:spacing w:line="360" w:lineRule="auto"/>
        <w:jc w:val="center"/>
        <w:rPr>
          <w:rStyle w:val="170"/>
          <w:rFonts w:ascii="新宋体" w:hAnsi="新宋体" w:eastAsia="新宋体" w:cs="新宋体"/>
          <w:color w:val="auto"/>
          <w:sz w:val="36"/>
          <w:szCs w:val="36"/>
          <w:highlight w:val="none"/>
        </w:rPr>
      </w:pPr>
      <w:bookmarkStart w:id="132" w:name="_Toc17731"/>
    </w:p>
    <w:p>
      <w:pPr>
        <w:spacing w:line="360" w:lineRule="auto"/>
        <w:jc w:val="center"/>
        <w:rPr>
          <w:rStyle w:val="170"/>
          <w:rFonts w:ascii="新宋体" w:hAnsi="新宋体" w:eastAsia="新宋体" w:cs="新宋体"/>
          <w:color w:val="auto"/>
          <w:sz w:val="36"/>
          <w:szCs w:val="36"/>
          <w:highlight w:val="none"/>
        </w:rPr>
      </w:pPr>
    </w:p>
    <w:p>
      <w:pPr>
        <w:spacing w:line="360" w:lineRule="auto"/>
        <w:jc w:val="center"/>
        <w:rPr>
          <w:rStyle w:val="170"/>
          <w:rFonts w:ascii="新宋体" w:hAnsi="新宋体" w:eastAsia="新宋体" w:cs="新宋体"/>
          <w:color w:val="auto"/>
          <w:sz w:val="36"/>
          <w:szCs w:val="36"/>
          <w:highlight w:val="none"/>
        </w:rPr>
      </w:pPr>
    </w:p>
    <w:p>
      <w:pPr>
        <w:spacing w:line="360" w:lineRule="auto"/>
        <w:jc w:val="center"/>
        <w:rPr>
          <w:rStyle w:val="170"/>
          <w:rFonts w:ascii="新宋体" w:hAnsi="新宋体" w:eastAsia="新宋体" w:cs="新宋体"/>
          <w:color w:val="auto"/>
          <w:sz w:val="36"/>
          <w:szCs w:val="36"/>
          <w:highlight w:val="none"/>
        </w:rPr>
      </w:pPr>
    </w:p>
    <w:p>
      <w:pPr>
        <w:rPr>
          <w:rStyle w:val="170"/>
          <w:rFonts w:ascii="新宋体" w:hAnsi="新宋体" w:eastAsia="新宋体" w:cs="新宋体"/>
          <w:color w:val="auto"/>
          <w:sz w:val="36"/>
          <w:szCs w:val="36"/>
          <w:highlight w:val="none"/>
        </w:rPr>
      </w:pPr>
      <w:r>
        <w:rPr>
          <w:rStyle w:val="170"/>
          <w:rFonts w:hint="eastAsia" w:ascii="新宋体" w:hAnsi="新宋体" w:eastAsia="新宋体" w:cs="新宋体"/>
          <w:color w:val="auto"/>
          <w:sz w:val="36"/>
          <w:szCs w:val="36"/>
          <w:highlight w:val="none"/>
        </w:rPr>
        <w:br w:type="page"/>
      </w:r>
    </w:p>
    <w:p>
      <w:pPr>
        <w:spacing w:line="360" w:lineRule="auto"/>
        <w:jc w:val="center"/>
        <w:rPr>
          <w:rStyle w:val="170"/>
          <w:rFonts w:ascii="新宋体" w:hAnsi="新宋体" w:eastAsia="新宋体" w:cs="新宋体"/>
          <w:color w:val="auto"/>
          <w:sz w:val="36"/>
          <w:szCs w:val="36"/>
          <w:highlight w:val="none"/>
        </w:rPr>
      </w:pPr>
      <w:r>
        <w:rPr>
          <w:rStyle w:val="170"/>
          <w:rFonts w:hint="eastAsia" w:ascii="新宋体" w:hAnsi="新宋体" w:eastAsia="新宋体" w:cs="新宋体"/>
          <w:color w:val="auto"/>
          <w:sz w:val="36"/>
          <w:szCs w:val="36"/>
          <w:highlight w:val="none"/>
        </w:rPr>
        <w:t>第六部分   评标原则及方法</w:t>
      </w:r>
      <w:bookmarkEnd w:id="123"/>
      <w:bookmarkEnd w:id="124"/>
      <w:bookmarkEnd w:id="125"/>
      <w:bookmarkEnd w:id="126"/>
      <w:bookmarkEnd w:id="127"/>
      <w:bookmarkEnd w:id="128"/>
      <w:bookmarkEnd w:id="129"/>
      <w:bookmarkEnd w:id="130"/>
      <w:bookmarkEnd w:id="131"/>
    </w:p>
    <w:bookmarkEnd w:id="132"/>
    <w:p>
      <w:pPr>
        <w:pStyle w:val="3"/>
        <w:spacing w:beforeLines="50" w:afterLines="50" w:line="360" w:lineRule="exact"/>
        <w:rPr>
          <w:rFonts w:ascii="新宋体" w:hAnsi="新宋体" w:eastAsia="新宋体" w:cs="新宋体"/>
          <w:b/>
          <w:color w:val="auto"/>
          <w:highlight w:val="none"/>
        </w:rPr>
      </w:pPr>
      <w:bookmarkStart w:id="133" w:name="_Toc221356898"/>
      <w:bookmarkStart w:id="134" w:name="_Toc221356961"/>
      <w:r>
        <w:rPr>
          <w:rFonts w:hint="eastAsia" w:ascii="新宋体" w:hAnsi="新宋体" w:eastAsia="新宋体" w:cs="新宋体"/>
          <w:b/>
          <w:color w:val="auto"/>
          <w:highlight w:val="none"/>
        </w:rPr>
        <w:t>一. 总  则</w:t>
      </w:r>
      <w:bookmarkEnd w:id="133"/>
      <w:bookmarkEnd w:id="134"/>
    </w:p>
    <w:p>
      <w:pPr>
        <w:spacing w:line="440" w:lineRule="exact"/>
        <w:ind w:left="439" w:leftChars="20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3"/>
        <w:spacing w:beforeLines="50" w:afterLines="50" w:line="360" w:lineRule="exact"/>
        <w:rPr>
          <w:rFonts w:ascii="新宋体" w:hAnsi="新宋体" w:eastAsia="新宋体" w:cs="新宋体"/>
          <w:b/>
          <w:color w:val="auto"/>
          <w:highlight w:val="none"/>
        </w:rPr>
      </w:pPr>
      <w:bookmarkStart w:id="135" w:name="_Toc221356899"/>
      <w:bookmarkStart w:id="136" w:name="_Toc221356962"/>
      <w:r>
        <w:rPr>
          <w:rFonts w:hint="eastAsia" w:ascii="新宋体" w:hAnsi="新宋体" w:eastAsia="新宋体" w:cs="新宋体"/>
          <w:b/>
          <w:color w:val="auto"/>
          <w:highlight w:val="none"/>
        </w:rPr>
        <w:t>二、评标组织</w:t>
      </w:r>
      <w:bookmarkEnd w:id="135"/>
      <w:bookmarkEnd w:id="136"/>
    </w:p>
    <w:p>
      <w:pPr>
        <w:spacing w:line="3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评标工作由采购人依法组建的评标委员会负责，评标全过程由有关部门指导监督。</w:t>
      </w:r>
    </w:p>
    <w:p>
      <w:pPr>
        <w:pStyle w:val="3"/>
        <w:spacing w:beforeLines="50" w:afterLines="50" w:line="360" w:lineRule="exact"/>
        <w:rPr>
          <w:rFonts w:ascii="新宋体" w:hAnsi="新宋体" w:eastAsia="新宋体" w:cs="新宋体"/>
          <w:b/>
          <w:color w:val="auto"/>
          <w:highlight w:val="none"/>
        </w:rPr>
      </w:pPr>
      <w:bookmarkStart w:id="137" w:name="_Toc221356963"/>
      <w:bookmarkStart w:id="138" w:name="_Toc221356900"/>
      <w:r>
        <w:rPr>
          <w:rFonts w:hint="eastAsia" w:ascii="新宋体" w:hAnsi="新宋体" w:eastAsia="新宋体" w:cs="新宋体"/>
          <w:b/>
          <w:color w:val="auto"/>
          <w:highlight w:val="none"/>
        </w:rPr>
        <w:t>三、评标程序</w:t>
      </w:r>
      <w:bookmarkEnd w:id="137"/>
      <w:bookmarkEnd w:id="138"/>
    </w:p>
    <w:p>
      <w:pPr>
        <w:spacing w:line="440" w:lineRule="exact"/>
        <w:ind w:left="439" w:leftChars="20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1、采购人或采购代理机构对各投标人的投标资格进行审查；然后评标委员会对合格投标人的技术资信标进行评审；对商务（报价）标评审后，根据综合评审结果，提交评审报告。</w:t>
      </w:r>
    </w:p>
    <w:p>
      <w:pPr>
        <w:spacing w:line="440" w:lineRule="exact"/>
        <w:ind w:left="439" w:leftChars="209"/>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2、若投标人投标报价超出采购预算或最高限价，其投标文件作无效标处理。若所有投标人投标报价均超出采购预算或最高限价，采购人无法支付，本项目做流标处理。</w:t>
      </w:r>
    </w:p>
    <w:p>
      <w:pPr>
        <w:pStyle w:val="3"/>
        <w:spacing w:beforeLines="50" w:afterLines="50" w:line="360" w:lineRule="exact"/>
        <w:rPr>
          <w:rFonts w:ascii="新宋体" w:hAnsi="新宋体" w:eastAsia="新宋体" w:cs="新宋体"/>
          <w:b/>
          <w:color w:val="auto"/>
          <w:highlight w:val="none"/>
        </w:rPr>
      </w:pPr>
      <w:bookmarkStart w:id="139" w:name="_Toc221356964"/>
      <w:bookmarkStart w:id="140" w:name="_Toc221356901"/>
      <w:r>
        <w:rPr>
          <w:rFonts w:hint="eastAsia" w:ascii="新宋体" w:hAnsi="新宋体" w:eastAsia="新宋体" w:cs="新宋体"/>
          <w:b/>
          <w:color w:val="auto"/>
          <w:highlight w:val="none"/>
        </w:rPr>
        <w:t>四、评标办法</w:t>
      </w:r>
      <w:bookmarkEnd w:id="139"/>
      <w:bookmarkEnd w:id="140"/>
    </w:p>
    <w:p>
      <w:pPr>
        <w:spacing w:line="440" w:lineRule="exact"/>
        <w:ind w:left="439" w:leftChars="209"/>
        <w:rPr>
          <w:rFonts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w:t>
      </w:r>
    </w:p>
    <w:p>
      <w:pPr>
        <w:pStyle w:val="3"/>
        <w:spacing w:beforeLines="50" w:afterLines="50" w:line="36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五、评分细则</w:t>
      </w:r>
    </w:p>
    <w:p>
      <w:pPr>
        <w:spacing w:line="360" w:lineRule="auto"/>
        <w:rPr>
          <w:rFonts w:ascii="新宋体" w:hAnsi="新宋体" w:eastAsia="新宋体" w:cs="新宋体"/>
          <w:color w:val="auto"/>
          <w:sz w:val="22"/>
          <w:szCs w:val="22"/>
          <w:highlight w:val="none"/>
        </w:rPr>
      </w:pPr>
      <w:bookmarkStart w:id="141" w:name="_Toc221356966"/>
      <w:bookmarkStart w:id="142" w:name="_Toc221356903"/>
      <w:r>
        <w:rPr>
          <w:rFonts w:hint="eastAsia" w:ascii="新宋体" w:hAnsi="新宋体" w:eastAsia="新宋体" w:cs="新宋体"/>
          <w:color w:val="auto"/>
          <w:sz w:val="22"/>
          <w:szCs w:val="22"/>
          <w:highlight w:val="none"/>
        </w:rPr>
        <w:t>一)、技术资信部分的评定（70分）</w:t>
      </w:r>
    </w:p>
    <w:p>
      <w:pPr>
        <w:spacing w:line="360" w:lineRule="auto"/>
        <w:ind w:firstLine="330" w:firstLineChars="15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各评委成员按下列评分项目进行评定，每人一张评分计算表，由评标委员会成员各自评定打分并记实名。</w:t>
      </w:r>
      <w:r>
        <w:rPr>
          <w:rFonts w:hint="eastAsia" w:ascii="新宋体" w:hAnsi="新宋体" w:eastAsia="新宋体" w:cs="新宋体"/>
          <w:b/>
          <w:color w:val="auto"/>
          <w:sz w:val="22"/>
          <w:szCs w:val="22"/>
          <w:highlight w:val="none"/>
        </w:rPr>
        <w:t>如任何一张表的一项评分内容分值超过规定的范围，则该张表无效。</w:t>
      </w:r>
      <w:r>
        <w:rPr>
          <w:rFonts w:hint="eastAsia" w:ascii="新宋体" w:hAnsi="新宋体" w:eastAsia="新宋体" w:cs="新宋体"/>
          <w:color w:val="auto"/>
          <w:sz w:val="22"/>
          <w:szCs w:val="22"/>
          <w:highlight w:val="none"/>
        </w:rPr>
        <w:t>评标委员会成员对各投标人的各项评分内容评分合计值的算术平均值为该投标人技术资信部分的综合得分（四舍五入，保留小数点后二位）。</w:t>
      </w:r>
    </w:p>
    <w:p>
      <w:pPr>
        <w:spacing w:line="360" w:lineRule="auto"/>
        <w:jc w:val="lef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1、技术资信评分表</w:t>
      </w:r>
    </w:p>
    <w:tbl>
      <w:tblPr>
        <w:tblStyle w:val="64"/>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126"/>
        <w:gridCol w:w="73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29" w:type="dxa"/>
            <w:vAlign w:val="center"/>
          </w:tcPr>
          <w:p>
            <w:pPr>
              <w:spacing w:line="300" w:lineRule="exact"/>
              <w:ind w:left="-50"/>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5126" w:type="dxa"/>
            <w:vAlign w:val="center"/>
          </w:tcPr>
          <w:p>
            <w:pPr>
              <w:spacing w:line="300" w:lineRule="exact"/>
              <w:ind w:left="-50"/>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评分内容</w:t>
            </w:r>
          </w:p>
        </w:tc>
        <w:tc>
          <w:tcPr>
            <w:tcW w:w="735" w:type="dxa"/>
            <w:vAlign w:val="center"/>
          </w:tcPr>
          <w:p>
            <w:pPr>
              <w:spacing w:line="300" w:lineRule="exact"/>
              <w:ind w:left="-50"/>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分值</w:t>
            </w:r>
          </w:p>
        </w:tc>
        <w:tc>
          <w:tcPr>
            <w:tcW w:w="2940" w:type="dxa"/>
            <w:vAlign w:val="center"/>
          </w:tcPr>
          <w:p>
            <w:pPr>
              <w:spacing w:line="300" w:lineRule="exact"/>
              <w:ind w:left="-50"/>
              <w:jc w:val="center"/>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9630" w:type="dxa"/>
            <w:gridSpan w:val="4"/>
            <w:vAlign w:val="center"/>
          </w:tcPr>
          <w:p>
            <w:pPr>
              <w:spacing w:line="300" w:lineRule="exact"/>
              <w:ind w:left="-50"/>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（一）技术部分（55分）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5126" w:type="dxa"/>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根据投标产品主要元件、材料的选择是否与技术要求及设计方案相吻合程度。</w:t>
            </w:r>
          </w:p>
        </w:tc>
        <w:tc>
          <w:tcPr>
            <w:tcW w:w="735" w:type="dxa"/>
            <w:vAlign w:val="center"/>
          </w:tcPr>
          <w:p>
            <w:pPr>
              <w:spacing w:line="30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5分</w:t>
            </w:r>
          </w:p>
        </w:tc>
        <w:tc>
          <w:tcPr>
            <w:tcW w:w="2940" w:type="dxa"/>
            <w:vAlign w:val="center"/>
          </w:tcPr>
          <w:p>
            <w:pPr>
              <w:spacing w:line="300" w:lineRule="exact"/>
              <w:jc w:val="center"/>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专家综合评审打分（0-</w:t>
            </w: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5126" w:type="dxa"/>
            <w:vAlign w:val="center"/>
          </w:tcPr>
          <w:p>
            <w:pPr>
              <w:spacing w:line="300" w:lineRule="exact"/>
              <w:rPr>
                <w:rFonts w:hint="eastAsia"/>
                <w:color w:val="auto"/>
                <w:highlight w:val="none"/>
              </w:rPr>
            </w:pPr>
            <w:r>
              <w:rPr>
                <w:rFonts w:hint="eastAsia"/>
                <w:color w:val="auto"/>
                <w:highlight w:val="none"/>
              </w:rPr>
              <w:t>所投产品的主要部件、材料、设备性能合理性，技术指标的先进性。</w:t>
            </w:r>
          </w:p>
          <w:p>
            <w:pPr>
              <w:pStyle w:val="2"/>
              <w:ind w:left="0" w:leftChars="0" w:firstLine="0" w:firstLineChars="0"/>
              <w:rPr>
                <w:rFonts w:hint="eastAsia" w:eastAsia="宋体"/>
                <w:color w:val="auto"/>
                <w:highlight w:val="none"/>
                <w:lang w:val="en-US" w:eastAsia="zh-CN"/>
              </w:rPr>
            </w:pPr>
            <w:r>
              <w:rPr>
                <w:rFonts w:hint="eastAsia" w:eastAsia="宋体"/>
                <w:color w:val="auto"/>
                <w:highlight w:val="none"/>
                <w:lang w:val="en-US" w:eastAsia="zh-CN"/>
              </w:rPr>
              <w:t>备注：如所投产品技术参数出现负偏离的，则本项不得分。</w:t>
            </w:r>
          </w:p>
        </w:tc>
        <w:tc>
          <w:tcPr>
            <w:tcW w:w="735" w:type="dxa"/>
            <w:vAlign w:val="center"/>
          </w:tcPr>
          <w:p>
            <w:pPr>
              <w:spacing w:line="30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6分</w:t>
            </w:r>
          </w:p>
        </w:tc>
        <w:tc>
          <w:tcPr>
            <w:tcW w:w="2940" w:type="dxa"/>
            <w:vAlign w:val="center"/>
          </w:tcPr>
          <w:p>
            <w:pPr>
              <w:spacing w:line="300" w:lineRule="exact"/>
              <w:jc w:val="center"/>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专家综合评审打分（0-</w:t>
            </w: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5126" w:type="dxa"/>
            <w:vAlign w:val="center"/>
          </w:tcPr>
          <w:p>
            <w:pPr>
              <w:spacing w:line="300" w:lineRule="exact"/>
              <w:rPr>
                <w:rFonts w:hint="eastAsia"/>
                <w:color w:val="auto"/>
                <w:highlight w:val="none"/>
              </w:rPr>
            </w:pPr>
            <w:r>
              <w:rPr>
                <w:rFonts w:hint="eastAsia"/>
                <w:color w:val="auto"/>
                <w:highlight w:val="none"/>
              </w:rPr>
              <w:t>与招标文件第五部分招标内容及要求的设备技术规格</w:t>
            </w:r>
            <w:r>
              <w:rPr>
                <w:rFonts w:hint="eastAsia"/>
                <w:color w:val="auto"/>
                <w:highlight w:val="none"/>
                <w:lang w:eastAsia="zh-CN"/>
              </w:rPr>
              <w:t>、</w:t>
            </w:r>
            <w:r>
              <w:rPr>
                <w:rFonts w:hint="eastAsia"/>
                <w:color w:val="auto"/>
                <w:highlight w:val="none"/>
              </w:rPr>
              <w:t>配置及商务条款对比，标注“★”项为重要参数</w:t>
            </w:r>
            <w:r>
              <w:rPr>
                <w:rFonts w:hint="eastAsia"/>
                <w:color w:val="auto"/>
                <w:highlight w:val="none"/>
                <w:lang w:eastAsia="zh-CN"/>
              </w:rPr>
              <w:t>或要求</w:t>
            </w:r>
            <w:r>
              <w:rPr>
                <w:rFonts w:hint="eastAsia"/>
                <w:color w:val="auto"/>
                <w:highlight w:val="none"/>
              </w:rPr>
              <w:t>，有一项负偏离扣</w:t>
            </w:r>
            <w:r>
              <w:rPr>
                <w:rFonts w:hint="eastAsia"/>
                <w:color w:val="auto"/>
                <w:highlight w:val="none"/>
                <w:lang w:val="en-US" w:eastAsia="zh-CN"/>
              </w:rPr>
              <w:t>4</w:t>
            </w:r>
            <w:r>
              <w:rPr>
                <w:rFonts w:hint="eastAsia"/>
                <w:color w:val="auto"/>
                <w:highlight w:val="none"/>
              </w:rPr>
              <w:t>分，其他条款有一项负偏离扣2分。</w:t>
            </w:r>
          </w:p>
          <w:p>
            <w:pPr>
              <w:pStyle w:val="2"/>
              <w:ind w:left="0" w:leftChars="0" w:firstLine="0" w:firstLineChars="0"/>
              <w:rPr>
                <w:rFonts w:hint="eastAsia" w:eastAsia="宋体"/>
                <w:color w:val="auto"/>
                <w:highlight w:val="none"/>
                <w:lang w:val="en-US" w:eastAsia="zh-CN"/>
              </w:rPr>
            </w:pPr>
            <w:r>
              <w:rPr>
                <w:rFonts w:hint="eastAsia" w:eastAsia="宋体"/>
                <w:color w:val="auto"/>
                <w:highlight w:val="none"/>
                <w:lang w:eastAsia="zh-CN"/>
              </w:rPr>
              <w:t>备注：如本项分数扣完后出现负数的，则视为实质性偏离招标文件要求，其投标文件按无效标处理。</w:t>
            </w:r>
          </w:p>
        </w:tc>
        <w:tc>
          <w:tcPr>
            <w:tcW w:w="735" w:type="dxa"/>
            <w:vAlign w:val="center"/>
          </w:tcPr>
          <w:p>
            <w:pPr>
              <w:spacing w:line="30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highlight w:val="none"/>
              </w:rPr>
              <w:t>25分</w:t>
            </w:r>
          </w:p>
        </w:tc>
        <w:tc>
          <w:tcPr>
            <w:tcW w:w="2940"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专家评审打分（0-</w:t>
            </w:r>
            <w:r>
              <w:rPr>
                <w:rFonts w:hint="eastAsia" w:ascii="新宋体" w:hAnsi="新宋体" w:eastAsia="新宋体" w:cs="新宋体"/>
                <w:color w:val="auto"/>
                <w:sz w:val="22"/>
                <w:szCs w:val="22"/>
                <w:highlight w:val="none"/>
              </w:rPr>
              <w:t>25</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5126" w:type="dxa"/>
            <w:vAlign w:val="center"/>
          </w:tcPr>
          <w:p>
            <w:pPr>
              <w:spacing w:line="300" w:lineRule="exact"/>
              <w:rPr>
                <w:rFonts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lang w:val="zh-CN"/>
              </w:rPr>
              <w:t>根据所投设备品牌在国内市场知名度、信誉度、用户认可度。</w:t>
            </w:r>
          </w:p>
        </w:tc>
        <w:tc>
          <w:tcPr>
            <w:tcW w:w="735"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5分</w:t>
            </w:r>
          </w:p>
        </w:tc>
        <w:tc>
          <w:tcPr>
            <w:tcW w:w="2940"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专家综合评审打分（0-</w:t>
            </w:r>
            <w:r>
              <w:rPr>
                <w:rFonts w:hint="eastAsia" w:ascii="新宋体" w:hAnsi="新宋体" w:eastAsia="新宋体" w:cs="新宋体"/>
                <w:color w:val="auto"/>
                <w:sz w:val="22"/>
                <w:szCs w:val="22"/>
                <w:highlight w:val="none"/>
              </w:rPr>
              <w:t>5</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5126" w:type="dxa"/>
            <w:vAlign w:val="center"/>
          </w:tcPr>
          <w:p>
            <w:pPr>
              <w:spacing w:line="300" w:lineRule="exac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根据投标供应商的资信等级、市场商业信誉、行业认可度等情况横向比较打分。</w:t>
            </w:r>
          </w:p>
        </w:tc>
        <w:tc>
          <w:tcPr>
            <w:tcW w:w="735" w:type="dxa"/>
            <w:vAlign w:val="center"/>
          </w:tcPr>
          <w:p>
            <w:pPr>
              <w:spacing w:line="300" w:lineRule="exact"/>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highlight w:val="none"/>
              </w:rPr>
              <w:t>分</w:t>
            </w:r>
          </w:p>
        </w:tc>
        <w:tc>
          <w:tcPr>
            <w:tcW w:w="2940" w:type="dxa"/>
            <w:vAlign w:val="center"/>
          </w:tcPr>
          <w:p>
            <w:pPr>
              <w:spacing w:line="2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专家评审打分（0-</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5126" w:type="dxa"/>
            <w:vAlign w:val="center"/>
          </w:tcPr>
          <w:p>
            <w:pPr>
              <w:spacing w:line="300" w:lineRule="exact"/>
              <w:rPr>
                <w:rFonts w:ascii="新宋体" w:hAnsi="新宋体" w:eastAsia="新宋体" w:cs="新宋体"/>
                <w:color w:val="auto"/>
                <w:sz w:val="22"/>
                <w:szCs w:val="22"/>
                <w:highlight w:val="none"/>
                <w:lang w:val="zh-CN"/>
              </w:rPr>
            </w:pPr>
            <w:r>
              <w:rPr>
                <w:rFonts w:hint="eastAsia" w:ascii="新宋体" w:hAnsi="新宋体" w:eastAsia="新宋体" w:cs="新宋体"/>
                <w:snapToGrid w:val="0"/>
                <w:color w:val="auto"/>
                <w:sz w:val="22"/>
                <w:szCs w:val="22"/>
                <w:highlight w:val="none"/>
              </w:rPr>
              <w:t>投标供应商对质保期内和质保期后的维修和服务方案，</w:t>
            </w:r>
            <w:r>
              <w:rPr>
                <w:rFonts w:hint="eastAsia" w:ascii="新宋体" w:hAnsi="新宋体" w:eastAsia="新宋体" w:cs="新宋体"/>
                <w:color w:val="auto"/>
                <w:sz w:val="22"/>
                <w:szCs w:val="22"/>
                <w:highlight w:val="none"/>
              </w:rPr>
              <w:t>包括质保</w:t>
            </w:r>
            <w:r>
              <w:rPr>
                <w:rFonts w:hint="eastAsia" w:ascii="新宋体" w:hAnsi="新宋体" w:eastAsia="新宋体" w:cs="新宋体"/>
                <w:color w:val="auto"/>
                <w:sz w:val="22"/>
                <w:szCs w:val="22"/>
                <w:highlight w:val="none"/>
                <w:lang w:val="zh-CN"/>
              </w:rPr>
              <w:t>年限及保修部件范围、产品</w:t>
            </w:r>
            <w:r>
              <w:rPr>
                <w:rFonts w:hint="eastAsia" w:ascii="新宋体" w:hAnsi="新宋体" w:eastAsia="新宋体" w:cs="新宋体"/>
                <w:snapToGrid w:val="0"/>
                <w:color w:val="auto"/>
                <w:sz w:val="22"/>
                <w:szCs w:val="22"/>
                <w:highlight w:val="none"/>
              </w:rPr>
              <w:t>质保期内的</w:t>
            </w:r>
            <w:r>
              <w:rPr>
                <w:rFonts w:hint="eastAsia" w:ascii="新宋体" w:hAnsi="新宋体" w:eastAsia="新宋体" w:cs="新宋体"/>
                <w:color w:val="auto"/>
                <w:sz w:val="22"/>
                <w:szCs w:val="22"/>
                <w:highlight w:val="none"/>
                <w:lang w:val="zh-CN"/>
              </w:rPr>
              <w:t>维护方案、培训方案、故障响应时间、响应方式、修复时间，技术人员配置，零配件和维修备品备件的供应保障措施</w:t>
            </w:r>
            <w:r>
              <w:rPr>
                <w:rFonts w:hint="eastAsia" w:ascii="新宋体" w:hAnsi="新宋体" w:eastAsia="新宋体" w:cs="新宋体"/>
                <w:color w:val="auto"/>
                <w:sz w:val="22"/>
                <w:szCs w:val="22"/>
                <w:highlight w:val="none"/>
              </w:rPr>
              <w:t>。</w:t>
            </w:r>
          </w:p>
        </w:tc>
        <w:tc>
          <w:tcPr>
            <w:tcW w:w="735" w:type="dxa"/>
            <w:vAlign w:val="center"/>
          </w:tcPr>
          <w:p>
            <w:pPr>
              <w:spacing w:line="300" w:lineRule="exact"/>
              <w:ind w:left="-50"/>
              <w:jc w:val="center"/>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highlight w:val="none"/>
              </w:rPr>
              <w:t>分</w:t>
            </w:r>
          </w:p>
        </w:tc>
        <w:tc>
          <w:tcPr>
            <w:tcW w:w="2940"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专家综合评审打分（0-</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5126" w:type="dxa"/>
            <w:vAlign w:val="center"/>
          </w:tcPr>
          <w:p>
            <w:pPr>
              <w:spacing w:line="300" w:lineRule="exac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制造商或代理商在华东地区的售后服务和维修能力综合评定打分</w:t>
            </w:r>
          </w:p>
        </w:tc>
        <w:tc>
          <w:tcPr>
            <w:tcW w:w="735"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highlight w:val="none"/>
              </w:rPr>
              <w:t>分</w:t>
            </w:r>
          </w:p>
        </w:tc>
        <w:tc>
          <w:tcPr>
            <w:tcW w:w="2940" w:type="dxa"/>
            <w:vAlign w:val="center"/>
          </w:tcPr>
          <w:p>
            <w:pPr>
              <w:spacing w:line="24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专家综合评审打分（0-</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5126" w:type="dxa"/>
            <w:vAlign w:val="center"/>
          </w:tcPr>
          <w:p>
            <w:pPr>
              <w:spacing w:line="300" w:lineRule="exac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免费提供的备品、备件清单及质保期后供采购人选购零配件和消耗品报价。</w:t>
            </w:r>
          </w:p>
        </w:tc>
        <w:tc>
          <w:tcPr>
            <w:tcW w:w="735"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highlight w:val="none"/>
              </w:rPr>
              <w:t>分</w:t>
            </w:r>
          </w:p>
        </w:tc>
        <w:tc>
          <w:tcPr>
            <w:tcW w:w="2940"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专家综合评审打分（0-</w:t>
            </w: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5126" w:type="dxa"/>
            <w:vAlign w:val="center"/>
          </w:tcPr>
          <w:p>
            <w:pPr>
              <w:spacing w:line="300" w:lineRule="exact"/>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投标供应商提供的超出招标文件要求的实质性优惠条件。</w:t>
            </w:r>
          </w:p>
        </w:tc>
        <w:tc>
          <w:tcPr>
            <w:tcW w:w="735"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highlight w:val="none"/>
              </w:rPr>
              <w:t>分</w:t>
            </w:r>
          </w:p>
        </w:tc>
        <w:tc>
          <w:tcPr>
            <w:tcW w:w="2940"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zh-CN"/>
              </w:rPr>
              <w:t>专家综合评审打分（0-</w:t>
            </w:r>
            <w:r>
              <w:rPr>
                <w:rFonts w:hint="eastAsia" w:ascii="新宋体" w:hAnsi="新宋体" w:eastAsia="新宋体" w:cs="新宋体"/>
                <w:color w:val="auto"/>
                <w:sz w:val="22"/>
                <w:szCs w:val="22"/>
                <w:highlight w:val="none"/>
              </w:rPr>
              <w:t>2</w:t>
            </w:r>
            <w:r>
              <w:rPr>
                <w:rFonts w:hint="eastAsia" w:ascii="新宋体" w:hAnsi="新宋体" w:eastAsia="新宋体" w:cs="新宋体"/>
                <w:color w:val="auto"/>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630" w:type="dxa"/>
            <w:gridSpan w:val="4"/>
            <w:vAlign w:val="center"/>
          </w:tcPr>
          <w:p>
            <w:pPr>
              <w:spacing w:line="300" w:lineRule="exact"/>
              <w:ind w:left="-50"/>
              <w:rPr>
                <w:rFonts w:ascii="新宋体" w:hAnsi="新宋体" w:eastAsia="新宋体" w:cs="新宋体"/>
                <w:color w:val="auto"/>
                <w:sz w:val="22"/>
                <w:szCs w:val="22"/>
                <w:highlight w:val="none"/>
                <w:lang w:val="zh-CN"/>
              </w:rPr>
            </w:pPr>
            <w:r>
              <w:rPr>
                <w:rFonts w:hint="eastAsia" w:ascii="新宋体" w:hAnsi="新宋体" w:eastAsia="新宋体" w:cs="新宋体"/>
                <w:b/>
                <w:color w:val="auto"/>
                <w:sz w:val="22"/>
                <w:szCs w:val="22"/>
                <w:highlight w:val="none"/>
              </w:rPr>
              <w:t>（二）资信部分（15分）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5126" w:type="dxa"/>
            <w:vAlign w:val="center"/>
          </w:tcPr>
          <w:p>
            <w:pPr>
              <w:widowControl/>
              <w:spacing w:line="360" w:lineRule="auto"/>
              <w:jc w:val="center"/>
              <w:rPr>
                <w:rFonts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质量保证期情况</w:t>
            </w:r>
          </w:p>
        </w:tc>
        <w:tc>
          <w:tcPr>
            <w:tcW w:w="735"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highlight w:val="none"/>
              </w:rPr>
              <w:t>分</w:t>
            </w:r>
          </w:p>
        </w:tc>
        <w:tc>
          <w:tcPr>
            <w:tcW w:w="2940" w:type="dxa"/>
            <w:vAlign w:val="center"/>
          </w:tcPr>
          <w:p>
            <w:pPr>
              <w:spacing w:line="240" w:lineRule="exact"/>
              <w:jc w:val="center"/>
              <w:rPr>
                <w:rFonts w:ascii="新宋体" w:hAnsi="新宋体" w:eastAsia="新宋体" w:cs="新宋体"/>
                <w:color w:val="auto"/>
                <w:sz w:val="22"/>
                <w:szCs w:val="22"/>
                <w:highlight w:val="none"/>
                <w:lang w:val="zh-CN"/>
              </w:rPr>
            </w:pPr>
            <w:r>
              <w:rPr>
                <w:rFonts w:hint="eastAsia" w:ascii="新宋体" w:hAnsi="新宋体" w:eastAsia="新宋体" w:cs="新宋体"/>
                <w:snapToGrid w:val="0"/>
                <w:color w:val="auto"/>
                <w:sz w:val="22"/>
                <w:szCs w:val="22"/>
                <w:highlight w:val="none"/>
              </w:rPr>
              <w:t>免费质保期1年，再增加1年得3分，</w:t>
            </w:r>
            <w:r>
              <w:rPr>
                <w:rFonts w:hint="eastAsia" w:ascii="新宋体" w:hAnsi="新宋体" w:eastAsia="新宋体" w:cs="新宋体"/>
                <w:snapToGrid w:val="0"/>
                <w:color w:val="auto"/>
                <w:sz w:val="22"/>
                <w:szCs w:val="22"/>
                <w:highlight w:val="none"/>
                <w:lang w:eastAsia="zh-CN"/>
              </w:rPr>
              <w:t>最多加</w:t>
            </w:r>
            <w:r>
              <w:rPr>
                <w:rFonts w:hint="eastAsia" w:ascii="新宋体" w:hAnsi="新宋体" w:eastAsia="新宋体" w:cs="新宋体"/>
                <w:snapToGrid w:val="0"/>
                <w:color w:val="auto"/>
                <w:sz w:val="22"/>
                <w:szCs w:val="22"/>
                <w:highlight w:val="none"/>
                <w:lang w:val="en-US" w:eastAsia="zh-CN"/>
              </w:rPr>
              <w:t>6分，</w:t>
            </w:r>
            <w:r>
              <w:rPr>
                <w:rFonts w:hint="eastAsia" w:ascii="新宋体" w:hAnsi="新宋体" w:eastAsia="新宋体" w:cs="新宋体"/>
                <w:snapToGrid w:val="0"/>
                <w:color w:val="auto"/>
                <w:sz w:val="22"/>
                <w:szCs w:val="22"/>
                <w:highlight w:val="none"/>
              </w:rPr>
              <w:t>无增加不得分。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5126" w:type="dxa"/>
            <w:vAlign w:val="center"/>
          </w:tcPr>
          <w:p>
            <w:pPr>
              <w:widowControl/>
              <w:spacing w:line="360" w:lineRule="auto"/>
              <w:jc w:val="center"/>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2014年1月 1日至今所投产品销售业绩，提供合同文本复印件加盖公章，携带原件备查。</w:t>
            </w:r>
          </w:p>
        </w:tc>
        <w:tc>
          <w:tcPr>
            <w:tcW w:w="735" w:type="dxa"/>
            <w:vAlign w:val="center"/>
          </w:tcPr>
          <w:p>
            <w:pPr>
              <w:spacing w:line="300" w:lineRule="exact"/>
              <w:jc w:val="center"/>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rPr>
              <w:t>6</w:t>
            </w:r>
            <w:r>
              <w:rPr>
                <w:rFonts w:hint="eastAsia" w:ascii="新宋体" w:hAnsi="新宋体" w:eastAsia="新宋体" w:cs="新宋体"/>
                <w:color w:val="auto"/>
                <w:sz w:val="22"/>
                <w:highlight w:val="none"/>
              </w:rPr>
              <w:t>分</w:t>
            </w:r>
          </w:p>
        </w:tc>
        <w:tc>
          <w:tcPr>
            <w:tcW w:w="2940" w:type="dxa"/>
            <w:vAlign w:val="center"/>
          </w:tcPr>
          <w:p>
            <w:pPr>
              <w:spacing w:line="3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每有效业绩得1分,最多得6分。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p>
        </w:tc>
        <w:tc>
          <w:tcPr>
            <w:tcW w:w="5126" w:type="dxa"/>
            <w:vAlign w:val="center"/>
          </w:tcPr>
          <w:p>
            <w:pPr>
              <w:widowControl/>
              <w:spacing w:line="360" w:lineRule="auto"/>
              <w:jc w:val="center"/>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制造商具有省级技术研发中心，提供相关证明资料得</w:t>
            </w: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zh-CN"/>
              </w:rPr>
              <w:t>分</w:t>
            </w:r>
          </w:p>
        </w:tc>
        <w:tc>
          <w:tcPr>
            <w:tcW w:w="735"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1分</w:t>
            </w:r>
          </w:p>
        </w:tc>
        <w:tc>
          <w:tcPr>
            <w:tcW w:w="2940"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5126" w:type="dxa"/>
            <w:vAlign w:val="center"/>
          </w:tcPr>
          <w:p>
            <w:pPr>
              <w:widowControl/>
              <w:spacing w:line="360" w:lineRule="auto"/>
              <w:jc w:val="center"/>
              <w:rPr>
                <w:rFonts w:ascii="新宋体" w:hAnsi="新宋体" w:eastAsia="新宋体" w:cs="新宋体"/>
                <w:color w:val="auto"/>
                <w:sz w:val="22"/>
                <w:szCs w:val="22"/>
                <w:highlight w:val="none"/>
                <w:lang w:val="zh-CN"/>
              </w:rPr>
            </w:pPr>
            <w:r>
              <w:rPr>
                <w:rFonts w:hint="eastAsia" w:ascii="新宋体" w:hAnsi="新宋体" w:eastAsia="新宋体" w:cs="新宋体"/>
                <w:color w:val="auto"/>
                <w:sz w:val="22"/>
                <w:szCs w:val="22"/>
                <w:highlight w:val="none"/>
                <w:lang w:val="zh-CN"/>
              </w:rPr>
              <w:t>制造商具有高新技术企业证书，提供相关证明资料得</w:t>
            </w:r>
            <w:r>
              <w:rPr>
                <w:rFonts w:hint="eastAsia" w:ascii="新宋体" w:hAnsi="新宋体" w:eastAsia="新宋体" w:cs="新宋体"/>
                <w:color w:val="auto"/>
                <w:sz w:val="22"/>
                <w:szCs w:val="22"/>
                <w:highlight w:val="none"/>
              </w:rPr>
              <w:t>1</w:t>
            </w:r>
            <w:r>
              <w:rPr>
                <w:rFonts w:hint="eastAsia" w:ascii="新宋体" w:hAnsi="新宋体" w:eastAsia="新宋体" w:cs="新宋体"/>
                <w:color w:val="auto"/>
                <w:sz w:val="22"/>
                <w:szCs w:val="22"/>
                <w:highlight w:val="none"/>
                <w:lang w:val="zh-CN"/>
              </w:rPr>
              <w:t>分</w:t>
            </w:r>
          </w:p>
        </w:tc>
        <w:tc>
          <w:tcPr>
            <w:tcW w:w="735"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1分</w:t>
            </w:r>
          </w:p>
        </w:tc>
        <w:tc>
          <w:tcPr>
            <w:tcW w:w="2940" w:type="dxa"/>
            <w:vAlign w:val="center"/>
          </w:tcPr>
          <w:p>
            <w:pPr>
              <w:spacing w:line="30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29" w:type="dxa"/>
            <w:vAlign w:val="center"/>
          </w:tcPr>
          <w:p>
            <w:pPr>
              <w:spacing w:line="300" w:lineRule="exact"/>
              <w:ind w:left="-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w:t>
            </w:r>
          </w:p>
        </w:tc>
        <w:tc>
          <w:tcPr>
            <w:tcW w:w="5126" w:type="dxa"/>
            <w:vAlign w:val="center"/>
          </w:tcPr>
          <w:p>
            <w:pPr>
              <w:spacing w:line="300" w:lineRule="exact"/>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环境标志产品、节能产品评审</w:t>
            </w:r>
          </w:p>
        </w:tc>
        <w:tc>
          <w:tcPr>
            <w:tcW w:w="735" w:type="dxa"/>
            <w:vAlign w:val="center"/>
          </w:tcPr>
          <w:p>
            <w:pPr>
              <w:spacing w:line="300" w:lineRule="exact"/>
              <w:jc w:val="center"/>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0</w:t>
            </w:r>
            <w:r>
              <w:rPr>
                <w:rFonts w:hint="eastAsia" w:ascii="新宋体" w:hAnsi="新宋体" w:eastAsia="新宋体" w:cs="新宋体"/>
                <w:color w:val="auto"/>
                <w:sz w:val="22"/>
                <w:highlight w:val="none"/>
              </w:rPr>
              <w:t>-1</w:t>
            </w:r>
          </w:p>
        </w:tc>
        <w:tc>
          <w:tcPr>
            <w:tcW w:w="2940" w:type="dxa"/>
            <w:vAlign w:val="center"/>
          </w:tcPr>
          <w:p>
            <w:pPr>
              <w:spacing w:line="300" w:lineRule="exact"/>
              <w:ind w:firstLine="110" w:firstLineChars="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1)投标产品列入财政部、发展改革委、生态环境部等部门发布的节能产品品目清单且提供国家确定的认证机构出具的、处于有效期之内的节能产品认证证书的，得0.5分。</w:t>
            </w:r>
          </w:p>
          <w:p>
            <w:pPr>
              <w:spacing w:line="300" w:lineRule="exact"/>
              <w:ind w:firstLine="110" w:firstLineChars="50"/>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2）投标产品列入财政部、发展改革委、生态环境部等部门发布的环境标志产品品目清单且提供国家确定的认证机构出具的、处于有效期之内的环境标志产品认证证书的，得0.5分。</w:t>
            </w:r>
          </w:p>
        </w:tc>
      </w:tr>
    </w:tbl>
    <w:p>
      <w:pPr>
        <w:spacing w:line="360" w:lineRule="auto"/>
        <w:jc w:val="lef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2）价格评分</w:t>
      </w:r>
    </w:p>
    <w:p>
      <w:pPr>
        <w:spacing w:line="360" w:lineRule="auto"/>
        <w:ind w:firstLine="442" w:firstLineChars="200"/>
        <w:jc w:val="left"/>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1、政策功能的评标价格扣除</w:t>
      </w:r>
    </w:p>
    <w:p>
      <w:pPr>
        <w:spacing w:line="360" w:lineRule="auto"/>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（1）“评标价格”是指符合相关政策要求，按一定比例对投标报价进行政策功能的扣除后，仅用作价格分评分的价格（中标价及合同价仍以其投标报价为准）。</w:t>
      </w:r>
    </w:p>
    <w:p>
      <w:pPr>
        <w:spacing w:line="360" w:lineRule="auto"/>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（2）投标人为小微（或监狱</w:t>
      </w:r>
      <w:r>
        <w:rPr>
          <w:rFonts w:hint="eastAsia" w:ascii="新宋体" w:hAnsi="新宋体" w:eastAsia="新宋体" w:cs="新宋体"/>
          <w:bCs/>
          <w:color w:val="auto"/>
          <w:kern w:val="0"/>
          <w:sz w:val="22"/>
          <w:szCs w:val="22"/>
          <w:highlight w:val="none"/>
        </w:rPr>
        <w:t>或残疾人福利性单位</w:t>
      </w:r>
      <w:r>
        <w:rPr>
          <w:rFonts w:hint="eastAsia" w:ascii="新宋体" w:hAnsi="新宋体" w:eastAsia="新宋体" w:cs="新宋体"/>
          <w:color w:val="auto"/>
          <w:sz w:val="22"/>
          <w:szCs w:val="22"/>
          <w:highlight w:val="none"/>
        </w:rPr>
        <w:t>）企业且提供的是本企业或其他小微（或监狱</w:t>
      </w:r>
      <w:r>
        <w:rPr>
          <w:rFonts w:hint="eastAsia" w:ascii="新宋体" w:hAnsi="新宋体" w:eastAsia="新宋体" w:cs="新宋体"/>
          <w:bCs/>
          <w:color w:val="auto"/>
          <w:kern w:val="0"/>
          <w:sz w:val="22"/>
          <w:szCs w:val="22"/>
          <w:highlight w:val="none"/>
        </w:rPr>
        <w:t>或残疾人福利性单位</w:t>
      </w:r>
      <w:r>
        <w:rPr>
          <w:rFonts w:hint="eastAsia" w:ascii="新宋体" w:hAnsi="新宋体" w:eastAsia="新宋体" w:cs="新宋体"/>
          <w:color w:val="auto"/>
          <w:sz w:val="22"/>
          <w:szCs w:val="22"/>
          <w:highlight w:val="none"/>
        </w:rPr>
        <w:t>）企业制造的货物、承担的工程或者服务，其评标价格为投标报价扣除6%，即投标报价×94%；</w:t>
      </w:r>
    </w:p>
    <w:p>
      <w:pPr>
        <w:spacing w:line="360" w:lineRule="auto"/>
        <w:ind w:firstLine="440" w:firstLineChars="200"/>
        <w:jc w:val="lef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（3）证明材料提供不全或无法证明的视为不符合政策功能的评标价格扣除要求，将不予评标价格的扣除。</w:t>
      </w:r>
    </w:p>
    <w:p>
      <w:pPr>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2、商务评分（30分）：</w:t>
      </w:r>
    </w:p>
    <w:p>
      <w:pPr>
        <w:spacing w:line="400" w:lineRule="exact"/>
        <w:ind w:firstLine="330" w:firstLineChars="150"/>
        <w:rPr>
          <w:rFonts w:ascii="新宋体" w:hAnsi="新宋体" w:eastAsia="新宋体" w:cs="新宋体"/>
          <w:color w:val="auto"/>
          <w:sz w:val="22"/>
          <w:szCs w:val="22"/>
          <w:highlight w:val="none"/>
          <w:lang w:bidi="he-IL"/>
        </w:rPr>
      </w:pPr>
      <w:r>
        <w:rPr>
          <w:rFonts w:hint="eastAsia" w:ascii="新宋体" w:hAnsi="新宋体" w:eastAsia="新宋体" w:cs="新宋体"/>
          <w:color w:val="auto"/>
          <w:sz w:val="22"/>
          <w:szCs w:val="22"/>
          <w:highlight w:val="none"/>
          <w:lang w:bidi="he-IL"/>
        </w:rPr>
        <w:t>所有有效投标人中最低投标报价（或政策功能扣除后的评标价格）为基准价;</w:t>
      </w:r>
    </w:p>
    <w:p>
      <w:pPr>
        <w:spacing w:line="400" w:lineRule="exact"/>
        <w:ind w:firstLine="330" w:firstLineChars="150"/>
        <w:rPr>
          <w:rFonts w:ascii="新宋体" w:hAnsi="新宋体" w:eastAsia="新宋体" w:cs="新宋体"/>
          <w:color w:val="auto"/>
          <w:sz w:val="22"/>
          <w:szCs w:val="22"/>
          <w:highlight w:val="none"/>
          <w:lang w:bidi="he-IL"/>
        </w:rPr>
      </w:pPr>
      <w:r>
        <w:rPr>
          <w:rFonts w:hint="eastAsia" w:ascii="新宋体" w:hAnsi="新宋体" w:eastAsia="新宋体" w:cs="新宋体"/>
          <w:color w:val="auto"/>
          <w:sz w:val="22"/>
          <w:szCs w:val="22"/>
          <w:highlight w:val="none"/>
          <w:lang w:bidi="he-IL"/>
        </w:rPr>
        <w:t>1）有效投标人的投标价等于评标基准价时，其商务报价评分值为满分30分；</w:t>
      </w:r>
    </w:p>
    <w:p>
      <w:pPr>
        <w:spacing w:line="400" w:lineRule="exact"/>
        <w:ind w:firstLine="330" w:firstLineChars="150"/>
        <w:rPr>
          <w:rFonts w:ascii="新宋体" w:hAnsi="新宋体" w:eastAsia="新宋体" w:cs="新宋体"/>
          <w:color w:val="auto"/>
          <w:sz w:val="22"/>
          <w:szCs w:val="22"/>
          <w:highlight w:val="none"/>
          <w:lang w:bidi="he-IL"/>
        </w:rPr>
      </w:pPr>
      <w:r>
        <w:rPr>
          <w:rFonts w:hint="eastAsia" w:ascii="新宋体" w:hAnsi="新宋体" w:eastAsia="新宋体" w:cs="新宋体"/>
          <w:color w:val="auto"/>
          <w:sz w:val="22"/>
          <w:szCs w:val="22"/>
          <w:highlight w:val="none"/>
          <w:lang w:bidi="he-IL"/>
        </w:rPr>
        <w:t>2）其他有效投标人的价格分按以下公式计算：</w:t>
      </w:r>
    </w:p>
    <w:p>
      <w:pPr>
        <w:spacing w:line="400" w:lineRule="exact"/>
        <w:ind w:left="657" w:leftChars="313"/>
        <w:rPr>
          <w:rFonts w:ascii="新宋体" w:hAnsi="新宋体" w:eastAsia="新宋体" w:cs="新宋体"/>
          <w:color w:val="auto"/>
          <w:sz w:val="22"/>
          <w:szCs w:val="22"/>
          <w:highlight w:val="none"/>
          <w:lang w:bidi="he-IL"/>
        </w:rPr>
      </w:pPr>
      <w:r>
        <w:rPr>
          <w:rFonts w:hint="eastAsia" w:ascii="新宋体" w:hAnsi="新宋体" w:eastAsia="新宋体" w:cs="新宋体"/>
          <w:color w:val="auto"/>
          <w:sz w:val="22"/>
          <w:szCs w:val="22"/>
          <w:highlight w:val="none"/>
          <w:lang w:bidi="he-IL"/>
        </w:rPr>
        <w:t>商务分得分=（评标基准价/投标人投标报价）×价格权值×100（四舍五入后保留小数2位）</w:t>
      </w:r>
    </w:p>
    <w:p>
      <w:pPr>
        <w:spacing w:line="400" w:lineRule="exact"/>
        <w:ind w:firstLine="330" w:firstLineChars="150"/>
        <w:rPr>
          <w:rFonts w:ascii="新宋体" w:hAnsi="新宋体" w:eastAsia="新宋体" w:cs="新宋体"/>
          <w:color w:val="auto"/>
          <w:sz w:val="22"/>
          <w:highlight w:val="none"/>
        </w:rPr>
      </w:pPr>
      <w:r>
        <w:rPr>
          <w:rFonts w:hint="eastAsia" w:ascii="新宋体" w:hAnsi="新宋体" w:eastAsia="新宋体" w:cs="新宋体"/>
          <w:color w:val="auto"/>
          <w:sz w:val="22"/>
          <w:szCs w:val="22"/>
          <w:highlight w:val="none"/>
          <w:lang w:bidi="he-IL"/>
        </w:rPr>
        <w:t>（价格权值为30%）</w:t>
      </w:r>
      <w:r>
        <w:rPr>
          <w:rFonts w:hint="eastAsia" w:ascii="新宋体" w:hAnsi="新宋体" w:eastAsia="新宋体" w:cs="新宋体"/>
          <w:color w:val="auto"/>
          <w:sz w:val="22"/>
          <w:highlight w:val="none"/>
        </w:rPr>
        <w:t>;</w:t>
      </w:r>
    </w:p>
    <w:p>
      <w:pPr>
        <w:spacing w:line="400" w:lineRule="exact"/>
        <w:ind w:firstLine="220" w:firstLineChars="100"/>
        <w:rPr>
          <w:rFonts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color w:val="auto"/>
          <w:sz w:val="22"/>
          <w:szCs w:val="22"/>
          <w:highlight w:val="none"/>
          <w:u w:val="single"/>
        </w:rPr>
        <w:t>本项目采购预算为人民币68万元整，如投标人报价超过采购预算，其投标文件作无效标处理。</w:t>
      </w:r>
    </w:p>
    <w:p>
      <w:pPr>
        <w:topLinePunct/>
        <w:spacing w:line="400" w:lineRule="exact"/>
        <w:ind w:firstLine="330" w:firstLineChars="150"/>
        <w:rPr>
          <w:rFonts w:ascii="新宋体" w:hAnsi="新宋体" w:eastAsia="新宋体" w:cs="新宋体"/>
          <w:color w:val="auto"/>
          <w:kern w:val="0"/>
          <w:szCs w:val="21"/>
          <w:highlight w:val="none"/>
        </w:rPr>
      </w:pPr>
      <w:r>
        <w:rPr>
          <w:rFonts w:hint="eastAsia" w:ascii="新宋体" w:hAnsi="新宋体" w:eastAsia="新宋体" w:cs="新宋体"/>
          <w:color w:val="auto"/>
          <w:sz w:val="22"/>
          <w:szCs w:val="22"/>
          <w:highlight w:val="none"/>
        </w:rPr>
        <w:t>4）若所有投标人商务报价均超采购预算，则本项目重新组织招标。</w:t>
      </w:r>
    </w:p>
    <w:p>
      <w:pPr>
        <w:spacing w:line="400" w:lineRule="exact"/>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 有效投标人的综合得分为技术资信分和商务（报价）分的总和。</w:t>
      </w:r>
    </w:p>
    <w:p>
      <w:pPr>
        <w:pStyle w:val="3"/>
        <w:spacing w:beforeLines="50" w:afterLines="50" w:line="400" w:lineRule="exact"/>
        <w:ind w:left="330" w:hanging="330" w:hangingChars="150"/>
        <w:rPr>
          <w:rFonts w:ascii="新宋体" w:hAnsi="新宋体" w:eastAsia="新宋体" w:cs="新宋体"/>
          <w:b/>
          <w:color w:val="auto"/>
          <w:highlight w:val="none"/>
        </w:rPr>
      </w:pPr>
      <w:r>
        <w:rPr>
          <w:rFonts w:hint="eastAsia" w:ascii="新宋体" w:hAnsi="新宋体" w:eastAsia="新宋体" w:cs="新宋体"/>
          <w:color w:val="auto"/>
          <w:sz w:val="22"/>
          <w:szCs w:val="22"/>
          <w:highlight w:val="none"/>
        </w:rPr>
        <w:t>4、评标委员会按综合得分高低顺序排列，综合得分前两名投标人依次作为第一中标候选人和第二中标候选人向采购人推荐，并提交评标报告。得分相同的，按投标报价由低到高顺序排列；得分且投标报价相同的，由评标委员会抽签决定。</w:t>
      </w:r>
    </w:p>
    <w:p>
      <w:pPr>
        <w:pStyle w:val="3"/>
        <w:spacing w:beforeLines="50" w:afterLines="50" w:line="36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六、定标办法</w:t>
      </w:r>
      <w:bookmarkEnd w:id="141"/>
      <w:bookmarkEnd w:id="142"/>
    </w:p>
    <w:p>
      <w:pPr>
        <w:spacing w:line="460" w:lineRule="exact"/>
        <w:ind w:firstLine="440" w:firstLineChars="200"/>
        <w:rPr>
          <w:rFonts w:ascii="新宋体" w:hAnsi="新宋体" w:eastAsia="新宋体" w:cs="新宋体"/>
          <w:color w:val="auto"/>
          <w:sz w:val="22"/>
          <w:szCs w:val="22"/>
          <w:highlight w:val="none"/>
        </w:rPr>
      </w:pPr>
      <w:bookmarkStart w:id="143" w:name="_Toc221356904"/>
      <w:bookmarkStart w:id="144" w:name="_Toc221356967"/>
      <w:r>
        <w:rPr>
          <w:rFonts w:hint="eastAsia" w:ascii="新宋体" w:hAnsi="新宋体" w:eastAsia="新宋体" w:cs="新宋体"/>
          <w:color w:val="auto"/>
          <w:sz w:val="22"/>
          <w:szCs w:val="22"/>
          <w:highlight w:val="none"/>
        </w:rPr>
        <w:t>本次招标由评标委员会推荐中标候选人，采购人根据评标委员会的推荐结果进行最终确认。若出现以下情形之一，采购人可视具体情况确定是否由备选中标人为中标人或重新组织招标：</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1）中标人放弃中标资格；</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2）中标人因不可抗力提出不能履行合同；</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3）中标人未能在规定时间内与采购单位签订合同；</w:t>
      </w:r>
    </w:p>
    <w:p>
      <w:pPr>
        <w:spacing w:line="46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4）经质疑，采购人审查后，中标候选人或中标人确实在本次采购活动中存在违法违规行为或其他原因使质疑成立的。</w:t>
      </w:r>
    </w:p>
    <w:p>
      <w:pPr>
        <w:pStyle w:val="3"/>
        <w:spacing w:beforeLines="50" w:afterLines="50" w:line="36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八、确定中标人</w:t>
      </w:r>
      <w:bookmarkEnd w:id="143"/>
      <w:bookmarkEnd w:id="144"/>
    </w:p>
    <w:p>
      <w:pPr>
        <w:pStyle w:val="3"/>
        <w:spacing w:beforeLines="50" w:afterLines="50" w:line="400" w:lineRule="exact"/>
        <w:ind w:firstLine="440" w:firstLineChars="200"/>
        <w:rPr>
          <w:rFonts w:ascii="新宋体" w:hAnsi="新宋体" w:eastAsia="新宋体" w:cs="新宋体"/>
          <w:color w:val="auto"/>
          <w:sz w:val="22"/>
          <w:szCs w:val="22"/>
          <w:highlight w:val="none"/>
        </w:rPr>
      </w:pPr>
      <w:bookmarkStart w:id="145" w:name="_Toc221356968"/>
      <w:bookmarkStart w:id="146" w:name="_Toc221356905"/>
      <w:r>
        <w:rPr>
          <w:rFonts w:hint="eastAsia" w:ascii="新宋体" w:hAnsi="新宋体" w:eastAsia="新宋体" w:cs="新宋体"/>
          <w:color w:val="auto"/>
          <w:sz w:val="22"/>
          <w:szCs w:val="22"/>
          <w:highlight w:val="none"/>
        </w:rPr>
        <w:t>评标结束后，采购人将在浙江政府采购网上公示中标结果。公示期结束，且在规定期限内无异议则代理机构将向中标人发出中标通知书。</w:t>
      </w:r>
    </w:p>
    <w:p>
      <w:pPr>
        <w:pStyle w:val="3"/>
        <w:spacing w:beforeLines="50" w:afterLines="50" w:line="360" w:lineRule="exact"/>
        <w:rPr>
          <w:rFonts w:ascii="新宋体" w:hAnsi="新宋体" w:eastAsia="新宋体" w:cs="新宋体"/>
          <w:b/>
          <w:color w:val="auto"/>
          <w:highlight w:val="none"/>
        </w:rPr>
      </w:pPr>
      <w:r>
        <w:rPr>
          <w:rFonts w:hint="eastAsia" w:ascii="新宋体" w:hAnsi="新宋体" w:eastAsia="新宋体" w:cs="新宋体"/>
          <w:b/>
          <w:color w:val="auto"/>
          <w:highlight w:val="none"/>
        </w:rPr>
        <w:t>九、投标人义务</w:t>
      </w:r>
      <w:bookmarkEnd w:id="145"/>
      <w:bookmarkEnd w:id="146"/>
    </w:p>
    <w:p>
      <w:pPr>
        <w:spacing w:line="400" w:lineRule="exact"/>
        <w:ind w:firstLine="440" w:firstLineChars="200"/>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投标人应随时接受评标委员会的询标，解答包括有关的商务、技术问题等。评标结束，所有评标资料存代理机构备查。</w:t>
      </w:r>
    </w:p>
    <w:sectPr>
      <w:type w:val="nextColumn"/>
      <w:pgSz w:w="11906" w:h="16838"/>
      <w:pgMar w:top="1134" w:right="1134" w:bottom="1246" w:left="113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Verdana,Arial">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moder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Myriad Pro">
    <w:altName w:val="Corbel"/>
    <w:panose1 w:val="00000000000000000000"/>
    <w:charset w:val="00"/>
    <w:family w:val="auto"/>
    <w:pitch w:val="default"/>
    <w:sig w:usb0="00000000" w:usb1="00000000" w:usb2="00000000" w:usb3="00000000" w:csb0="2000019F" w:csb1="00000000"/>
  </w:font>
  <w:font w:name="Vijaya">
    <w:panose1 w:val="020B0604020202020204"/>
    <w:charset w:val="00"/>
    <w:family w:val="swiss"/>
    <w:pitch w:val="default"/>
    <w:sig w:usb0="00100003"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Segoe Print"/>
    <w:panose1 w:val="020B0502020202020204"/>
    <w:charset w:val="00"/>
    <w:family w:val="swiss"/>
    <w:pitch w:val="default"/>
    <w:sig w:usb0="00000000" w:usb1="00000000" w:usb2="00000000" w:usb3="00000000" w:csb0="000000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separate"/>
    </w:r>
    <w:r>
      <w:rPr>
        <w:rStyle w:val="52"/>
      </w:rPr>
      <w:t>44</w:t>
    </w:r>
    <w:r>
      <w:fldChar w:fldCharType="end"/>
    </w:r>
  </w:p>
  <w:p>
    <w:pPr>
      <w:pStyle w:val="35"/>
      <w:pBdr>
        <w:top w:val="single" w:color="auto" w:sz="4" w:space="1"/>
      </w:pBdr>
      <w:ind w:right="-82" w:rightChars="-39" w:firstLine="4410" w:firstLineChars="2450"/>
      <w:jc w:val="right"/>
      <w:rPr>
        <w:rFonts w:ascii="楷体_GB2312" w:eastAsia="楷体_GB2312"/>
      </w:rPr>
    </w:pPr>
    <w:r>
      <w:rPr>
        <w:rFonts w:hint="eastAsia" w:eastAsia="新宋体"/>
        <w:bCs/>
        <w:kern w:val="0"/>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2"/>
      </w:rPr>
    </w:pPr>
    <w:r>
      <w:fldChar w:fldCharType="begin"/>
    </w:r>
    <w:r>
      <w:rPr>
        <w:rStyle w:val="52"/>
      </w:rPr>
      <w:instrText xml:space="preserve">PAGE  </w:instrTex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楷体_GB2312" w:eastAsia="楷体_GB2312"/>
      </w:rPr>
    </w:pPr>
    <w:r>
      <w:rPr>
        <w:rFonts w:hint="eastAsia" w:ascii="楷体_GB2312" w:eastAsia="楷体_GB2312"/>
      </w:rPr>
      <w:t xml:space="preserve">温州市政府分散采购招标文件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none"/>
      <w:lvlText w:val="2"/>
      <w:lvlJc w:val="left"/>
      <w:pPr>
        <w:tabs>
          <w:tab w:val="left" w:pos="425"/>
        </w:tabs>
        <w:ind w:left="425" w:hanging="425"/>
      </w:pPr>
      <w:rPr>
        <w:rFonts w:hint="eastAsia"/>
      </w:rPr>
    </w:lvl>
    <w:lvl w:ilvl="1" w:tentative="0">
      <w:start w:val="1"/>
      <w:numFmt w:val="decimal"/>
      <w:lvlText w:val="%19.%2"/>
      <w:lvlJc w:val="left"/>
      <w:pPr>
        <w:tabs>
          <w:tab w:val="left" w:pos="992"/>
        </w:tabs>
        <w:ind w:left="992" w:hanging="567"/>
      </w:pPr>
      <w:rPr>
        <w:rFonts w:hint="eastAsia" w:ascii="楷体_GB2312" w:eastAsia="楷体_GB2312"/>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000000A"/>
    <w:multiLevelType w:val="multilevel"/>
    <w:tmpl w:val="0000000A"/>
    <w:lvl w:ilvl="0" w:tentative="0">
      <w:start w:val="1"/>
      <w:numFmt w:val="decimal"/>
      <w:lvlText w:val="（%1）"/>
      <w:lvlJc w:val="left"/>
      <w:pPr>
        <w:tabs>
          <w:tab w:val="left" w:pos="420"/>
        </w:tabs>
        <w:ind w:left="420" w:hanging="420"/>
      </w:pPr>
      <w:rPr>
        <w:rFonts w:hint="eastAsia" w:ascii="楷体_GB2312" w:hAnsi="Tahoma" w:eastAsia="楷体_GB2312" w:cs="Courier New"/>
        <w:b w:val="0"/>
      </w:rPr>
    </w:lvl>
    <w:lvl w:ilvl="1" w:tentative="0">
      <w:start w:val="2"/>
      <w:numFmt w:val="decimal"/>
      <w:lvlText w:val="%2．"/>
      <w:lvlJc w:val="left"/>
      <w:pPr>
        <w:tabs>
          <w:tab w:val="left" w:pos="780"/>
        </w:tabs>
        <w:ind w:left="780" w:hanging="360"/>
      </w:pPr>
      <w:rPr>
        <w:rFonts w:hint="default"/>
        <w:color w:val="000000"/>
        <w:sz w:val="24"/>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3"/>
    <w:multiLevelType w:val="multilevel"/>
    <w:tmpl w:val="00000013"/>
    <w:lvl w:ilvl="0" w:tentative="0">
      <w:start w:val="1"/>
      <w:numFmt w:val="none"/>
      <w:lvlText w:val="2"/>
      <w:lvlJc w:val="left"/>
      <w:pPr>
        <w:tabs>
          <w:tab w:val="left" w:pos="425"/>
        </w:tabs>
        <w:ind w:left="425" w:hanging="425"/>
      </w:pPr>
      <w:rPr>
        <w:rFonts w:hint="eastAsia"/>
      </w:rPr>
    </w:lvl>
    <w:lvl w:ilvl="1" w:tentative="0">
      <w:start w:val="1"/>
      <w:numFmt w:val="decimal"/>
      <w:lvlText w:val="%122.%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0000014"/>
    <w:multiLevelType w:val="multilevel"/>
    <w:tmpl w:val="00000014"/>
    <w:lvl w:ilvl="0" w:tentative="0">
      <w:start w:val="1"/>
      <w:numFmt w:val="none"/>
      <w:lvlText w:val="2"/>
      <w:lvlJc w:val="left"/>
      <w:pPr>
        <w:tabs>
          <w:tab w:val="left" w:pos="425"/>
        </w:tabs>
        <w:ind w:left="425" w:hanging="425"/>
      </w:pPr>
      <w:rPr>
        <w:rFonts w:hint="eastAsia"/>
      </w:rPr>
    </w:lvl>
    <w:lvl w:ilvl="1" w:tentative="0">
      <w:start w:val="1"/>
      <w:numFmt w:val="decimal"/>
      <w:lvlText w:val="%123.%2"/>
      <w:lvlJc w:val="left"/>
      <w:pPr>
        <w:tabs>
          <w:tab w:val="left" w:pos="992"/>
        </w:tabs>
        <w:ind w:left="992" w:hanging="567"/>
      </w:pPr>
      <w:rPr>
        <w:rFonts w:hint="eastAsia" w:ascii="楷体_GB2312" w:hAnsi="Tahoma" w:eastAsia="楷体_GB2312" w:cs="Tahom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000001C"/>
    <w:multiLevelType w:val="multilevel"/>
    <w:tmpl w:val="0000001C"/>
    <w:lvl w:ilvl="0" w:tentative="0">
      <w:start w:val="1"/>
      <w:numFmt w:val="none"/>
      <w:lvlText w:val="2"/>
      <w:lvlJc w:val="left"/>
      <w:pPr>
        <w:tabs>
          <w:tab w:val="left" w:pos="425"/>
        </w:tabs>
        <w:ind w:left="425" w:hanging="425"/>
      </w:pPr>
      <w:rPr>
        <w:rFonts w:hint="eastAsia"/>
      </w:rPr>
    </w:lvl>
    <w:lvl w:ilvl="1" w:tentative="0">
      <w:start w:val="1"/>
      <w:numFmt w:val="decimal"/>
      <w:lvlText w:val="%117.%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000001D"/>
    <w:multiLevelType w:val="multilevel"/>
    <w:tmpl w:val="0000001D"/>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0000001E"/>
    <w:multiLevelType w:val="multilevel"/>
    <w:tmpl w:val="0000001E"/>
    <w:lvl w:ilvl="0" w:tentative="0">
      <w:start w:val="1"/>
      <w:numFmt w:val="decimal"/>
      <w:lvlText w:val="%1)"/>
      <w:lvlJc w:val="left"/>
      <w:pPr>
        <w:tabs>
          <w:tab w:val="left" w:pos="780"/>
        </w:tabs>
        <w:ind w:left="780" w:hanging="420"/>
      </w:pPr>
      <w:rPr>
        <w:rFonts w:hint="eastAsia" w:ascii="楷体_GB2312" w:hAnsi="Tahoma" w:eastAsia="楷体_GB2312" w:cs="Tahoma"/>
        <w:b w:val="0"/>
      </w:rPr>
    </w:lvl>
    <w:lvl w:ilvl="1" w:tentative="0">
      <w:start w:val="1"/>
      <w:numFmt w:val="japaneseCounting"/>
      <w:lvlText w:val="%2、"/>
      <w:lvlJc w:val="left"/>
      <w:pPr>
        <w:tabs>
          <w:tab w:val="left" w:pos="870"/>
        </w:tabs>
        <w:ind w:left="870" w:hanging="450"/>
      </w:pPr>
      <w:rPr>
        <w:rFonts w:hint="default" w:hAnsi="Helvetica" w:cs="黑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2"/>
    <w:multiLevelType w:val="multilevel"/>
    <w:tmpl w:val="00000022"/>
    <w:lvl w:ilvl="0" w:tentative="0">
      <w:start w:val="1"/>
      <w:numFmt w:val="decimal"/>
      <w:lvlText w:val="%1."/>
      <w:lvlJc w:val="left"/>
      <w:pPr>
        <w:tabs>
          <w:tab w:val="left" w:pos="420"/>
        </w:tabs>
        <w:ind w:left="420" w:hanging="420"/>
      </w:pPr>
      <w:rPr>
        <w:rFonts w:hint="eastAsia" w:ascii="楷体_GB2312" w:hAnsi="Tahoma" w:eastAsia="楷体_GB2312" w:cs="Courier New"/>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8">
    <w:nsid w:val="00000025"/>
    <w:multiLevelType w:val="multilevel"/>
    <w:tmpl w:val="00000025"/>
    <w:lvl w:ilvl="0" w:tentative="0">
      <w:start w:val="1"/>
      <w:numFmt w:val="upperLetter"/>
      <w:lvlText w:val="%1."/>
      <w:lvlJc w:val="left"/>
      <w:pPr>
        <w:tabs>
          <w:tab w:val="left" w:pos="2040"/>
        </w:tabs>
        <w:ind w:left="2040" w:hanging="420"/>
      </w:pPr>
    </w:lvl>
    <w:lvl w:ilvl="1" w:tentative="0">
      <w:start w:val="1"/>
      <w:numFmt w:val="lowerLetter"/>
      <w:lvlText w:val="%2)"/>
      <w:lvlJc w:val="left"/>
      <w:pPr>
        <w:tabs>
          <w:tab w:val="left" w:pos="2460"/>
        </w:tabs>
        <w:ind w:left="2460" w:hanging="420"/>
      </w:pPr>
    </w:lvl>
    <w:lvl w:ilvl="2" w:tentative="0">
      <w:start w:val="1"/>
      <w:numFmt w:val="lowerRoman"/>
      <w:lvlText w:val="%3."/>
      <w:lvlJc w:val="right"/>
      <w:pPr>
        <w:tabs>
          <w:tab w:val="left" w:pos="2880"/>
        </w:tabs>
        <w:ind w:left="2880" w:hanging="420"/>
      </w:pPr>
    </w:lvl>
    <w:lvl w:ilvl="3" w:tentative="0">
      <w:start w:val="1"/>
      <w:numFmt w:val="decimal"/>
      <w:lvlText w:val="%4."/>
      <w:lvlJc w:val="left"/>
      <w:pPr>
        <w:tabs>
          <w:tab w:val="left" w:pos="3300"/>
        </w:tabs>
        <w:ind w:left="3300" w:hanging="420"/>
      </w:pPr>
    </w:lvl>
    <w:lvl w:ilvl="4" w:tentative="0">
      <w:start w:val="1"/>
      <w:numFmt w:val="lowerLetter"/>
      <w:lvlText w:val="%5)"/>
      <w:lvlJc w:val="left"/>
      <w:pPr>
        <w:tabs>
          <w:tab w:val="left" w:pos="3720"/>
        </w:tabs>
        <w:ind w:left="3720" w:hanging="420"/>
      </w:pPr>
    </w:lvl>
    <w:lvl w:ilvl="5" w:tentative="0">
      <w:start w:val="1"/>
      <w:numFmt w:val="lowerRoman"/>
      <w:lvlText w:val="%6."/>
      <w:lvlJc w:val="right"/>
      <w:pPr>
        <w:tabs>
          <w:tab w:val="left" w:pos="4140"/>
        </w:tabs>
        <w:ind w:left="4140" w:hanging="420"/>
      </w:pPr>
    </w:lvl>
    <w:lvl w:ilvl="6" w:tentative="0">
      <w:start w:val="1"/>
      <w:numFmt w:val="decimal"/>
      <w:lvlText w:val="%7."/>
      <w:lvlJc w:val="left"/>
      <w:pPr>
        <w:tabs>
          <w:tab w:val="left" w:pos="4560"/>
        </w:tabs>
        <w:ind w:left="4560" w:hanging="420"/>
      </w:pPr>
    </w:lvl>
    <w:lvl w:ilvl="7" w:tentative="0">
      <w:start w:val="1"/>
      <w:numFmt w:val="lowerLetter"/>
      <w:lvlText w:val="%8)"/>
      <w:lvlJc w:val="left"/>
      <w:pPr>
        <w:tabs>
          <w:tab w:val="left" w:pos="4980"/>
        </w:tabs>
        <w:ind w:left="4980" w:hanging="420"/>
      </w:pPr>
    </w:lvl>
    <w:lvl w:ilvl="8" w:tentative="0">
      <w:start w:val="1"/>
      <w:numFmt w:val="lowerRoman"/>
      <w:lvlText w:val="%9."/>
      <w:lvlJc w:val="right"/>
      <w:pPr>
        <w:tabs>
          <w:tab w:val="left" w:pos="5400"/>
        </w:tabs>
        <w:ind w:left="5400" w:hanging="420"/>
      </w:pPr>
    </w:lvl>
  </w:abstractNum>
  <w:abstractNum w:abstractNumId="9">
    <w:nsid w:val="00000028"/>
    <w:multiLevelType w:val="multilevel"/>
    <w:tmpl w:val="00000028"/>
    <w:lvl w:ilvl="0" w:tentative="0">
      <w:start w:val="1"/>
      <w:numFmt w:val="none"/>
      <w:lvlText w:val="2"/>
      <w:lvlJc w:val="left"/>
      <w:pPr>
        <w:tabs>
          <w:tab w:val="left" w:pos="425"/>
        </w:tabs>
        <w:ind w:left="425" w:hanging="425"/>
      </w:pPr>
      <w:rPr>
        <w:rFonts w:hint="eastAsia"/>
      </w:rPr>
    </w:lvl>
    <w:lvl w:ilvl="1" w:tentative="0">
      <w:start w:val="1"/>
      <w:numFmt w:val="decimal"/>
      <w:lvlText w:val="%110.%2"/>
      <w:lvlJc w:val="left"/>
      <w:pPr>
        <w:tabs>
          <w:tab w:val="left" w:pos="992"/>
        </w:tabs>
        <w:ind w:left="992" w:hanging="567"/>
      </w:pPr>
      <w:rPr>
        <w:rFonts w:hint="eastAsia" w:ascii="楷体_GB2312" w:eastAsia="楷体_GB2312"/>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2F"/>
    <w:multiLevelType w:val="multilevel"/>
    <w:tmpl w:val="0000002F"/>
    <w:lvl w:ilvl="0" w:tentative="0">
      <w:start w:val="1"/>
      <w:numFmt w:val="decimal"/>
      <w:lvlText w:val="%1)"/>
      <w:lvlJc w:val="left"/>
      <w:pPr>
        <w:tabs>
          <w:tab w:val="left" w:pos="420"/>
        </w:tabs>
        <w:ind w:left="420" w:hanging="420"/>
      </w:pPr>
      <w:rPr>
        <w:rFonts w:hint="eastAsia"/>
      </w:rPr>
    </w:lvl>
    <w:lvl w:ilvl="1" w:tentative="0">
      <w:start w:val="1"/>
      <w:numFmt w:val="decimal"/>
      <w:lvlText w:val="7.%2"/>
      <w:lvlJc w:val="left"/>
      <w:pPr>
        <w:tabs>
          <w:tab w:val="left" w:pos="747"/>
        </w:tabs>
        <w:ind w:left="747" w:hanging="567"/>
      </w:pPr>
      <w:rPr>
        <w:rFonts w:hint="eastAsia" w:ascii="楷体_GB2312" w:eastAsia="楷体_GB2312"/>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1">
    <w:nsid w:val="00000031"/>
    <w:multiLevelType w:val="multilevel"/>
    <w:tmpl w:val="00000031"/>
    <w:lvl w:ilvl="0" w:tentative="0">
      <w:start w:val="1"/>
      <w:numFmt w:val="none"/>
      <w:lvlText w:val="2"/>
      <w:lvlJc w:val="left"/>
      <w:pPr>
        <w:tabs>
          <w:tab w:val="left" w:pos="425"/>
        </w:tabs>
        <w:ind w:left="425" w:hanging="425"/>
      </w:pPr>
      <w:rPr>
        <w:rFonts w:hint="eastAsia"/>
      </w:rPr>
    </w:lvl>
    <w:lvl w:ilvl="1" w:tentative="0">
      <w:start w:val="1"/>
      <w:numFmt w:val="decimal"/>
      <w:lvlText w:val="%114.%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00000032"/>
    <w:multiLevelType w:val="multilevel"/>
    <w:tmpl w:val="00000032"/>
    <w:lvl w:ilvl="0" w:tentative="0">
      <w:start w:val="19"/>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3">
    <w:nsid w:val="00000033"/>
    <w:multiLevelType w:val="multilevel"/>
    <w:tmpl w:val="00000033"/>
    <w:lvl w:ilvl="0" w:tentative="0">
      <w:start w:val="1"/>
      <w:numFmt w:val="none"/>
      <w:lvlText w:val="2"/>
      <w:lvlJc w:val="left"/>
      <w:pPr>
        <w:tabs>
          <w:tab w:val="left" w:pos="425"/>
        </w:tabs>
        <w:ind w:left="425" w:hanging="425"/>
      </w:pPr>
      <w:rPr>
        <w:rFonts w:hint="eastAsia"/>
      </w:rPr>
    </w:lvl>
    <w:lvl w:ilvl="1" w:tentative="0">
      <w:start w:val="1"/>
      <w:numFmt w:val="decimal"/>
      <w:lvlText w:val="%111.%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00000034"/>
    <w:multiLevelType w:val="multilevel"/>
    <w:tmpl w:val="00000034"/>
    <w:lvl w:ilvl="0" w:tentative="0">
      <w:start w:val="1"/>
      <w:numFmt w:val="none"/>
      <w:lvlText w:val="2"/>
      <w:lvlJc w:val="left"/>
      <w:pPr>
        <w:tabs>
          <w:tab w:val="left" w:pos="425"/>
        </w:tabs>
        <w:ind w:left="425" w:hanging="425"/>
      </w:pPr>
      <w:rPr>
        <w:rFonts w:hint="eastAsia"/>
      </w:rPr>
    </w:lvl>
    <w:lvl w:ilvl="1" w:tentative="0">
      <w:start w:val="1"/>
      <w:numFmt w:val="decimal"/>
      <w:lvlText w:val="%116.%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5">
    <w:nsid w:val="00000036"/>
    <w:multiLevelType w:val="multilevel"/>
    <w:tmpl w:val="00000036"/>
    <w:lvl w:ilvl="0" w:tentative="0">
      <w:start w:val="1"/>
      <w:numFmt w:val="none"/>
      <w:lvlText w:val="2"/>
      <w:lvlJc w:val="left"/>
      <w:pPr>
        <w:tabs>
          <w:tab w:val="left" w:pos="425"/>
        </w:tabs>
        <w:ind w:left="425" w:hanging="425"/>
      </w:pPr>
      <w:rPr>
        <w:rFonts w:hint="eastAsia"/>
      </w:rPr>
    </w:lvl>
    <w:lvl w:ilvl="1" w:tentative="0">
      <w:start w:val="1"/>
      <w:numFmt w:val="decimal"/>
      <w:lvlText w:val="%113.%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0000003A"/>
    <w:multiLevelType w:val="multilevel"/>
    <w:tmpl w:val="0000003A"/>
    <w:lvl w:ilvl="0" w:tentative="0">
      <w:start w:val="5"/>
      <w:numFmt w:val="decimal"/>
      <w:lvlText w:val="%1."/>
      <w:lvlJc w:val="left"/>
      <w:pPr>
        <w:tabs>
          <w:tab w:val="left" w:pos="420"/>
        </w:tabs>
        <w:ind w:left="420" w:hanging="420"/>
      </w:pPr>
      <w:rPr>
        <w:rFonts w:hint="eastAsia" w:ascii="楷体_GB2312" w:hAnsi="Tahoma" w:eastAsia="楷体_GB2312" w:cs="Courier New"/>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17">
    <w:nsid w:val="0000003D"/>
    <w:multiLevelType w:val="multilevel"/>
    <w:tmpl w:val="0000003D"/>
    <w:lvl w:ilvl="0" w:tentative="0">
      <w:start w:val="1"/>
      <w:numFmt w:val="none"/>
      <w:lvlText w:val="2"/>
      <w:lvlJc w:val="left"/>
      <w:pPr>
        <w:tabs>
          <w:tab w:val="left" w:pos="425"/>
        </w:tabs>
        <w:ind w:left="425" w:hanging="425"/>
      </w:pPr>
      <w:rPr>
        <w:rFonts w:hint="eastAsia"/>
      </w:rPr>
    </w:lvl>
    <w:lvl w:ilvl="1" w:tentative="0">
      <w:start w:val="1"/>
      <w:numFmt w:val="decimal"/>
      <w:lvlText w:val="%115.%2"/>
      <w:lvlJc w:val="left"/>
      <w:pPr>
        <w:tabs>
          <w:tab w:val="left" w:pos="992"/>
        </w:tabs>
        <w:ind w:left="992" w:hanging="567"/>
      </w:pPr>
      <w:rPr>
        <w:rFonts w:hint="eastAsia" w:ascii="楷体_GB2312" w:hAnsi="Tahoma" w:eastAsia="楷体_GB2312" w:cs="Courier New"/>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00000040"/>
    <w:multiLevelType w:val="multilevel"/>
    <w:tmpl w:val="00000040"/>
    <w:lvl w:ilvl="0" w:tentative="0">
      <w:start w:val="1"/>
      <w:numFmt w:val="none"/>
      <w:lvlText w:val="2"/>
      <w:lvlJc w:val="left"/>
      <w:pPr>
        <w:tabs>
          <w:tab w:val="left" w:pos="425"/>
        </w:tabs>
        <w:ind w:left="425" w:hanging="425"/>
      </w:pPr>
      <w:rPr>
        <w:rFonts w:hint="eastAsia"/>
      </w:rPr>
    </w:lvl>
    <w:lvl w:ilvl="1" w:tentative="0">
      <w:start w:val="1"/>
      <w:numFmt w:val="decimal"/>
      <w:lvlText w:val="%121.%2"/>
      <w:lvlJc w:val="left"/>
      <w:pPr>
        <w:tabs>
          <w:tab w:val="left" w:pos="992"/>
        </w:tabs>
        <w:ind w:left="992" w:hanging="567"/>
      </w:pPr>
      <w:rPr>
        <w:rFonts w:hint="eastAsia" w:ascii="楷体_GB2312" w:hAnsi="Tahoma" w:eastAsia="楷体_GB2312" w:cs="Courier New"/>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9">
    <w:nsid w:val="00000041"/>
    <w:multiLevelType w:val="multilevel"/>
    <w:tmpl w:val="00000041"/>
    <w:lvl w:ilvl="0" w:tentative="0">
      <w:start w:val="1"/>
      <w:numFmt w:val="decimal"/>
      <w:lvlText w:val="%1)"/>
      <w:lvlJc w:val="left"/>
      <w:pPr>
        <w:tabs>
          <w:tab w:val="left" w:pos="780"/>
        </w:tabs>
        <w:ind w:left="780" w:hanging="420"/>
      </w:pPr>
      <w:rPr>
        <w:rFonts w:hint="eastAsia" w:ascii="楷体_GB2312" w:hAnsi="Tahoma" w:eastAsia="楷体_GB2312" w:cs="Tahoma"/>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4A"/>
    <w:multiLevelType w:val="multilevel"/>
    <w:tmpl w:val="0000004A"/>
    <w:lvl w:ilvl="0" w:tentative="0">
      <w:start w:val="16"/>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21">
    <w:nsid w:val="0000004D"/>
    <w:multiLevelType w:val="multilevel"/>
    <w:tmpl w:val="0000004D"/>
    <w:lvl w:ilvl="0" w:tentative="0">
      <w:start w:val="8"/>
      <w:numFmt w:val="decimal"/>
      <w:lvlText w:val="%1."/>
      <w:lvlJc w:val="left"/>
      <w:pPr>
        <w:tabs>
          <w:tab w:val="left" w:pos="420"/>
        </w:tabs>
        <w:ind w:left="420" w:hanging="420"/>
      </w:pPr>
      <w:rPr>
        <w:rFonts w:hint="eastAsia" w:ascii="楷体_GB2312" w:hAnsi="Tahoma" w:eastAsia="楷体_GB2312" w:cs="Courier New"/>
        <w:b w:val="0"/>
      </w:rPr>
    </w:lvl>
    <w:lvl w:ilvl="1" w:tentative="0">
      <w:start w:val="0"/>
      <w:numFmt w:val="none"/>
      <w:lvlText w:val=""/>
      <w:lvlJc w:val="left"/>
      <w:pPr>
        <w:tabs>
          <w:tab w:val="left" w:pos="360"/>
        </w:tabs>
        <w:ind w:left="0" w:firstLine="0"/>
      </w:pPr>
      <w:rPr>
        <w:rFonts w:hint="eastAsia"/>
      </w:rPr>
    </w:lvl>
    <w:lvl w:ilvl="2" w:tentative="0">
      <w:start w:val="0"/>
      <w:numFmt w:val="none"/>
      <w:lvlText w:val=""/>
      <w:lvlJc w:val="left"/>
      <w:pPr>
        <w:tabs>
          <w:tab w:val="left" w:pos="360"/>
        </w:tabs>
        <w:ind w:left="0" w:firstLine="0"/>
      </w:pPr>
      <w:rPr>
        <w:rFonts w:hint="eastAsia"/>
      </w:rPr>
    </w:lvl>
    <w:lvl w:ilvl="3" w:tentative="0">
      <w:start w:val="0"/>
      <w:numFmt w:val="none"/>
      <w:lvlText w:val=""/>
      <w:lvlJc w:val="left"/>
      <w:pPr>
        <w:tabs>
          <w:tab w:val="left" w:pos="360"/>
        </w:tabs>
        <w:ind w:left="0" w:firstLine="0"/>
      </w:pPr>
      <w:rPr>
        <w:rFonts w:hint="eastAsia"/>
      </w:rPr>
    </w:lvl>
    <w:lvl w:ilvl="4" w:tentative="0">
      <w:start w:val="0"/>
      <w:numFmt w:val="none"/>
      <w:lvlText w:val=""/>
      <w:lvlJc w:val="left"/>
      <w:pPr>
        <w:tabs>
          <w:tab w:val="left" w:pos="360"/>
        </w:tabs>
        <w:ind w:left="0" w:firstLine="0"/>
      </w:pPr>
      <w:rPr>
        <w:rFonts w:hint="eastAsia"/>
      </w:rPr>
    </w:lvl>
    <w:lvl w:ilvl="5" w:tentative="0">
      <w:start w:val="0"/>
      <w:numFmt w:val="none"/>
      <w:lvlText w:val=""/>
      <w:lvlJc w:val="left"/>
      <w:pPr>
        <w:tabs>
          <w:tab w:val="left" w:pos="360"/>
        </w:tabs>
        <w:ind w:left="0" w:firstLine="0"/>
      </w:pPr>
      <w:rPr>
        <w:rFonts w:hint="eastAsia"/>
      </w:rPr>
    </w:lvl>
    <w:lvl w:ilvl="6" w:tentative="0">
      <w:start w:val="0"/>
      <w:numFmt w:val="none"/>
      <w:lvlText w:val=""/>
      <w:lvlJc w:val="left"/>
      <w:pPr>
        <w:tabs>
          <w:tab w:val="left" w:pos="360"/>
        </w:tabs>
        <w:ind w:left="0" w:firstLine="0"/>
      </w:pPr>
      <w:rPr>
        <w:rFonts w:hint="eastAsia"/>
      </w:rPr>
    </w:lvl>
    <w:lvl w:ilvl="7" w:tentative="0">
      <w:start w:val="0"/>
      <w:numFmt w:val="none"/>
      <w:lvlText w:val=""/>
      <w:lvlJc w:val="left"/>
      <w:pPr>
        <w:tabs>
          <w:tab w:val="left" w:pos="360"/>
        </w:tabs>
        <w:ind w:left="0" w:firstLine="0"/>
      </w:pPr>
      <w:rPr>
        <w:rFonts w:hint="eastAsia"/>
      </w:rPr>
    </w:lvl>
    <w:lvl w:ilvl="8" w:tentative="0">
      <w:start w:val="0"/>
      <w:numFmt w:val="none"/>
      <w:lvlText w:val=""/>
      <w:lvlJc w:val="left"/>
      <w:pPr>
        <w:tabs>
          <w:tab w:val="left" w:pos="360"/>
        </w:tabs>
        <w:ind w:left="0" w:firstLine="0"/>
      </w:pPr>
      <w:rPr>
        <w:rFonts w:hint="eastAsia"/>
      </w:rPr>
    </w:lvl>
  </w:abstractNum>
  <w:abstractNum w:abstractNumId="22">
    <w:nsid w:val="2954E291"/>
    <w:multiLevelType w:val="singleLevel"/>
    <w:tmpl w:val="2954E291"/>
    <w:lvl w:ilvl="0" w:tentative="0">
      <w:start w:val="1"/>
      <w:numFmt w:val="decimal"/>
      <w:suff w:val="nothing"/>
      <w:lvlText w:val="%1、"/>
      <w:lvlJc w:val="left"/>
    </w:lvl>
  </w:abstractNum>
  <w:abstractNum w:abstractNumId="23">
    <w:nsid w:val="29671BE9"/>
    <w:multiLevelType w:val="multilevel"/>
    <w:tmpl w:val="29671BE9"/>
    <w:lvl w:ilvl="0" w:tentative="0">
      <w:start w:val="1"/>
      <w:numFmt w:val="decimal"/>
      <w:lvlText w:val="%1."/>
      <w:lvlJc w:val="left"/>
      <w:pPr>
        <w:ind w:left="420" w:hanging="420"/>
      </w:pPr>
    </w:lvl>
    <w:lvl w:ilvl="1" w:tentative="0">
      <w:start w:val="1"/>
      <w:numFmt w:val="decimal"/>
      <w:pStyle w:val="485"/>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471A63B0"/>
    <w:multiLevelType w:val="multilevel"/>
    <w:tmpl w:val="471A63B0"/>
    <w:lvl w:ilvl="0" w:tentative="0">
      <w:start w:val="1"/>
      <w:numFmt w:val="decimal"/>
      <w:lvlText w:val="%1、"/>
      <w:lvlJc w:val="left"/>
      <w:pPr>
        <w:ind w:left="360" w:hanging="360"/>
      </w:pPr>
      <w:rPr>
        <w:rFonts w:hint="default" w:ascii="宋体" w:hAnsi="宋体"/>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9E802BF"/>
    <w:multiLevelType w:val="singleLevel"/>
    <w:tmpl w:val="59E802BF"/>
    <w:lvl w:ilvl="0" w:tentative="0">
      <w:start w:val="1"/>
      <w:numFmt w:val="decimal"/>
      <w:lvlText w:val="%1)"/>
      <w:lvlJc w:val="left"/>
      <w:pPr>
        <w:ind w:left="425" w:hanging="425"/>
      </w:pPr>
      <w:rPr>
        <w:rFonts w:hint="default"/>
      </w:rPr>
    </w:lvl>
  </w:abstractNum>
  <w:abstractNum w:abstractNumId="26">
    <w:nsid w:val="59ED39A8"/>
    <w:multiLevelType w:val="multilevel"/>
    <w:tmpl w:val="59ED39A8"/>
    <w:lvl w:ilvl="0" w:tentative="0">
      <w:start w:val="1"/>
      <w:numFmt w:val="decimal"/>
      <w:lvlText w:val="%1."/>
      <w:lvlJc w:val="left"/>
      <w:pPr>
        <w:tabs>
          <w:tab w:val="left" w:pos="420"/>
        </w:tabs>
        <w:ind w:left="420" w:hanging="420"/>
      </w:pPr>
      <w:rPr>
        <w:rFonts w:hint="eastAsia"/>
      </w:rPr>
    </w:lvl>
    <w:lvl w:ilvl="1" w:tentative="0">
      <w:start w:val="1"/>
      <w:numFmt w:val="decimal"/>
      <w:lvlText w:val="25.%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7">
    <w:nsid w:val="59ED3C41"/>
    <w:multiLevelType w:val="multilevel"/>
    <w:tmpl w:val="59ED3C41"/>
    <w:lvl w:ilvl="0" w:tentative="0">
      <w:start w:val="1"/>
      <w:numFmt w:val="none"/>
      <w:lvlText w:val="2"/>
      <w:lvlJc w:val="left"/>
      <w:pPr>
        <w:tabs>
          <w:tab w:val="left" w:pos="425"/>
        </w:tabs>
        <w:ind w:left="425" w:hanging="425"/>
      </w:pPr>
      <w:rPr>
        <w:rFonts w:hint="eastAsia"/>
      </w:rPr>
    </w:lvl>
    <w:lvl w:ilvl="1" w:tentative="0">
      <w:start w:val="1"/>
      <w:numFmt w:val="decimal"/>
      <w:lvlText w:val="26.%2"/>
      <w:lvlJc w:val="left"/>
      <w:pPr>
        <w:tabs>
          <w:tab w:val="left" w:pos="992"/>
        </w:tabs>
        <w:ind w:left="992" w:hanging="567"/>
      </w:pPr>
      <w:rPr>
        <w:rFonts w:hint="default" w:ascii="宋体" w:hAnsi="宋体" w:eastAsia="宋体" w:cs="宋体"/>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8">
    <w:nsid w:val="5A1B5EA9"/>
    <w:multiLevelType w:val="singleLevel"/>
    <w:tmpl w:val="5A1B5EA9"/>
    <w:lvl w:ilvl="0" w:tentative="0">
      <w:start w:val="1"/>
      <w:numFmt w:val="decimal"/>
      <w:suff w:val="nothing"/>
      <w:lvlText w:val="%1．"/>
      <w:lvlJc w:val="left"/>
      <w:pPr>
        <w:ind w:left="0" w:firstLine="400"/>
      </w:pPr>
      <w:rPr>
        <w:rFonts w:hint="default"/>
      </w:rPr>
    </w:lvl>
  </w:abstractNum>
  <w:abstractNum w:abstractNumId="29">
    <w:nsid w:val="5BE307F3"/>
    <w:multiLevelType w:val="singleLevel"/>
    <w:tmpl w:val="5BE307F3"/>
    <w:lvl w:ilvl="0" w:tentative="0">
      <w:start w:val="3"/>
      <w:numFmt w:val="decimal"/>
      <w:suff w:val="nothing"/>
      <w:lvlText w:val="%1、"/>
      <w:lvlJc w:val="left"/>
    </w:lvl>
  </w:abstractNum>
  <w:abstractNum w:abstractNumId="30">
    <w:nsid w:val="60D771E1"/>
    <w:multiLevelType w:val="multilevel"/>
    <w:tmpl w:val="60D771E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3"/>
  </w:num>
  <w:num w:numId="2">
    <w:abstractNumId w:val="28"/>
  </w:num>
  <w:num w:numId="3">
    <w:abstractNumId w:val="29"/>
  </w:num>
  <w:num w:numId="4">
    <w:abstractNumId w:val="7"/>
  </w:num>
  <w:num w:numId="5">
    <w:abstractNumId w:val="5"/>
  </w:num>
  <w:num w:numId="6">
    <w:abstractNumId w:val="16"/>
  </w:num>
  <w:num w:numId="7">
    <w:abstractNumId w:val="10"/>
  </w:num>
  <w:num w:numId="8">
    <w:abstractNumId w:val="21"/>
  </w:num>
  <w:num w:numId="9">
    <w:abstractNumId w:val="0"/>
  </w:num>
  <w:num w:numId="10">
    <w:abstractNumId w:val="9"/>
  </w:num>
  <w:num w:numId="11">
    <w:abstractNumId w:val="30"/>
  </w:num>
  <w:num w:numId="12">
    <w:abstractNumId w:val="19"/>
  </w:num>
  <w:num w:numId="13">
    <w:abstractNumId w:val="8"/>
  </w:num>
  <w:num w:numId="14">
    <w:abstractNumId w:val="6"/>
  </w:num>
  <w:num w:numId="15">
    <w:abstractNumId w:val="13"/>
  </w:num>
  <w:num w:numId="16">
    <w:abstractNumId w:val="15"/>
  </w:num>
  <w:num w:numId="17">
    <w:abstractNumId w:val="11"/>
  </w:num>
  <w:num w:numId="18">
    <w:abstractNumId w:val="17"/>
  </w:num>
  <w:num w:numId="19">
    <w:abstractNumId w:val="20"/>
  </w:num>
  <w:num w:numId="20">
    <w:abstractNumId w:val="14"/>
  </w:num>
  <w:num w:numId="21">
    <w:abstractNumId w:val="25"/>
  </w:num>
  <w:num w:numId="22">
    <w:abstractNumId w:val="4"/>
  </w:num>
  <w:num w:numId="23">
    <w:abstractNumId w:val="12"/>
  </w:num>
  <w:num w:numId="24">
    <w:abstractNumId w:val="18"/>
  </w:num>
  <w:num w:numId="25">
    <w:abstractNumId w:val="1"/>
  </w:num>
  <w:num w:numId="26">
    <w:abstractNumId w:val="2"/>
  </w:num>
  <w:num w:numId="27">
    <w:abstractNumId w:val="3"/>
  </w:num>
  <w:num w:numId="28">
    <w:abstractNumId w:val="26"/>
  </w:num>
  <w:num w:numId="29">
    <w:abstractNumId w:val="27"/>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98"/>
    <w:rsid w:val="0000178D"/>
    <w:rsid w:val="00004A8E"/>
    <w:rsid w:val="00005264"/>
    <w:rsid w:val="00007558"/>
    <w:rsid w:val="00010D8E"/>
    <w:rsid w:val="00013716"/>
    <w:rsid w:val="00013EA1"/>
    <w:rsid w:val="000212FD"/>
    <w:rsid w:val="00022194"/>
    <w:rsid w:val="0002493E"/>
    <w:rsid w:val="00027531"/>
    <w:rsid w:val="00032CFB"/>
    <w:rsid w:val="00034F38"/>
    <w:rsid w:val="00035160"/>
    <w:rsid w:val="00036840"/>
    <w:rsid w:val="00036A04"/>
    <w:rsid w:val="00037185"/>
    <w:rsid w:val="0004281F"/>
    <w:rsid w:val="00042916"/>
    <w:rsid w:val="00044701"/>
    <w:rsid w:val="000532C4"/>
    <w:rsid w:val="00054DC2"/>
    <w:rsid w:val="000552DE"/>
    <w:rsid w:val="0005672E"/>
    <w:rsid w:val="0005693B"/>
    <w:rsid w:val="0006159C"/>
    <w:rsid w:val="000629A0"/>
    <w:rsid w:val="0007098A"/>
    <w:rsid w:val="00071314"/>
    <w:rsid w:val="0007175A"/>
    <w:rsid w:val="000727D3"/>
    <w:rsid w:val="00075995"/>
    <w:rsid w:val="00084717"/>
    <w:rsid w:val="00091B11"/>
    <w:rsid w:val="00092BF7"/>
    <w:rsid w:val="000944A8"/>
    <w:rsid w:val="0009624F"/>
    <w:rsid w:val="000A5DE2"/>
    <w:rsid w:val="000A760E"/>
    <w:rsid w:val="000B0B46"/>
    <w:rsid w:val="000B43CB"/>
    <w:rsid w:val="000B5934"/>
    <w:rsid w:val="000B6AA2"/>
    <w:rsid w:val="000B7800"/>
    <w:rsid w:val="000C2BB6"/>
    <w:rsid w:val="000D2D30"/>
    <w:rsid w:val="000D2E6B"/>
    <w:rsid w:val="000D356D"/>
    <w:rsid w:val="000D4A84"/>
    <w:rsid w:val="000D6CBA"/>
    <w:rsid w:val="000D6F31"/>
    <w:rsid w:val="000E2FE1"/>
    <w:rsid w:val="000E650B"/>
    <w:rsid w:val="000F1F45"/>
    <w:rsid w:val="000F6A81"/>
    <w:rsid w:val="001000E7"/>
    <w:rsid w:val="001048D3"/>
    <w:rsid w:val="001076B2"/>
    <w:rsid w:val="00107CAE"/>
    <w:rsid w:val="00110C86"/>
    <w:rsid w:val="001145EE"/>
    <w:rsid w:val="00117D20"/>
    <w:rsid w:val="00117EED"/>
    <w:rsid w:val="00122128"/>
    <w:rsid w:val="001235F2"/>
    <w:rsid w:val="001277AA"/>
    <w:rsid w:val="001354B8"/>
    <w:rsid w:val="00141B7E"/>
    <w:rsid w:val="00141ECB"/>
    <w:rsid w:val="00143BD2"/>
    <w:rsid w:val="00150132"/>
    <w:rsid w:val="00153284"/>
    <w:rsid w:val="0015652E"/>
    <w:rsid w:val="00156B93"/>
    <w:rsid w:val="00161700"/>
    <w:rsid w:val="001626B8"/>
    <w:rsid w:val="0016457B"/>
    <w:rsid w:val="0016538D"/>
    <w:rsid w:val="001653FF"/>
    <w:rsid w:val="00167CBF"/>
    <w:rsid w:val="0017191E"/>
    <w:rsid w:val="00172A27"/>
    <w:rsid w:val="001755F4"/>
    <w:rsid w:val="00176C40"/>
    <w:rsid w:val="0017758A"/>
    <w:rsid w:val="00177B57"/>
    <w:rsid w:val="00181FF6"/>
    <w:rsid w:val="001822A8"/>
    <w:rsid w:val="00183262"/>
    <w:rsid w:val="00187E88"/>
    <w:rsid w:val="00197AF2"/>
    <w:rsid w:val="001A5F4E"/>
    <w:rsid w:val="001A63A9"/>
    <w:rsid w:val="001B6743"/>
    <w:rsid w:val="001C062A"/>
    <w:rsid w:val="001C47B4"/>
    <w:rsid w:val="001D0088"/>
    <w:rsid w:val="001D1284"/>
    <w:rsid w:val="001D7B97"/>
    <w:rsid w:val="001E12B6"/>
    <w:rsid w:val="001E2160"/>
    <w:rsid w:val="001E30AC"/>
    <w:rsid w:val="001E73F2"/>
    <w:rsid w:val="001E797C"/>
    <w:rsid w:val="001F70D2"/>
    <w:rsid w:val="00210669"/>
    <w:rsid w:val="00213EDF"/>
    <w:rsid w:val="00216E47"/>
    <w:rsid w:val="00222E70"/>
    <w:rsid w:val="00223D05"/>
    <w:rsid w:val="00224C8D"/>
    <w:rsid w:val="00227B69"/>
    <w:rsid w:val="00227BB9"/>
    <w:rsid w:val="002322E2"/>
    <w:rsid w:val="00234220"/>
    <w:rsid w:val="00235548"/>
    <w:rsid w:val="00235893"/>
    <w:rsid w:val="00235E5E"/>
    <w:rsid w:val="00237CA5"/>
    <w:rsid w:val="00240900"/>
    <w:rsid w:val="002447F1"/>
    <w:rsid w:val="00244A7E"/>
    <w:rsid w:val="00252339"/>
    <w:rsid w:val="00252A14"/>
    <w:rsid w:val="002543EA"/>
    <w:rsid w:val="002554FD"/>
    <w:rsid w:val="0025729D"/>
    <w:rsid w:val="00262B64"/>
    <w:rsid w:val="00263092"/>
    <w:rsid w:val="00264856"/>
    <w:rsid w:val="00267389"/>
    <w:rsid w:val="00270BC4"/>
    <w:rsid w:val="0027191C"/>
    <w:rsid w:val="00271E1D"/>
    <w:rsid w:val="00275B11"/>
    <w:rsid w:val="00276773"/>
    <w:rsid w:val="002842B4"/>
    <w:rsid w:val="0028683E"/>
    <w:rsid w:val="00292322"/>
    <w:rsid w:val="002923CC"/>
    <w:rsid w:val="0029574B"/>
    <w:rsid w:val="002A0588"/>
    <w:rsid w:val="002A5F1C"/>
    <w:rsid w:val="002A7F5E"/>
    <w:rsid w:val="002B1205"/>
    <w:rsid w:val="002B1DDA"/>
    <w:rsid w:val="002B4D53"/>
    <w:rsid w:val="002B5474"/>
    <w:rsid w:val="002B766D"/>
    <w:rsid w:val="002C23A2"/>
    <w:rsid w:val="002C4AF9"/>
    <w:rsid w:val="002C5ED9"/>
    <w:rsid w:val="002C7ECD"/>
    <w:rsid w:val="002D150E"/>
    <w:rsid w:val="002D5426"/>
    <w:rsid w:val="002E009C"/>
    <w:rsid w:val="002E1B5F"/>
    <w:rsid w:val="002E27E6"/>
    <w:rsid w:val="002E2A7D"/>
    <w:rsid w:val="002E382D"/>
    <w:rsid w:val="002F04C9"/>
    <w:rsid w:val="002F1923"/>
    <w:rsid w:val="002F6518"/>
    <w:rsid w:val="00301900"/>
    <w:rsid w:val="00302789"/>
    <w:rsid w:val="0030747C"/>
    <w:rsid w:val="00307AF9"/>
    <w:rsid w:val="00313D01"/>
    <w:rsid w:val="00314255"/>
    <w:rsid w:val="00314379"/>
    <w:rsid w:val="00317EEB"/>
    <w:rsid w:val="00324FD5"/>
    <w:rsid w:val="003313E7"/>
    <w:rsid w:val="00331452"/>
    <w:rsid w:val="003406A2"/>
    <w:rsid w:val="0034134C"/>
    <w:rsid w:val="0034523A"/>
    <w:rsid w:val="00345D31"/>
    <w:rsid w:val="0036433B"/>
    <w:rsid w:val="00365213"/>
    <w:rsid w:val="00376137"/>
    <w:rsid w:val="00380771"/>
    <w:rsid w:val="00391B03"/>
    <w:rsid w:val="00393EF3"/>
    <w:rsid w:val="003947BD"/>
    <w:rsid w:val="00396A4B"/>
    <w:rsid w:val="00397532"/>
    <w:rsid w:val="003A5AFA"/>
    <w:rsid w:val="003A6EB9"/>
    <w:rsid w:val="003B168C"/>
    <w:rsid w:val="003B46E0"/>
    <w:rsid w:val="003C0DEE"/>
    <w:rsid w:val="003C2053"/>
    <w:rsid w:val="003C46AA"/>
    <w:rsid w:val="003C5AA7"/>
    <w:rsid w:val="003D105E"/>
    <w:rsid w:val="003D48F9"/>
    <w:rsid w:val="003D71F9"/>
    <w:rsid w:val="003D7E07"/>
    <w:rsid w:val="003F1100"/>
    <w:rsid w:val="003F12A0"/>
    <w:rsid w:val="003F5BE4"/>
    <w:rsid w:val="00410135"/>
    <w:rsid w:val="00412691"/>
    <w:rsid w:val="00421A07"/>
    <w:rsid w:val="004327CA"/>
    <w:rsid w:val="004339BD"/>
    <w:rsid w:val="004339FB"/>
    <w:rsid w:val="00435D78"/>
    <w:rsid w:val="00437169"/>
    <w:rsid w:val="004371AC"/>
    <w:rsid w:val="00442D47"/>
    <w:rsid w:val="00445529"/>
    <w:rsid w:val="004504FD"/>
    <w:rsid w:val="00452F75"/>
    <w:rsid w:val="004543EE"/>
    <w:rsid w:val="00461E2B"/>
    <w:rsid w:val="00463FAD"/>
    <w:rsid w:val="0046552A"/>
    <w:rsid w:val="00465626"/>
    <w:rsid w:val="00473B0E"/>
    <w:rsid w:val="00474F59"/>
    <w:rsid w:val="00480EBB"/>
    <w:rsid w:val="00482062"/>
    <w:rsid w:val="00486AD2"/>
    <w:rsid w:val="00495789"/>
    <w:rsid w:val="004A24DA"/>
    <w:rsid w:val="004A3990"/>
    <w:rsid w:val="004B1B10"/>
    <w:rsid w:val="004B2795"/>
    <w:rsid w:val="004B7767"/>
    <w:rsid w:val="004C0FFF"/>
    <w:rsid w:val="004C2A95"/>
    <w:rsid w:val="004C7A06"/>
    <w:rsid w:val="004D17FE"/>
    <w:rsid w:val="004D4613"/>
    <w:rsid w:val="004D6132"/>
    <w:rsid w:val="004E2BF7"/>
    <w:rsid w:val="004E7042"/>
    <w:rsid w:val="004F49A3"/>
    <w:rsid w:val="004F5793"/>
    <w:rsid w:val="00503D45"/>
    <w:rsid w:val="00504C8E"/>
    <w:rsid w:val="0050719B"/>
    <w:rsid w:val="005163C5"/>
    <w:rsid w:val="0051761A"/>
    <w:rsid w:val="005201C8"/>
    <w:rsid w:val="00520B4F"/>
    <w:rsid w:val="0052393E"/>
    <w:rsid w:val="0052454D"/>
    <w:rsid w:val="0053112D"/>
    <w:rsid w:val="005349E0"/>
    <w:rsid w:val="005516E4"/>
    <w:rsid w:val="0055617E"/>
    <w:rsid w:val="0055755E"/>
    <w:rsid w:val="00561FFD"/>
    <w:rsid w:val="005650C5"/>
    <w:rsid w:val="00565DA5"/>
    <w:rsid w:val="00571E64"/>
    <w:rsid w:val="00574173"/>
    <w:rsid w:val="00580F59"/>
    <w:rsid w:val="00581325"/>
    <w:rsid w:val="00584A0C"/>
    <w:rsid w:val="00586328"/>
    <w:rsid w:val="0059386B"/>
    <w:rsid w:val="00594217"/>
    <w:rsid w:val="005973FA"/>
    <w:rsid w:val="005A1B3B"/>
    <w:rsid w:val="005A4FE1"/>
    <w:rsid w:val="005A668B"/>
    <w:rsid w:val="005B1AAB"/>
    <w:rsid w:val="005B344A"/>
    <w:rsid w:val="005B5224"/>
    <w:rsid w:val="005C013B"/>
    <w:rsid w:val="005C19D3"/>
    <w:rsid w:val="005C1DE6"/>
    <w:rsid w:val="005C2B5B"/>
    <w:rsid w:val="005C53FB"/>
    <w:rsid w:val="005C578F"/>
    <w:rsid w:val="005D13BA"/>
    <w:rsid w:val="005D1CC3"/>
    <w:rsid w:val="005D233A"/>
    <w:rsid w:val="005D30FC"/>
    <w:rsid w:val="005D7082"/>
    <w:rsid w:val="005D7A19"/>
    <w:rsid w:val="005E0F41"/>
    <w:rsid w:val="005E1B23"/>
    <w:rsid w:val="005E5EB0"/>
    <w:rsid w:val="005E6F48"/>
    <w:rsid w:val="005E7083"/>
    <w:rsid w:val="005F015E"/>
    <w:rsid w:val="005F043F"/>
    <w:rsid w:val="005F14C1"/>
    <w:rsid w:val="005F1A68"/>
    <w:rsid w:val="005F6BFE"/>
    <w:rsid w:val="005F6C1D"/>
    <w:rsid w:val="005F7982"/>
    <w:rsid w:val="005F7C99"/>
    <w:rsid w:val="006102F8"/>
    <w:rsid w:val="00623377"/>
    <w:rsid w:val="00626061"/>
    <w:rsid w:val="00627645"/>
    <w:rsid w:val="00633A28"/>
    <w:rsid w:val="00635B66"/>
    <w:rsid w:val="006363AD"/>
    <w:rsid w:val="00637FF5"/>
    <w:rsid w:val="00642D39"/>
    <w:rsid w:val="00650F4A"/>
    <w:rsid w:val="00651303"/>
    <w:rsid w:val="00654CC7"/>
    <w:rsid w:val="0066100C"/>
    <w:rsid w:val="00665A1D"/>
    <w:rsid w:val="00666D0E"/>
    <w:rsid w:val="00672560"/>
    <w:rsid w:val="00674315"/>
    <w:rsid w:val="00674932"/>
    <w:rsid w:val="006776B1"/>
    <w:rsid w:val="00693194"/>
    <w:rsid w:val="00695CDA"/>
    <w:rsid w:val="0069739C"/>
    <w:rsid w:val="006A0658"/>
    <w:rsid w:val="006A1A91"/>
    <w:rsid w:val="006A1DCB"/>
    <w:rsid w:val="006A3340"/>
    <w:rsid w:val="006A52CC"/>
    <w:rsid w:val="006A62FC"/>
    <w:rsid w:val="006B29A0"/>
    <w:rsid w:val="006B29D1"/>
    <w:rsid w:val="006B6071"/>
    <w:rsid w:val="006C2DAB"/>
    <w:rsid w:val="006C4E58"/>
    <w:rsid w:val="006D2735"/>
    <w:rsid w:val="006D4427"/>
    <w:rsid w:val="006D7502"/>
    <w:rsid w:val="006E1D8F"/>
    <w:rsid w:val="006E4546"/>
    <w:rsid w:val="006E4DA2"/>
    <w:rsid w:val="006E67DA"/>
    <w:rsid w:val="006E7238"/>
    <w:rsid w:val="006F0DB6"/>
    <w:rsid w:val="006F108E"/>
    <w:rsid w:val="006F47A5"/>
    <w:rsid w:val="006F4E4F"/>
    <w:rsid w:val="006F6517"/>
    <w:rsid w:val="007011F7"/>
    <w:rsid w:val="00716801"/>
    <w:rsid w:val="0072265E"/>
    <w:rsid w:val="00724854"/>
    <w:rsid w:val="00732382"/>
    <w:rsid w:val="007335AF"/>
    <w:rsid w:val="00734460"/>
    <w:rsid w:val="0073744D"/>
    <w:rsid w:val="007374D6"/>
    <w:rsid w:val="00740600"/>
    <w:rsid w:val="007420CA"/>
    <w:rsid w:val="007622D2"/>
    <w:rsid w:val="00765264"/>
    <w:rsid w:val="00772F32"/>
    <w:rsid w:val="00772FDA"/>
    <w:rsid w:val="00776572"/>
    <w:rsid w:val="007800E4"/>
    <w:rsid w:val="00780477"/>
    <w:rsid w:val="00780E9C"/>
    <w:rsid w:val="00782E8D"/>
    <w:rsid w:val="00786350"/>
    <w:rsid w:val="00792F88"/>
    <w:rsid w:val="007944C7"/>
    <w:rsid w:val="00794538"/>
    <w:rsid w:val="007A191C"/>
    <w:rsid w:val="007A2332"/>
    <w:rsid w:val="007A7FA6"/>
    <w:rsid w:val="007B0F66"/>
    <w:rsid w:val="007B605D"/>
    <w:rsid w:val="007C172D"/>
    <w:rsid w:val="007D1387"/>
    <w:rsid w:val="007D2CB1"/>
    <w:rsid w:val="007D2ED5"/>
    <w:rsid w:val="007D7C2B"/>
    <w:rsid w:val="007E0055"/>
    <w:rsid w:val="007E1023"/>
    <w:rsid w:val="007E12ED"/>
    <w:rsid w:val="007E15A8"/>
    <w:rsid w:val="007F114F"/>
    <w:rsid w:val="007F4DE8"/>
    <w:rsid w:val="007F520E"/>
    <w:rsid w:val="007F58AF"/>
    <w:rsid w:val="007F675B"/>
    <w:rsid w:val="007F7D59"/>
    <w:rsid w:val="008026C1"/>
    <w:rsid w:val="00802A39"/>
    <w:rsid w:val="00804E9C"/>
    <w:rsid w:val="008123FB"/>
    <w:rsid w:val="00813DE3"/>
    <w:rsid w:val="00816D54"/>
    <w:rsid w:val="00821286"/>
    <w:rsid w:val="00824BBB"/>
    <w:rsid w:val="008260CE"/>
    <w:rsid w:val="008310A3"/>
    <w:rsid w:val="00835F9F"/>
    <w:rsid w:val="008368F6"/>
    <w:rsid w:val="00843ED4"/>
    <w:rsid w:val="00845B88"/>
    <w:rsid w:val="0085005E"/>
    <w:rsid w:val="00853B2F"/>
    <w:rsid w:val="00854A5B"/>
    <w:rsid w:val="0085766D"/>
    <w:rsid w:val="0086325C"/>
    <w:rsid w:val="00863599"/>
    <w:rsid w:val="008635BA"/>
    <w:rsid w:val="00863E49"/>
    <w:rsid w:val="00865614"/>
    <w:rsid w:val="008679FB"/>
    <w:rsid w:val="00871231"/>
    <w:rsid w:val="00872195"/>
    <w:rsid w:val="00874600"/>
    <w:rsid w:val="0087546F"/>
    <w:rsid w:val="008805CF"/>
    <w:rsid w:val="008863BB"/>
    <w:rsid w:val="0088649D"/>
    <w:rsid w:val="0088746A"/>
    <w:rsid w:val="00887645"/>
    <w:rsid w:val="00891071"/>
    <w:rsid w:val="00896DA8"/>
    <w:rsid w:val="008A5497"/>
    <w:rsid w:val="008A61B7"/>
    <w:rsid w:val="008B2EAE"/>
    <w:rsid w:val="008B554C"/>
    <w:rsid w:val="008B6D8B"/>
    <w:rsid w:val="008C0923"/>
    <w:rsid w:val="008C42A4"/>
    <w:rsid w:val="008D1ADC"/>
    <w:rsid w:val="008D2F19"/>
    <w:rsid w:val="008D5FEB"/>
    <w:rsid w:val="008D639C"/>
    <w:rsid w:val="008D6B04"/>
    <w:rsid w:val="008E33D1"/>
    <w:rsid w:val="008E34F6"/>
    <w:rsid w:val="008E604C"/>
    <w:rsid w:val="008F18D1"/>
    <w:rsid w:val="008F2566"/>
    <w:rsid w:val="008F2ADC"/>
    <w:rsid w:val="008F5BEC"/>
    <w:rsid w:val="008F6C20"/>
    <w:rsid w:val="008F7656"/>
    <w:rsid w:val="008F7838"/>
    <w:rsid w:val="009017C2"/>
    <w:rsid w:val="00901967"/>
    <w:rsid w:val="00902DB9"/>
    <w:rsid w:val="00910164"/>
    <w:rsid w:val="009102FA"/>
    <w:rsid w:val="00916E92"/>
    <w:rsid w:val="00917304"/>
    <w:rsid w:val="00920DC1"/>
    <w:rsid w:val="00924F62"/>
    <w:rsid w:val="0092542D"/>
    <w:rsid w:val="009363C8"/>
    <w:rsid w:val="00937DF4"/>
    <w:rsid w:val="0094008E"/>
    <w:rsid w:val="0094553A"/>
    <w:rsid w:val="00946012"/>
    <w:rsid w:val="00947893"/>
    <w:rsid w:val="009564E0"/>
    <w:rsid w:val="009565AA"/>
    <w:rsid w:val="00966724"/>
    <w:rsid w:val="0096736D"/>
    <w:rsid w:val="00971C17"/>
    <w:rsid w:val="00972C6C"/>
    <w:rsid w:val="009739EE"/>
    <w:rsid w:val="00973E90"/>
    <w:rsid w:val="009778D0"/>
    <w:rsid w:val="00981420"/>
    <w:rsid w:val="00990E17"/>
    <w:rsid w:val="009927F2"/>
    <w:rsid w:val="00992F58"/>
    <w:rsid w:val="0099504C"/>
    <w:rsid w:val="009970CD"/>
    <w:rsid w:val="009A05AA"/>
    <w:rsid w:val="009A2FCA"/>
    <w:rsid w:val="009B01E1"/>
    <w:rsid w:val="009B0CE9"/>
    <w:rsid w:val="009B6A46"/>
    <w:rsid w:val="009C0530"/>
    <w:rsid w:val="009C1C34"/>
    <w:rsid w:val="009C4A12"/>
    <w:rsid w:val="009C4C02"/>
    <w:rsid w:val="009C77C0"/>
    <w:rsid w:val="009D6B38"/>
    <w:rsid w:val="009E1456"/>
    <w:rsid w:val="009E2AA5"/>
    <w:rsid w:val="009E4AA8"/>
    <w:rsid w:val="009F24E1"/>
    <w:rsid w:val="009F2936"/>
    <w:rsid w:val="009F35D5"/>
    <w:rsid w:val="00A0120C"/>
    <w:rsid w:val="00A019E1"/>
    <w:rsid w:val="00A0375C"/>
    <w:rsid w:val="00A045DD"/>
    <w:rsid w:val="00A2438D"/>
    <w:rsid w:val="00A250F8"/>
    <w:rsid w:val="00A26848"/>
    <w:rsid w:val="00A403C5"/>
    <w:rsid w:val="00A41900"/>
    <w:rsid w:val="00A4299E"/>
    <w:rsid w:val="00A46FEA"/>
    <w:rsid w:val="00A524F9"/>
    <w:rsid w:val="00A54F95"/>
    <w:rsid w:val="00A55B1F"/>
    <w:rsid w:val="00A57D34"/>
    <w:rsid w:val="00A61F0E"/>
    <w:rsid w:val="00A6316E"/>
    <w:rsid w:val="00A65D27"/>
    <w:rsid w:val="00A703A2"/>
    <w:rsid w:val="00A73494"/>
    <w:rsid w:val="00A82D34"/>
    <w:rsid w:val="00A8405A"/>
    <w:rsid w:val="00A9017B"/>
    <w:rsid w:val="00A974F1"/>
    <w:rsid w:val="00AA6FAC"/>
    <w:rsid w:val="00AB31B7"/>
    <w:rsid w:val="00AB512F"/>
    <w:rsid w:val="00AB7696"/>
    <w:rsid w:val="00AC0469"/>
    <w:rsid w:val="00AC0B1E"/>
    <w:rsid w:val="00AC5920"/>
    <w:rsid w:val="00AC64D3"/>
    <w:rsid w:val="00AC6730"/>
    <w:rsid w:val="00AD3CB4"/>
    <w:rsid w:val="00AD4B40"/>
    <w:rsid w:val="00AD613A"/>
    <w:rsid w:val="00AE0343"/>
    <w:rsid w:val="00AE0834"/>
    <w:rsid w:val="00AE1FB7"/>
    <w:rsid w:val="00AE263F"/>
    <w:rsid w:val="00AE4008"/>
    <w:rsid w:val="00AE51A6"/>
    <w:rsid w:val="00AF11DA"/>
    <w:rsid w:val="00AF78F5"/>
    <w:rsid w:val="00B00201"/>
    <w:rsid w:val="00B02929"/>
    <w:rsid w:val="00B03BCC"/>
    <w:rsid w:val="00B05452"/>
    <w:rsid w:val="00B11651"/>
    <w:rsid w:val="00B12E16"/>
    <w:rsid w:val="00B16E0F"/>
    <w:rsid w:val="00B20D4D"/>
    <w:rsid w:val="00B23CF0"/>
    <w:rsid w:val="00B2676F"/>
    <w:rsid w:val="00B30B9B"/>
    <w:rsid w:val="00B45189"/>
    <w:rsid w:val="00B46686"/>
    <w:rsid w:val="00B467BA"/>
    <w:rsid w:val="00B513F7"/>
    <w:rsid w:val="00B51820"/>
    <w:rsid w:val="00B53130"/>
    <w:rsid w:val="00B55C39"/>
    <w:rsid w:val="00B57BED"/>
    <w:rsid w:val="00B66BFF"/>
    <w:rsid w:val="00B6739D"/>
    <w:rsid w:val="00B71D2C"/>
    <w:rsid w:val="00B75841"/>
    <w:rsid w:val="00B812A4"/>
    <w:rsid w:val="00B91597"/>
    <w:rsid w:val="00B91840"/>
    <w:rsid w:val="00B91CA2"/>
    <w:rsid w:val="00BA298B"/>
    <w:rsid w:val="00BB1488"/>
    <w:rsid w:val="00BB358F"/>
    <w:rsid w:val="00BB4B5F"/>
    <w:rsid w:val="00BB5E38"/>
    <w:rsid w:val="00BC423E"/>
    <w:rsid w:val="00BC4829"/>
    <w:rsid w:val="00BC57BD"/>
    <w:rsid w:val="00BC62D6"/>
    <w:rsid w:val="00BD12F6"/>
    <w:rsid w:val="00BD2A0C"/>
    <w:rsid w:val="00BD3EC6"/>
    <w:rsid w:val="00BD41E9"/>
    <w:rsid w:val="00BD70CE"/>
    <w:rsid w:val="00BD7C89"/>
    <w:rsid w:val="00BE11C2"/>
    <w:rsid w:val="00BF1798"/>
    <w:rsid w:val="00BF1D43"/>
    <w:rsid w:val="00BF4A9E"/>
    <w:rsid w:val="00BF7BCC"/>
    <w:rsid w:val="00C01AD7"/>
    <w:rsid w:val="00C05F03"/>
    <w:rsid w:val="00C17723"/>
    <w:rsid w:val="00C20282"/>
    <w:rsid w:val="00C20DC2"/>
    <w:rsid w:val="00C24FE6"/>
    <w:rsid w:val="00C3328F"/>
    <w:rsid w:val="00C33E35"/>
    <w:rsid w:val="00C35519"/>
    <w:rsid w:val="00C36AEC"/>
    <w:rsid w:val="00C411A8"/>
    <w:rsid w:val="00C43C91"/>
    <w:rsid w:val="00C45756"/>
    <w:rsid w:val="00C457DF"/>
    <w:rsid w:val="00C46C37"/>
    <w:rsid w:val="00C54413"/>
    <w:rsid w:val="00C60B8C"/>
    <w:rsid w:val="00C65BD4"/>
    <w:rsid w:val="00C81D1B"/>
    <w:rsid w:val="00C826AE"/>
    <w:rsid w:val="00C83D45"/>
    <w:rsid w:val="00C91B7B"/>
    <w:rsid w:val="00CA15CD"/>
    <w:rsid w:val="00CA5DBA"/>
    <w:rsid w:val="00CB2283"/>
    <w:rsid w:val="00CB37E8"/>
    <w:rsid w:val="00CB39CE"/>
    <w:rsid w:val="00CB43DA"/>
    <w:rsid w:val="00CB5692"/>
    <w:rsid w:val="00CB6085"/>
    <w:rsid w:val="00CC151F"/>
    <w:rsid w:val="00CC4DED"/>
    <w:rsid w:val="00CC5FAA"/>
    <w:rsid w:val="00CD1090"/>
    <w:rsid w:val="00CD390F"/>
    <w:rsid w:val="00CD55FF"/>
    <w:rsid w:val="00CD5C95"/>
    <w:rsid w:val="00CE3178"/>
    <w:rsid w:val="00CE46F9"/>
    <w:rsid w:val="00CE627C"/>
    <w:rsid w:val="00CE6915"/>
    <w:rsid w:val="00CF44F9"/>
    <w:rsid w:val="00CF4A02"/>
    <w:rsid w:val="00CF6225"/>
    <w:rsid w:val="00D101A1"/>
    <w:rsid w:val="00D17F50"/>
    <w:rsid w:val="00D21C1B"/>
    <w:rsid w:val="00D243B3"/>
    <w:rsid w:val="00D25388"/>
    <w:rsid w:val="00D25E1F"/>
    <w:rsid w:val="00D317AF"/>
    <w:rsid w:val="00D31B1A"/>
    <w:rsid w:val="00D35907"/>
    <w:rsid w:val="00D37487"/>
    <w:rsid w:val="00D44B78"/>
    <w:rsid w:val="00D44D63"/>
    <w:rsid w:val="00D51AB9"/>
    <w:rsid w:val="00D55BB2"/>
    <w:rsid w:val="00D670B9"/>
    <w:rsid w:val="00D72049"/>
    <w:rsid w:val="00D72761"/>
    <w:rsid w:val="00D72D24"/>
    <w:rsid w:val="00D77933"/>
    <w:rsid w:val="00D77FB0"/>
    <w:rsid w:val="00D827D1"/>
    <w:rsid w:val="00D82D4C"/>
    <w:rsid w:val="00D84DE0"/>
    <w:rsid w:val="00D90F3D"/>
    <w:rsid w:val="00D968B1"/>
    <w:rsid w:val="00D96BCC"/>
    <w:rsid w:val="00DA2FBC"/>
    <w:rsid w:val="00DA44F3"/>
    <w:rsid w:val="00DA4B6C"/>
    <w:rsid w:val="00DB3278"/>
    <w:rsid w:val="00DB5C02"/>
    <w:rsid w:val="00DC347A"/>
    <w:rsid w:val="00DC3F26"/>
    <w:rsid w:val="00DC62EB"/>
    <w:rsid w:val="00DD0BEC"/>
    <w:rsid w:val="00DD4898"/>
    <w:rsid w:val="00DE0AC9"/>
    <w:rsid w:val="00DE6CD6"/>
    <w:rsid w:val="00DE6D07"/>
    <w:rsid w:val="00DE7944"/>
    <w:rsid w:val="00DF197A"/>
    <w:rsid w:val="00DF1CF3"/>
    <w:rsid w:val="00DF3D15"/>
    <w:rsid w:val="00DF45E6"/>
    <w:rsid w:val="00DF59D9"/>
    <w:rsid w:val="00DF679C"/>
    <w:rsid w:val="00E006FF"/>
    <w:rsid w:val="00E06C5B"/>
    <w:rsid w:val="00E07233"/>
    <w:rsid w:val="00E12F06"/>
    <w:rsid w:val="00E170D0"/>
    <w:rsid w:val="00E24FDA"/>
    <w:rsid w:val="00E26B4E"/>
    <w:rsid w:val="00E30150"/>
    <w:rsid w:val="00E3417B"/>
    <w:rsid w:val="00E43680"/>
    <w:rsid w:val="00E438B9"/>
    <w:rsid w:val="00E46409"/>
    <w:rsid w:val="00E525DF"/>
    <w:rsid w:val="00E52F8B"/>
    <w:rsid w:val="00E56CD9"/>
    <w:rsid w:val="00E577CF"/>
    <w:rsid w:val="00E6182A"/>
    <w:rsid w:val="00E81721"/>
    <w:rsid w:val="00E829C3"/>
    <w:rsid w:val="00E851E1"/>
    <w:rsid w:val="00E8632E"/>
    <w:rsid w:val="00E87750"/>
    <w:rsid w:val="00E90CCF"/>
    <w:rsid w:val="00E9622E"/>
    <w:rsid w:val="00EA3191"/>
    <w:rsid w:val="00EA4EEB"/>
    <w:rsid w:val="00EB02A9"/>
    <w:rsid w:val="00EB5F4A"/>
    <w:rsid w:val="00EC2560"/>
    <w:rsid w:val="00EC3335"/>
    <w:rsid w:val="00EC3A5E"/>
    <w:rsid w:val="00ED0C8E"/>
    <w:rsid w:val="00ED1372"/>
    <w:rsid w:val="00ED79EB"/>
    <w:rsid w:val="00EE0701"/>
    <w:rsid w:val="00EE0E6D"/>
    <w:rsid w:val="00EF08CB"/>
    <w:rsid w:val="00EF193D"/>
    <w:rsid w:val="00EF47B2"/>
    <w:rsid w:val="00EF4AD3"/>
    <w:rsid w:val="00EF5474"/>
    <w:rsid w:val="00EF7F61"/>
    <w:rsid w:val="00F022C5"/>
    <w:rsid w:val="00F055AA"/>
    <w:rsid w:val="00F06715"/>
    <w:rsid w:val="00F11A04"/>
    <w:rsid w:val="00F12C2F"/>
    <w:rsid w:val="00F14E5B"/>
    <w:rsid w:val="00F16BA4"/>
    <w:rsid w:val="00F17395"/>
    <w:rsid w:val="00F24360"/>
    <w:rsid w:val="00F33E94"/>
    <w:rsid w:val="00F42BF8"/>
    <w:rsid w:val="00F43916"/>
    <w:rsid w:val="00F45BF1"/>
    <w:rsid w:val="00F47EB3"/>
    <w:rsid w:val="00F50393"/>
    <w:rsid w:val="00F52DAD"/>
    <w:rsid w:val="00F53AD8"/>
    <w:rsid w:val="00F55D5F"/>
    <w:rsid w:val="00F57F70"/>
    <w:rsid w:val="00F7051E"/>
    <w:rsid w:val="00F7293B"/>
    <w:rsid w:val="00F73699"/>
    <w:rsid w:val="00F74763"/>
    <w:rsid w:val="00F769C0"/>
    <w:rsid w:val="00F76FD1"/>
    <w:rsid w:val="00F77D5D"/>
    <w:rsid w:val="00F80B1B"/>
    <w:rsid w:val="00F81C49"/>
    <w:rsid w:val="00F90CE7"/>
    <w:rsid w:val="00FA449C"/>
    <w:rsid w:val="00FA46FE"/>
    <w:rsid w:val="00FA4809"/>
    <w:rsid w:val="00FB259C"/>
    <w:rsid w:val="00FB4EB8"/>
    <w:rsid w:val="00FB659C"/>
    <w:rsid w:val="00FB688B"/>
    <w:rsid w:val="00FC664F"/>
    <w:rsid w:val="00FD063D"/>
    <w:rsid w:val="00FD50A2"/>
    <w:rsid w:val="00FE1BCE"/>
    <w:rsid w:val="00FE2D99"/>
    <w:rsid w:val="00FE3E3D"/>
    <w:rsid w:val="00FE4D4B"/>
    <w:rsid w:val="00FE59B7"/>
    <w:rsid w:val="00FE6789"/>
    <w:rsid w:val="00FF2449"/>
    <w:rsid w:val="00FF7882"/>
    <w:rsid w:val="00FF7C82"/>
    <w:rsid w:val="012D1B72"/>
    <w:rsid w:val="01840F42"/>
    <w:rsid w:val="01854110"/>
    <w:rsid w:val="02046B72"/>
    <w:rsid w:val="02644611"/>
    <w:rsid w:val="02C41CE8"/>
    <w:rsid w:val="03010D95"/>
    <w:rsid w:val="0303714A"/>
    <w:rsid w:val="0350134A"/>
    <w:rsid w:val="0360151C"/>
    <w:rsid w:val="038D353D"/>
    <w:rsid w:val="04520535"/>
    <w:rsid w:val="04C14096"/>
    <w:rsid w:val="05012B9D"/>
    <w:rsid w:val="052D4F50"/>
    <w:rsid w:val="05692DCD"/>
    <w:rsid w:val="05784C30"/>
    <w:rsid w:val="060523EC"/>
    <w:rsid w:val="061D788A"/>
    <w:rsid w:val="061E1F78"/>
    <w:rsid w:val="068F5EBF"/>
    <w:rsid w:val="07240FB1"/>
    <w:rsid w:val="07626320"/>
    <w:rsid w:val="077E7D9D"/>
    <w:rsid w:val="07D70E33"/>
    <w:rsid w:val="07D96A21"/>
    <w:rsid w:val="07E35402"/>
    <w:rsid w:val="07E66234"/>
    <w:rsid w:val="07F207A1"/>
    <w:rsid w:val="081E4488"/>
    <w:rsid w:val="084760E8"/>
    <w:rsid w:val="088E0696"/>
    <w:rsid w:val="08C82ECC"/>
    <w:rsid w:val="090B6105"/>
    <w:rsid w:val="090D1CFF"/>
    <w:rsid w:val="09407052"/>
    <w:rsid w:val="099877DB"/>
    <w:rsid w:val="09AE7DE4"/>
    <w:rsid w:val="0A475633"/>
    <w:rsid w:val="0AC5279B"/>
    <w:rsid w:val="0ACD5640"/>
    <w:rsid w:val="0AD47E6A"/>
    <w:rsid w:val="0AE31DD9"/>
    <w:rsid w:val="0AEC5A59"/>
    <w:rsid w:val="0B590BBE"/>
    <w:rsid w:val="0B8E7773"/>
    <w:rsid w:val="0DC554F6"/>
    <w:rsid w:val="0E785943"/>
    <w:rsid w:val="0E996EF2"/>
    <w:rsid w:val="0EF71D53"/>
    <w:rsid w:val="0EFB36F1"/>
    <w:rsid w:val="0FCD487B"/>
    <w:rsid w:val="0FF031FF"/>
    <w:rsid w:val="110373A1"/>
    <w:rsid w:val="1103770F"/>
    <w:rsid w:val="11C96C14"/>
    <w:rsid w:val="11F05092"/>
    <w:rsid w:val="11F51826"/>
    <w:rsid w:val="1221421A"/>
    <w:rsid w:val="122271C3"/>
    <w:rsid w:val="12926FF5"/>
    <w:rsid w:val="129B55B9"/>
    <w:rsid w:val="13012D8B"/>
    <w:rsid w:val="133F4FA7"/>
    <w:rsid w:val="13523C5D"/>
    <w:rsid w:val="136D5995"/>
    <w:rsid w:val="14180BD8"/>
    <w:rsid w:val="14390A6F"/>
    <w:rsid w:val="14AD7362"/>
    <w:rsid w:val="15723CBC"/>
    <w:rsid w:val="157814AC"/>
    <w:rsid w:val="15DE6CCE"/>
    <w:rsid w:val="16466E4D"/>
    <w:rsid w:val="16B941EC"/>
    <w:rsid w:val="16E72D2D"/>
    <w:rsid w:val="170474C5"/>
    <w:rsid w:val="17AB3E3C"/>
    <w:rsid w:val="188D34E2"/>
    <w:rsid w:val="18BB78B2"/>
    <w:rsid w:val="19F64447"/>
    <w:rsid w:val="1A9F18E7"/>
    <w:rsid w:val="1AA95F83"/>
    <w:rsid w:val="1B035258"/>
    <w:rsid w:val="1BD95337"/>
    <w:rsid w:val="1C646CC9"/>
    <w:rsid w:val="1C995A43"/>
    <w:rsid w:val="1CAB3D58"/>
    <w:rsid w:val="1CB52DD8"/>
    <w:rsid w:val="1CC90210"/>
    <w:rsid w:val="1CF65F7E"/>
    <w:rsid w:val="1D7A13AA"/>
    <w:rsid w:val="1DCC0FEA"/>
    <w:rsid w:val="1DFD7A81"/>
    <w:rsid w:val="1E1A57A7"/>
    <w:rsid w:val="1E491C85"/>
    <w:rsid w:val="1E5C3558"/>
    <w:rsid w:val="1E777430"/>
    <w:rsid w:val="1EE06367"/>
    <w:rsid w:val="1F3D13F8"/>
    <w:rsid w:val="1F445AA8"/>
    <w:rsid w:val="1F925DE7"/>
    <w:rsid w:val="1F98313C"/>
    <w:rsid w:val="1FE0557E"/>
    <w:rsid w:val="1FE0798F"/>
    <w:rsid w:val="1FE879B6"/>
    <w:rsid w:val="20317AC5"/>
    <w:rsid w:val="212F6D9E"/>
    <w:rsid w:val="219F3FCE"/>
    <w:rsid w:val="21D87D1E"/>
    <w:rsid w:val="224F67E1"/>
    <w:rsid w:val="244A156F"/>
    <w:rsid w:val="244C0260"/>
    <w:rsid w:val="24566F4C"/>
    <w:rsid w:val="245A496A"/>
    <w:rsid w:val="24B56E30"/>
    <w:rsid w:val="25A434EC"/>
    <w:rsid w:val="271E1EEF"/>
    <w:rsid w:val="27FC63B3"/>
    <w:rsid w:val="28101AE0"/>
    <w:rsid w:val="286A40C7"/>
    <w:rsid w:val="28CD2F68"/>
    <w:rsid w:val="29676E67"/>
    <w:rsid w:val="29BC7FF0"/>
    <w:rsid w:val="2A0B69A0"/>
    <w:rsid w:val="2A4016F5"/>
    <w:rsid w:val="2A6174A2"/>
    <w:rsid w:val="2AB95076"/>
    <w:rsid w:val="2AC24332"/>
    <w:rsid w:val="2AC5291C"/>
    <w:rsid w:val="2B207D60"/>
    <w:rsid w:val="2B5B7EFA"/>
    <w:rsid w:val="2BB90842"/>
    <w:rsid w:val="2BC7609A"/>
    <w:rsid w:val="2BC80958"/>
    <w:rsid w:val="2C0105BD"/>
    <w:rsid w:val="2C0E0D24"/>
    <w:rsid w:val="2CFB4187"/>
    <w:rsid w:val="2D3E014B"/>
    <w:rsid w:val="2E1F2371"/>
    <w:rsid w:val="2EBE137D"/>
    <w:rsid w:val="2F3965F2"/>
    <w:rsid w:val="2F6C10EE"/>
    <w:rsid w:val="2FC47D42"/>
    <w:rsid w:val="302C2A81"/>
    <w:rsid w:val="30791EA5"/>
    <w:rsid w:val="30F62DBF"/>
    <w:rsid w:val="312A7DC4"/>
    <w:rsid w:val="314B6987"/>
    <w:rsid w:val="317534EB"/>
    <w:rsid w:val="31A51D56"/>
    <w:rsid w:val="31D03FFE"/>
    <w:rsid w:val="32007410"/>
    <w:rsid w:val="324F4103"/>
    <w:rsid w:val="3270712B"/>
    <w:rsid w:val="32842974"/>
    <w:rsid w:val="32904FFC"/>
    <w:rsid w:val="32E367EC"/>
    <w:rsid w:val="32F71CAA"/>
    <w:rsid w:val="334341A7"/>
    <w:rsid w:val="33947569"/>
    <w:rsid w:val="33D71105"/>
    <w:rsid w:val="34FA0D5A"/>
    <w:rsid w:val="35533CA1"/>
    <w:rsid w:val="35AC4CFF"/>
    <w:rsid w:val="35FB0C50"/>
    <w:rsid w:val="373C1782"/>
    <w:rsid w:val="3780436F"/>
    <w:rsid w:val="38FD5CBA"/>
    <w:rsid w:val="394C5F77"/>
    <w:rsid w:val="3964226F"/>
    <w:rsid w:val="3A361F7B"/>
    <w:rsid w:val="3AE14CEC"/>
    <w:rsid w:val="3B540EB4"/>
    <w:rsid w:val="3B890F8C"/>
    <w:rsid w:val="3BCA346B"/>
    <w:rsid w:val="3BEA545B"/>
    <w:rsid w:val="3C6F33EA"/>
    <w:rsid w:val="3CE15695"/>
    <w:rsid w:val="3D23169C"/>
    <w:rsid w:val="3D277077"/>
    <w:rsid w:val="3D9B0FDA"/>
    <w:rsid w:val="3DB47C67"/>
    <w:rsid w:val="3F1C34E3"/>
    <w:rsid w:val="3F557078"/>
    <w:rsid w:val="3F591656"/>
    <w:rsid w:val="402D7BDC"/>
    <w:rsid w:val="404D06F2"/>
    <w:rsid w:val="40583235"/>
    <w:rsid w:val="40986276"/>
    <w:rsid w:val="40F728B6"/>
    <w:rsid w:val="40F90670"/>
    <w:rsid w:val="42561B0E"/>
    <w:rsid w:val="42736B86"/>
    <w:rsid w:val="427B5875"/>
    <w:rsid w:val="429E083D"/>
    <w:rsid w:val="42D410CB"/>
    <w:rsid w:val="43916D7B"/>
    <w:rsid w:val="43C97715"/>
    <w:rsid w:val="43D00224"/>
    <w:rsid w:val="43D558DF"/>
    <w:rsid w:val="445A24AC"/>
    <w:rsid w:val="464A2B4C"/>
    <w:rsid w:val="46876EFC"/>
    <w:rsid w:val="471267FC"/>
    <w:rsid w:val="4775264E"/>
    <w:rsid w:val="47C51CC4"/>
    <w:rsid w:val="47CD58BB"/>
    <w:rsid w:val="47FA089E"/>
    <w:rsid w:val="48ED208D"/>
    <w:rsid w:val="48FA0C99"/>
    <w:rsid w:val="49841213"/>
    <w:rsid w:val="49BE0C60"/>
    <w:rsid w:val="49C042A7"/>
    <w:rsid w:val="49CA0AB3"/>
    <w:rsid w:val="4A2A3EF2"/>
    <w:rsid w:val="4A4B30C1"/>
    <w:rsid w:val="4A6F4760"/>
    <w:rsid w:val="4AC3471C"/>
    <w:rsid w:val="4B4A7EA8"/>
    <w:rsid w:val="4B9C173E"/>
    <w:rsid w:val="4BE33D1E"/>
    <w:rsid w:val="4C1027D8"/>
    <w:rsid w:val="4CCB191C"/>
    <w:rsid w:val="4CCE64B9"/>
    <w:rsid w:val="4D8448BB"/>
    <w:rsid w:val="4DBD1DBF"/>
    <w:rsid w:val="4DE05503"/>
    <w:rsid w:val="4F833A2E"/>
    <w:rsid w:val="50382951"/>
    <w:rsid w:val="505716AE"/>
    <w:rsid w:val="51007B8F"/>
    <w:rsid w:val="513350D3"/>
    <w:rsid w:val="514074A1"/>
    <w:rsid w:val="514449ED"/>
    <w:rsid w:val="51B706F3"/>
    <w:rsid w:val="52A66434"/>
    <w:rsid w:val="53AE3149"/>
    <w:rsid w:val="54FF2C76"/>
    <w:rsid w:val="553933E7"/>
    <w:rsid w:val="559F0FC5"/>
    <w:rsid w:val="55C6682C"/>
    <w:rsid w:val="55FE7476"/>
    <w:rsid w:val="56ED25F4"/>
    <w:rsid w:val="570F54F2"/>
    <w:rsid w:val="57523DF4"/>
    <w:rsid w:val="575F7CEC"/>
    <w:rsid w:val="578255FD"/>
    <w:rsid w:val="5786554B"/>
    <w:rsid w:val="58784AA8"/>
    <w:rsid w:val="58860549"/>
    <w:rsid w:val="59131579"/>
    <w:rsid w:val="592811B1"/>
    <w:rsid w:val="59285498"/>
    <w:rsid w:val="597178CF"/>
    <w:rsid w:val="59C046C9"/>
    <w:rsid w:val="5BB15328"/>
    <w:rsid w:val="5BD66B30"/>
    <w:rsid w:val="5C105AC0"/>
    <w:rsid w:val="5DAE2459"/>
    <w:rsid w:val="5E357248"/>
    <w:rsid w:val="5E517EA7"/>
    <w:rsid w:val="5E8A79AA"/>
    <w:rsid w:val="5EA81150"/>
    <w:rsid w:val="5EE20A08"/>
    <w:rsid w:val="5FB764FE"/>
    <w:rsid w:val="5FE51FE0"/>
    <w:rsid w:val="600C139F"/>
    <w:rsid w:val="60B40149"/>
    <w:rsid w:val="60E446C2"/>
    <w:rsid w:val="62150E25"/>
    <w:rsid w:val="62FA65BC"/>
    <w:rsid w:val="63755E43"/>
    <w:rsid w:val="64BE010E"/>
    <w:rsid w:val="65287FBB"/>
    <w:rsid w:val="65521564"/>
    <w:rsid w:val="656402EA"/>
    <w:rsid w:val="65946E6D"/>
    <w:rsid w:val="65AF4514"/>
    <w:rsid w:val="65B17CFA"/>
    <w:rsid w:val="65F4141C"/>
    <w:rsid w:val="660E24A9"/>
    <w:rsid w:val="663546D0"/>
    <w:rsid w:val="66A4245B"/>
    <w:rsid w:val="6724293E"/>
    <w:rsid w:val="679F036F"/>
    <w:rsid w:val="681A07BE"/>
    <w:rsid w:val="687C6FA4"/>
    <w:rsid w:val="69857FF1"/>
    <w:rsid w:val="699748FB"/>
    <w:rsid w:val="6A12769F"/>
    <w:rsid w:val="6A6021ED"/>
    <w:rsid w:val="6A65376A"/>
    <w:rsid w:val="6A7F5408"/>
    <w:rsid w:val="6ACB5917"/>
    <w:rsid w:val="6B092761"/>
    <w:rsid w:val="6B492EC2"/>
    <w:rsid w:val="6BAB71AA"/>
    <w:rsid w:val="6BE740C9"/>
    <w:rsid w:val="6C427235"/>
    <w:rsid w:val="6C8C2F85"/>
    <w:rsid w:val="6D0D6A53"/>
    <w:rsid w:val="6DEE6881"/>
    <w:rsid w:val="6E36777E"/>
    <w:rsid w:val="6ED640B1"/>
    <w:rsid w:val="6F274F9C"/>
    <w:rsid w:val="70024FA7"/>
    <w:rsid w:val="70EC372B"/>
    <w:rsid w:val="718F5DD8"/>
    <w:rsid w:val="71FD137D"/>
    <w:rsid w:val="72570540"/>
    <w:rsid w:val="72F5314A"/>
    <w:rsid w:val="73486EBD"/>
    <w:rsid w:val="7397750D"/>
    <w:rsid w:val="73E87B54"/>
    <w:rsid w:val="7472611E"/>
    <w:rsid w:val="74CC59A8"/>
    <w:rsid w:val="74DB087F"/>
    <w:rsid w:val="74E3134B"/>
    <w:rsid w:val="75D761DE"/>
    <w:rsid w:val="761706A1"/>
    <w:rsid w:val="76901FEE"/>
    <w:rsid w:val="770B6B94"/>
    <w:rsid w:val="77646B87"/>
    <w:rsid w:val="77770FBC"/>
    <w:rsid w:val="77954346"/>
    <w:rsid w:val="784C75DE"/>
    <w:rsid w:val="78523A62"/>
    <w:rsid w:val="78E04578"/>
    <w:rsid w:val="79AC4729"/>
    <w:rsid w:val="7A4B20FB"/>
    <w:rsid w:val="7A8F6A61"/>
    <w:rsid w:val="7A9032C7"/>
    <w:rsid w:val="7BE76F55"/>
    <w:rsid w:val="7C2476B3"/>
    <w:rsid w:val="7C3D27DC"/>
    <w:rsid w:val="7C8100BC"/>
    <w:rsid w:val="7D365EC8"/>
    <w:rsid w:val="7D986A32"/>
    <w:rsid w:val="7DD77375"/>
    <w:rsid w:val="7DDC0A6F"/>
    <w:rsid w:val="7E445248"/>
    <w:rsid w:val="7E7F5F2A"/>
    <w:rsid w:val="7F002A8E"/>
    <w:rsid w:val="7F0E35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0"/>
    <w:qFormat/>
    <w:uiPriority w:val="0"/>
    <w:pPr>
      <w:keepNext/>
      <w:jc w:val="center"/>
      <w:outlineLvl w:val="0"/>
    </w:pPr>
    <w:rPr>
      <w:rFonts w:eastAsia="Calibri"/>
      <w:b/>
      <w:bCs/>
    </w:rPr>
  </w:style>
  <w:style w:type="paragraph" w:styleId="5">
    <w:name w:val="heading 2"/>
    <w:basedOn w:val="1"/>
    <w:next w:val="1"/>
    <w:link w:val="124"/>
    <w:qFormat/>
    <w:uiPriority w:val="0"/>
    <w:pPr>
      <w:keepNext/>
      <w:keepLines/>
      <w:spacing w:before="260" w:after="260" w:line="415" w:lineRule="auto"/>
      <w:outlineLvl w:val="1"/>
    </w:pPr>
    <w:rPr>
      <w:rFonts w:ascii="宋体,Verdana,Arial" w:hAnsi="宋体,Verdana,Arial" w:eastAsia="Cambria"/>
      <w:b/>
      <w:bCs/>
      <w:sz w:val="32"/>
      <w:szCs w:val="32"/>
    </w:rPr>
  </w:style>
  <w:style w:type="paragraph" w:styleId="6">
    <w:name w:val="heading 3"/>
    <w:basedOn w:val="1"/>
    <w:next w:val="1"/>
    <w:link w:val="134"/>
    <w:qFormat/>
    <w:uiPriority w:val="0"/>
    <w:pPr>
      <w:keepNext/>
      <w:keepLines/>
      <w:spacing w:before="260" w:after="260" w:line="415" w:lineRule="auto"/>
      <w:outlineLvl w:val="2"/>
    </w:pPr>
    <w:rPr>
      <w:rFonts w:eastAsia="Cambria"/>
      <w:b/>
      <w:bCs/>
      <w:sz w:val="32"/>
      <w:szCs w:val="32"/>
    </w:rPr>
  </w:style>
  <w:style w:type="paragraph" w:styleId="7">
    <w:name w:val="heading 4"/>
    <w:basedOn w:val="1"/>
    <w:next w:val="1"/>
    <w:link w:val="157"/>
    <w:qFormat/>
    <w:uiPriority w:val="0"/>
    <w:pPr>
      <w:keepNext/>
      <w:keepLines/>
      <w:spacing w:before="280" w:after="290" w:line="374" w:lineRule="auto"/>
      <w:outlineLvl w:val="3"/>
    </w:pPr>
    <w:rPr>
      <w:rFonts w:ascii="宋体,Verdana,Arial" w:hAnsi="宋体,Verdana,Arial" w:eastAsia="Cambria"/>
      <w:b/>
      <w:bCs/>
      <w:sz w:val="28"/>
      <w:szCs w:val="28"/>
    </w:rPr>
  </w:style>
  <w:style w:type="paragraph" w:styleId="8">
    <w:name w:val="heading 5"/>
    <w:basedOn w:val="1"/>
    <w:next w:val="1"/>
    <w:link w:val="175"/>
    <w:qFormat/>
    <w:uiPriority w:val="0"/>
    <w:pPr>
      <w:keepNext/>
      <w:keepLines/>
      <w:spacing w:before="280" w:after="290" w:line="374" w:lineRule="auto"/>
      <w:outlineLvl w:val="4"/>
    </w:pPr>
    <w:rPr>
      <w:rFonts w:eastAsia="Cambria"/>
      <w:b/>
      <w:bCs/>
      <w:sz w:val="28"/>
      <w:szCs w:val="28"/>
    </w:rPr>
  </w:style>
  <w:style w:type="paragraph" w:styleId="9">
    <w:name w:val="heading 6"/>
    <w:basedOn w:val="1"/>
    <w:next w:val="1"/>
    <w:link w:val="86"/>
    <w:qFormat/>
    <w:uiPriority w:val="0"/>
    <w:pPr>
      <w:widowControl/>
      <w:tabs>
        <w:tab w:val="left" w:pos="765"/>
      </w:tabs>
      <w:autoSpaceDE w:val="0"/>
      <w:autoSpaceDN w:val="0"/>
      <w:adjustRightInd w:val="0"/>
      <w:spacing w:line="360" w:lineRule="auto"/>
      <w:ind w:left="1134" w:hanging="680"/>
      <w:jc w:val="left"/>
      <w:outlineLvl w:val="5"/>
    </w:pPr>
    <w:rPr>
      <w:rFonts w:ascii="Courier New" w:hAnsi="Courier New" w:eastAsia="ˎ̥"/>
      <w:kern w:val="0"/>
      <w:szCs w:val="21"/>
    </w:rPr>
  </w:style>
  <w:style w:type="paragraph" w:styleId="10">
    <w:name w:val="heading 7"/>
    <w:basedOn w:val="1"/>
    <w:next w:val="1"/>
    <w:link w:val="180"/>
    <w:qFormat/>
    <w:uiPriority w:val="0"/>
    <w:pPr>
      <w:widowControl/>
      <w:tabs>
        <w:tab w:val="left" w:pos="765"/>
      </w:tabs>
      <w:autoSpaceDE w:val="0"/>
      <w:autoSpaceDN w:val="0"/>
      <w:adjustRightInd w:val="0"/>
      <w:spacing w:line="360" w:lineRule="auto"/>
      <w:ind w:left="1134" w:hanging="680"/>
      <w:jc w:val="left"/>
      <w:outlineLvl w:val="6"/>
    </w:pPr>
    <w:rPr>
      <w:rFonts w:ascii="Courier New" w:hAnsi="Courier New" w:eastAsia="ˎ̥"/>
      <w:kern w:val="0"/>
      <w:szCs w:val="21"/>
    </w:rPr>
  </w:style>
  <w:style w:type="paragraph" w:styleId="11">
    <w:name w:val="heading 8"/>
    <w:basedOn w:val="1"/>
    <w:next w:val="1"/>
    <w:link w:val="209"/>
    <w:qFormat/>
    <w:uiPriority w:val="0"/>
    <w:pPr>
      <w:keepLines/>
      <w:tabs>
        <w:tab w:val="left" w:pos="1638"/>
      </w:tabs>
      <w:autoSpaceDE w:val="0"/>
      <w:autoSpaceDN w:val="0"/>
      <w:adjustRightInd w:val="0"/>
      <w:spacing w:before="240" w:after="64" w:line="319" w:lineRule="auto"/>
      <w:ind w:left="1638" w:hanging="1440"/>
      <w:jc w:val="left"/>
      <w:outlineLvl w:val="7"/>
    </w:pPr>
    <w:rPr>
      <w:rFonts w:ascii="Courier New" w:hAnsi="Courier New" w:eastAsia="ˎ̥"/>
      <w:kern w:val="0"/>
      <w:sz w:val="24"/>
      <w:szCs w:val="20"/>
    </w:rPr>
  </w:style>
  <w:style w:type="paragraph" w:styleId="12">
    <w:name w:val="heading 9"/>
    <w:basedOn w:val="1"/>
    <w:next w:val="1"/>
    <w:link w:val="168"/>
    <w:qFormat/>
    <w:uiPriority w:val="0"/>
    <w:pPr>
      <w:keepLines/>
      <w:tabs>
        <w:tab w:val="left" w:pos="1782"/>
      </w:tabs>
      <w:autoSpaceDE w:val="0"/>
      <w:autoSpaceDN w:val="0"/>
      <w:adjustRightInd w:val="0"/>
      <w:spacing w:before="240" w:after="64" w:line="319" w:lineRule="auto"/>
      <w:ind w:left="1782" w:hanging="1584"/>
      <w:jc w:val="left"/>
      <w:outlineLvl w:val="8"/>
    </w:pPr>
    <w:rPr>
      <w:rFonts w:ascii="Courier New" w:hAnsi="Courier New" w:eastAsia="ˎ̥"/>
      <w:kern w:val="0"/>
      <w:szCs w:val="20"/>
    </w:rPr>
  </w:style>
  <w:style w:type="character" w:default="1" w:styleId="50">
    <w:name w:val="Default Paragraph Font"/>
    <w:semiHidden/>
    <w:unhideWhenUsed/>
    <w:qFormat/>
    <w:uiPriority w:val="1"/>
  </w:style>
  <w:style w:type="table" w:default="1" w:styleId="6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4"/>
    <w:qFormat/>
    <w:uiPriority w:val="0"/>
    <w:pPr>
      <w:autoSpaceDE w:val="0"/>
      <w:autoSpaceDN w:val="0"/>
      <w:adjustRightInd w:val="0"/>
      <w:ind w:firstLine="420" w:firstLineChars="100"/>
      <w:jc w:val="left"/>
    </w:pPr>
    <w:rPr>
      <w:kern w:val="0"/>
      <w:sz w:val="20"/>
      <w:szCs w:val="20"/>
    </w:rPr>
  </w:style>
  <w:style w:type="paragraph" w:styleId="3">
    <w:name w:val="Body Text"/>
    <w:basedOn w:val="1"/>
    <w:next w:val="2"/>
    <w:link w:val="212"/>
    <w:qFormat/>
    <w:uiPriority w:val="0"/>
    <w:pPr>
      <w:spacing w:after="120"/>
    </w:pPr>
    <w:rPr>
      <w:rFonts w:eastAsia="Cambria"/>
    </w:rPr>
  </w:style>
  <w:style w:type="paragraph" w:styleId="13">
    <w:name w:val="annotation subject"/>
    <w:basedOn w:val="14"/>
    <w:next w:val="14"/>
    <w:link w:val="103"/>
    <w:qFormat/>
    <w:uiPriority w:val="0"/>
    <w:rPr>
      <w:b/>
      <w:bCs/>
    </w:rPr>
  </w:style>
  <w:style w:type="paragraph" w:styleId="14">
    <w:name w:val="annotation text"/>
    <w:basedOn w:val="1"/>
    <w:link w:val="221"/>
    <w:qFormat/>
    <w:uiPriority w:val="0"/>
    <w:pPr>
      <w:jc w:val="left"/>
    </w:pPr>
    <w:rPr>
      <w:rFonts w:eastAsia="Cambria"/>
    </w:rPr>
  </w:style>
  <w:style w:type="paragraph" w:styleId="15">
    <w:name w:val="toc 7"/>
    <w:basedOn w:val="1"/>
    <w:next w:val="1"/>
    <w:qFormat/>
    <w:uiPriority w:val="0"/>
    <w:pPr>
      <w:autoSpaceDE w:val="0"/>
      <w:autoSpaceDN w:val="0"/>
      <w:adjustRightInd w:val="0"/>
      <w:ind w:left="2520" w:leftChars="1200"/>
      <w:jc w:val="left"/>
    </w:pPr>
    <w:rPr>
      <w:kern w:val="0"/>
      <w:sz w:val="20"/>
      <w:szCs w:val="20"/>
    </w:rPr>
  </w:style>
  <w:style w:type="paragraph" w:styleId="16">
    <w:name w:val="macro"/>
    <w:link w:val="14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隶书" w:hAnsi="隶书" w:eastAsia="宋体" w:cs="Times New Roman"/>
      <w:kern w:val="2"/>
      <w:sz w:val="24"/>
      <w:szCs w:val="24"/>
      <w:lang w:val="en-US" w:eastAsia="zh-CN" w:bidi="ar-SA"/>
    </w:rPr>
  </w:style>
  <w:style w:type="paragraph" w:styleId="17">
    <w:name w:val="List Number"/>
    <w:basedOn w:val="1"/>
    <w:qFormat/>
    <w:uiPriority w:val="0"/>
    <w:pPr>
      <w:tabs>
        <w:tab w:val="left" w:pos="360"/>
      </w:tabs>
      <w:ind w:left="360" w:hanging="360" w:hangingChars="200"/>
    </w:pPr>
  </w:style>
  <w:style w:type="paragraph" w:styleId="18">
    <w:name w:val="Normal Indent"/>
    <w:basedOn w:val="1"/>
    <w:link w:val="126"/>
    <w:qFormat/>
    <w:uiPriority w:val="0"/>
    <w:pPr>
      <w:adjustRightInd w:val="0"/>
      <w:spacing w:line="312" w:lineRule="atLeast"/>
      <w:ind w:firstLine="420"/>
      <w:textAlignment w:val="baseline"/>
    </w:pPr>
    <w:rPr>
      <w:rFonts w:eastAsia="Cambria"/>
      <w:kern w:val="0"/>
      <w:szCs w:val="20"/>
    </w:rPr>
  </w:style>
  <w:style w:type="paragraph" w:styleId="19">
    <w:name w:val="caption"/>
    <w:basedOn w:val="1"/>
    <w:next w:val="1"/>
    <w:qFormat/>
    <w:uiPriority w:val="0"/>
    <w:pPr>
      <w:autoSpaceDE w:val="0"/>
      <w:autoSpaceDN w:val="0"/>
      <w:adjustRightInd w:val="0"/>
      <w:jc w:val="left"/>
    </w:pPr>
    <w:rPr>
      <w:rFonts w:ascii="Courier New" w:hAnsi="Courier New" w:eastAsia="ˎ̥" w:cs="Courier New"/>
      <w:kern w:val="0"/>
      <w:sz w:val="20"/>
      <w:szCs w:val="20"/>
    </w:rPr>
  </w:style>
  <w:style w:type="paragraph" w:styleId="20">
    <w:name w:val="List Bullet"/>
    <w:basedOn w:val="1"/>
    <w:qFormat/>
    <w:uiPriority w:val="0"/>
    <w:pPr>
      <w:tabs>
        <w:tab w:val="left" w:pos="360"/>
      </w:tabs>
      <w:ind w:left="360" w:hanging="360"/>
    </w:pPr>
    <w:rPr>
      <w:rFonts w:ascii="Helvetica" w:hAnsi="Helvetica"/>
      <w:szCs w:val="22"/>
    </w:rPr>
  </w:style>
  <w:style w:type="paragraph" w:styleId="21">
    <w:name w:val="Document Map"/>
    <w:basedOn w:val="1"/>
    <w:link w:val="125"/>
    <w:qFormat/>
    <w:uiPriority w:val="0"/>
    <w:pPr>
      <w:shd w:val="clear" w:color="auto" w:fill="000080"/>
    </w:pPr>
    <w:rPr>
      <w:rFonts w:eastAsia="Cambria"/>
    </w:rPr>
  </w:style>
  <w:style w:type="paragraph" w:styleId="22">
    <w:name w:val="Salutation"/>
    <w:basedOn w:val="1"/>
    <w:next w:val="1"/>
    <w:qFormat/>
    <w:uiPriority w:val="0"/>
    <w:pPr>
      <w:tabs>
        <w:tab w:val="left" w:pos="840"/>
      </w:tabs>
      <w:autoSpaceDE w:val="0"/>
      <w:autoSpaceDN w:val="0"/>
      <w:adjustRightInd w:val="0"/>
      <w:jc w:val="left"/>
    </w:pPr>
    <w:rPr>
      <w:kern w:val="0"/>
      <w:sz w:val="24"/>
      <w:szCs w:val="20"/>
    </w:rPr>
  </w:style>
  <w:style w:type="paragraph" w:styleId="23">
    <w:name w:val="Body Text 3"/>
    <w:basedOn w:val="1"/>
    <w:qFormat/>
    <w:uiPriority w:val="0"/>
    <w:pPr>
      <w:autoSpaceDE w:val="0"/>
      <w:autoSpaceDN w:val="0"/>
      <w:adjustRightInd w:val="0"/>
      <w:jc w:val="center"/>
    </w:pPr>
    <w:rPr>
      <w:kern w:val="0"/>
      <w:sz w:val="20"/>
      <w:szCs w:val="20"/>
    </w:rPr>
  </w:style>
  <w:style w:type="paragraph" w:styleId="24">
    <w:name w:val="Body Text Indent"/>
    <w:basedOn w:val="1"/>
    <w:link w:val="98"/>
    <w:qFormat/>
    <w:uiPriority w:val="0"/>
    <w:pPr>
      <w:ind w:left="480" w:hanging="480" w:hangingChars="200"/>
    </w:pPr>
    <w:rPr>
      <w:rFonts w:eastAsia="Cambria"/>
      <w:sz w:val="24"/>
    </w:rPr>
  </w:style>
  <w:style w:type="paragraph" w:styleId="25">
    <w:name w:val="List Number 3"/>
    <w:basedOn w:val="1"/>
    <w:qFormat/>
    <w:uiPriority w:val="0"/>
    <w:pPr>
      <w:tabs>
        <w:tab w:val="left" w:pos="1200"/>
      </w:tabs>
      <w:ind w:left="1200" w:leftChars="400" w:hanging="360" w:hangingChars="200"/>
    </w:pPr>
  </w:style>
  <w:style w:type="paragraph" w:styleId="26">
    <w:name w:val="List Bullet 2"/>
    <w:basedOn w:val="1"/>
    <w:qFormat/>
    <w:uiPriority w:val="0"/>
    <w:pPr>
      <w:tabs>
        <w:tab w:val="left" w:pos="780"/>
      </w:tabs>
      <w:spacing w:line="360" w:lineRule="auto"/>
      <w:ind w:left="780" w:leftChars="200" w:hanging="360" w:hangingChars="200"/>
    </w:pPr>
  </w:style>
  <w:style w:type="paragraph" w:styleId="27">
    <w:name w:val="toc 5"/>
    <w:basedOn w:val="1"/>
    <w:next w:val="1"/>
    <w:qFormat/>
    <w:uiPriority w:val="0"/>
    <w:pPr>
      <w:autoSpaceDE w:val="0"/>
      <w:autoSpaceDN w:val="0"/>
      <w:adjustRightInd w:val="0"/>
      <w:ind w:left="1680" w:leftChars="800"/>
      <w:jc w:val="left"/>
    </w:pPr>
    <w:rPr>
      <w:kern w:val="0"/>
      <w:sz w:val="20"/>
      <w:szCs w:val="20"/>
    </w:rPr>
  </w:style>
  <w:style w:type="paragraph" w:styleId="28">
    <w:name w:val="toc 3"/>
    <w:basedOn w:val="1"/>
    <w:next w:val="1"/>
    <w:qFormat/>
    <w:uiPriority w:val="0"/>
    <w:pPr>
      <w:ind w:left="840" w:leftChars="400"/>
    </w:pPr>
  </w:style>
  <w:style w:type="paragraph" w:styleId="29">
    <w:name w:val="Plain Text"/>
    <w:basedOn w:val="1"/>
    <w:link w:val="108"/>
    <w:qFormat/>
    <w:uiPriority w:val="0"/>
    <w:pPr>
      <w:widowControl/>
      <w:overflowPunct w:val="0"/>
      <w:autoSpaceDE w:val="0"/>
      <w:autoSpaceDN w:val="0"/>
      <w:adjustRightInd w:val="0"/>
      <w:jc w:val="left"/>
      <w:textAlignment w:val="baseline"/>
    </w:pPr>
    <w:rPr>
      <w:rFonts w:ascii="Cambria" w:hAnsi="隶书" w:eastAsia="Cambria"/>
      <w:kern w:val="0"/>
      <w:szCs w:val="21"/>
    </w:rPr>
  </w:style>
  <w:style w:type="paragraph" w:styleId="30">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1">
    <w:name w:val="toc 8"/>
    <w:basedOn w:val="1"/>
    <w:next w:val="1"/>
    <w:qFormat/>
    <w:uiPriority w:val="0"/>
    <w:pPr>
      <w:autoSpaceDE w:val="0"/>
      <w:autoSpaceDN w:val="0"/>
      <w:adjustRightInd w:val="0"/>
      <w:ind w:left="2940" w:leftChars="1400"/>
      <w:jc w:val="left"/>
    </w:pPr>
    <w:rPr>
      <w:kern w:val="0"/>
      <w:sz w:val="20"/>
      <w:szCs w:val="20"/>
    </w:rPr>
  </w:style>
  <w:style w:type="paragraph" w:styleId="32">
    <w:name w:val="Date"/>
    <w:basedOn w:val="1"/>
    <w:next w:val="1"/>
    <w:link w:val="171"/>
    <w:qFormat/>
    <w:uiPriority w:val="0"/>
    <w:pPr>
      <w:ind w:left="100" w:leftChars="2500"/>
    </w:pPr>
    <w:rPr>
      <w:rFonts w:eastAsia="Cambria"/>
    </w:rPr>
  </w:style>
  <w:style w:type="paragraph" w:styleId="33">
    <w:name w:val="Body Text Indent 2"/>
    <w:basedOn w:val="1"/>
    <w:link w:val="100"/>
    <w:qFormat/>
    <w:uiPriority w:val="0"/>
    <w:pPr>
      <w:spacing w:line="500" w:lineRule="exact"/>
      <w:ind w:firstLine="511" w:firstLineChars="213"/>
    </w:pPr>
    <w:rPr>
      <w:rFonts w:eastAsia="Cambria"/>
      <w:sz w:val="24"/>
    </w:rPr>
  </w:style>
  <w:style w:type="paragraph" w:styleId="34">
    <w:name w:val="Balloon Text"/>
    <w:basedOn w:val="1"/>
    <w:link w:val="111"/>
    <w:qFormat/>
    <w:uiPriority w:val="0"/>
    <w:rPr>
      <w:rFonts w:eastAsia="Cambria"/>
      <w:sz w:val="18"/>
      <w:szCs w:val="18"/>
    </w:rPr>
  </w:style>
  <w:style w:type="paragraph" w:styleId="35">
    <w:name w:val="footer"/>
    <w:basedOn w:val="1"/>
    <w:link w:val="199"/>
    <w:qFormat/>
    <w:uiPriority w:val="0"/>
    <w:pPr>
      <w:tabs>
        <w:tab w:val="center" w:pos="4153"/>
        <w:tab w:val="right" w:pos="8306"/>
      </w:tabs>
      <w:snapToGrid w:val="0"/>
      <w:jc w:val="left"/>
    </w:pPr>
    <w:rPr>
      <w:rFonts w:eastAsia="Cambria"/>
      <w:sz w:val="18"/>
      <w:szCs w:val="18"/>
    </w:rPr>
  </w:style>
  <w:style w:type="paragraph" w:styleId="36">
    <w:name w:val="Body Text First Indent 2"/>
    <w:basedOn w:val="24"/>
    <w:qFormat/>
    <w:uiPriority w:val="0"/>
    <w:pPr>
      <w:spacing w:after="120"/>
      <w:ind w:left="420" w:leftChars="200" w:firstLine="420" w:firstLineChars="200"/>
    </w:pPr>
    <w:rPr>
      <w:rFonts w:ascii="Tahoma" w:hAnsi="Tahoma" w:eastAsia="仿宋_GB2312" w:cs="Tahoma"/>
      <w:sz w:val="21"/>
    </w:rPr>
  </w:style>
  <w:style w:type="paragraph" w:styleId="37">
    <w:name w:val="header"/>
    <w:basedOn w:val="1"/>
    <w:link w:val="194"/>
    <w:qFormat/>
    <w:uiPriority w:val="0"/>
    <w:pPr>
      <w:pBdr>
        <w:bottom w:val="single" w:color="auto" w:sz="6" w:space="1"/>
      </w:pBdr>
      <w:tabs>
        <w:tab w:val="center" w:pos="4153"/>
        <w:tab w:val="right" w:pos="8306"/>
      </w:tabs>
      <w:snapToGrid w:val="0"/>
      <w:jc w:val="center"/>
    </w:pPr>
    <w:rPr>
      <w:rFonts w:eastAsia="Cambria"/>
      <w:sz w:val="18"/>
      <w:szCs w:val="18"/>
    </w:rPr>
  </w:style>
  <w:style w:type="paragraph" w:styleId="38">
    <w:name w:val="Signature"/>
    <w:basedOn w:val="1"/>
    <w:qFormat/>
    <w:uiPriority w:val="0"/>
    <w:pPr>
      <w:autoSpaceDE w:val="0"/>
      <w:autoSpaceDN w:val="0"/>
      <w:adjustRightInd w:val="0"/>
      <w:spacing w:after="600" w:line="312" w:lineRule="atLeast"/>
      <w:jc w:val="center"/>
      <w:textAlignment w:val="baseline"/>
    </w:pPr>
    <w:rPr>
      <w:rFonts w:eastAsia="Verdana"/>
      <w:kern w:val="0"/>
      <w:sz w:val="24"/>
      <w:szCs w:val="20"/>
    </w:rPr>
  </w:style>
  <w:style w:type="paragraph" w:styleId="39">
    <w:name w:val="toc 1"/>
    <w:basedOn w:val="1"/>
    <w:next w:val="1"/>
    <w:qFormat/>
    <w:uiPriority w:val="39"/>
    <w:pPr>
      <w:tabs>
        <w:tab w:val="right" w:leader="dot" w:pos="9628"/>
      </w:tabs>
      <w:spacing w:line="480" w:lineRule="auto"/>
    </w:pPr>
    <w:rPr>
      <w:rFonts w:ascii="Courier New" w:hAnsi="Courier New" w:eastAsia="仿宋_GB2312" w:cs="Courier New"/>
      <w:bCs/>
      <w:sz w:val="24"/>
    </w:rPr>
  </w:style>
  <w:style w:type="paragraph" w:styleId="40">
    <w:name w:val="toc 4"/>
    <w:basedOn w:val="1"/>
    <w:next w:val="1"/>
    <w:qFormat/>
    <w:uiPriority w:val="0"/>
    <w:pPr>
      <w:autoSpaceDE w:val="0"/>
      <w:autoSpaceDN w:val="0"/>
      <w:adjustRightInd w:val="0"/>
      <w:ind w:left="1260" w:leftChars="600"/>
      <w:jc w:val="left"/>
    </w:pPr>
    <w:rPr>
      <w:kern w:val="0"/>
      <w:sz w:val="20"/>
      <w:szCs w:val="20"/>
    </w:rPr>
  </w:style>
  <w:style w:type="paragraph" w:styleId="41">
    <w:name w:val="Subtitle"/>
    <w:basedOn w:val="1"/>
    <w:next w:val="1"/>
    <w:link w:val="109"/>
    <w:qFormat/>
    <w:uiPriority w:val="0"/>
    <w:pPr>
      <w:spacing w:before="240" w:after="60" w:line="312" w:lineRule="auto"/>
      <w:jc w:val="center"/>
      <w:outlineLvl w:val="1"/>
    </w:pPr>
    <w:rPr>
      <w:rFonts w:ascii="宋体,Verdana,Arial" w:hAnsi="宋体,Verdana,Arial" w:eastAsia="Cambria"/>
      <w:b/>
      <w:bCs/>
      <w:kern w:val="28"/>
      <w:sz w:val="32"/>
      <w:szCs w:val="32"/>
    </w:rPr>
  </w:style>
  <w:style w:type="paragraph" w:styleId="42">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toc 6"/>
    <w:basedOn w:val="1"/>
    <w:next w:val="1"/>
    <w:qFormat/>
    <w:uiPriority w:val="0"/>
    <w:pPr>
      <w:autoSpaceDE w:val="0"/>
      <w:autoSpaceDN w:val="0"/>
      <w:adjustRightInd w:val="0"/>
      <w:ind w:left="2100" w:leftChars="1000"/>
      <w:jc w:val="left"/>
    </w:pPr>
    <w:rPr>
      <w:kern w:val="0"/>
      <w:sz w:val="20"/>
      <w:szCs w:val="20"/>
    </w:rPr>
  </w:style>
  <w:style w:type="paragraph" w:styleId="44">
    <w:name w:val="Body Text Indent 3"/>
    <w:basedOn w:val="1"/>
    <w:link w:val="151"/>
    <w:qFormat/>
    <w:uiPriority w:val="0"/>
    <w:pPr>
      <w:spacing w:line="500" w:lineRule="exact"/>
      <w:ind w:left="511" w:hanging="511" w:hangingChars="213"/>
    </w:pPr>
    <w:rPr>
      <w:rFonts w:eastAsia="Cambria"/>
      <w:sz w:val="24"/>
    </w:rPr>
  </w:style>
  <w:style w:type="paragraph" w:styleId="45">
    <w:name w:val="toc 2"/>
    <w:basedOn w:val="1"/>
    <w:next w:val="1"/>
    <w:qFormat/>
    <w:uiPriority w:val="0"/>
    <w:pPr>
      <w:ind w:left="420" w:leftChars="200"/>
    </w:pPr>
  </w:style>
  <w:style w:type="paragraph" w:styleId="46">
    <w:name w:val="toc 9"/>
    <w:basedOn w:val="1"/>
    <w:next w:val="1"/>
    <w:qFormat/>
    <w:uiPriority w:val="0"/>
    <w:pPr>
      <w:autoSpaceDE w:val="0"/>
      <w:autoSpaceDN w:val="0"/>
      <w:adjustRightInd w:val="0"/>
      <w:ind w:left="3360" w:leftChars="1600"/>
      <w:jc w:val="left"/>
    </w:pPr>
    <w:rPr>
      <w:kern w:val="0"/>
      <w:sz w:val="20"/>
      <w:szCs w:val="20"/>
    </w:rPr>
  </w:style>
  <w:style w:type="paragraph" w:styleId="47">
    <w:name w:val="Body Text 2"/>
    <w:basedOn w:val="1"/>
    <w:qFormat/>
    <w:uiPriority w:val="0"/>
    <w:pPr>
      <w:autoSpaceDE w:val="0"/>
      <w:autoSpaceDN w:val="0"/>
      <w:adjustRightInd w:val="0"/>
      <w:spacing w:after="120" w:line="480" w:lineRule="auto"/>
      <w:jc w:val="left"/>
    </w:pPr>
    <w:rPr>
      <w:kern w:val="0"/>
      <w:sz w:val="20"/>
      <w:szCs w:val="20"/>
    </w:rPr>
  </w:style>
  <w:style w:type="paragraph" w:styleId="48">
    <w:name w:val="Normal (Web)"/>
    <w:basedOn w:val="1"/>
    <w:qFormat/>
    <w:uiPriority w:val="0"/>
    <w:pPr>
      <w:widowControl/>
      <w:spacing w:before="100" w:beforeAutospacing="1" w:after="100" w:afterAutospacing="1"/>
      <w:jc w:val="left"/>
    </w:pPr>
    <w:rPr>
      <w:rFonts w:ascii="Cambria" w:hAnsi="Cambria" w:cs="Cambria"/>
      <w:kern w:val="0"/>
      <w:sz w:val="24"/>
    </w:rPr>
  </w:style>
  <w:style w:type="paragraph" w:styleId="49">
    <w:name w:val="Title"/>
    <w:basedOn w:val="1"/>
    <w:link w:val="150"/>
    <w:qFormat/>
    <w:uiPriority w:val="0"/>
    <w:pPr>
      <w:autoSpaceDE w:val="0"/>
      <w:autoSpaceDN w:val="0"/>
      <w:adjustRightInd w:val="0"/>
      <w:spacing w:before="240" w:after="60"/>
      <w:jc w:val="center"/>
      <w:outlineLvl w:val="0"/>
    </w:pPr>
    <w:rPr>
      <w:rFonts w:ascii="宋体,Verdana,Arial" w:hAnsi="宋体,Verdana,Arial" w:eastAsia="Cambria"/>
      <w:b/>
      <w:bCs/>
      <w:kern w:val="0"/>
      <w:sz w:val="32"/>
      <w:szCs w:val="32"/>
    </w:r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0"/>
    <w:rPr>
      <w:color w:val="338DE6"/>
      <w:u w:val="none"/>
    </w:rPr>
  </w:style>
  <w:style w:type="character" w:styleId="54">
    <w:name w:val="Emphasis"/>
    <w:qFormat/>
    <w:uiPriority w:val="0"/>
    <w:rPr>
      <w:i/>
      <w:iCs/>
    </w:rPr>
  </w:style>
  <w:style w:type="character" w:styleId="55">
    <w:name w:val="line number"/>
    <w:basedOn w:val="50"/>
    <w:qFormat/>
    <w:uiPriority w:val="0"/>
  </w:style>
  <w:style w:type="character" w:styleId="56">
    <w:name w:val="HTML Definition"/>
    <w:qFormat/>
    <w:uiPriority w:val="0"/>
  </w:style>
  <w:style w:type="character" w:styleId="57">
    <w:name w:val="HTML Variable"/>
    <w:qFormat/>
    <w:uiPriority w:val="0"/>
  </w:style>
  <w:style w:type="character" w:styleId="58">
    <w:name w:val="Hyperlink"/>
    <w:basedOn w:val="50"/>
    <w:qFormat/>
    <w:uiPriority w:val="99"/>
    <w:rPr>
      <w:color w:val="000000"/>
      <w:sz w:val="20"/>
      <w:szCs w:val="20"/>
      <w:u w:val="none"/>
    </w:rPr>
  </w:style>
  <w:style w:type="character" w:styleId="59">
    <w:name w:val="HTML Code"/>
    <w:qFormat/>
    <w:uiPriority w:val="0"/>
    <w:rPr>
      <w:rFonts w:hint="default" w:ascii="monospace" w:hAnsi="monospace" w:eastAsia="monospace" w:cs="monospace"/>
      <w:sz w:val="21"/>
      <w:szCs w:val="21"/>
    </w:rPr>
  </w:style>
  <w:style w:type="character" w:styleId="60">
    <w:name w:val="annotation reference"/>
    <w:qFormat/>
    <w:uiPriority w:val="0"/>
    <w:rPr>
      <w:sz w:val="21"/>
      <w:szCs w:val="21"/>
    </w:rPr>
  </w:style>
  <w:style w:type="character" w:styleId="61">
    <w:name w:val="HTML Cite"/>
    <w:qFormat/>
    <w:uiPriority w:val="0"/>
    <w:rPr>
      <w:color w:val="008000"/>
    </w:rPr>
  </w:style>
  <w:style w:type="character" w:styleId="62">
    <w:name w:val="HTML Keyboard"/>
    <w:qFormat/>
    <w:uiPriority w:val="0"/>
    <w:rPr>
      <w:rFonts w:hint="default" w:ascii="monospace" w:hAnsi="monospace" w:eastAsia="monospace" w:cs="monospace"/>
      <w:sz w:val="21"/>
      <w:szCs w:val="21"/>
    </w:rPr>
  </w:style>
  <w:style w:type="character" w:styleId="63">
    <w:name w:val="HTML Sample"/>
    <w:qFormat/>
    <w:uiPriority w:val="0"/>
    <w:rPr>
      <w:rFonts w:ascii="monospace" w:hAnsi="monospace" w:eastAsia="monospace" w:cs="monospace"/>
      <w:sz w:val="21"/>
      <w:szCs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6">
    <w:name w:val="表正文 Char2"/>
    <w:qFormat/>
    <w:uiPriority w:val="0"/>
    <w:rPr>
      <w:rFonts w:ascii="黑体" w:hAnsi="黑体" w:eastAsia="Cambria" w:cs="黑体"/>
      <w:szCs w:val="24"/>
    </w:rPr>
  </w:style>
  <w:style w:type="character" w:customStyle="1" w:styleId="67">
    <w:name w:val="Ò³Ã¼ Char Char"/>
    <w:qFormat/>
    <w:uiPriority w:val="0"/>
    <w:rPr>
      <w:sz w:val="18"/>
      <w:szCs w:val="18"/>
    </w:rPr>
  </w:style>
  <w:style w:type="character" w:customStyle="1" w:styleId="68">
    <w:name w:val="小标题 Char Char"/>
    <w:link w:val="69"/>
    <w:qFormat/>
    <w:uiPriority w:val="0"/>
    <w:rPr>
      <w:rFonts w:ascii="黑体" w:hAnsi="黑体" w:eastAsia="ˎ̥" w:cs="黑体"/>
      <w:lang w:val="en-US" w:eastAsia="zh-CN" w:bidi="ar-SA"/>
    </w:rPr>
  </w:style>
  <w:style w:type="paragraph" w:customStyle="1" w:styleId="69">
    <w:name w:val="小标题"/>
    <w:basedOn w:val="1"/>
    <w:link w:val="68"/>
    <w:qFormat/>
    <w:uiPriority w:val="0"/>
    <w:pPr>
      <w:autoSpaceDE w:val="0"/>
      <w:autoSpaceDN w:val="0"/>
      <w:adjustRightInd w:val="0"/>
      <w:spacing w:before="120" w:line="360" w:lineRule="atLeast"/>
      <w:ind w:left="1134"/>
      <w:jc w:val="left"/>
      <w:textAlignment w:val="baseline"/>
    </w:pPr>
    <w:rPr>
      <w:rFonts w:ascii="黑体" w:hAnsi="黑体" w:eastAsia="ˎ̥" w:cs="黑体"/>
      <w:kern w:val="0"/>
      <w:sz w:val="20"/>
      <w:szCs w:val="20"/>
    </w:rPr>
  </w:style>
  <w:style w:type="character" w:customStyle="1" w:styleId="70">
    <w:name w:val="Char Char"/>
    <w:qFormat/>
    <w:uiPriority w:val="0"/>
    <w:rPr>
      <w:rFonts w:ascii="宋体" w:hAnsi="Courier New" w:eastAsia="宋体"/>
      <w:sz w:val="21"/>
      <w:szCs w:val="21"/>
      <w:lang w:val="en-US" w:eastAsia="zh-CN" w:bidi="ar-SA"/>
    </w:rPr>
  </w:style>
  <w:style w:type="character" w:customStyle="1" w:styleId="71">
    <w:name w:val="Style2"/>
    <w:qFormat/>
    <w:uiPriority w:val="0"/>
    <w:rPr>
      <w:rFonts w:ascii="Helvetica" w:hAnsi="Cambria" w:eastAsia="Cambria" w:cs="黑体"/>
      <w:sz w:val="22"/>
      <w:szCs w:val="22"/>
      <w:lang w:eastAsia="zh-CN"/>
    </w:rPr>
  </w:style>
  <w:style w:type="character" w:customStyle="1" w:styleId="72">
    <w:name w:val="Char Char Char Char Char Char Char Char Char Char Char Char Char Char Char"/>
    <w:qFormat/>
    <w:uiPriority w:val="0"/>
    <w:rPr>
      <w:rFonts w:ascii="Cambria" w:hAnsi="隶书" w:eastAsia="Cambria"/>
      <w:sz w:val="21"/>
      <w:szCs w:val="21"/>
      <w:lang w:val="en-US" w:eastAsia="zh-CN" w:bidi="ar-SA"/>
    </w:rPr>
  </w:style>
  <w:style w:type="character" w:customStyle="1" w:styleId="73">
    <w:name w:val="pt141"/>
    <w:qFormat/>
    <w:uiPriority w:val="0"/>
    <w:rPr>
      <w:color w:val="330066"/>
      <w:spacing w:val="450"/>
      <w:sz w:val="22"/>
      <w:szCs w:val="22"/>
    </w:rPr>
  </w:style>
  <w:style w:type="character" w:customStyle="1" w:styleId="74">
    <w:name w:val="正文首行缩进 Char"/>
    <w:link w:val="2"/>
    <w:qFormat/>
    <w:uiPriority w:val="0"/>
    <w:rPr>
      <w:rFonts w:eastAsia="Cambria"/>
      <w:lang w:val="en-US" w:eastAsia="zh-CN" w:bidi="ar-SA"/>
    </w:rPr>
  </w:style>
  <w:style w:type="character" w:customStyle="1" w:styleId="75">
    <w:name w:val="样式 宋体"/>
    <w:qFormat/>
    <w:uiPriority w:val="0"/>
    <w:rPr>
      <w:rFonts w:ascii="Cambria" w:hAnsi="Cambria" w:eastAsia="Cambria"/>
      <w:sz w:val="24"/>
      <w:szCs w:val="24"/>
    </w:rPr>
  </w:style>
  <w:style w:type="character" w:customStyle="1" w:styleId="76">
    <w:name w:val="明显强调1"/>
    <w:qFormat/>
    <w:uiPriority w:val="0"/>
    <w:rPr>
      <w:b/>
      <w:bCs/>
      <w:i/>
      <w:iCs/>
      <w:color w:val="4F81BD"/>
    </w:rPr>
  </w:style>
  <w:style w:type="character" w:customStyle="1" w:styleId="77">
    <w:name w:val="Char Char16"/>
    <w:qFormat/>
    <w:uiPriority w:val="0"/>
    <w:rPr>
      <w:b/>
      <w:bCs/>
      <w:kern w:val="2"/>
      <w:sz w:val="28"/>
      <w:szCs w:val="28"/>
    </w:rPr>
  </w:style>
  <w:style w:type="character" w:customStyle="1" w:styleId="78">
    <w:name w:val="列出段落 Char"/>
    <w:link w:val="79"/>
    <w:qFormat/>
    <w:uiPriority w:val="0"/>
    <w:rPr>
      <w:rFonts w:ascii="Helvetica" w:hAnsi="Helvetica" w:eastAsia="Cambria" w:cs="黑体"/>
      <w:kern w:val="2"/>
      <w:sz w:val="21"/>
      <w:szCs w:val="22"/>
      <w:lang w:val="en-US" w:eastAsia="zh-CN" w:bidi="ar-SA"/>
    </w:rPr>
  </w:style>
  <w:style w:type="paragraph" w:customStyle="1" w:styleId="79">
    <w:name w:val="列出段落1"/>
    <w:basedOn w:val="1"/>
    <w:link w:val="78"/>
    <w:qFormat/>
    <w:uiPriority w:val="0"/>
    <w:pPr>
      <w:ind w:firstLine="420" w:firstLineChars="200"/>
    </w:pPr>
    <w:rPr>
      <w:rFonts w:ascii="Helvetica" w:hAnsi="Helvetica" w:eastAsia="Cambria" w:cs="黑体"/>
      <w:szCs w:val="22"/>
    </w:rPr>
  </w:style>
  <w:style w:type="character" w:customStyle="1" w:styleId="80">
    <w:name w:val="Footer-Even Char1"/>
    <w:qFormat/>
    <w:uiPriority w:val="0"/>
    <w:rPr>
      <w:rFonts w:eastAsia="Cambria"/>
      <w:kern w:val="2"/>
      <w:sz w:val="18"/>
      <w:szCs w:val="18"/>
      <w:lang w:val="en-US" w:eastAsia="zh-CN" w:bidi="ar-SA"/>
    </w:rPr>
  </w:style>
  <w:style w:type="character" w:customStyle="1" w:styleId="81">
    <w:name w:val="Char Char Char1"/>
    <w:qFormat/>
    <w:uiPriority w:val="0"/>
    <w:rPr>
      <w:rFonts w:ascii="Cambria" w:hAnsi="隶书"/>
      <w:sz w:val="21"/>
      <w:szCs w:val="21"/>
    </w:rPr>
  </w:style>
  <w:style w:type="character" w:customStyle="1" w:styleId="82">
    <w:name w:val="fontstrikethrough"/>
    <w:qFormat/>
    <w:uiPriority w:val="0"/>
    <w:rPr>
      <w:strike/>
    </w:rPr>
  </w:style>
  <w:style w:type="character" w:customStyle="1" w:styleId="83">
    <w:name w:val="Char Char19"/>
    <w:qFormat/>
    <w:uiPriority w:val="0"/>
    <w:rPr>
      <w:rFonts w:ascii="宋体,Verdana,Arial" w:hAnsi="宋体,Verdana,Arial"/>
      <w:b/>
      <w:bCs/>
      <w:kern w:val="2"/>
      <w:sz w:val="32"/>
      <w:szCs w:val="32"/>
    </w:rPr>
  </w:style>
  <w:style w:type="character" w:customStyle="1" w:styleId="84">
    <w:name w:val="Char Char6"/>
    <w:qFormat/>
    <w:uiPriority w:val="0"/>
    <w:rPr>
      <w:rFonts w:ascii="黑体" w:hAnsi="黑体" w:eastAsia="Cambria" w:cs="黑体"/>
      <w:szCs w:val="24"/>
    </w:rPr>
  </w:style>
  <w:style w:type="character" w:customStyle="1" w:styleId="85">
    <w:name w:val="heading 9 Char1"/>
    <w:qFormat/>
    <w:uiPriority w:val="0"/>
    <w:rPr>
      <w:rFonts w:ascii="Courier New" w:hAnsi="Courier New" w:eastAsia="ˎ̥"/>
      <w:sz w:val="21"/>
      <w:lang w:val="en-US" w:eastAsia="zh-CN" w:bidi="ar-SA"/>
    </w:rPr>
  </w:style>
  <w:style w:type="character" w:customStyle="1" w:styleId="86">
    <w:name w:val="标题 6 Char"/>
    <w:link w:val="9"/>
    <w:qFormat/>
    <w:uiPriority w:val="0"/>
    <w:rPr>
      <w:rFonts w:ascii="Courier New" w:hAnsi="Courier New" w:eastAsia="ˎ̥"/>
      <w:sz w:val="21"/>
      <w:szCs w:val="21"/>
      <w:lang w:val="en-US" w:eastAsia="zh-CN" w:bidi="ar-SA"/>
    </w:rPr>
  </w:style>
  <w:style w:type="character" w:customStyle="1" w:styleId="87">
    <w:name w:val="目录标题 Char Char"/>
    <w:link w:val="88"/>
    <w:qFormat/>
    <w:uiPriority w:val="0"/>
    <w:rPr>
      <w:rFonts w:eastAsia="Verdana"/>
      <w:b/>
      <w:bCs/>
      <w:kern w:val="2"/>
      <w:sz w:val="44"/>
      <w:szCs w:val="44"/>
      <w:lang w:bidi="ar-SA"/>
    </w:rPr>
  </w:style>
  <w:style w:type="paragraph" w:customStyle="1" w:styleId="88">
    <w:name w:val="目录标题"/>
    <w:basedOn w:val="1"/>
    <w:link w:val="87"/>
    <w:qFormat/>
    <w:uiPriority w:val="0"/>
    <w:pPr>
      <w:jc w:val="center"/>
    </w:pPr>
    <w:rPr>
      <w:rFonts w:eastAsia="Verdana"/>
      <w:b/>
      <w:bCs/>
      <w:sz w:val="44"/>
      <w:szCs w:val="44"/>
    </w:rPr>
  </w:style>
  <w:style w:type="character" w:customStyle="1" w:styleId="89">
    <w:name w:val="Table Text Char Char"/>
    <w:link w:val="90"/>
    <w:qFormat/>
    <w:uiPriority w:val="0"/>
    <w:rPr>
      <w:rFonts w:eastAsia="Cambria"/>
      <w:sz w:val="24"/>
      <w:lang w:bidi="ar-SA"/>
    </w:rPr>
  </w:style>
  <w:style w:type="paragraph" w:customStyle="1" w:styleId="90">
    <w:name w:val="Table Text"/>
    <w:basedOn w:val="1"/>
    <w:link w:val="89"/>
    <w:qFormat/>
    <w:uiPriority w:val="0"/>
    <w:pPr>
      <w:widowControl/>
      <w:autoSpaceDE w:val="0"/>
      <w:autoSpaceDN w:val="0"/>
      <w:adjustRightInd w:val="0"/>
      <w:spacing w:before="60" w:after="60"/>
      <w:jc w:val="left"/>
    </w:pPr>
    <w:rPr>
      <w:rFonts w:eastAsia="Cambria"/>
      <w:kern w:val="0"/>
      <w:sz w:val="24"/>
      <w:szCs w:val="20"/>
    </w:rPr>
  </w:style>
  <w:style w:type="character" w:customStyle="1" w:styleId="91">
    <w:name w:val="Footer-Even Char2"/>
    <w:qFormat/>
    <w:uiPriority w:val="0"/>
    <w:rPr>
      <w:kern w:val="2"/>
      <w:sz w:val="18"/>
      <w:szCs w:val="18"/>
    </w:rPr>
  </w:style>
  <w:style w:type="character" w:customStyle="1" w:styleId="92">
    <w:name w:val="Ò³Ã¼ Char Char1"/>
    <w:qFormat/>
    <w:uiPriority w:val="0"/>
    <w:rPr>
      <w:rFonts w:eastAsia="Cambria"/>
      <w:kern w:val="2"/>
      <w:sz w:val="18"/>
      <w:szCs w:val="18"/>
      <w:lang w:val="en-US" w:eastAsia="zh-CN" w:bidi="ar-SA"/>
    </w:rPr>
  </w:style>
  <w:style w:type="character" w:customStyle="1" w:styleId="93">
    <w:name w:val="哈哈正文 Char Char"/>
    <w:link w:val="94"/>
    <w:qFormat/>
    <w:uiPriority w:val="0"/>
    <w:rPr>
      <w:rFonts w:ascii="仿宋_GB2312" w:hAnsi="仿宋_GB2312"/>
      <w:kern w:val="2"/>
      <w:sz w:val="24"/>
      <w:lang w:bidi="ar-SA"/>
    </w:rPr>
  </w:style>
  <w:style w:type="paragraph" w:customStyle="1" w:styleId="94">
    <w:name w:val="哈哈正文"/>
    <w:basedOn w:val="1"/>
    <w:link w:val="93"/>
    <w:qFormat/>
    <w:uiPriority w:val="0"/>
    <w:pPr>
      <w:spacing w:line="360" w:lineRule="auto"/>
      <w:ind w:firstLine="200" w:firstLineChars="200"/>
    </w:pPr>
    <w:rPr>
      <w:rFonts w:ascii="仿宋_GB2312" w:hAnsi="仿宋_GB2312"/>
      <w:sz w:val="24"/>
      <w:szCs w:val="20"/>
    </w:rPr>
  </w:style>
  <w:style w:type="character" w:customStyle="1" w:styleId="95">
    <w:name w:val="heading 4 Char"/>
    <w:qFormat/>
    <w:uiPriority w:val="0"/>
    <w:rPr>
      <w:rFonts w:ascii="Courier New" w:hAnsi="Courier New" w:eastAsia="ˎ̥" w:cs="黑体"/>
      <w:sz w:val="21"/>
      <w:szCs w:val="21"/>
    </w:rPr>
  </w:style>
  <w:style w:type="character" w:customStyle="1" w:styleId="96">
    <w:name w:val="编号正文缩进 Char Char"/>
    <w:link w:val="97"/>
    <w:qFormat/>
    <w:uiPriority w:val="0"/>
    <w:rPr>
      <w:sz w:val="24"/>
    </w:rPr>
  </w:style>
  <w:style w:type="paragraph" w:customStyle="1" w:styleId="97">
    <w:name w:val="编号正文缩进"/>
    <w:basedOn w:val="18"/>
    <w:link w:val="96"/>
    <w:qFormat/>
    <w:uiPriority w:val="0"/>
    <w:pPr>
      <w:tabs>
        <w:tab w:val="left" w:pos="1497"/>
      </w:tabs>
      <w:spacing w:line="400" w:lineRule="atLeast"/>
      <w:ind w:left="360" w:hanging="360"/>
    </w:pPr>
    <w:rPr>
      <w:rFonts w:eastAsia="宋体"/>
      <w:sz w:val="24"/>
    </w:rPr>
  </w:style>
  <w:style w:type="character" w:customStyle="1" w:styleId="98">
    <w:name w:val="正文文本缩进 Char"/>
    <w:link w:val="24"/>
    <w:qFormat/>
    <w:uiPriority w:val="0"/>
    <w:rPr>
      <w:rFonts w:eastAsia="Cambria"/>
      <w:kern w:val="2"/>
      <w:sz w:val="24"/>
      <w:szCs w:val="24"/>
      <w:lang w:val="en-US" w:eastAsia="zh-CN" w:bidi="ar-SA"/>
    </w:rPr>
  </w:style>
  <w:style w:type="character" w:customStyle="1" w:styleId="99">
    <w:name w:val="dandyren_title1"/>
    <w:qFormat/>
    <w:uiPriority w:val="0"/>
    <w:rPr>
      <w:b/>
      <w:bCs/>
      <w:color w:val="FF6633"/>
      <w:sz w:val="18"/>
      <w:szCs w:val="18"/>
    </w:rPr>
  </w:style>
  <w:style w:type="character" w:customStyle="1" w:styleId="100">
    <w:name w:val="正文文本缩进 2 Char"/>
    <w:link w:val="33"/>
    <w:qFormat/>
    <w:uiPriority w:val="0"/>
    <w:rPr>
      <w:rFonts w:eastAsia="Cambria"/>
      <w:kern w:val="2"/>
      <w:sz w:val="24"/>
      <w:szCs w:val="24"/>
      <w:lang w:val="en-US" w:eastAsia="zh-CN" w:bidi="ar-SA"/>
    </w:rPr>
  </w:style>
  <w:style w:type="character" w:customStyle="1" w:styleId="101">
    <w:name w:val="不明显强调1"/>
    <w:qFormat/>
    <w:uiPriority w:val="0"/>
    <w:rPr>
      <w:i/>
      <w:iCs/>
      <w:color w:val="808080"/>
    </w:rPr>
  </w:style>
  <w:style w:type="character" w:customStyle="1" w:styleId="102">
    <w:name w:val="明显参考1"/>
    <w:qFormat/>
    <w:uiPriority w:val="0"/>
    <w:rPr>
      <w:b/>
      <w:bCs/>
      <w:smallCaps/>
      <w:color w:val="C0504D"/>
      <w:spacing w:val="5"/>
      <w:u w:val="single"/>
    </w:rPr>
  </w:style>
  <w:style w:type="character" w:customStyle="1" w:styleId="103">
    <w:name w:val="批注主题 Char"/>
    <w:link w:val="13"/>
    <w:qFormat/>
    <w:uiPriority w:val="0"/>
    <w:rPr>
      <w:rFonts w:eastAsia="Cambria"/>
      <w:b/>
      <w:bCs/>
      <w:kern w:val="2"/>
      <w:sz w:val="21"/>
      <w:szCs w:val="24"/>
      <w:lang w:val="en-US" w:eastAsia="zh-CN" w:bidi="ar-SA"/>
    </w:rPr>
  </w:style>
  <w:style w:type="character" w:customStyle="1" w:styleId="104">
    <w:name w:val="PI Char2"/>
    <w:qFormat/>
    <w:uiPriority w:val="0"/>
    <w:rPr>
      <w:kern w:val="2"/>
      <w:sz w:val="24"/>
      <w:szCs w:val="24"/>
    </w:rPr>
  </w:style>
  <w:style w:type="character" w:customStyle="1" w:styleId="105">
    <w:name w:val="Style1"/>
    <w:qFormat/>
    <w:uiPriority w:val="0"/>
    <w:rPr>
      <w:rFonts w:ascii="Helvetica" w:hAnsi="Cambria" w:eastAsia="Cambria" w:cs="黑体"/>
      <w:sz w:val="22"/>
      <w:szCs w:val="22"/>
      <w:lang w:eastAsia="zh-CN"/>
    </w:rPr>
  </w:style>
  <w:style w:type="character" w:customStyle="1" w:styleId="106">
    <w:name w:val="Style5"/>
    <w:qFormat/>
    <w:uiPriority w:val="0"/>
    <w:rPr>
      <w:rFonts w:ascii="Helvetica" w:hAnsi="Cambria" w:eastAsia="Cambria" w:cs="黑体"/>
      <w:sz w:val="22"/>
      <w:szCs w:val="22"/>
      <w:lang w:eastAsia="zh-CN"/>
    </w:rPr>
  </w:style>
  <w:style w:type="character" w:customStyle="1" w:styleId="107">
    <w:name w:val="heading 1 Char"/>
    <w:qFormat/>
    <w:uiPriority w:val="0"/>
    <w:rPr>
      <w:rFonts w:ascii="Courier New" w:hAnsi="Courier New" w:eastAsia="ˎ̥"/>
      <w:b/>
      <w:sz w:val="36"/>
      <w:szCs w:val="36"/>
    </w:rPr>
  </w:style>
  <w:style w:type="character" w:customStyle="1" w:styleId="108">
    <w:name w:val="纯文本 Char"/>
    <w:link w:val="29"/>
    <w:qFormat/>
    <w:uiPriority w:val="0"/>
    <w:rPr>
      <w:rFonts w:ascii="Cambria" w:hAnsi="隶书" w:eastAsia="Cambria"/>
      <w:sz w:val="21"/>
      <w:szCs w:val="21"/>
      <w:lang w:val="en-US" w:eastAsia="zh-CN" w:bidi="ar-SA"/>
    </w:rPr>
  </w:style>
  <w:style w:type="character" w:customStyle="1" w:styleId="109">
    <w:name w:val="副标题 Char"/>
    <w:link w:val="41"/>
    <w:qFormat/>
    <w:uiPriority w:val="0"/>
    <w:rPr>
      <w:rFonts w:ascii="宋体,Verdana,Arial" w:hAnsi="宋体,Verdana,Arial" w:eastAsia="Cambria"/>
      <w:b/>
      <w:bCs/>
      <w:kern w:val="28"/>
      <w:sz w:val="32"/>
      <w:szCs w:val="32"/>
      <w:lang w:val="en-US" w:eastAsia="zh-CN" w:bidi="ar-SA"/>
    </w:rPr>
  </w:style>
  <w:style w:type="character" w:customStyle="1" w:styleId="110">
    <w:name w:val="Char Char20"/>
    <w:qFormat/>
    <w:uiPriority w:val="0"/>
    <w:rPr>
      <w:b/>
      <w:bCs/>
      <w:kern w:val="44"/>
      <w:sz w:val="44"/>
      <w:szCs w:val="44"/>
    </w:rPr>
  </w:style>
  <w:style w:type="character" w:customStyle="1" w:styleId="111">
    <w:name w:val="批注框文本 Char"/>
    <w:link w:val="34"/>
    <w:qFormat/>
    <w:uiPriority w:val="0"/>
    <w:rPr>
      <w:rFonts w:eastAsia="Cambria"/>
      <w:kern w:val="2"/>
      <w:sz w:val="18"/>
      <w:szCs w:val="18"/>
      <w:lang w:val="en-US" w:eastAsia="zh-CN" w:bidi="ar-SA"/>
    </w:rPr>
  </w:style>
  <w:style w:type="character" w:customStyle="1" w:styleId="112">
    <w:name w:val="样式 标题 3 + 黑体 小四 Char Char"/>
    <w:link w:val="113"/>
    <w:qFormat/>
    <w:uiPriority w:val="0"/>
    <w:rPr>
      <w:rFonts w:ascii="ˎ̥" w:hAnsi="Courier New" w:eastAsia="ˎ̥"/>
      <w:bCs/>
      <w:sz w:val="24"/>
      <w:szCs w:val="24"/>
      <w:lang w:bidi="ar-SA"/>
    </w:rPr>
  </w:style>
  <w:style w:type="paragraph" w:customStyle="1" w:styleId="113">
    <w:name w:val="样式 标题 3 + 黑体 小四"/>
    <w:basedOn w:val="6"/>
    <w:link w:val="112"/>
    <w:qFormat/>
    <w:uiPriority w:val="0"/>
    <w:rPr>
      <w:rFonts w:ascii="ˎ̥" w:hAnsi="Courier New" w:eastAsia="ˎ̥"/>
      <w:b w:val="0"/>
      <w:kern w:val="0"/>
      <w:sz w:val="24"/>
      <w:szCs w:val="24"/>
    </w:rPr>
  </w:style>
  <w:style w:type="character" w:customStyle="1" w:styleId="114">
    <w:name w:val="linkgray"/>
    <w:basedOn w:val="50"/>
    <w:qFormat/>
    <w:uiPriority w:val="0"/>
  </w:style>
  <w:style w:type="character" w:customStyle="1" w:styleId="115">
    <w:name w:val="Char Char11"/>
    <w:qFormat/>
    <w:uiPriority w:val="0"/>
    <w:rPr>
      <w:rFonts w:ascii="黑体" w:hAnsi="黑体" w:eastAsia="Cambria" w:cs="黑体"/>
      <w:sz w:val="18"/>
      <w:szCs w:val="18"/>
    </w:rPr>
  </w:style>
  <w:style w:type="character" w:customStyle="1" w:styleId="116">
    <w:name w:val="heading 2 Char"/>
    <w:qFormat/>
    <w:uiPriority w:val="0"/>
    <w:rPr>
      <w:rFonts w:ascii="Courier New" w:hAnsi="Courier New" w:eastAsia="ˎ̥" w:cs="黑体"/>
      <w:sz w:val="30"/>
      <w:szCs w:val="24"/>
    </w:rPr>
  </w:style>
  <w:style w:type="character" w:customStyle="1" w:styleId="117">
    <w:name w:val="书籍标题1"/>
    <w:qFormat/>
    <w:uiPriority w:val="0"/>
    <w:rPr>
      <w:b/>
      <w:bCs/>
      <w:smallCaps/>
      <w:spacing w:val="5"/>
    </w:rPr>
  </w:style>
  <w:style w:type="character" w:customStyle="1" w:styleId="118">
    <w:name w:val="栏目标题 Char Char"/>
    <w:link w:val="119"/>
    <w:qFormat/>
    <w:uiPriority w:val="0"/>
    <w:rPr>
      <w:rFonts w:ascii="Verdana" w:hAnsi="Verdana" w:eastAsia="Verdana"/>
      <w:b/>
      <w:kern w:val="2"/>
      <w:sz w:val="21"/>
      <w:szCs w:val="24"/>
      <w:lang w:bidi="ar-SA"/>
    </w:rPr>
  </w:style>
  <w:style w:type="paragraph" w:customStyle="1" w:styleId="119">
    <w:name w:val="栏目标题"/>
    <w:basedOn w:val="1"/>
    <w:link w:val="118"/>
    <w:qFormat/>
    <w:uiPriority w:val="0"/>
    <w:pPr>
      <w:jc w:val="center"/>
    </w:pPr>
    <w:rPr>
      <w:rFonts w:ascii="Verdana" w:hAnsi="Verdana" w:eastAsia="Verdana"/>
      <w:b/>
    </w:rPr>
  </w:style>
  <w:style w:type="character" w:customStyle="1" w:styleId="120">
    <w:name w:val="No Spacing Char Char"/>
    <w:link w:val="121"/>
    <w:qFormat/>
    <w:uiPriority w:val="0"/>
    <w:rPr>
      <w:rFonts w:ascii="仿宋_GB2312" w:hAnsi="仿宋_GB2312" w:eastAsia="仿宋_GB2312"/>
      <w:sz w:val="22"/>
      <w:szCs w:val="22"/>
      <w:lang w:val="en-US" w:eastAsia="en-US" w:bidi="ar-SA"/>
    </w:rPr>
  </w:style>
  <w:style w:type="paragraph" w:customStyle="1" w:styleId="121">
    <w:name w:val="无间隔1"/>
    <w:link w:val="120"/>
    <w:qFormat/>
    <w:uiPriority w:val="0"/>
    <w:rPr>
      <w:rFonts w:ascii="仿宋_GB2312" w:hAnsi="仿宋_GB2312" w:eastAsia="仿宋_GB2312" w:cs="Times New Roman"/>
      <w:sz w:val="22"/>
      <w:szCs w:val="22"/>
      <w:lang w:val="en-US" w:eastAsia="en-US" w:bidi="ar-SA"/>
    </w:rPr>
  </w:style>
  <w:style w:type="character" w:customStyle="1" w:styleId="122">
    <w:name w:val="heading 4 Char2"/>
    <w:qFormat/>
    <w:uiPriority w:val="0"/>
    <w:rPr>
      <w:rFonts w:ascii="宋体,Verdana,Arial" w:hAnsi="宋体,Verdana,Arial"/>
      <w:b/>
      <w:bCs/>
      <w:kern w:val="2"/>
      <w:sz w:val="28"/>
      <w:szCs w:val="28"/>
    </w:rPr>
  </w:style>
  <w:style w:type="character" w:customStyle="1" w:styleId="123">
    <w:name w:val="heading 1 Char2"/>
    <w:qFormat/>
    <w:uiPriority w:val="0"/>
    <w:rPr>
      <w:b/>
      <w:bCs/>
      <w:kern w:val="44"/>
      <w:sz w:val="44"/>
      <w:szCs w:val="44"/>
    </w:rPr>
  </w:style>
  <w:style w:type="character" w:customStyle="1" w:styleId="124">
    <w:name w:val="标题 2 Char"/>
    <w:link w:val="5"/>
    <w:qFormat/>
    <w:uiPriority w:val="0"/>
    <w:rPr>
      <w:rFonts w:ascii="宋体,Verdana,Arial" w:hAnsi="宋体,Verdana,Arial" w:eastAsia="Cambria"/>
      <w:b/>
      <w:bCs/>
      <w:kern w:val="2"/>
      <w:sz w:val="32"/>
      <w:szCs w:val="32"/>
      <w:lang w:val="en-US" w:eastAsia="zh-CN" w:bidi="ar-SA"/>
    </w:rPr>
  </w:style>
  <w:style w:type="character" w:customStyle="1" w:styleId="125">
    <w:name w:val="文档结构图 Char"/>
    <w:link w:val="21"/>
    <w:qFormat/>
    <w:uiPriority w:val="0"/>
    <w:rPr>
      <w:rFonts w:eastAsia="Cambria"/>
      <w:kern w:val="2"/>
      <w:sz w:val="21"/>
      <w:szCs w:val="24"/>
      <w:lang w:val="en-US" w:eastAsia="zh-CN" w:bidi="ar-SA"/>
    </w:rPr>
  </w:style>
  <w:style w:type="character" w:customStyle="1" w:styleId="126">
    <w:name w:val="正文缩进 Char"/>
    <w:link w:val="18"/>
    <w:qFormat/>
    <w:uiPriority w:val="0"/>
    <w:rPr>
      <w:rFonts w:eastAsia="Cambria"/>
      <w:sz w:val="21"/>
      <w:lang w:val="en-US" w:eastAsia="zh-CN" w:bidi="ar-SA"/>
    </w:rPr>
  </w:style>
  <w:style w:type="character" w:customStyle="1" w:styleId="127">
    <w:name w:val="heading 3 Char"/>
    <w:qFormat/>
    <w:uiPriority w:val="0"/>
    <w:rPr>
      <w:rFonts w:ascii="Courier New" w:hAnsi="Courier New" w:eastAsia="ˎ̥"/>
      <w:sz w:val="28"/>
      <w:szCs w:val="24"/>
    </w:rPr>
  </w:style>
  <w:style w:type="character" w:customStyle="1" w:styleId="128">
    <w:name w:val="A3 Char Char"/>
    <w:link w:val="129"/>
    <w:qFormat/>
    <w:uiPriority w:val="0"/>
    <w:rPr>
      <w:rFonts w:eastAsia="仿宋_GB2312"/>
      <w:b/>
      <w:bCs/>
      <w:sz w:val="32"/>
      <w:szCs w:val="32"/>
      <w:lang w:bidi="ar-SA"/>
    </w:rPr>
  </w:style>
  <w:style w:type="paragraph" w:customStyle="1" w:styleId="129">
    <w:name w:val="A3"/>
    <w:basedOn w:val="6"/>
    <w:link w:val="128"/>
    <w:qFormat/>
    <w:uiPriority w:val="0"/>
    <w:pPr>
      <w:ind w:left="720" w:hanging="720"/>
      <w:jc w:val="left"/>
    </w:pPr>
    <w:rPr>
      <w:rFonts w:eastAsia="仿宋_GB2312"/>
      <w:kern w:val="0"/>
    </w:rPr>
  </w:style>
  <w:style w:type="character" w:customStyle="1" w:styleId="130">
    <w:name w:val="style41"/>
    <w:qFormat/>
    <w:uiPriority w:val="0"/>
    <w:rPr>
      <w:color w:val="auto"/>
    </w:rPr>
  </w:style>
  <w:style w:type="character" w:customStyle="1" w:styleId="131">
    <w:name w:val="引用 Char"/>
    <w:link w:val="132"/>
    <w:qFormat/>
    <w:uiPriority w:val="0"/>
    <w:rPr>
      <w:rFonts w:ascii="Helvetica" w:hAnsi="Helvetica" w:eastAsia="Cambria"/>
      <w:i/>
      <w:iCs/>
      <w:color w:val="000000"/>
      <w:lang w:val="en-US" w:eastAsia="zh-CN" w:bidi="ar-SA"/>
    </w:rPr>
  </w:style>
  <w:style w:type="paragraph" w:customStyle="1" w:styleId="132">
    <w:name w:val="引用1"/>
    <w:basedOn w:val="1"/>
    <w:next w:val="1"/>
    <w:link w:val="131"/>
    <w:qFormat/>
    <w:uiPriority w:val="0"/>
    <w:rPr>
      <w:rFonts w:ascii="Helvetica" w:hAnsi="Helvetica" w:eastAsia="Cambria"/>
      <w:i/>
      <w:iCs/>
      <w:color w:val="000000"/>
      <w:kern w:val="0"/>
      <w:sz w:val="20"/>
      <w:szCs w:val="20"/>
    </w:rPr>
  </w:style>
  <w:style w:type="character" w:customStyle="1" w:styleId="133">
    <w:name w:val="heading 2 Char1"/>
    <w:qFormat/>
    <w:uiPriority w:val="0"/>
    <w:rPr>
      <w:rFonts w:ascii="宋体,Verdana,Arial" w:hAnsi="宋体,Verdana,Arial" w:eastAsia="Cambria"/>
      <w:b/>
      <w:bCs/>
      <w:kern w:val="2"/>
      <w:sz w:val="32"/>
      <w:szCs w:val="32"/>
      <w:lang w:val="en-US" w:eastAsia="zh-CN" w:bidi="ar-SA"/>
    </w:rPr>
  </w:style>
  <w:style w:type="character" w:customStyle="1" w:styleId="134">
    <w:name w:val="标题 3 Char"/>
    <w:link w:val="6"/>
    <w:qFormat/>
    <w:uiPriority w:val="0"/>
    <w:rPr>
      <w:rFonts w:eastAsia="Cambria"/>
      <w:b/>
      <w:bCs/>
      <w:kern w:val="2"/>
      <w:sz w:val="32"/>
      <w:szCs w:val="32"/>
      <w:lang w:val="en-US" w:eastAsia="zh-CN" w:bidi="ar-SA"/>
    </w:rPr>
  </w:style>
  <w:style w:type="character" w:customStyle="1" w:styleId="135">
    <w:name w:val="Char Char15"/>
    <w:qFormat/>
    <w:uiPriority w:val="0"/>
    <w:rPr>
      <w:rFonts w:ascii="Courier New" w:hAnsi="Courier New" w:eastAsia="ˎ̥"/>
      <w:sz w:val="24"/>
      <w:szCs w:val="24"/>
    </w:rPr>
  </w:style>
  <w:style w:type="character" w:customStyle="1" w:styleId="136">
    <w:name w:val="Footer-Even Char"/>
    <w:qFormat/>
    <w:uiPriority w:val="0"/>
    <w:rPr>
      <w:sz w:val="18"/>
      <w:szCs w:val="18"/>
    </w:rPr>
  </w:style>
  <w:style w:type="character" w:customStyle="1" w:styleId="137">
    <w:name w:val="Char Char211"/>
    <w:qFormat/>
    <w:uiPriority w:val="0"/>
    <w:rPr>
      <w:rFonts w:ascii="黑体" w:hAnsi="黑体" w:eastAsia="Cambria" w:cs="黑体"/>
      <w:b/>
      <w:bCs/>
      <w:kern w:val="44"/>
      <w:sz w:val="44"/>
      <w:szCs w:val="44"/>
    </w:rPr>
  </w:style>
  <w:style w:type="character" w:customStyle="1" w:styleId="138">
    <w:name w:val="表格 Char Char"/>
    <w:link w:val="139"/>
    <w:qFormat/>
    <w:uiPriority w:val="0"/>
    <w:rPr>
      <w:rFonts w:ascii="Cambria" w:hAnsi="Cambria" w:eastAsia="Cambria"/>
      <w:lang w:val="en-US" w:eastAsia="zh-CN" w:bidi="ar-SA"/>
    </w:rPr>
  </w:style>
  <w:style w:type="paragraph" w:customStyle="1" w:styleId="139">
    <w:name w:val="表格"/>
    <w:basedOn w:val="1"/>
    <w:link w:val="138"/>
    <w:qFormat/>
    <w:uiPriority w:val="0"/>
    <w:pPr>
      <w:autoSpaceDE w:val="0"/>
      <w:autoSpaceDN w:val="0"/>
      <w:adjustRightInd w:val="0"/>
      <w:snapToGrid w:val="0"/>
      <w:ind w:firstLine="42" w:firstLineChars="21"/>
      <w:jc w:val="left"/>
    </w:pPr>
    <w:rPr>
      <w:rFonts w:ascii="Cambria" w:hAnsi="Cambria" w:eastAsia="Cambria"/>
      <w:kern w:val="0"/>
      <w:sz w:val="20"/>
      <w:szCs w:val="20"/>
    </w:rPr>
  </w:style>
  <w:style w:type="character" w:customStyle="1" w:styleId="140">
    <w:name w:val="宏文本 Char"/>
    <w:link w:val="16"/>
    <w:qFormat/>
    <w:uiPriority w:val="0"/>
    <w:rPr>
      <w:rFonts w:ascii="隶书" w:hAnsi="隶书"/>
      <w:kern w:val="2"/>
      <w:sz w:val="24"/>
      <w:szCs w:val="24"/>
      <w:lang w:val="en-US" w:eastAsia="zh-CN" w:bidi="ar-SA"/>
    </w:rPr>
  </w:style>
  <w:style w:type="character" w:customStyle="1" w:styleId="141">
    <w:name w:val="style111"/>
    <w:qFormat/>
    <w:uiPriority w:val="0"/>
    <w:rPr>
      <w:sz w:val="27"/>
      <w:szCs w:val="27"/>
    </w:rPr>
  </w:style>
  <w:style w:type="character" w:customStyle="1" w:styleId="142">
    <w:name w:val="font31"/>
    <w:qFormat/>
    <w:uiPriority w:val="0"/>
    <w:rPr>
      <w:rFonts w:hint="eastAsia" w:ascii="宋体" w:hAnsi="宋体" w:eastAsia="宋体" w:cs="宋体"/>
      <w:color w:val="000000"/>
      <w:sz w:val="24"/>
      <w:szCs w:val="24"/>
      <w:u w:val="none"/>
    </w:rPr>
  </w:style>
  <w:style w:type="character" w:customStyle="1" w:styleId="143">
    <w:name w:val="1Text Char Char"/>
    <w:link w:val="144"/>
    <w:qFormat/>
    <w:uiPriority w:val="0"/>
    <w:rPr>
      <w:rFonts w:ascii="仿宋_GB2312" w:hAnsi="仿宋_GB2312" w:eastAsia="仿宋_GB2312"/>
      <w:sz w:val="24"/>
      <w:szCs w:val="24"/>
      <w:lang w:bidi="ar-SA"/>
    </w:rPr>
  </w:style>
  <w:style w:type="paragraph" w:customStyle="1" w:styleId="144">
    <w:name w:val="1Text"/>
    <w:basedOn w:val="1"/>
    <w:link w:val="143"/>
    <w:qFormat/>
    <w:uiPriority w:val="0"/>
    <w:pPr>
      <w:spacing w:beforeLines="50" w:afterLines="50" w:line="360" w:lineRule="auto"/>
      <w:ind w:firstLine="480" w:firstLineChars="200"/>
      <w:jc w:val="left"/>
    </w:pPr>
    <w:rPr>
      <w:rFonts w:ascii="仿宋_GB2312" w:hAnsi="仿宋_GB2312" w:eastAsia="仿宋_GB2312"/>
      <w:kern w:val="0"/>
      <w:sz w:val="24"/>
    </w:rPr>
  </w:style>
  <w:style w:type="character" w:customStyle="1" w:styleId="145">
    <w:name w:val="样式2 Char Char"/>
    <w:link w:val="146"/>
    <w:qFormat/>
    <w:uiPriority w:val="0"/>
    <w:rPr>
      <w:rFonts w:ascii="Cambria" w:hAnsi="Cambria" w:eastAsia="Cambria"/>
      <w:bCs/>
      <w:kern w:val="2"/>
      <w:sz w:val="28"/>
      <w:szCs w:val="28"/>
      <w:lang w:val="en-US" w:eastAsia="zh-CN" w:bidi="ar-SA"/>
    </w:rPr>
  </w:style>
  <w:style w:type="paragraph" w:customStyle="1" w:styleId="146">
    <w:name w:val="样式2"/>
    <w:basedOn w:val="5"/>
    <w:link w:val="145"/>
    <w:qFormat/>
    <w:uiPriority w:val="0"/>
    <w:pPr>
      <w:snapToGrid w:val="0"/>
      <w:spacing w:afterLines="50" w:line="480" w:lineRule="exact"/>
      <w:ind w:firstLine="556"/>
    </w:pPr>
    <w:rPr>
      <w:rFonts w:ascii="Cambria" w:hAnsi="Cambria"/>
      <w:b w:val="0"/>
      <w:sz w:val="28"/>
      <w:szCs w:val="28"/>
    </w:rPr>
  </w:style>
  <w:style w:type="character" w:customStyle="1" w:styleId="147">
    <w:name w:val="Char Char2"/>
    <w:qFormat/>
    <w:uiPriority w:val="0"/>
    <w:rPr>
      <w:rFonts w:ascii="Courier New" w:hAnsi="Courier New" w:eastAsia="ˎ̥"/>
      <w:b/>
      <w:bCs/>
      <w:kern w:val="44"/>
      <w:sz w:val="30"/>
      <w:szCs w:val="44"/>
      <w:lang w:val="en-US" w:eastAsia="zh-CN" w:bidi="ar-SA"/>
    </w:rPr>
  </w:style>
  <w:style w:type="character" w:customStyle="1" w:styleId="148">
    <w:name w:val="Char Char17"/>
    <w:qFormat/>
    <w:uiPriority w:val="0"/>
    <w:rPr>
      <w:rFonts w:ascii="宋体,Verdana,Arial" w:hAnsi="宋体,Verdana,Arial"/>
      <w:b/>
      <w:bCs/>
      <w:kern w:val="2"/>
      <w:sz w:val="28"/>
      <w:szCs w:val="28"/>
    </w:rPr>
  </w:style>
  <w:style w:type="character" w:customStyle="1" w:styleId="149">
    <w:name w:val="强调划线"/>
    <w:qFormat/>
    <w:uiPriority w:val="0"/>
    <w:rPr>
      <w:u w:val="single"/>
    </w:rPr>
  </w:style>
  <w:style w:type="character" w:customStyle="1" w:styleId="150">
    <w:name w:val="标题 Char"/>
    <w:link w:val="49"/>
    <w:qFormat/>
    <w:uiPriority w:val="0"/>
    <w:rPr>
      <w:rFonts w:ascii="宋体,Verdana,Arial" w:hAnsi="宋体,Verdana,Arial" w:eastAsia="Cambria"/>
      <w:b/>
      <w:bCs/>
      <w:sz w:val="32"/>
      <w:szCs w:val="32"/>
      <w:lang w:bidi="ar-SA"/>
    </w:rPr>
  </w:style>
  <w:style w:type="character" w:customStyle="1" w:styleId="151">
    <w:name w:val="正文文本缩进 3 Char"/>
    <w:link w:val="44"/>
    <w:qFormat/>
    <w:uiPriority w:val="0"/>
    <w:rPr>
      <w:rFonts w:eastAsia="Cambria"/>
      <w:kern w:val="2"/>
      <w:sz w:val="24"/>
      <w:szCs w:val="24"/>
      <w:lang w:val="en-US" w:eastAsia="zh-CN" w:bidi="ar-SA"/>
    </w:rPr>
  </w:style>
  <w:style w:type="character" w:customStyle="1" w:styleId="152">
    <w:name w:val="heading 2 Char2"/>
    <w:qFormat/>
    <w:uiPriority w:val="0"/>
    <w:rPr>
      <w:rFonts w:ascii="宋体,Verdana,Arial" w:hAnsi="宋体,Verdana,Arial"/>
      <w:b/>
      <w:bCs/>
      <w:kern w:val="2"/>
      <w:sz w:val="32"/>
      <w:szCs w:val="32"/>
    </w:rPr>
  </w:style>
  <w:style w:type="character" w:customStyle="1" w:styleId="153">
    <w:name w:val="Char Char61"/>
    <w:qFormat/>
    <w:uiPriority w:val="0"/>
    <w:rPr>
      <w:rFonts w:ascii="黑体" w:hAnsi="黑体" w:eastAsia="Cambria" w:cs="黑体"/>
      <w:szCs w:val="24"/>
    </w:rPr>
  </w:style>
  <w:style w:type="character" w:customStyle="1" w:styleId="154">
    <w:name w:val="Style4"/>
    <w:qFormat/>
    <w:uiPriority w:val="0"/>
    <w:rPr>
      <w:rFonts w:ascii="Helvetica" w:hAnsi="Cambria" w:eastAsia="Cambria" w:cs="黑体"/>
      <w:szCs w:val="22"/>
      <w:lang w:eastAsia="zh-CN"/>
    </w:rPr>
  </w:style>
  <w:style w:type="character" w:customStyle="1" w:styleId="155">
    <w:name w:val="apple-converted-space"/>
    <w:basedOn w:val="50"/>
    <w:qFormat/>
    <w:uiPriority w:val="0"/>
  </w:style>
  <w:style w:type="character" w:customStyle="1" w:styleId="156">
    <w:name w:val="Style3"/>
    <w:qFormat/>
    <w:uiPriority w:val="0"/>
    <w:rPr>
      <w:rFonts w:ascii="Helvetica" w:hAnsi="Cambria" w:eastAsia="Cambria" w:cs="黑体"/>
      <w:szCs w:val="22"/>
      <w:lang w:eastAsia="zh-CN"/>
    </w:rPr>
  </w:style>
  <w:style w:type="character" w:customStyle="1" w:styleId="157">
    <w:name w:val="标题 4 Char"/>
    <w:link w:val="7"/>
    <w:qFormat/>
    <w:uiPriority w:val="0"/>
    <w:rPr>
      <w:rFonts w:ascii="宋体,Verdana,Arial" w:hAnsi="宋体,Verdana,Arial" w:eastAsia="Cambria"/>
      <w:b/>
      <w:bCs/>
      <w:kern w:val="2"/>
      <w:sz w:val="28"/>
      <w:szCs w:val="28"/>
      <w:lang w:val="en-US" w:eastAsia="zh-CN" w:bidi="ar-SA"/>
    </w:rPr>
  </w:style>
  <w:style w:type="character" w:customStyle="1" w:styleId="158">
    <w:name w:val="正文1 Char Char"/>
    <w:link w:val="159"/>
    <w:qFormat/>
    <w:uiPriority w:val="0"/>
    <w:rPr>
      <w:rFonts w:ascii="Cambria" w:hAnsi="Cambria" w:eastAsia="Cambria" w:cs="Cambria"/>
      <w:sz w:val="21"/>
      <w:lang w:val="en-US" w:eastAsia="zh-CN" w:bidi="ar-SA"/>
    </w:rPr>
  </w:style>
  <w:style w:type="paragraph" w:customStyle="1" w:styleId="159">
    <w:name w:val="正文1"/>
    <w:basedOn w:val="1"/>
    <w:link w:val="158"/>
    <w:qFormat/>
    <w:uiPriority w:val="0"/>
    <w:pPr>
      <w:widowControl/>
      <w:spacing w:line="360" w:lineRule="auto"/>
      <w:ind w:left="360" w:firstLine="420"/>
      <w:jc w:val="left"/>
    </w:pPr>
    <w:rPr>
      <w:rFonts w:ascii="Cambria" w:hAnsi="Cambria" w:eastAsia="Cambria" w:cs="Cambria"/>
      <w:kern w:val="0"/>
      <w:szCs w:val="20"/>
    </w:rPr>
  </w:style>
  <w:style w:type="character" w:customStyle="1" w:styleId="160">
    <w:name w:val="注释正文"/>
    <w:qFormat/>
    <w:uiPriority w:val="0"/>
    <w:rPr>
      <w:rFonts w:eastAsia="仿宋_GB2312"/>
      <w:sz w:val="28"/>
      <w:u w:val="single"/>
    </w:rPr>
  </w:style>
  <w:style w:type="character" w:customStyle="1" w:styleId="161">
    <w:name w:val="heading 4 Char1"/>
    <w:qFormat/>
    <w:uiPriority w:val="0"/>
    <w:rPr>
      <w:rFonts w:ascii="宋体,Verdana,Arial" w:hAnsi="宋体,Verdana,Arial" w:eastAsia="Cambria"/>
      <w:b/>
      <w:bCs/>
      <w:kern w:val="2"/>
      <w:sz w:val="28"/>
      <w:szCs w:val="28"/>
      <w:lang w:val="en-US" w:eastAsia="zh-CN" w:bidi="ar-SA"/>
    </w:rPr>
  </w:style>
  <w:style w:type="character" w:customStyle="1" w:styleId="162">
    <w:name w:val="heading 7 Char1"/>
    <w:qFormat/>
    <w:uiPriority w:val="0"/>
    <w:rPr>
      <w:rFonts w:ascii="Courier New" w:hAnsi="Courier New" w:eastAsia="ˎ̥"/>
      <w:sz w:val="21"/>
      <w:szCs w:val="21"/>
      <w:lang w:val="en-US" w:eastAsia="zh-CN" w:bidi="ar-SA"/>
    </w:rPr>
  </w:style>
  <w:style w:type="character" w:customStyle="1" w:styleId="163">
    <w:name w:val="PI Char1"/>
    <w:qFormat/>
    <w:uiPriority w:val="0"/>
    <w:rPr>
      <w:rFonts w:eastAsia="Cambria"/>
      <w:kern w:val="2"/>
      <w:sz w:val="24"/>
      <w:szCs w:val="24"/>
      <w:lang w:val="en-US" w:eastAsia="zh-CN" w:bidi="ar-SA"/>
    </w:rPr>
  </w:style>
  <w:style w:type="character" w:customStyle="1" w:styleId="164">
    <w:name w:val="A6"/>
    <w:qFormat/>
    <w:uiPriority w:val="0"/>
    <w:rPr>
      <w:rFonts w:cs="Myriad Pro"/>
      <w:color w:val="000000"/>
      <w:sz w:val="16"/>
      <w:szCs w:val="16"/>
    </w:rPr>
  </w:style>
  <w:style w:type="character" w:customStyle="1" w:styleId="165">
    <w:name w:val="A4 Char Char"/>
    <w:link w:val="166"/>
    <w:qFormat/>
    <w:uiPriority w:val="0"/>
    <w:rPr>
      <w:rFonts w:ascii="Vijaya" w:hAnsi="Vijaya" w:eastAsia="仿宋_GB2312"/>
      <w:b/>
      <w:bCs/>
      <w:sz w:val="28"/>
      <w:szCs w:val="28"/>
    </w:rPr>
  </w:style>
  <w:style w:type="paragraph" w:customStyle="1" w:styleId="166">
    <w:name w:val="A4"/>
    <w:basedOn w:val="7"/>
    <w:link w:val="165"/>
    <w:qFormat/>
    <w:uiPriority w:val="0"/>
    <w:pPr>
      <w:spacing w:line="377" w:lineRule="auto"/>
      <w:jc w:val="left"/>
    </w:pPr>
    <w:rPr>
      <w:rFonts w:ascii="Vijaya" w:hAnsi="Vijaya" w:eastAsia="仿宋_GB2312"/>
      <w:kern w:val="0"/>
    </w:rPr>
  </w:style>
  <w:style w:type="character" w:customStyle="1" w:styleId="167">
    <w:name w:val="heading 5 Char"/>
    <w:qFormat/>
    <w:uiPriority w:val="0"/>
    <w:rPr>
      <w:rFonts w:ascii="Courier New" w:hAnsi="Courier New" w:eastAsia="ˎ̥"/>
      <w:sz w:val="21"/>
      <w:szCs w:val="21"/>
    </w:rPr>
  </w:style>
  <w:style w:type="character" w:customStyle="1" w:styleId="168">
    <w:name w:val="标题 9 Char"/>
    <w:link w:val="12"/>
    <w:qFormat/>
    <w:uiPriority w:val="0"/>
    <w:rPr>
      <w:rFonts w:ascii="Courier New" w:hAnsi="Courier New" w:eastAsia="ˎ̥"/>
      <w:sz w:val="21"/>
      <w:lang w:val="en-US" w:eastAsia="zh-CN" w:bidi="ar-SA"/>
    </w:rPr>
  </w:style>
  <w:style w:type="character" w:customStyle="1" w:styleId="169">
    <w:name w:val="heading 6 Char1"/>
    <w:qFormat/>
    <w:uiPriority w:val="0"/>
    <w:rPr>
      <w:rFonts w:ascii="Courier New" w:hAnsi="Courier New" w:eastAsia="ˎ̥"/>
      <w:kern w:val="2"/>
      <w:sz w:val="24"/>
      <w:szCs w:val="24"/>
      <w:lang w:val="en-US" w:eastAsia="zh-CN" w:bidi="ar-SA"/>
    </w:rPr>
  </w:style>
  <w:style w:type="character" w:customStyle="1" w:styleId="170">
    <w:name w:val="标题 1 Char"/>
    <w:link w:val="4"/>
    <w:qFormat/>
    <w:uiPriority w:val="0"/>
    <w:rPr>
      <w:rFonts w:ascii="Calibri" w:eastAsia="Calibri"/>
      <w:b/>
      <w:bCs/>
      <w:kern w:val="2"/>
      <w:sz w:val="21"/>
      <w:szCs w:val="24"/>
      <w:lang w:val="en-US" w:eastAsia="zh-CN" w:bidi="ar-SA"/>
    </w:rPr>
  </w:style>
  <w:style w:type="character" w:customStyle="1" w:styleId="171">
    <w:name w:val="日期 Char"/>
    <w:link w:val="32"/>
    <w:qFormat/>
    <w:uiPriority w:val="0"/>
    <w:rPr>
      <w:rFonts w:eastAsia="Cambria"/>
      <w:kern w:val="2"/>
      <w:sz w:val="21"/>
      <w:szCs w:val="24"/>
      <w:lang w:val="en-US" w:eastAsia="zh-CN" w:bidi="ar-SA"/>
    </w:rPr>
  </w:style>
  <w:style w:type="character" w:customStyle="1" w:styleId="172">
    <w:name w:val="页眉注释 Char Char"/>
    <w:link w:val="173"/>
    <w:qFormat/>
    <w:uiPriority w:val="0"/>
    <w:rPr>
      <w:rFonts w:ascii="Arial Unicode MS" w:hAnsi="Arial Unicode MS" w:eastAsia="Arial Unicode MS"/>
      <w:b/>
      <w:color w:val="FFFFFF"/>
      <w:kern w:val="2"/>
      <w:sz w:val="18"/>
      <w:szCs w:val="18"/>
      <w:lang w:bidi="ar-SA"/>
    </w:rPr>
  </w:style>
  <w:style w:type="paragraph" w:customStyle="1" w:styleId="173">
    <w:name w:val="页眉注释"/>
    <w:basedOn w:val="1"/>
    <w:link w:val="172"/>
    <w:qFormat/>
    <w:uiPriority w:val="0"/>
    <w:pPr>
      <w:spacing w:line="0" w:lineRule="atLeast"/>
      <w:jc w:val="center"/>
    </w:pPr>
    <w:rPr>
      <w:rFonts w:ascii="Arial Unicode MS" w:hAnsi="Arial Unicode MS" w:eastAsia="Arial Unicode MS"/>
      <w:b/>
      <w:color w:val="FFFFFF"/>
      <w:sz w:val="18"/>
      <w:szCs w:val="18"/>
    </w:rPr>
  </w:style>
  <w:style w:type="character" w:customStyle="1" w:styleId="174">
    <w:name w:val="PI Char"/>
    <w:qFormat/>
    <w:uiPriority w:val="0"/>
    <w:rPr>
      <w:rFonts w:ascii="Cambria" w:hAnsi="Cambria"/>
      <w:sz w:val="24"/>
    </w:rPr>
  </w:style>
  <w:style w:type="character" w:customStyle="1" w:styleId="175">
    <w:name w:val="标题 5 Char"/>
    <w:link w:val="8"/>
    <w:qFormat/>
    <w:uiPriority w:val="0"/>
    <w:rPr>
      <w:rFonts w:eastAsia="Cambria"/>
      <w:b/>
      <w:bCs/>
      <w:kern w:val="2"/>
      <w:sz w:val="28"/>
      <w:szCs w:val="28"/>
      <w:lang w:val="en-US" w:eastAsia="zh-CN" w:bidi="ar-SA"/>
    </w:rPr>
  </w:style>
  <w:style w:type="character" w:customStyle="1" w:styleId="176">
    <w:name w:val="Char Char201"/>
    <w:qFormat/>
    <w:uiPriority w:val="0"/>
    <w:rPr>
      <w:rFonts w:ascii="宋体,Verdana,Arial" w:hAnsi="宋体,Verdana,Arial" w:eastAsia="Cambria" w:cs="黑体"/>
      <w:b/>
      <w:bCs/>
      <w:sz w:val="32"/>
      <w:szCs w:val="32"/>
    </w:rPr>
  </w:style>
  <w:style w:type="character" w:customStyle="1" w:styleId="177">
    <w:name w:val="Char Char111"/>
    <w:qFormat/>
    <w:uiPriority w:val="0"/>
    <w:rPr>
      <w:rFonts w:ascii="黑体" w:hAnsi="黑体" w:eastAsia="Cambria" w:cs="黑体"/>
      <w:sz w:val="18"/>
      <w:szCs w:val="18"/>
    </w:rPr>
  </w:style>
  <w:style w:type="character" w:customStyle="1" w:styleId="178">
    <w:name w:val="正文4 Char Char"/>
    <w:link w:val="179"/>
    <w:qFormat/>
    <w:uiPriority w:val="0"/>
    <w:rPr>
      <w:rFonts w:eastAsia="仿宋_GB2312"/>
      <w:kern w:val="2"/>
      <w:sz w:val="24"/>
      <w:szCs w:val="24"/>
    </w:rPr>
  </w:style>
  <w:style w:type="paragraph" w:customStyle="1" w:styleId="179">
    <w:name w:val="正文4"/>
    <w:basedOn w:val="1"/>
    <w:link w:val="178"/>
    <w:qFormat/>
    <w:uiPriority w:val="0"/>
    <w:pPr>
      <w:tabs>
        <w:tab w:val="left" w:pos="425"/>
      </w:tabs>
      <w:spacing w:before="60" w:after="60" w:line="360" w:lineRule="auto"/>
      <w:ind w:left="425"/>
    </w:pPr>
    <w:rPr>
      <w:rFonts w:eastAsia="仿宋_GB2312"/>
      <w:sz w:val="24"/>
    </w:rPr>
  </w:style>
  <w:style w:type="character" w:customStyle="1" w:styleId="180">
    <w:name w:val="标题 7 Char"/>
    <w:link w:val="10"/>
    <w:qFormat/>
    <w:uiPriority w:val="0"/>
    <w:rPr>
      <w:rFonts w:ascii="Courier New" w:hAnsi="Courier New" w:eastAsia="ˎ̥"/>
      <w:sz w:val="21"/>
      <w:szCs w:val="21"/>
      <w:lang w:val="en-US" w:eastAsia="zh-CN" w:bidi="ar-SA"/>
    </w:rPr>
  </w:style>
  <w:style w:type="character" w:customStyle="1" w:styleId="181">
    <w:name w:val="smalltxt1"/>
    <w:qFormat/>
    <w:uiPriority w:val="0"/>
    <w:rPr>
      <w:rFonts w:hint="default" w:ascii="Century Gothic" w:hAnsi="Century Gothic"/>
      <w:sz w:val="24"/>
      <w:szCs w:val="24"/>
    </w:rPr>
  </w:style>
  <w:style w:type="character" w:customStyle="1" w:styleId="182">
    <w:name w:val="明显引用 Char"/>
    <w:link w:val="183"/>
    <w:qFormat/>
    <w:uiPriority w:val="0"/>
    <w:rPr>
      <w:rFonts w:ascii="Helvetica" w:hAnsi="Helvetica" w:eastAsia="Cambria"/>
      <w:b/>
      <w:bCs/>
      <w:i/>
      <w:iCs/>
      <w:color w:val="4F81BD"/>
      <w:lang w:val="en-US" w:eastAsia="zh-CN" w:bidi="ar-SA"/>
    </w:rPr>
  </w:style>
  <w:style w:type="paragraph" w:customStyle="1" w:styleId="183">
    <w:name w:val="明显引用1"/>
    <w:basedOn w:val="1"/>
    <w:next w:val="1"/>
    <w:link w:val="182"/>
    <w:qFormat/>
    <w:uiPriority w:val="0"/>
    <w:pPr>
      <w:pBdr>
        <w:bottom w:val="single" w:color="4F81BD" w:sz="4" w:space="4"/>
      </w:pBdr>
      <w:spacing w:before="200" w:after="280"/>
      <w:ind w:left="936" w:right="936"/>
    </w:pPr>
    <w:rPr>
      <w:rFonts w:ascii="Helvetica" w:hAnsi="Helvetica" w:eastAsia="Cambria"/>
      <w:b/>
      <w:bCs/>
      <w:i/>
      <w:iCs/>
      <w:color w:val="4F81BD"/>
      <w:kern w:val="0"/>
      <w:sz w:val="20"/>
      <w:szCs w:val="20"/>
    </w:rPr>
  </w:style>
  <w:style w:type="character" w:customStyle="1" w:styleId="184">
    <w:name w:val="正文靠右 Char Char"/>
    <w:link w:val="185"/>
    <w:qFormat/>
    <w:uiPriority w:val="0"/>
    <w:rPr>
      <w:kern w:val="2"/>
      <w:sz w:val="21"/>
      <w:szCs w:val="24"/>
      <w:lang w:bidi="ar-SA"/>
    </w:rPr>
  </w:style>
  <w:style w:type="paragraph" w:customStyle="1" w:styleId="185">
    <w:name w:val="正文靠右"/>
    <w:basedOn w:val="1"/>
    <w:link w:val="184"/>
    <w:qFormat/>
    <w:uiPriority w:val="0"/>
    <w:pPr>
      <w:jc w:val="right"/>
    </w:pPr>
  </w:style>
  <w:style w:type="character" w:customStyle="1" w:styleId="186">
    <w:name w:val="heading 5 Char1"/>
    <w:qFormat/>
    <w:uiPriority w:val="0"/>
    <w:rPr>
      <w:rFonts w:eastAsia="Cambria"/>
      <w:b/>
      <w:bCs/>
      <w:kern w:val="2"/>
      <w:sz w:val="28"/>
      <w:szCs w:val="28"/>
      <w:lang w:val="en-US" w:eastAsia="zh-CN" w:bidi="ar-SA"/>
    </w:rPr>
  </w:style>
  <w:style w:type="character" w:customStyle="1" w:styleId="187">
    <w:name w:val="font41"/>
    <w:qFormat/>
    <w:uiPriority w:val="0"/>
    <w:rPr>
      <w:rFonts w:hint="default" w:ascii="Times New Roman" w:hAnsi="Times New Roman" w:cs="Times New Roman"/>
      <w:color w:val="000000"/>
      <w:sz w:val="24"/>
      <w:szCs w:val="24"/>
      <w:u w:val="none"/>
    </w:rPr>
  </w:style>
  <w:style w:type="character" w:customStyle="1" w:styleId="188">
    <w:name w:val="style21"/>
    <w:qFormat/>
    <w:uiPriority w:val="0"/>
    <w:rPr>
      <w:sz w:val="15"/>
      <w:szCs w:val="15"/>
    </w:rPr>
  </w:style>
  <w:style w:type="character" w:customStyle="1" w:styleId="189">
    <w:name w:val="ändrad Char"/>
    <w:qFormat/>
    <w:uiPriority w:val="0"/>
    <w:rPr>
      <w:rFonts w:eastAsia="Cambria"/>
      <w:kern w:val="2"/>
      <w:sz w:val="21"/>
      <w:szCs w:val="24"/>
      <w:lang w:val="en-US" w:eastAsia="zh-CN" w:bidi="ar-SA"/>
    </w:rPr>
  </w:style>
  <w:style w:type="character" w:customStyle="1" w:styleId="190">
    <w:name w:val="注释题目"/>
    <w:qFormat/>
    <w:uiPriority w:val="0"/>
    <w:rPr>
      <w:rFonts w:eastAsia="Verdana"/>
      <w:sz w:val="28"/>
      <w:u w:val="none"/>
    </w:rPr>
  </w:style>
  <w:style w:type="character" w:customStyle="1" w:styleId="191">
    <w:name w:val="不明显参考1"/>
    <w:qFormat/>
    <w:uiPriority w:val="0"/>
    <w:rPr>
      <w:smallCaps/>
      <w:color w:val="C0504D"/>
      <w:u w:val="single"/>
    </w:rPr>
  </w:style>
  <w:style w:type="character" w:customStyle="1" w:styleId="192">
    <w:name w:val="heading 3 Char2"/>
    <w:qFormat/>
    <w:uiPriority w:val="0"/>
    <w:rPr>
      <w:b/>
      <w:bCs/>
      <w:kern w:val="2"/>
      <w:sz w:val="32"/>
      <w:szCs w:val="32"/>
    </w:rPr>
  </w:style>
  <w:style w:type="character" w:customStyle="1" w:styleId="193">
    <w:name w:val="heading 1 Char1"/>
    <w:qFormat/>
    <w:uiPriority w:val="0"/>
    <w:rPr>
      <w:rFonts w:eastAsia="Cambria"/>
      <w:b/>
      <w:bCs/>
      <w:kern w:val="44"/>
      <w:sz w:val="44"/>
      <w:szCs w:val="44"/>
      <w:lang w:val="en-US" w:eastAsia="zh-CN" w:bidi="ar-SA"/>
    </w:rPr>
  </w:style>
  <w:style w:type="character" w:customStyle="1" w:styleId="194">
    <w:name w:val="页眉 Char"/>
    <w:link w:val="37"/>
    <w:qFormat/>
    <w:uiPriority w:val="0"/>
    <w:rPr>
      <w:rFonts w:eastAsia="Cambria"/>
      <w:kern w:val="2"/>
      <w:sz w:val="18"/>
      <w:szCs w:val="18"/>
      <w:lang w:val="en-US" w:eastAsia="zh-CN" w:bidi="ar-SA"/>
    </w:rPr>
  </w:style>
  <w:style w:type="character" w:customStyle="1" w:styleId="195">
    <w:name w:val="Char Char22"/>
    <w:qFormat/>
    <w:uiPriority w:val="0"/>
    <w:rPr>
      <w:rFonts w:ascii="Courier New" w:hAnsi="Courier New" w:eastAsia="ˎ̥"/>
      <w:b/>
      <w:bCs/>
      <w:kern w:val="44"/>
      <w:sz w:val="30"/>
      <w:szCs w:val="44"/>
      <w:lang w:val="en-US" w:eastAsia="zh-CN" w:bidi="ar-SA"/>
    </w:rPr>
  </w:style>
  <w:style w:type="character" w:customStyle="1" w:styleId="196">
    <w:name w:val="符号正文缩进 Char Char"/>
    <w:link w:val="197"/>
    <w:qFormat/>
    <w:uiPriority w:val="0"/>
    <w:rPr>
      <w:sz w:val="24"/>
    </w:rPr>
  </w:style>
  <w:style w:type="paragraph" w:customStyle="1" w:styleId="197">
    <w:name w:val="符号正文缩进"/>
    <w:basedOn w:val="18"/>
    <w:link w:val="196"/>
    <w:qFormat/>
    <w:uiPriority w:val="0"/>
    <w:pPr>
      <w:tabs>
        <w:tab w:val="left" w:pos="1497"/>
      </w:tabs>
      <w:spacing w:line="400" w:lineRule="atLeast"/>
      <w:ind w:left="420" w:hanging="420"/>
    </w:pPr>
    <w:rPr>
      <w:rFonts w:eastAsia="宋体"/>
      <w:sz w:val="24"/>
    </w:rPr>
  </w:style>
  <w:style w:type="character" w:customStyle="1" w:styleId="198">
    <w:name w:val="heading 3 Char1"/>
    <w:qFormat/>
    <w:uiPriority w:val="0"/>
    <w:rPr>
      <w:rFonts w:eastAsia="Cambria"/>
      <w:b/>
      <w:bCs/>
      <w:kern w:val="2"/>
      <w:sz w:val="32"/>
      <w:szCs w:val="32"/>
      <w:lang w:val="en-US" w:eastAsia="zh-CN" w:bidi="ar-SA"/>
    </w:rPr>
  </w:style>
  <w:style w:type="character" w:customStyle="1" w:styleId="199">
    <w:name w:val="页脚 Char"/>
    <w:link w:val="35"/>
    <w:qFormat/>
    <w:uiPriority w:val="0"/>
    <w:rPr>
      <w:rFonts w:eastAsia="Cambria"/>
      <w:kern w:val="2"/>
      <w:sz w:val="18"/>
      <w:szCs w:val="18"/>
      <w:lang w:val="en-US" w:eastAsia="zh-CN" w:bidi="ar-SA"/>
    </w:rPr>
  </w:style>
  <w:style w:type="character" w:customStyle="1" w:styleId="200">
    <w:name w:val="表格标题 Char Char"/>
    <w:link w:val="201"/>
    <w:qFormat/>
    <w:uiPriority w:val="0"/>
    <w:rPr>
      <w:rFonts w:ascii="Verdana" w:hAnsi="Verdana" w:eastAsia="Verdana"/>
      <w:b/>
      <w:color w:val="FFFFFF"/>
      <w:kern w:val="2"/>
      <w:sz w:val="21"/>
      <w:szCs w:val="24"/>
      <w:lang w:bidi="ar-SA"/>
    </w:rPr>
  </w:style>
  <w:style w:type="paragraph" w:customStyle="1" w:styleId="201">
    <w:name w:val="表格标题"/>
    <w:basedOn w:val="1"/>
    <w:link w:val="200"/>
    <w:qFormat/>
    <w:uiPriority w:val="0"/>
    <w:rPr>
      <w:rFonts w:ascii="Verdana" w:hAnsi="Verdana" w:eastAsia="Verdana"/>
      <w:b/>
      <w:color w:val="FFFFFF"/>
    </w:rPr>
  </w:style>
  <w:style w:type="character" w:customStyle="1" w:styleId="202">
    <w:name w:val="blue1"/>
    <w:basedOn w:val="50"/>
    <w:qFormat/>
    <w:uiPriority w:val="0"/>
  </w:style>
  <w:style w:type="character" w:customStyle="1" w:styleId="203">
    <w:name w:val="heading 5 Char2"/>
    <w:qFormat/>
    <w:uiPriority w:val="0"/>
    <w:rPr>
      <w:b/>
      <w:bCs/>
      <w:kern w:val="2"/>
      <w:sz w:val="28"/>
      <w:szCs w:val="28"/>
    </w:rPr>
  </w:style>
  <w:style w:type="character" w:customStyle="1" w:styleId="204">
    <w:name w:val="Plain Text Char"/>
    <w:qFormat/>
    <w:uiPriority w:val="0"/>
    <w:rPr>
      <w:rFonts w:ascii="Cambria" w:hAnsi="隶书" w:eastAsia="Cambria" w:cs="黑体"/>
      <w:sz w:val="21"/>
      <w:szCs w:val="21"/>
    </w:rPr>
  </w:style>
  <w:style w:type="character" w:customStyle="1" w:styleId="205">
    <w:name w:val="Char Char21"/>
    <w:qFormat/>
    <w:uiPriority w:val="0"/>
    <w:rPr>
      <w:rFonts w:ascii="黑体" w:hAnsi="黑体" w:eastAsia="Cambria" w:cs="黑体"/>
      <w:b/>
      <w:bCs/>
      <w:kern w:val="44"/>
      <w:sz w:val="44"/>
      <w:szCs w:val="44"/>
    </w:rPr>
  </w:style>
  <w:style w:type="character" w:customStyle="1" w:styleId="206">
    <w:name w:val="!我的正文 Ctr+Q Char Char"/>
    <w:link w:val="207"/>
    <w:qFormat/>
    <w:uiPriority w:val="0"/>
    <w:rPr>
      <w:rFonts w:ascii="新宋体" w:hAnsi="新宋体"/>
      <w:kern w:val="2"/>
      <w:sz w:val="24"/>
      <w:szCs w:val="21"/>
      <w:lang w:bidi="ar-SA"/>
    </w:rPr>
  </w:style>
  <w:style w:type="paragraph" w:customStyle="1" w:styleId="207">
    <w:name w:val="!我的正文 Ctr+Q"/>
    <w:basedOn w:val="1"/>
    <w:link w:val="206"/>
    <w:qFormat/>
    <w:uiPriority w:val="0"/>
    <w:pPr>
      <w:adjustRightInd w:val="0"/>
      <w:snapToGrid w:val="0"/>
      <w:spacing w:beforeLines="50" w:afterLines="50" w:line="360" w:lineRule="auto"/>
      <w:ind w:firstLine="480" w:firstLineChars="200"/>
      <w:jc w:val="left"/>
    </w:pPr>
    <w:rPr>
      <w:rFonts w:ascii="新宋体" w:hAnsi="新宋体"/>
      <w:sz w:val="24"/>
      <w:szCs w:val="21"/>
    </w:rPr>
  </w:style>
  <w:style w:type="character" w:customStyle="1" w:styleId="208">
    <w:name w:val="Char Char18"/>
    <w:qFormat/>
    <w:uiPriority w:val="0"/>
    <w:rPr>
      <w:b/>
      <w:bCs/>
      <w:kern w:val="2"/>
      <w:sz w:val="32"/>
      <w:szCs w:val="32"/>
    </w:rPr>
  </w:style>
  <w:style w:type="character" w:customStyle="1" w:styleId="209">
    <w:name w:val="标题 8 Char"/>
    <w:link w:val="11"/>
    <w:qFormat/>
    <w:uiPriority w:val="0"/>
    <w:rPr>
      <w:rFonts w:ascii="Courier New" w:hAnsi="Courier New" w:eastAsia="ˎ̥"/>
      <w:sz w:val="24"/>
      <w:lang w:val="en-US" w:eastAsia="zh-CN" w:bidi="ar-SA"/>
    </w:rPr>
  </w:style>
  <w:style w:type="character" w:customStyle="1" w:styleId="210">
    <w:name w:val="无间隔 Char"/>
    <w:link w:val="211"/>
    <w:qFormat/>
    <w:uiPriority w:val="0"/>
    <w:rPr>
      <w:rFonts w:ascii="Helvetica" w:hAnsi="Helvetica"/>
      <w:sz w:val="22"/>
      <w:szCs w:val="22"/>
      <w:lang w:val="en-US" w:eastAsia="zh-CN" w:bidi="ar-SA"/>
    </w:rPr>
  </w:style>
  <w:style w:type="paragraph" w:customStyle="1" w:styleId="211">
    <w:name w:val="无间隔2"/>
    <w:link w:val="210"/>
    <w:qFormat/>
    <w:uiPriority w:val="0"/>
    <w:rPr>
      <w:rFonts w:ascii="Helvetica" w:hAnsi="Helvetica" w:eastAsia="宋体" w:cs="Times New Roman"/>
      <w:sz w:val="22"/>
      <w:szCs w:val="22"/>
      <w:lang w:val="en-US" w:eastAsia="zh-CN" w:bidi="ar-SA"/>
    </w:rPr>
  </w:style>
  <w:style w:type="character" w:customStyle="1" w:styleId="212">
    <w:name w:val="正文文本 Char"/>
    <w:link w:val="3"/>
    <w:qFormat/>
    <w:uiPriority w:val="0"/>
    <w:rPr>
      <w:rFonts w:eastAsia="Cambria"/>
      <w:kern w:val="2"/>
      <w:sz w:val="21"/>
      <w:szCs w:val="24"/>
      <w:lang w:val="en-US" w:eastAsia="zh-CN" w:bidi="ar-SA"/>
    </w:rPr>
  </w:style>
  <w:style w:type="character" w:customStyle="1" w:styleId="213">
    <w:name w:val="大标题 Char Char"/>
    <w:link w:val="214"/>
    <w:qFormat/>
    <w:uiPriority w:val="0"/>
    <w:rPr>
      <w:rFonts w:ascii="Verdana" w:hAnsi="Verdana" w:eastAsia="Verdana"/>
      <w:b/>
      <w:bCs/>
      <w:kern w:val="2"/>
      <w:sz w:val="72"/>
      <w:szCs w:val="72"/>
      <w:lang w:bidi="ar-SA"/>
    </w:rPr>
  </w:style>
  <w:style w:type="paragraph" w:customStyle="1" w:styleId="214">
    <w:name w:val="大标题"/>
    <w:basedOn w:val="1"/>
    <w:link w:val="213"/>
    <w:qFormat/>
    <w:uiPriority w:val="0"/>
    <w:pPr>
      <w:spacing w:line="40" w:lineRule="atLeast"/>
    </w:pPr>
    <w:rPr>
      <w:rFonts w:ascii="Verdana" w:hAnsi="Verdana" w:eastAsia="Verdana"/>
      <w:b/>
      <w:bCs/>
      <w:sz w:val="72"/>
      <w:szCs w:val="72"/>
    </w:rPr>
  </w:style>
  <w:style w:type="character" w:customStyle="1" w:styleId="215">
    <w:name w:val="Ò³Ã¼ Char Char2"/>
    <w:qFormat/>
    <w:uiPriority w:val="0"/>
    <w:rPr>
      <w:kern w:val="2"/>
      <w:sz w:val="18"/>
      <w:szCs w:val="18"/>
    </w:rPr>
  </w:style>
  <w:style w:type="character" w:customStyle="1" w:styleId="216">
    <w:name w:val="fontborder"/>
    <w:qFormat/>
    <w:uiPriority w:val="0"/>
    <w:rPr>
      <w:bdr w:val="single" w:color="000000" w:sz="6" w:space="0"/>
    </w:rPr>
  </w:style>
  <w:style w:type="character" w:customStyle="1" w:styleId="217">
    <w:name w:val="Texte Char Char"/>
    <w:qFormat/>
    <w:uiPriority w:val="0"/>
    <w:rPr>
      <w:rFonts w:ascii="Cambria" w:hAnsi="隶书" w:eastAsia="Cambria"/>
      <w:sz w:val="21"/>
      <w:szCs w:val="21"/>
      <w:lang w:val="en-US" w:eastAsia="zh-CN" w:bidi="ar-SA"/>
    </w:rPr>
  </w:style>
  <w:style w:type="character" w:customStyle="1" w:styleId="218">
    <w:name w:val="正文居中 Char Char"/>
    <w:link w:val="219"/>
    <w:qFormat/>
    <w:uiPriority w:val="0"/>
    <w:rPr>
      <w:kern w:val="2"/>
      <w:sz w:val="21"/>
      <w:szCs w:val="24"/>
      <w:lang w:bidi="ar-SA"/>
    </w:rPr>
  </w:style>
  <w:style w:type="paragraph" w:customStyle="1" w:styleId="219">
    <w:name w:val="正文居中"/>
    <w:basedOn w:val="1"/>
    <w:link w:val="218"/>
    <w:qFormat/>
    <w:uiPriority w:val="0"/>
    <w:pPr>
      <w:jc w:val="center"/>
    </w:pPr>
  </w:style>
  <w:style w:type="character" w:customStyle="1" w:styleId="220">
    <w:name w:val="gray6"/>
    <w:basedOn w:val="50"/>
    <w:qFormat/>
    <w:uiPriority w:val="0"/>
  </w:style>
  <w:style w:type="character" w:customStyle="1" w:styleId="221">
    <w:name w:val="批注文字 Char"/>
    <w:link w:val="14"/>
    <w:qFormat/>
    <w:uiPriority w:val="0"/>
    <w:rPr>
      <w:rFonts w:eastAsia="Cambria"/>
      <w:kern w:val="2"/>
      <w:sz w:val="21"/>
      <w:szCs w:val="24"/>
      <w:lang w:val="en-US" w:eastAsia="zh-CN" w:bidi="ar-SA"/>
    </w:rPr>
  </w:style>
  <w:style w:type="character" w:customStyle="1" w:styleId="222">
    <w:name w:val="heading 8 Char1"/>
    <w:qFormat/>
    <w:uiPriority w:val="0"/>
    <w:rPr>
      <w:rFonts w:ascii="Courier New" w:hAnsi="Courier New" w:eastAsia="ˎ̥"/>
      <w:sz w:val="24"/>
      <w:lang w:val="en-US" w:eastAsia="zh-CN" w:bidi="ar-SA"/>
    </w:rPr>
  </w:style>
  <w:style w:type="paragraph" w:customStyle="1" w:styleId="223">
    <w:name w:val="正文 New New"/>
    <w:qFormat/>
    <w:uiPriority w:val="0"/>
    <w:pPr>
      <w:widowControl w:val="0"/>
      <w:jc w:val="both"/>
    </w:pPr>
    <w:rPr>
      <w:rFonts w:ascii="Tahoma" w:hAnsi="Tahoma" w:eastAsia="仿宋_GB2312" w:cs="Tahoma"/>
      <w:kern w:val="2"/>
      <w:sz w:val="21"/>
      <w:szCs w:val="24"/>
      <w:lang w:val="en-US" w:eastAsia="zh-CN" w:bidi="ar-SA"/>
    </w:rPr>
  </w:style>
  <w:style w:type="paragraph" w:customStyle="1" w:styleId="224">
    <w:name w:val="xl32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225">
    <w:name w:val="font15"/>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226">
    <w:name w:val="Char"/>
    <w:basedOn w:val="1"/>
    <w:qFormat/>
    <w:uiPriority w:val="0"/>
    <w:pPr>
      <w:widowControl/>
      <w:spacing w:line="400" w:lineRule="exact"/>
      <w:jc w:val="center"/>
    </w:pPr>
    <w:rPr>
      <w:rFonts w:ascii="新宋体" w:hAnsi="新宋体"/>
      <w:kern w:val="0"/>
      <w:szCs w:val="20"/>
      <w:lang w:eastAsia="en-US"/>
    </w:rPr>
  </w:style>
  <w:style w:type="paragraph" w:customStyle="1" w:styleId="227">
    <w:name w:val="xl318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28">
    <w:name w:val="数字级连标题1"/>
    <w:basedOn w:val="4"/>
    <w:next w:val="1"/>
    <w:qFormat/>
    <w:uiPriority w:val="0"/>
    <w:pPr>
      <w:keepLines/>
      <w:tabs>
        <w:tab w:val="left" w:pos="390"/>
      </w:tabs>
      <w:spacing w:line="360" w:lineRule="auto"/>
      <w:ind w:left="390" w:hanging="390"/>
      <w:jc w:val="both"/>
    </w:pPr>
    <w:rPr>
      <w:rFonts w:ascii="Tahoma" w:hAnsi="Tahoma" w:eastAsia="仿宋_GB2312" w:cs="Tahoma"/>
      <w:bCs w:val="0"/>
      <w:sz w:val="28"/>
      <w:szCs w:val="20"/>
      <w:lang w:eastAsia="ar-SA"/>
    </w:rPr>
  </w:style>
  <w:style w:type="paragraph" w:customStyle="1" w:styleId="229">
    <w:name w:val="保留正文"/>
    <w:basedOn w:val="3"/>
    <w:qFormat/>
    <w:uiPriority w:val="0"/>
    <w:pPr>
      <w:keepNext/>
      <w:spacing w:after="160"/>
    </w:pPr>
  </w:style>
  <w:style w:type="paragraph" w:customStyle="1" w:styleId="230">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231">
    <w:name w:val="xl318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32">
    <w:name w:val="xl319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3">
    <w:name w:val="xl3191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35">
    <w:name w:val="xl318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6">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37">
    <w:name w:val="1 Char"/>
    <w:basedOn w:val="18"/>
    <w:qFormat/>
    <w:uiPriority w:val="0"/>
    <w:pPr>
      <w:adjustRightInd/>
      <w:spacing w:line="360" w:lineRule="auto"/>
      <w:ind w:firstLine="200" w:firstLineChars="200"/>
      <w:textAlignment w:val="auto"/>
    </w:pPr>
    <w:rPr>
      <w:kern w:val="2"/>
    </w:rPr>
  </w:style>
  <w:style w:type="paragraph" w:customStyle="1" w:styleId="238">
    <w:name w:val="xl319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39">
    <w:name w:val="样式 标题 1"/>
    <w:basedOn w:val="4"/>
    <w:next w:val="1"/>
    <w:qFormat/>
    <w:uiPriority w:val="0"/>
    <w:pPr>
      <w:keepNext w:val="0"/>
      <w:pageBreakBefore/>
      <w:tabs>
        <w:tab w:val="left" w:pos="584"/>
      </w:tabs>
      <w:adjustRightInd w:val="0"/>
      <w:snapToGrid w:val="0"/>
      <w:spacing w:beforeLines="100" w:after="120" w:line="480" w:lineRule="exact"/>
      <w:ind w:left="360"/>
    </w:pPr>
    <w:rPr>
      <w:rFonts w:ascii="Verdana" w:hAnsi="仿宋_GB2312" w:eastAsia="Verdana" w:cs="仿宋_GB2312"/>
      <w:color w:val="000000"/>
      <w:sz w:val="36"/>
      <w:szCs w:val="36"/>
    </w:rPr>
  </w:style>
  <w:style w:type="paragraph" w:customStyle="1" w:styleId="240">
    <w:name w:val="xl319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41">
    <w:name w:val="xl320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242">
    <w:name w:val="p0"/>
    <w:basedOn w:val="1"/>
    <w:qFormat/>
    <w:uiPriority w:val="0"/>
    <w:pPr>
      <w:widowControl/>
      <w:jc w:val="left"/>
    </w:pPr>
    <w:rPr>
      <w:kern w:val="0"/>
      <w:sz w:val="20"/>
      <w:szCs w:val="20"/>
    </w:rPr>
  </w:style>
  <w:style w:type="paragraph" w:customStyle="1" w:styleId="243">
    <w:name w:val="Char Char Char Char Char Char Char2"/>
    <w:basedOn w:val="1"/>
    <w:qFormat/>
    <w:uiPriority w:val="0"/>
    <w:pPr>
      <w:widowControl/>
      <w:spacing w:after="160" w:line="240" w:lineRule="exact"/>
      <w:ind w:firstLine="200" w:firstLineChars="200"/>
      <w:jc w:val="left"/>
    </w:pPr>
    <w:rPr>
      <w:rFonts w:ascii="Courier New" w:hAnsi="Courier New" w:eastAsia="仿宋_GB2312" w:cs="Tahoma"/>
      <w:sz w:val="24"/>
      <w:szCs w:val="20"/>
    </w:rPr>
  </w:style>
  <w:style w:type="paragraph" w:customStyle="1" w:styleId="244">
    <w:name w:val="xl319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45">
    <w:name w:val="xl320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仿宋_GB2312" w:eastAsia="仿宋_GB2312" w:cs="Cambria"/>
      <w:color w:val="000000"/>
      <w:kern w:val="0"/>
      <w:sz w:val="24"/>
    </w:rPr>
  </w:style>
  <w:style w:type="paragraph" w:customStyle="1" w:styleId="247">
    <w:name w:val="Char Char Char Char Char Char Char Char Char Char Char Char Char Char Char Char Char Char Char1"/>
    <w:basedOn w:val="1"/>
    <w:qFormat/>
    <w:uiPriority w:val="0"/>
    <w:rPr>
      <w:rFonts w:ascii="Verdana" w:eastAsia="Verdana"/>
      <w:b/>
      <w:sz w:val="32"/>
      <w:szCs w:val="32"/>
    </w:rPr>
  </w:style>
  <w:style w:type="paragraph" w:customStyle="1" w:styleId="248">
    <w:name w:val="xl320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49">
    <w:name w:val="xl31865"/>
    <w:basedOn w:val="1"/>
    <w:qFormat/>
    <w:uiPriority w:val="0"/>
    <w:pPr>
      <w:widowControl/>
      <w:spacing w:before="100" w:beforeAutospacing="1" w:after="100" w:afterAutospacing="1"/>
      <w:jc w:val="left"/>
    </w:pPr>
    <w:rPr>
      <w:rFonts w:ascii="Arial" w:hAnsi="Arial" w:cs="Arial"/>
      <w:kern w:val="0"/>
      <w:sz w:val="24"/>
    </w:rPr>
  </w:style>
  <w:style w:type="paragraph" w:customStyle="1" w:styleId="25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51">
    <w:name w:val="xl31962"/>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252">
    <w:name w:val="xl319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53">
    <w:name w:val="Char Char1"/>
    <w:basedOn w:val="1"/>
    <w:qFormat/>
    <w:uiPriority w:val="0"/>
    <w:pPr>
      <w:widowControl/>
      <w:spacing w:after="160" w:line="240" w:lineRule="exact"/>
      <w:jc w:val="left"/>
    </w:pPr>
    <w:rPr>
      <w:rFonts w:ascii="新宋体" w:hAnsi="新宋体" w:eastAsia="Calibri"/>
      <w:b/>
      <w:i/>
      <w:iCs/>
      <w:color w:val="000000"/>
      <w:kern w:val="0"/>
      <w:sz w:val="20"/>
      <w:szCs w:val="20"/>
      <w:lang w:eastAsia="en-US"/>
    </w:rPr>
  </w:style>
  <w:style w:type="paragraph" w:customStyle="1" w:styleId="2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255">
    <w:name w:val="xl318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256">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57">
    <w:name w:val="段"/>
    <w:qFormat/>
    <w:uiPriority w:val="0"/>
    <w:pPr>
      <w:autoSpaceDE w:val="0"/>
      <w:autoSpaceDN w:val="0"/>
      <w:ind w:firstLine="200" w:firstLineChars="200"/>
      <w:jc w:val="both"/>
    </w:pPr>
    <w:rPr>
      <w:rFonts w:ascii="Cambria" w:hAnsi="Times New Roman" w:eastAsia="宋体" w:cs="Times New Roman"/>
      <w:sz w:val="21"/>
      <w:lang w:val="en-US" w:eastAsia="zh-CN" w:bidi="ar-SA"/>
    </w:rPr>
  </w:style>
  <w:style w:type="paragraph" w:customStyle="1" w:styleId="258">
    <w:name w:val="xl319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color w:val="FF0000"/>
      <w:kern w:val="0"/>
      <w:sz w:val="24"/>
    </w:rPr>
  </w:style>
  <w:style w:type="paragraph" w:customStyle="1" w:styleId="259">
    <w:name w:val="table_lines"/>
    <w:basedOn w:val="1"/>
    <w:qFormat/>
    <w:uiPriority w:val="99"/>
  </w:style>
  <w:style w:type="paragraph" w:customStyle="1" w:styleId="260">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261">
    <w:name w:val="Char13"/>
    <w:basedOn w:val="1"/>
    <w:qFormat/>
    <w:uiPriority w:val="0"/>
    <w:pPr>
      <w:widowControl/>
      <w:spacing w:after="160" w:line="240" w:lineRule="exact"/>
      <w:jc w:val="left"/>
    </w:pPr>
    <w:rPr>
      <w:rFonts w:ascii="新宋体" w:hAnsi="新宋体"/>
      <w:kern w:val="0"/>
      <w:sz w:val="20"/>
      <w:szCs w:val="20"/>
      <w:lang w:eastAsia="en-US"/>
    </w:rPr>
  </w:style>
  <w:style w:type="paragraph" w:customStyle="1" w:styleId="262">
    <w:name w:val="正文 New"/>
    <w:qFormat/>
    <w:uiPriority w:val="0"/>
    <w:pPr>
      <w:widowControl w:val="0"/>
      <w:jc w:val="both"/>
    </w:pPr>
    <w:rPr>
      <w:rFonts w:ascii="Tahoma" w:hAnsi="Tahoma" w:eastAsia="仿宋_GB2312" w:cs="Tahoma"/>
      <w:kern w:val="2"/>
      <w:sz w:val="21"/>
      <w:szCs w:val="24"/>
      <w:lang w:val="en-US" w:eastAsia="zh-CN" w:bidi="ar-SA"/>
    </w:rPr>
  </w:style>
  <w:style w:type="paragraph" w:customStyle="1" w:styleId="263">
    <w:name w:val="xl319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64">
    <w:name w:val="xl319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5">
    <w:name w:val="xl319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66">
    <w:name w:val="xl319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67">
    <w:name w:val="TOC 标题1"/>
    <w:basedOn w:val="4"/>
    <w:next w:val="1"/>
    <w:qFormat/>
    <w:uiPriority w:val="0"/>
    <w:pPr>
      <w:keepLines/>
      <w:widowControl/>
      <w:spacing w:before="480" w:line="276" w:lineRule="auto"/>
      <w:jc w:val="left"/>
      <w:outlineLvl w:val="9"/>
    </w:pPr>
    <w:rPr>
      <w:rFonts w:ascii="宋体,Verdana,Arial" w:hAnsi="宋体,Verdana,Arial" w:eastAsia="Cambria"/>
      <w:color w:val="365F91"/>
      <w:kern w:val="0"/>
      <w:sz w:val="28"/>
      <w:szCs w:val="28"/>
    </w:rPr>
  </w:style>
  <w:style w:type="paragraph" w:customStyle="1" w:styleId="268">
    <w:name w:val="xl320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269">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70">
    <w:name w:val="xl320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1">
    <w:name w:val="Char2"/>
    <w:basedOn w:val="1"/>
    <w:qFormat/>
    <w:uiPriority w:val="0"/>
    <w:pPr>
      <w:autoSpaceDE w:val="0"/>
      <w:autoSpaceDN w:val="0"/>
      <w:adjustRightInd w:val="0"/>
      <w:jc w:val="left"/>
    </w:pPr>
    <w:rPr>
      <w:rFonts w:ascii="Verdana" w:eastAsia="Verdana"/>
      <w:b/>
      <w:kern w:val="0"/>
      <w:sz w:val="32"/>
      <w:szCs w:val="32"/>
    </w:rPr>
  </w:style>
  <w:style w:type="paragraph" w:customStyle="1" w:styleId="272">
    <w:name w:val="xl318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3">
    <w:name w:val="xl319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74">
    <w:name w:val="样式 左侧:  0.85 厘米 首行缩进:  0.85 厘米"/>
    <w:basedOn w:val="1"/>
    <w:qFormat/>
    <w:uiPriority w:val="0"/>
    <w:pPr>
      <w:autoSpaceDE w:val="0"/>
      <w:autoSpaceDN w:val="0"/>
      <w:adjustRightInd w:val="0"/>
      <w:spacing w:line="360" w:lineRule="auto"/>
      <w:ind w:firstLine="482"/>
      <w:jc w:val="left"/>
    </w:pPr>
    <w:rPr>
      <w:rFonts w:cs="Cambria"/>
      <w:kern w:val="0"/>
      <w:sz w:val="24"/>
      <w:szCs w:val="20"/>
    </w:rPr>
  </w:style>
  <w:style w:type="paragraph" w:customStyle="1" w:styleId="275">
    <w:name w:val="xl319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color w:val="FF0000"/>
      <w:kern w:val="0"/>
      <w:sz w:val="24"/>
    </w:rPr>
  </w:style>
  <w:style w:type="paragraph" w:customStyle="1" w:styleId="276">
    <w:name w:val="默认段落字体 Para Char Char Char Char Char Char Char"/>
    <w:basedOn w:val="1"/>
    <w:qFormat/>
    <w:uiPriority w:val="0"/>
    <w:rPr>
      <w:rFonts w:eastAsia="Verdana"/>
      <w:sz w:val="28"/>
    </w:rPr>
  </w:style>
  <w:style w:type="paragraph" w:customStyle="1" w:styleId="277">
    <w:name w:val="xl319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78">
    <w:name w:val="xl318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79">
    <w:name w:val="正文缩进1"/>
    <w:basedOn w:val="1"/>
    <w:next w:val="24"/>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80">
    <w:name w:val="xl319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281">
    <w:name w:val="正文－恩普"/>
    <w:basedOn w:val="18"/>
    <w:qFormat/>
    <w:uiPriority w:val="0"/>
    <w:pPr>
      <w:adjustRightInd/>
      <w:spacing w:line="360" w:lineRule="auto"/>
      <w:ind w:firstLine="200" w:firstLineChars="200"/>
      <w:textAlignment w:val="auto"/>
    </w:pPr>
    <w:rPr>
      <w:kern w:val="2"/>
      <w:sz w:val="24"/>
      <w:szCs w:val="24"/>
    </w:rPr>
  </w:style>
  <w:style w:type="paragraph" w:customStyle="1" w:styleId="282">
    <w:name w:val="xl320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83">
    <w:name w:val="xl320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8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285">
    <w:name w:val="xl320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86">
    <w:name w:val="Table Heading"/>
    <w:qFormat/>
    <w:uiPriority w:val="0"/>
    <w:pPr>
      <w:keepNext/>
      <w:snapToGrid w:val="0"/>
      <w:spacing w:before="80" w:after="80"/>
      <w:jc w:val="center"/>
    </w:pPr>
    <w:rPr>
      <w:rFonts w:ascii="Helvetica" w:hAnsi="Helvetica" w:eastAsia="ˎ̥" w:cs="Courier New"/>
      <w:kern w:val="2"/>
      <w:sz w:val="18"/>
      <w:szCs w:val="18"/>
      <w:lang w:val="en-US" w:eastAsia="zh-CN" w:bidi="ar-SA"/>
    </w:rPr>
  </w:style>
  <w:style w:type="paragraph" w:customStyle="1" w:styleId="287">
    <w:name w:val="Table Contents"/>
    <w:basedOn w:val="1"/>
    <w:qFormat/>
    <w:uiPriority w:val="0"/>
    <w:pPr>
      <w:suppressAutoHyphens/>
      <w:autoSpaceDE w:val="0"/>
      <w:autoSpaceDN w:val="0"/>
      <w:adjustRightInd w:val="0"/>
      <w:spacing w:after="120"/>
      <w:jc w:val="left"/>
    </w:pPr>
    <w:rPr>
      <w:rFonts w:ascii="Arial Unicode MS" w:hAnsi="Arial Unicode MS"/>
      <w:kern w:val="1"/>
      <w:sz w:val="20"/>
      <w:szCs w:val="20"/>
    </w:rPr>
  </w:style>
  <w:style w:type="paragraph" w:customStyle="1" w:styleId="288">
    <w:name w:val="xl320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89">
    <w:name w:val="xl319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0">
    <w:name w:val="xl319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xl320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2">
    <w:name w:val="xl319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3">
    <w:name w:val="xl319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4">
    <w:name w:val="默认段落字体 Para Char Char Char Char Char Char Char Char Char Char"/>
    <w:basedOn w:val="1"/>
    <w:qFormat/>
    <w:uiPriority w:val="0"/>
    <w:pPr>
      <w:widowControl/>
      <w:spacing w:after="200"/>
      <w:jc w:val="left"/>
    </w:pPr>
    <w:rPr>
      <w:rFonts w:ascii="Courier New" w:hAnsi="Courier New" w:eastAsia="仿宋_GB2312" w:cs="Tahoma"/>
      <w:kern w:val="0"/>
      <w:sz w:val="22"/>
      <w:szCs w:val="20"/>
      <w:lang w:eastAsia="en-US" w:bidi="en-US"/>
    </w:rPr>
  </w:style>
  <w:style w:type="paragraph" w:customStyle="1" w:styleId="295">
    <w:name w:val="xl319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296">
    <w:name w:val="xl320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7">
    <w:name w:val="xl320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298">
    <w:name w:val="xl319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299">
    <w:name w:val="xl320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0">
    <w:name w:val="xl320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01">
    <w:name w:val="xl31872"/>
    <w:basedOn w:val="1"/>
    <w:qFormat/>
    <w:uiPriority w:val="0"/>
    <w:pPr>
      <w:widowControl/>
      <w:spacing w:before="100" w:beforeAutospacing="1" w:after="100" w:afterAutospacing="1"/>
      <w:jc w:val="left"/>
    </w:pPr>
    <w:rPr>
      <w:rFonts w:ascii="Arial" w:hAnsi="Arial" w:cs="Arial"/>
      <w:kern w:val="0"/>
      <w:sz w:val="24"/>
    </w:rPr>
  </w:style>
  <w:style w:type="paragraph" w:customStyle="1" w:styleId="302">
    <w:name w:val="2级"/>
    <w:basedOn w:val="5"/>
    <w:next w:val="36"/>
    <w:qFormat/>
    <w:uiPriority w:val="0"/>
    <w:pPr>
      <w:ind w:left="420"/>
    </w:pPr>
    <w:rPr>
      <w:rFonts w:ascii="Vijaya" w:hAnsi="Vijaya" w:eastAsia="Verdana" w:cs="Tahoma"/>
      <w:kern w:val="0"/>
      <w:sz w:val="30"/>
    </w:rPr>
  </w:style>
  <w:style w:type="paragraph" w:customStyle="1" w:styleId="303">
    <w:name w:val="xl319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4">
    <w:name w:val="默认段落字体 Para Char"/>
    <w:basedOn w:val="1"/>
    <w:qFormat/>
    <w:uiPriority w:val="0"/>
    <w:pPr>
      <w:adjustRightInd w:val="0"/>
      <w:spacing w:line="360" w:lineRule="auto"/>
    </w:pPr>
    <w:rPr>
      <w:rFonts w:ascii="Tahoma" w:hAnsi="Tahoma" w:eastAsia="仿宋_GB2312" w:cs="Tahoma"/>
      <w:kern w:val="0"/>
      <w:sz w:val="24"/>
      <w:szCs w:val="20"/>
    </w:rPr>
  </w:style>
  <w:style w:type="paragraph" w:customStyle="1" w:styleId="305">
    <w:name w:val="xl320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6">
    <w:name w:val="xl318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7">
    <w:name w:val="Char Char Char Char Char Char Char Char Char Char Char Char Char Char Char Char Char Char Char"/>
    <w:basedOn w:val="1"/>
    <w:qFormat/>
    <w:uiPriority w:val="0"/>
    <w:rPr>
      <w:rFonts w:ascii="Verdana" w:eastAsia="Verdana"/>
      <w:b/>
      <w:sz w:val="32"/>
      <w:szCs w:val="32"/>
    </w:rPr>
  </w:style>
  <w:style w:type="paragraph" w:customStyle="1" w:styleId="308">
    <w:name w:val="xl318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09">
    <w:name w:val="font1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10">
    <w:name w:val="font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11">
    <w:name w:val="xl320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12">
    <w:name w:val="xl319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13">
    <w:name w:val="xl319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314">
    <w:name w:val="xl319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5">
    <w:name w:val="Char Char Char Char Char Char Char Char Char Char Char Char Char"/>
    <w:basedOn w:val="1"/>
    <w:qFormat/>
    <w:uiPriority w:val="0"/>
  </w:style>
  <w:style w:type="paragraph" w:customStyle="1" w:styleId="316">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1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color w:val="000000"/>
      <w:kern w:val="0"/>
      <w:sz w:val="24"/>
    </w:rPr>
  </w:style>
  <w:style w:type="paragraph" w:customStyle="1" w:styleId="318">
    <w:name w:val="xl319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9">
    <w:name w:val="xl319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color w:val="FF0000"/>
      <w:kern w:val="0"/>
      <w:sz w:val="24"/>
    </w:rPr>
  </w:style>
  <w:style w:type="paragraph" w:customStyle="1" w:styleId="320">
    <w:name w:val="xl319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1">
    <w:name w:val="xl320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2">
    <w:name w:val="xl319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23">
    <w:name w:val="xl319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4">
    <w:name w:val="button"/>
    <w:basedOn w:val="1"/>
    <w:qFormat/>
    <w:uiPriority w:val="0"/>
    <w:pPr>
      <w:widowControl/>
      <w:autoSpaceDE w:val="0"/>
      <w:autoSpaceDN w:val="0"/>
      <w:adjustRightInd w:val="0"/>
      <w:spacing w:before="100" w:beforeAutospacing="1" w:after="100" w:afterAutospacing="1"/>
      <w:jc w:val="left"/>
    </w:pPr>
    <w:rPr>
      <w:rFonts w:ascii="Tahoma" w:hAnsi="Tahoma"/>
      <w:color w:val="000000"/>
      <w:kern w:val="0"/>
      <w:sz w:val="24"/>
      <w:szCs w:val="20"/>
    </w:rPr>
  </w:style>
  <w:style w:type="paragraph" w:customStyle="1" w:styleId="325">
    <w:name w:val="font17"/>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26">
    <w:name w:val="xl320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27">
    <w:name w:val="xl29"/>
    <w:basedOn w:val="1"/>
    <w:qFormat/>
    <w:uiPriority w:val="0"/>
    <w:pPr>
      <w:widowControl/>
      <w:autoSpaceDE w:val="0"/>
      <w:autoSpaceDN w:val="0"/>
      <w:adjustRightInd w:val="0"/>
      <w:spacing w:before="100" w:beforeAutospacing="1" w:after="100" w:afterAutospacing="1"/>
      <w:jc w:val="center"/>
    </w:pPr>
    <w:rPr>
      <w:rFonts w:ascii="Tahoma" w:hAnsi="Tahoma" w:eastAsia="Tahoma"/>
      <w:kern w:val="0"/>
      <w:sz w:val="24"/>
      <w:szCs w:val="20"/>
    </w:rPr>
  </w:style>
  <w:style w:type="paragraph" w:customStyle="1" w:styleId="328">
    <w:name w:val="xl319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29">
    <w:name w:val="xl319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30">
    <w:name w:val="xl320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31">
    <w:name w:val="Char1 Char Char Char Char"/>
    <w:basedOn w:val="21"/>
    <w:qFormat/>
    <w:uiPriority w:val="0"/>
    <w:rPr>
      <w:rFonts w:ascii="Courier New" w:hAnsi="Courier New" w:eastAsia="仿宋_GB2312" w:cs="Courier New"/>
      <w:kern w:val="0"/>
      <w:sz w:val="18"/>
    </w:rPr>
  </w:style>
  <w:style w:type="paragraph" w:customStyle="1" w:styleId="332">
    <w:name w:val="xl319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3">
    <w:name w:val="文档正文"/>
    <w:basedOn w:val="1"/>
    <w:qFormat/>
    <w:uiPriority w:val="0"/>
    <w:pPr>
      <w:adjustRightInd w:val="0"/>
      <w:spacing w:line="300" w:lineRule="auto"/>
      <w:ind w:firstLine="567"/>
      <w:textAlignment w:val="baseline"/>
    </w:pPr>
    <w:rPr>
      <w:kern w:val="0"/>
      <w:sz w:val="24"/>
      <w:szCs w:val="20"/>
    </w:rPr>
  </w:style>
  <w:style w:type="paragraph" w:customStyle="1" w:styleId="334">
    <w:name w:val="xl318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35">
    <w:name w:val="xl319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6">
    <w:name w:val="xl319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37">
    <w:name w:val="font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38">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Verdana" w:eastAsia="仿宋_GB2312"/>
      <w:kern w:val="0"/>
      <w:sz w:val="24"/>
      <w:szCs w:val="20"/>
    </w:rPr>
  </w:style>
  <w:style w:type="paragraph" w:customStyle="1" w:styleId="339">
    <w:name w:val="xl320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40">
    <w:name w:val="xl320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41">
    <w:name w:val="xl319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2">
    <w:name w:val="xl319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3">
    <w:name w:val="xl319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4">
    <w:name w:val="xl320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45">
    <w:name w:val="xl319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46">
    <w:name w:val="标题小四"/>
    <w:basedOn w:val="5"/>
    <w:qFormat/>
    <w:uiPriority w:val="0"/>
    <w:pPr>
      <w:keepNext w:val="0"/>
      <w:keepLines w:val="0"/>
      <w:spacing w:before="0" w:after="0" w:line="360" w:lineRule="auto"/>
      <w:ind w:right="90"/>
      <w:outlineLvl w:val="9"/>
    </w:pPr>
    <w:rPr>
      <w:rFonts w:ascii="Cambria" w:hAnsi="仿宋_GB2312" w:cs="Calibri"/>
      <w:b w:val="0"/>
      <w:bCs w:val="0"/>
      <w:color w:val="000000"/>
      <w:sz w:val="21"/>
      <w:szCs w:val="21"/>
    </w:rPr>
  </w:style>
  <w:style w:type="paragraph" w:customStyle="1" w:styleId="347">
    <w:name w:val="列出段落11"/>
    <w:basedOn w:val="1"/>
    <w:qFormat/>
    <w:uiPriority w:val="0"/>
    <w:pPr>
      <w:ind w:firstLine="420" w:firstLineChars="200"/>
    </w:pPr>
    <w:rPr>
      <w:szCs w:val="20"/>
    </w:rPr>
  </w:style>
  <w:style w:type="paragraph" w:customStyle="1" w:styleId="348">
    <w:name w:val="6"/>
    <w:basedOn w:val="1"/>
    <w:qFormat/>
    <w:uiPriority w:val="0"/>
    <w:pPr>
      <w:tabs>
        <w:tab w:val="left" w:pos="360"/>
      </w:tabs>
    </w:pPr>
    <w:rPr>
      <w:rFonts w:ascii="Tahoma" w:hAnsi="Tahoma" w:eastAsia="仿宋_GB2312" w:cs="Tahoma"/>
      <w:szCs w:val="20"/>
    </w:rPr>
  </w:style>
  <w:style w:type="paragraph" w:customStyle="1" w:styleId="349">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350">
    <w:name w:val="Char Char Char Char Char Char Char"/>
    <w:basedOn w:val="1"/>
    <w:qFormat/>
    <w:uiPriority w:val="0"/>
    <w:rPr>
      <w:rFonts w:ascii="Verdana" w:eastAsia="Verdana"/>
      <w:b/>
      <w:sz w:val="32"/>
      <w:szCs w:val="32"/>
    </w:rPr>
  </w:style>
  <w:style w:type="paragraph" w:customStyle="1" w:styleId="351">
    <w:name w:val="列出段落2"/>
    <w:basedOn w:val="1"/>
    <w:qFormat/>
    <w:uiPriority w:val="0"/>
    <w:pPr>
      <w:ind w:firstLine="420" w:firstLineChars="200"/>
    </w:pPr>
    <w:rPr>
      <w:rFonts w:ascii="仿宋_GB2312" w:hAnsi="仿宋_GB2312" w:eastAsia="仿宋_GB2312" w:cs="Tahoma"/>
      <w:szCs w:val="22"/>
    </w:rPr>
  </w:style>
  <w:style w:type="paragraph" w:customStyle="1" w:styleId="35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3">
    <w:name w:val="xl319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54">
    <w:name w:val="xl319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55">
    <w:name w:val="xl319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4"/>
    </w:rPr>
  </w:style>
  <w:style w:type="paragraph" w:customStyle="1" w:styleId="356">
    <w:name w:val="xl319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7">
    <w:name w:val="xl320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58">
    <w:name w:val="xl319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59">
    <w:name w:val="xl320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0">
    <w:name w:val="xl319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1">
    <w:name w:val="Char Char Char Char Char Char Char Char Char Char Char Char Char1"/>
    <w:basedOn w:val="1"/>
    <w:qFormat/>
    <w:uiPriority w:val="0"/>
    <w:rPr>
      <w:rFonts w:ascii="Vijaya" w:hAnsi="Vijaya"/>
      <w:sz w:val="24"/>
      <w:szCs w:val="20"/>
    </w:rPr>
  </w:style>
  <w:style w:type="paragraph" w:customStyle="1" w:styleId="362">
    <w:name w:val="正文字缩2字"/>
    <w:basedOn w:val="1"/>
    <w:qFormat/>
    <w:uiPriority w:val="0"/>
    <w:pPr>
      <w:spacing w:before="60" w:after="60" w:line="360" w:lineRule="auto"/>
      <w:ind w:left="200" w:leftChars="200" w:firstLine="200" w:firstLineChars="200"/>
    </w:pPr>
    <w:rPr>
      <w:sz w:val="24"/>
    </w:rPr>
  </w:style>
  <w:style w:type="paragraph" w:customStyle="1" w:styleId="363">
    <w:name w:val="表正文黑体"/>
    <w:basedOn w:val="1"/>
    <w:qFormat/>
    <w:uiPriority w:val="0"/>
    <w:pPr>
      <w:jc w:val="left"/>
    </w:pPr>
    <w:rPr>
      <w:rFonts w:ascii="Calibri" w:hAnsi="Calibri" w:eastAsia="黑体"/>
    </w:rPr>
  </w:style>
  <w:style w:type="paragraph" w:customStyle="1" w:styleId="364">
    <w:name w:val="xl320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65">
    <w:name w:val="xl320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6">
    <w:name w:val="表头文本"/>
    <w:basedOn w:val="1"/>
    <w:qFormat/>
    <w:uiPriority w:val="0"/>
    <w:pPr>
      <w:autoSpaceDE w:val="0"/>
      <w:autoSpaceDN w:val="0"/>
      <w:adjustRightInd w:val="0"/>
      <w:jc w:val="center"/>
    </w:pPr>
    <w:rPr>
      <w:rFonts w:ascii="新宋体" w:hAnsi="新宋体" w:cs="新宋体"/>
      <w:b/>
      <w:kern w:val="0"/>
      <w:sz w:val="24"/>
      <w:szCs w:val="20"/>
    </w:rPr>
  </w:style>
  <w:style w:type="paragraph" w:customStyle="1" w:styleId="36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ahoma" w:hAnsi="Tahoma"/>
      <w:b/>
      <w:bCs/>
      <w:kern w:val="0"/>
      <w:sz w:val="28"/>
      <w:szCs w:val="28"/>
    </w:rPr>
  </w:style>
  <w:style w:type="paragraph" w:customStyle="1" w:styleId="368">
    <w:name w:val="xl320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369">
    <w:name w:val="Char Char Char Char Char Char Char1"/>
    <w:basedOn w:val="1"/>
    <w:qFormat/>
    <w:uiPriority w:val="0"/>
    <w:rPr>
      <w:rFonts w:ascii="Verdana" w:eastAsia="Verdana"/>
      <w:b/>
      <w:sz w:val="32"/>
      <w:szCs w:val="32"/>
    </w:rPr>
  </w:style>
  <w:style w:type="paragraph" w:customStyle="1" w:styleId="370">
    <w:name w:val="xl320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371">
    <w:name w:val="表格文字（大）"/>
    <w:basedOn w:val="1"/>
    <w:qFormat/>
    <w:uiPriority w:val="0"/>
    <w:pPr>
      <w:autoSpaceDE w:val="0"/>
      <w:autoSpaceDN w:val="0"/>
      <w:adjustRightInd w:val="0"/>
      <w:spacing w:before="20" w:after="20"/>
      <w:jc w:val="left"/>
    </w:pPr>
    <w:rPr>
      <w:rFonts w:ascii="Calibri" w:hAnsi="Calibri" w:cs="Calibri"/>
      <w:kern w:val="0"/>
      <w:sz w:val="24"/>
      <w:szCs w:val="20"/>
    </w:rPr>
  </w:style>
  <w:style w:type="paragraph" w:customStyle="1" w:styleId="372">
    <w:name w:val="前言、引言标题"/>
    <w:next w:val="1"/>
    <w:qFormat/>
    <w:uiPriority w:val="0"/>
    <w:pPr>
      <w:shd w:val="clear" w:color="FFFFFF" w:fill="FFFFFF"/>
      <w:spacing w:before="640" w:after="560"/>
      <w:jc w:val="center"/>
      <w:outlineLvl w:val="0"/>
    </w:pPr>
    <w:rPr>
      <w:rFonts w:ascii="ˎ̥" w:hAnsi="Times New Roman" w:eastAsia="ˎ̥" w:cs="Times New Roman"/>
      <w:sz w:val="32"/>
      <w:lang w:val="en-US" w:eastAsia="zh-CN" w:bidi="ar-SA"/>
    </w:rPr>
  </w:style>
  <w:style w:type="paragraph" w:customStyle="1" w:styleId="373">
    <w:name w:val="xl320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74">
    <w:name w:val="xl83"/>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375">
    <w:name w:val="xl320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6">
    <w:name w:val="xl320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377">
    <w:name w:val="xl31866"/>
    <w:basedOn w:val="1"/>
    <w:qFormat/>
    <w:uiPriority w:val="0"/>
    <w:pPr>
      <w:widowControl/>
      <w:spacing w:before="100" w:beforeAutospacing="1" w:after="100" w:afterAutospacing="1"/>
      <w:jc w:val="center"/>
    </w:pPr>
    <w:rPr>
      <w:rFonts w:ascii="Arial" w:hAnsi="Arial" w:cs="Arial"/>
      <w:kern w:val="0"/>
      <w:sz w:val="24"/>
    </w:rPr>
  </w:style>
  <w:style w:type="paragraph" w:customStyle="1" w:styleId="378">
    <w:name w:val="NICMAN Body Text"/>
    <w:basedOn w:val="1"/>
    <w:next w:val="3"/>
    <w:qFormat/>
    <w:uiPriority w:val="0"/>
    <w:pPr>
      <w:autoSpaceDE w:val="0"/>
      <w:autoSpaceDN w:val="0"/>
      <w:adjustRightInd w:val="0"/>
      <w:spacing w:after="120"/>
      <w:jc w:val="left"/>
    </w:pPr>
    <w:rPr>
      <w:kern w:val="0"/>
      <w:sz w:val="20"/>
      <w:szCs w:val="20"/>
    </w:rPr>
  </w:style>
  <w:style w:type="paragraph" w:customStyle="1" w:styleId="379">
    <w:name w:val="xl318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0">
    <w:name w:val="xl319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81">
    <w:name w:val="xl318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382">
    <w:name w:val="样式5"/>
    <w:basedOn w:val="18"/>
    <w:qFormat/>
    <w:uiPriority w:val="0"/>
    <w:pPr>
      <w:adjustRightInd/>
      <w:spacing w:line="360" w:lineRule="auto"/>
      <w:ind w:firstLine="200" w:firstLineChars="200"/>
      <w:textAlignment w:val="auto"/>
    </w:pPr>
    <w:rPr>
      <w:kern w:val="2"/>
      <w:sz w:val="28"/>
      <w:szCs w:val="21"/>
    </w:rPr>
  </w:style>
  <w:style w:type="paragraph" w:customStyle="1" w:styleId="383">
    <w:name w:val="xl320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384">
    <w:name w:val="font20"/>
    <w:basedOn w:val="1"/>
    <w:qFormat/>
    <w:uiPriority w:val="0"/>
    <w:pPr>
      <w:widowControl/>
      <w:spacing w:before="100" w:beforeAutospacing="1" w:after="100" w:afterAutospacing="1"/>
      <w:jc w:val="left"/>
    </w:pPr>
    <w:rPr>
      <w:kern w:val="0"/>
      <w:sz w:val="18"/>
      <w:szCs w:val="18"/>
    </w:rPr>
  </w:style>
  <w:style w:type="paragraph" w:customStyle="1" w:styleId="38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386">
    <w:name w:val="font26"/>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
    <w:name w:val="xl319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88">
    <w:name w:val="xl320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389">
    <w:name w:val="xl89"/>
    <w:basedOn w:val="1"/>
    <w:qFormat/>
    <w:uiPriority w:val="0"/>
    <w:pPr>
      <w:widowControl/>
      <w:spacing w:before="100" w:beforeAutospacing="1" w:after="100" w:afterAutospacing="1"/>
      <w:jc w:val="left"/>
    </w:pPr>
    <w:rPr>
      <w:rFonts w:ascii="Cambria" w:hAnsi="Cambria" w:cs="Cambria"/>
      <w:kern w:val="0"/>
      <w:sz w:val="24"/>
    </w:rPr>
  </w:style>
  <w:style w:type="paragraph" w:customStyle="1" w:styleId="390">
    <w:name w:val="xl319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1">
    <w:name w:val="xl319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mbria" w:hAnsi="Cambria" w:cs="Cambria"/>
      <w:b/>
      <w:bCs/>
      <w:color w:val="000000"/>
      <w:kern w:val="0"/>
      <w:sz w:val="24"/>
    </w:rPr>
  </w:style>
  <w:style w:type="paragraph" w:customStyle="1" w:styleId="393">
    <w:name w:val="xl319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94">
    <w:name w:val="二级条标题"/>
    <w:basedOn w:val="395"/>
    <w:next w:val="1"/>
    <w:qFormat/>
    <w:uiPriority w:val="0"/>
    <w:pPr>
      <w:outlineLvl w:val="3"/>
    </w:pPr>
  </w:style>
  <w:style w:type="paragraph" w:customStyle="1" w:styleId="395">
    <w:name w:val="一级条标题"/>
    <w:next w:val="1"/>
    <w:qFormat/>
    <w:uiPriority w:val="0"/>
    <w:pPr>
      <w:outlineLvl w:val="2"/>
    </w:pPr>
    <w:rPr>
      <w:rFonts w:ascii="Times New Roman" w:hAnsi="Times New Roman" w:eastAsia="ˎ̥" w:cs="Times New Roman"/>
      <w:sz w:val="21"/>
      <w:lang w:val="en-US" w:eastAsia="zh-CN" w:bidi="ar-SA"/>
    </w:rPr>
  </w:style>
  <w:style w:type="paragraph" w:customStyle="1" w:styleId="396">
    <w:name w:val="xl320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397">
    <w:name w:val="font1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98">
    <w:name w:val="font14"/>
    <w:basedOn w:val="1"/>
    <w:qFormat/>
    <w:uiPriority w:val="0"/>
    <w:pPr>
      <w:widowControl/>
      <w:spacing w:before="100" w:beforeAutospacing="1" w:after="100" w:afterAutospacing="1"/>
      <w:jc w:val="left"/>
    </w:pPr>
    <w:rPr>
      <w:rFonts w:ascii="Arial" w:hAnsi="Arial" w:cs="Arial"/>
      <w:b/>
      <w:bCs/>
      <w:color w:val="000000"/>
      <w:kern w:val="0"/>
      <w:sz w:val="24"/>
    </w:rPr>
  </w:style>
  <w:style w:type="paragraph" w:customStyle="1" w:styleId="399">
    <w:name w:val="标准小四"/>
    <w:basedOn w:val="1"/>
    <w:qFormat/>
    <w:uiPriority w:val="0"/>
    <w:pPr>
      <w:autoSpaceDE w:val="0"/>
      <w:autoSpaceDN w:val="0"/>
      <w:adjustRightInd w:val="0"/>
      <w:spacing w:line="360" w:lineRule="auto"/>
      <w:ind w:firstLine="480" w:firstLineChars="200"/>
      <w:jc w:val="left"/>
    </w:pPr>
    <w:rPr>
      <w:rFonts w:ascii="Courier New" w:hAnsi="Courier New"/>
      <w:kern w:val="0"/>
      <w:sz w:val="24"/>
      <w:szCs w:val="21"/>
    </w:rPr>
  </w:style>
  <w:style w:type="paragraph" w:customStyle="1" w:styleId="400">
    <w:name w:val="简单回函地址"/>
    <w:basedOn w:val="1"/>
    <w:qFormat/>
    <w:uiPriority w:val="0"/>
  </w:style>
  <w:style w:type="paragraph" w:customStyle="1" w:styleId="401">
    <w:name w:val="样式 标题 1Level 1Level 11h1II+IHeading1H1-Heading 1Header 1..."/>
    <w:basedOn w:val="4"/>
    <w:qFormat/>
    <w:uiPriority w:val="0"/>
    <w:pPr>
      <w:keepLines/>
      <w:pageBreakBefore/>
      <w:spacing w:before="100" w:after="100" w:line="360" w:lineRule="auto"/>
      <w:ind w:left="1680" w:hanging="420"/>
      <w:jc w:val="left"/>
    </w:pPr>
    <w:rPr>
      <w:rFonts w:ascii="Courier New" w:hAnsi="Courier New" w:eastAsia="ˎ̥" w:cs="Cambria"/>
      <w:kern w:val="44"/>
      <w:sz w:val="44"/>
      <w:szCs w:val="20"/>
    </w:rPr>
  </w:style>
  <w:style w:type="paragraph" w:customStyle="1" w:styleId="402">
    <w:name w:val="xl319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0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404">
    <w:name w:val="xl319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05">
    <w:name w:val="14"/>
    <w:basedOn w:val="1"/>
    <w:qFormat/>
    <w:uiPriority w:val="0"/>
    <w:pPr>
      <w:snapToGrid w:val="0"/>
      <w:spacing w:beforeLines="30" w:line="288" w:lineRule="auto"/>
      <w:ind w:left="852" w:leftChars="355" w:firstLine="420" w:firstLineChars="175"/>
    </w:pPr>
    <w:rPr>
      <w:rFonts w:ascii="仿宋_GB2312" w:hAnsi="仿宋_GB2312"/>
      <w:sz w:val="24"/>
      <w:szCs w:val="20"/>
    </w:rPr>
  </w:style>
  <w:style w:type="paragraph" w:customStyle="1" w:styleId="406">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407">
    <w:name w:val="font25"/>
    <w:basedOn w:val="1"/>
    <w:qFormat/>
    <w:uiPriority w:val="0"/>
    <w:pPr>
      <w:widowControl/>
      <w:spacing w:before="100" w:beforeAutospacing="1" w:after="100" w:afterAutospacing="1"/>
      <w:jc w:val="left"/>
    </w:pPr>
    <w:rPr>
      <w:kern w:val="0"/>
      <w:sz w:val="18"/>
      <w:szCs w:val="18"/>
    </w:rPr>
  </w:style>
  <w:style w:type="paragraph" w:customStyle="1" w:styleId="408">
    <w:name w:val="xl320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09">
    <w:name w:val="xl320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10">
    <w:name w:val="font6"/>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411">
    <w:name w:val="xl320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1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13">
    <w:name w:val="xl319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4">
    <w:name w:val="样式7"/>
    <w:basedOn w:val="7"/>
    <w:qFormat/>
    <w:uiPriority w:val="0"/>
    <w:pPr>
      <w:spacing w:line="376" w:lineRule="auto"/>
    </w:pPr>
    <w:rPr>
      <w:rFonts w:ascii="Vijaya" w:hAnsi="Vijaya" w:eastAsia="仿宋_GB2312" w:cs="Tahoma"/>
    </w:rPr>
  </w:style>
  <w:style w:type="paragraph" w:customStyle="1" w:styleId="415">
    <w:name w:val="正文样式 首行缩进:  0.74 厘米"/>
    <w:basedOn w:val="1"/>
    <w:qFormat/>
    <w:uiPriority w:val="0"/>
    <w:pPr>
      <w:autoSpaceDE w:val="0"/>
      <w:autoSpaceDN w:val="0"/>
      <w:adjustRightInd w:val="0"/>
      <w:spacing w:beforeLines="50" w:line="360" w:lineRule="auto"/>
      <w:ind w:firstLine="420"/>
      <w:jc w:val="left"/>
    </w:pPr>
    <w:rPr>
      <w:rFonts w:cs="Cambria"/>
      <w:kern w:val="0"/>
      <w:sz w:val="24"/>
      <w:szCs w:val="20"/>
    </w:rPr>
  </w:style>
  <w:style w:type="paragraph" w:customStyle="1" w:styleId="416">
    <w:name w:val="xl320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17">
    <w:name w:val="缩进正文"/>
    <w:basedOn w:val="1"/>
    <w:qFormat/>
    <w:uiPriority w:val="0"/>
    <w:pPr>
      <w:wordWrap w:val="0"/>
      <w:adjustRightInd w:val="0"/>
      <w:spacing w:line="360" w:lineRule="auto"/>
      <w:ind w:firstLine="200" w:firstLineChars="200"/>
      <w:jc w:val="left"/>
    </w:pPr>
    <w:rPr>
      <w:kern w:val="0"/>
      <w:sz w:val="24"/>
    </w:rPr>
  </w:style>
  <w:style w:type="paragraph" w:customStyle="1" w:styleId="418">
    <w:name w:val="xl319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19">
    <w:name w:val="xl319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20">
    <w:name w:val="Char Char Char Char"/>
    <w:basedOn w:val="21"/>
    <w:qFormat/>
    <w:uiPriority w:val="0"/>
    <w:rPr>
      <w:rFonts w:ascii="Tahoma" w:hAnsi="Tahoma" w:eastAsia="宋体"/>
      <w:sz w:val="24"/>
    </w:rPr>
  </w:style>
  <w:style w:type="paragraph" w:customStyle="1" w:styleId="421">
    <w:name w:val="xl55"/>
    <w:basedOn w:val="1"/>
    <w:qFormat/>
    <w:uiPriority w:val="0"/>
    <w:pPr>
      <w:widowControl/>
      <w:spacing w:before="100" w:beforeAutospacing="1" w:after="100" w:afterAutospacing="1"/>
      <w:jc w:val="center"/>
      <w:textAlignment w:val="center"/>
    </w:pPr>
    <w:rPr>
      <w:rFonts w:ascii="Arial Unicode MS" w:hAnsi="Arial Unicode MS" w:eastAsia="仿宋_GB2312" w:cs="隶书"/>
      <w:kern w:val="0"/>
      <w:sz w:val="24"/>
    </w:rPr>
  </w:style>
  <w:style w:type="paragraph" w:customStyle="1" w:styleId="422">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3">
    <w:name w:val="xl319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24">
    <w:name w:val="xl319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5">
    <w:name w:val="五级条标题"/>
    <w:basedOn w:val="426"/>
    <w:next w:val="1"/>
    <w:qFormat/>
    <w:uiPriority w:val="0"/>
    <w:pPr>
      <w:outlineLvl w:val="6"/>
    </w:pPr>
  </w:style>
  <w:style w:type="paragraph" w:customStyle="1" w:styleId="426">
    <w:name w:val="四级条标题"/>
    <w:basedOn w:val="427"/>
    <w:next w:val="1"/>
    <w:qFormat/>
    <w:uiPriority w:val="0"/>
    <w:pPr>
      <w:outlineLvl w:val="5"/>
    </w:pPr>
  </w:style>
  <w:style w:type="paragraph" w:customStyle="1" w:styleId="427">
    <w:name w:val="三级条标题"/>
    <w:basedOn w:val="394"/>
    <w:next w:val="1"/>
    <w:qFormat/>
    <w:uiPriority w:val="0"/>
    <w:pPr>
      <w:outlineLvl w:val="4"/>
    </w:pPr>
  </w:style>
  <w:style w:type="paragraph" w:customStyle="1" w:styleId="428">
    <w:name w:val="xl319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29">
    <w:name w:val="xl318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0">
    <w:name w:val="xl319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1">
    <w:name w:val="xl318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32">
    <w:name w:val="xl319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3">
    <w:name w:val="xl320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4">
    <w:name w:val="xl319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5">
    <w:name w:val="xl319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436">
    <w:name w:val="xl320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37">
    <w:name w:val="xl319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38">
    <w:name w:val="xl319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39">
    <w:name w:val="xl319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440">
    <w:name w:val="xl319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442">
    <w:name w:val="xl318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43">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44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45">
    <w:name w:val="xl318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46">
    <w:name w:val="正文首行缩进1"/>
    <w:basedOn w:val="3"/>
    <w:qFormat/>
    <w:uiPriority w:val="0"/>
    <w:pPr>
      <w:suppressAutoHyphens/>
      <w:ind w:firstLine="420"/>
      <w:jc w:val="left"/>
    </w:pPr>
    <w:rPr>
      <w:rFonts w:ascii="Tahoma" w:hAnsi="Tahoma" w:eastAsia="仿宋_GB2312" w:cs="Tahoma"/>
      <w:kern w:val="1"/>
      <w:sz w:val="28"/>
      <w:lang w:eastAsia="ar-SA"/>
    </w:rPr>
  </w:style>
  <w:style w:type="paragraph" w:customStyle="1" w:styleId="447">
    <w:name w:val="标准段落"/>
    <w:basedOn w:val="1"/>
    <w:qFormat/>
    <w:uiPriority w:val="0"/>
    <w:pPr>
      <w:spacing w:after="120" w:line="360" w:lineRule="auto"/>
      <w:ind w:firstLine="420"/>
    </w:pPr>
    <w:rPr>
      <w:rFonts w:ascii="ˎ̥" w:hAnsi="Cambria" w:eastAsia="ˎ̥"/>
      <w:b/>
      <w:spacing w:val="6"/>
      <w:szCs w:val="22"/>
    </w:rPr>
  </w:style>
  <w:style w:type="paragraph" w:customStyle="1" w:styleId="448">
    <w:name w:val="纯文本1"/>
    <w:basedOn w:val="1"/>
    <w:qFormat/>
    <w:uiPriority w:val="0"/>
    <w:pPr>
      <w:spacing w:beforeLines="50" w:afterLines="50" w:line="400" w:lineRule="atLeast"/>
    </w:pPr>
    <w:rPr>
      <w:rFonts w:ascii="宋体" w:hAnsi="Courier New"/>
      <w:sz w:val="24"/>
      <w:szCs w:val="20"/>
    </w:rPr>
  </w:style>
  <w:style w:type="paragraph" w:customStyle="1" w:styleId="449">
    <w:name w:val="xl319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50">
    <w:name w:val="xl319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1">
    <w:name w:val="xl318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5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53">
    <w:name w:val="xl320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4">
    <w:name w:val="xl320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55">
    <w:name w:val="正文 首行缩进:  2 字符 Char"/>
    <w:basedOn w:val="1"/>
    <w:qFormat/>
    <w:uiPriority w:val="0"/>
    <w:pPr>
      <w:spacing w:line="360" w:lineRule="auto"/>
      <w:ind w:firstLine="480"/>
    </w:pPr>
    <w:rPr>
      <w:rFonts w:cs="Cambria"/>
      <w:sz w:val="24"/>
      <w:szCs w:val="20"/>
    </w:rPr>
  </w:style>
  <w:style w:type="paragraph" w:customStyle="1" w:styleId="456">
    <w:name w:val="xl319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57">
    <w:name w:val="style31"/>
    <w:basedOn w:val="1"/>
    <w:qFormat/>
    <w:uiPriority w:val="0"/>
    <w:pPr>
      <w:widowControl/>
      <w:spacing w:before="100" w:beforeAutospacing="1" w:after="100" w:afterAutospacing="1"/>
      <w:jc w:val="left"/>
    </w:pPr>
    <w:rPr>
      <w:rFonts w:ascii="仿宋_GB2312" w:hAnsi="仿宋_GB2312" w:eastAsia="仿宋_GB2312" w:cs="仿宋_GB2312"/>
      <w:kern w:val="0"/>
      <w:sz w:val="24"/>
    </w:rPr>
  </w:style>
  <w:style w:type="paragraph" w:customStyle="1" w:styleId="458">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_GB2312" w:hAnsi="仿宋_GB2312" w:eastAsia="仿宋_GB2312" w:cs="Cambria"/>
      <w:b/>
      <w:bCs/>
      <w:color w:val="FF0000"/>
      <w:kern w:val="0"/>
      <w:sz w:val="24"/>
    </w:rPr>
  </w:style>
  <w:style w:type="paragraph" w:customStyle="1" w:styleId="45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Tahoma" w:hAnsi="Tahoma" w:eastAsia="Tahoma"/>
      <w:kern w:val="0"/>
      <w:szCs w:val="22"/>
    </w:rPr>
  </w:style>
  <w:style w:type="paragraph" w:customStyle="1" w:styleId="460">
    <w:name w:val="xl318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61">
    <w:name w:val="xl318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62">
    <w:name w:val="xl319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463">
    <w:name w:val="Test2"/>
    <w:basedOn w:val="5"/>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Cambria" w:hAnsi="Courier New"/>
      <w:b w:val="0"/>
      <w:bCs w:val="0"/>
      <w:snapToGrid w:val="0"/>
      <w:kern w:val="0"/>
      <w:sz w:val="28"/>
    </w:rPr>
  </w:style>
  <w:style w:type="paragraph" w:customStyle="1" w:styleId="464">
    <w:name w:val="xl319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kern w:val="0"/>
      <w:sz w:val="24"/>
    </w:rPr>
  </w:style>
  <w:style w:type="paragraph" w:customStyle="1" w:styleId="46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66">
    <w:name w:val="_Style 1"/>
    <w:basedOn w:val="1"/>
    <w:qFormat/>
    <w:uiPriority w:val="0"/>
    <w:pPr>
      <w:ind w:firstLine="420" w:firstLineChars="200"/>
    </w:pPr>
    <w:rPr>
      <w:rFonts w:ascii="Calibri" w:hAnsi="Calibri"/>
      <w:kern w:val="0"/>
      <w:sz w:val="20"/>
      <w:szCs w:val="20"/>
    </w:rPr>
  </w:style>
  <w:style w:type="paragraph" w:customStyle="1" w:styleId="46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仿宋_GB2312" w:eastAsia="仿宋_GB2312" w:cs="Cambria"/>
      <w:color w:val="000000"/>
      <w:kern w:val="0"/>
      <w:sz w:val="24"/>
    </w:rPr>
  </w:style>
  <w:style w:type="paragraph" w:customStyle="1" w:styleId="468">
    <w:name w:val="xl319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9">
    <w:name w:val="数字级连标题2"/>
    <w:basedOn w:val="5"/>
    <w:next w:val="1"/>
    <w:qFormat/>
    <w:uiPriority w:val="0"/>
    <w:pPr>
      <w:tabs>
        <w:tab w:val="left" w:pos="0"/>
      </w:tabs>
      <w:spacing w:before="0" w:after="0" w:line="360" w:lineRule="auto"/>
      <w:ind w:left="567" w:hanging="567"/>
    </w:pPr>
    <w:rPr>
      <w:rFonts w:ascii="Tahoma" w:hAnsi="Tahoma" w:eastAsia="仿宋_GB2312" w:cs="Tahoma"/>
      <w:bCs w:val="0"/>
      <w:sz w:val="28"/>
      <w:szCs w:val="20"/>
      <w:lang w:eastAsia="ar-SA"/>
    </w:rPr>
  </w:style>
  <w:style w:type="paragraph" w:customStyle="1" w:styleId="470">
    <w:name w:val="_Style 5"/>
    <w:basedOn w:val="21"/>
    <w:qFormat/>
    <w:uiPriority w:val="0"/>
    <w:rPr>
      <w:rFonts w:eastAsia="宋体"/>
    </w:rPr>
  </w:style>
  <w:style w:type="paragraph" w:customStyle="1" w:styleId="471">
    <w:name w:val="正文缩进HS-正文1"/>
    <w:basedOn w:val="1"/>
    <w:qFormat/>
    <w:uiPriority w:val="0"/>
    <w:pPr>
      <w:jc w:val="center"/>
    </w:pPr>
    <w:rPr>
      <w:rFonts w:ascii="仿宋_GB2312" w:hAnsi="仿宋_GB2312" w:eastAsia="仿宋_GB2312" w:cs="Tahoma"/>
      <w:color w:val="000000"/>
      <w:szCs w:val="21"/>
    </w:rPr>
  </w:style>
  <w:style w:type="paragraph" w:customStyle="1" w:styleId="472">
    <w:name w:val="xl319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473">
    <w:name w:val="font8"/>
    <w:basedOn w:val="1"/>
    <w:qFormat/>
    <w:uiPriority w:val="0"/>
    <w:pPr>
      <w:widowControl/>
      <w:spacing w:before="100" w:beforeAutospacing="1" w:after="100" w:afterAutospacing="1"/>
      <w:jc w:val="left"/>
    </w:pPr>
    <w:rPr>
      <w:rFonts w:ascii="宋体" w:hAnsi="宋体" w:cs="宋体"/>
      <w:kern w:val="0"/>
      <w:sz w:val="24"/>
    </w:rPr>
  </w:style>
  <w:style w:type="paragraph" w:customStyle="1" w:styleId="474">
    <w:name w:val="xl31868"/>
    <w:basedOn w:val="1"/>
    <w:qFormat/>
    <w:uiPriority w:val="0"/>
    <w:pPr>
      <w:widowControl/>
      <w:spacing w:before="100" w:beforeAutospacing="1" w:after="100" w:afterAutospacing="1"/>
      <w:jc w:val="left"/>
    </w:pPr>
    <w:rPr>
      <w:rFonts w:ascii="Arial" w:hAnsi="Arial" w:cs="Arial"/>
      <w:kern w:val="0"/>
      <w:sz w:val="24"/>
    </w:rPr>
  </w:style>
  <w:style w:type="paragraph" w:customStyle="1" w:styleId="475">
    <w:name w:val="内文正文"/>
    <w:basedOn w:val="29"/>
    <w:qFormat/>
    <w:uiPriority w:val="0"/>
    <w:pPr>
      <w:widowControl w:val="0"/>
      <w:overflowPunct/>
      <w:autoSpaceDE/>
      <w:autoSpaceDN/>
      <w:snapToGrid w:val="0"/>
      <w:spacing w:line="400" w:lineRule="exact"/>
      <w:ind w:firstLine="200" w:firstLineChars="200"/>
      <w:jc w:val="both"/>
      <w:textAlignment w:val="auto"/>
    </w:pPr>
    <w:rPr>
      <w:rFonts w:ascii="Arial" w:hAnsi="Arial" w:cs="Courier New"/>
      <w:color w:val="000000"/>
      <w:kern w:val="2"/>
    </w:rPr>
  </w:style>
  <w:style w:type="paragraph" w:customStyle="1" w:styleId="476">
    <w:name w:val="xl318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77">
    <w:name w:val="xl319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78">
    <w:name w:val="features1"/>
    <w:basedOn w:val="1"/>
    <w:qFormat/>
    <w:uiPriority w:val="0"/>
    <w:pPr>
      <w:widowControl/>
      <w:spacing w:before="100" w:beforeAutospacing="1" w:after="100" w:afterAutospacing="1"/>
      <w:jc w:val="left"/>
    </w:pPr>
    <w:rPr>
      <w:rFonts w:ascii="Cambria" w:hAnsi="Cambria" w:cs="Cambria"/>
      <w:b/>
      <w:bCs/>
      <w:kern w:val="0"/>
      <w:sz w:val="18"/>
      <w:szCs w:val="18"/>
    </w:rPr>
  </w:style>
  <w:style w:type="paragraph" w:customStyle="1" w:styleId="479">
    <w:name w:val="样式3"/>
    <w:basedOn w:val="29"/>
    <w:qFormat/>
    <w:uiPriority w:val="0"/>
    <w:pPr>
      <w:spacing w:line="0" w:lineRule="atLeast"/>
      <w:outlineLvl w:val="0"/>
    </w:pPr>
    <w:rPr>
      <w:rFonts w:ascii="宋体" w:hAnsi="Courier New" w:eastAsia="宋体"/>
      <w:sz w:val="28"/>
      <w:szCs w:val="20"/>
    </w:rPr>
  </w:style>
  <w:style w:type="paragraph" w:customStyle="1" w:styleId="480">
    <w:name w:val="xl319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81">
    <w:name w:val="font2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4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483">
    <w:name w:val="样式 标题 3 + 黑色 段前: 5 磅 段后: 5 磅 行距: 1.5 倍行距"/>
    <w:basedOn w:val="1"/>
    <w:qFormat/>
    <w:uiPriority w:val="0"/>
    <w:pPr>
      <w:ind w:left="855" w:hanging="855"/>
    </w:pPr>
    <w:rPr>
      <w:sz w:val="24"/>
      <w:szCs w:val="20"/>
    </w:rPr>
  </w:style>
  <w:style w:type="paragraph" w:customStyle="1" w:styleId="484">
    <w:name w:val="排列"/>
    <w:basedOn w:val="1"/>
    <w:qFormat/>
    <w:uiPriority w:val="0"/>
    <w:pPr>
      <w:widowControl/>
      <w:autoSpaceDE w:val="0"/>
      <w:autoSpaceDN w:val="0"/>
      <w:adjustRightInd w:val="0"/>
      <w:spacing w:line="360" w:lineRule="auto"/>
      <w:jc w:val="left"/>
    </w:pPr>
    <w:rPr>
      <w:rFonts w:ascii="Cambria" w:hAnsi="Cambria"/>
      <w:kern w:val="0"/>
      <w:sz w:val="20"/>
      <w:szCs w:val="20"/>
      <w:lang w:val="zh-CN"/>
    </w:rPr>
  </w:style>
  <w:style w:type="paragraph" w:customStyle="1" w:styleId="485">
    <w:name w:val="Mao 标题2"/>
    <w:basedOn w:val="1"/>
    <w:qFormat/>
    <w:uiPriority w:val="0"/>
    <w:pPr>
      <w:keepNext/>
      <w:keepLines/>
      <w:numPr>
        <w:ilvl w:val="1"/>
        <w:numId w:val="1"/>
      </w:numPr>
      <w:tabs>
        <w:tab w:val="left" w:pos="567"/>
        <w:tab w:val="left" w:pos="840"/>
      </w:tabs>
      <w:spacing w:before="260" w:after="260" w:line="360" w:lineRule="auto"/>
      <w:ind w:left="840" w:hanging="420"/>
      <w:outlineLvl w:val="1"/>
    </w:pPr>
    <w:rPr>
      <w:b/>
      <w:bCs/>
      <w:sz w:val="30"/>
      <w:szCs w:val="28"/>
    </w:rPr>
  </w:style>
  <w:style w:type="paragraph" w:customStyle="1" w:styleId="48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87">
    <w:name w:val="xl319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88">
    <w:name w:val="Char1"/>
    <w:basedOn w:val="1"/>
    <w:qFormat/>
    <w:uiPriority w:val="0"/>
    <w:pPr>
      <w:autoSpaceDE w:val="0"/>
      <w:autoSpaceDN w:val="0"/>
      <w:adjustRightInd w:val="0"/>
      <w:jc w:val="left"/>
    </w:pPr>
    <w:rPr>
      <w:rFonts w:ascii="Verdana" w:eastAsia="Verdana"/>
      <w:b/>
      <w:kern w:val="0"/>
      <w:sz w:val="32"/>
      <w:szCs w:val="32"/>
    </w:rPr>
  </w:style>
  <w:style w:type="paragraph" w:customStyle="1" w:styleId="489">
    <w:name w:val="xl319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90">
    <w:name w:val="xl320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1">
    <w:name w:val="表内文字"/>
    <w:basedOn w:val="1"/>
    <w:qFormat/>
    <w:uiPriority w:val="0"/>
    <w:pPr>
      <w:spacing w:line="240" w:lineRule="atLeast"/>
      <w:jc w:val="center"/>
    </w:pPr>
    <w:rPr>
      <w:rFonts w:ascii="宋体,Verdana,Arial" w:hAnsi="宋体,Verdana,Arial" w:eastAsia="仿宋_GB2312" w:cs="宋体,Verdana,Arial"/>
      <w:b/>
      <w:bCs/>
    </w:rPr>
  </w:style>
  <w:style w:type="paragraph" w:customStyle="1" w:styleId="492">
    <w:name w:val="xl319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493">
    <w:name w:val="xl319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49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rPr>
  </w:style>
  <w:style w:type="paragraph" w:customStyle="1" w:styleId="495">
    <w:name w:val="样式 四号 首行缩进:  1 厘米"/>
    <w:basedOn w:val="1"/>
    <w:qFormat/>
    <w:uiPriority w:val="0"/>
    <w:pPr>
      <w:spacing w:line="440" w:lineRule="exact"/>
      <w:ind w:firstLine="567"/>
    </w:pPr>
    <w:rPr>
      <w:rFonts w:ascii="Tahoma" w:hAnsi="Tahoma" w:eastAsia="仿宋_GB2312" w:cs="仿宋_GB2312"/>
      <w:sz w:val="28"/>
      <w:szCs w:val="20"/>
    </w:rPr>
  </w:style>
  <w:style w:type="paragraph" w:customStyle="1" w:styleId="496">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黑体"/>
      <w:kern w:val="0"/>
      <w:sz w:val="20"/>
      <w:szCs w:val="20"/>
    </w:rPr>
  </w:style>
  <w:style w:type="paragraph" w:customStyle="1" w:styleId="497">
    <w:name w:val="标书正文带编号"/>
    <w:basedOn w:val="1"/>
    <w:qFormat/>
    <w:uiPriority w:val="0"/>
    <w:pPr>
      <w:tabs>
        <w:tab w:val="left" w:pos="397"/>
      </w:tabs>
      <w:autoSpaceDE w:val="0"/>
      <w:autoSpaceDN w:val="0"/>
      <w:adjustRightInd w:val="0"/>
      <w:ind w:firstLine="397"/>
      <w:jc w:val="left"/>
    </w:pPr>
    <w:rPr>
      <w:rFonts w:cs="Cambria"/>
      <w:kern w:val="0"/>
      <w:sz w:val="20"/>
      <w:szCs w:val="21"/>
    </w:rPr>
  </w:style>
  <w:style w:type="paragraph" w:customStyle="1" w:styleId="498">
    <w:name w:val="xl319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i/>
      <w:iCs/>
      <w:kern w:val="0"/>
      <w:sz w:val="24"/>
    </w:rPr>
  </w:style>
  <w:style w:type="paragraph" w:customStyle="1" w:styleId="499">
    <w:name w:val="xl31873"/>
    <w:basedOn w:val="1"/>
    <w:qFormat/>
    <w:uiPriority w:val="0"/>
    <w:pPr>
      <w:widowControl/>
      <w:spacing w:before="100" w:beforeAutospacing="1" w:after="100" w:afterAutospacing="1"/>
      <w:jc w:val="left"/>
    </w:pPr>
    <w:rPr>
      <w:rFonts w:ascii="Arial" w:hAnsi="Arial" w:cs="Arial"/>
      <w:b/>
      <w:bCs/>
      <w:kern w:val="0"/>
      <w:sz w:val="24"/>
    </w:rPr>
  </w:style>
  <w:style w:type="paragraph" w:customStyle="1" w:styleId="500">
    <w:name w:val="标书正文格式"/>
    <w:qFormat/>
    <w:uiPriority w:val="0"/>
    <w:pPr>
      <w:spacing w:line="360" w:lineRule="auto"/>
      <w:ind w:firstLine="200" w:firstLineChars="200"/>
    </w:pPr>
    <w:rPr>
      <w:rFonts w:ascii="Times New Roman" w:hAnsi="Times New Roman" w:eastAsia="Calibri" w:cs="Times New Roman"/>
      <w:kern w:val="2"/>
      <w:sz w:val="24"/>
      <w:szCs w:val="24"/>
      <w:lang w:val="en-US" w:eastAsia="zh-CN" w:bidi="ar-SA"/>
    </w:rPr>
  </w:style>
  <w:style w:type="paragraph" w:customStyle="1" w:styleId="50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02">
    <w:name w:val="xl320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03">
    <w:name w:val="Default"/>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paragraph" w:customStyle="1" w:styleId="504">
    <w:name w:val="xl318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50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ˎ̥"/>
      <w:b/>
      <w:kern w:val="44"/>
      <w:sz w:val="36"/>
      <w:szCs w:val="20"/>
    </w:rPr>
  </w:style>
  <w:style w:type="paragraph" w:customStyle="1" w:styleId="506">
    <w:name w:val="table_1stline"/>
    <w:basedOn w:val="1"/>
    <w:qFormat/>
    <w:uiPriority w:val="99"/>
    <w:pPr>
      <w:spacing w:before="120"/>
    </w:pPr>
    <w:rPr>
      <w:bCs/>
    </w:rPr>
  </w:style>
  <w:style w:type="paragraph" w:customStyle="1" w:styleId="507">
    <w:name w:val="xl319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08">
    <w:name w:val="font18"/>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09">
    <w:name w:val="xl31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10">
    <w:name w:val="xl320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11">
    <w:name w:val="xl319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12">
    <w:name w:val="xl319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13">
    <w:name w:val="xl318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14">
    <w:name w:val="数字级连标题3"/>
    <w:basedOn w:val="6"/>
    <w:next w:val="1"/>
    <w:qFormat/>
    <w:uiPriority w:val="0"/>
    <w:pPr>
      <w:suppressAutoHyphens/>
      <w:spacing w:before="0" w:after="0" w:line="360" w:lineRule="auto"/>
    </w:pPr>
    <w:rPr>
      <w:rFonts w:ascii="Tahoma" w:hAnsi="Tahoma" w:eastAsia="仿宋_GB2312" w:cs="Tahoma"/>
      <w:bCs w:val="0"/>
      <w:sz w:val="28"/>
      <w:szCs w:val="20"/>
      <w:lang w:eastAsia="ar-SA"/>
    </w:rPr>
  </w:style>
  <w:style w:type="paragraph" w:customStyle="1" w:styleId="515">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516">
    <w:name w:val="font7"/>
    <w:basedOn w:val="1"/>
    <w:qFormat/>
    <w:uiPriority w:val="0"/>
    <w:pPr>
      <w:widowControl/>
      <w:spacing w:before="100" w:beforeAutospacing="1" w:after="100" w:afterAutospacing="1"/>
      <w:jc w:val="left"/>
    </w:pPr>
    <w:rPr>
      <w:rFonts w:ascii="Arial" w:hAnsi="Arial" w:cs="Arial"/>
      <w:kern w:val="0"/>
      <w:sz w:val="24"/>
    </w:rPr>
  </w:style>
  <w:style w:type="paragraph" w:customStyle="1" w:styleId="517">
    <w:name w:val="xl319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4"/>
    </w:rPr>
  </w:style>
  <w:style w:type="paragraph" w:customStyle="1" w:styleId="51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19">
    <w:name w:val="font21"/>
    <w:basedOn w:val="1"/>
    <w:qFormat/>
    <w:uiPriority w:val="0"/>
    <w:pPr>
      <w:widowControl/>
      <w:spacing w:before="100" w:beforeAutospacing="1" w:after="100" w:afterAutospacing="1"/>
      <w:jc w:val="left"/>
    </w:pPr>
    <w:rPr>
      <w:rFonts w:ascii="Verdana" w:hAnsi="Verdana" w:cs="宋体"/>
      <w:kern w:val="0"/>
      <w:sz w:val="24"/>
    </w:rPr>
  </w:style>
  <w:style w:type="paragraph" w:customStyle="1" w:styleId="520">
    <w:name w:val="正文段"/>
    <w:basedOn w:val="1"/>
    <w:qFormat/>
    <w:uiPriority w:val="0"/>
    <w:pPr>
      <w:widowControl/>
      <w:snapToGrid w:val="0"/>
      <w:spacing w:afterLines="50"/>
      <w:ind w:firstLine="200" w:firstLineChars="200"/>
    </w:pPr>
    <w:rPr>
      <w:kern w:val="0"/>
      <w:sz w:val="24"/>
      <w:szCs w:val="20"/>
    </w:rPr>
  </w:style>
  <w:style w:type="paragraph" w:customStyle="1" w:styleId="521">
    <w:name w:val="列项——（一级）"/>
    <w:qFormat/>
    <w:uiPriority w:val="0"/>
    <w:pPr>
      <w:widowControl w:val="0"/>
      <w:tabs>
        <w:tab w:val="left" w:pos="854"/>
        <w:tab w:val="left" w:pos="1260"/>
      </w:tabs>
      <w:ind w:left="1260" w:hanging="420"/>
      <w:jc w:val="both"/>
    </w:pPr>
    <w:rPr>
      <w:rFonts w:ascii="Cambria" w:hAnsi="Times New Roman" w:eastAsia="宋体" w:cs="Times New Roman"/>
      <w:sz w:val="21"/>
      <w:lang w:val="en-US" w:eastAsia="zh-CN" w:bidi="ar-SA"/>
    </w:rPr>
  </w:style>
  <w:style w:type="paragraph" w:customStyle="1" w:styleId="522">
    <w:name w:val="Char Char Char Char Char Char Char Char Char"/>
    <w:basedOn w:val="1"/>
    <w:qFormat/>
    <w:uiPriority w:val="0"/>
    <w:pPr>
      <w:widowControl/>
      <w:spacing w:before="100" w:beforeAutospacing="1" w:after="100" w:afterAutospacing="1" w:line="360" w:lineRule="auto"/>
      <w:ind w:left="357"/>
      <w:jc w:val="left"/>
    </w:pPr>
    <w:rPr>
      <w:rFonts w:ascii="Arial Unicode MS" w:hAnsi="Arial Unicode MS" w:eastAsia="仿宋_GB2312" w:cs="仿宋_GB2312"/>
      <w:color w:val="51585D"/>
      <w:kern w:val="0"/>
      <w:sz w:val="24"/>
      <w:szCs w:val="18"/>
    </w:rPr>
  </w:style>
  <w:style w:type="paragraph" w:customStyle="1" w:styleId="523">
    <w:name w:val="xl319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kern w:val="0"/>
      <w:sz w:val="24"/>
    </w:rPr>
  </w:style>
  <w:style w:type="paragraph" w:customStyle="1" w:styleId="5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仿宋_GB2312" w:cs="Cambria"/>
      <w:b/>
      <w:bCs/>
      <w:color w:val="000000"/>
      <w:kern w:val="0"/>
      <w:sz w:val="24"/>
    </w:rPr>
  </w:style>
  <w:style w:type="paragraph" w:customStyle="1" w:styleId="525">
    <w:name w:val="xl319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26">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527">
    <w:name w:val="Pa0"/>
    <w:basedOn w:val="1"/>
    <w:next w:val="1"/>
    <w:qFormat/>
    <w:uiPriority w:val="0"/>
    <w:pPr>
      <w:autoSpaceDE w:val="0"/>
      <w:autoSpaceDN w:val="0"/>
      <w:adjustRightInd w:val="0"/>
      <w:spacing w:line="241" w:lineRule="atLeast"/>
      <w:jc w:val="left"/>
    </w:pPr>
    <w:rPr>
      <w:rFonts w:ascii="Myriad Pro" w:hAnsi="Myriad Pro"/>
      <w:kern w:val="0"/>
      <w:sz w:val="24"/>
    </w:rPr>
  </w:style>
  <w:style w:type="paragraph" w:customStyle="1" w:styleId="528">
    <w:name w:val="xl319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29">
    <w:name w:val="正文（首行缩进）"/>
    <w:basedOn w:val="24"/>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530">
    <w:name w:val="xl319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31">
    <w:name w:val="文字"/>
    <w:basedOn w:val="1"/>
    <w:qFormat/>
    <w:uiPriority w:val="0"/>
    <w:pPr>
      <w:tabs>
        <w:tab w:val="left" w:pos="8520"/>
      </w:tabs>
      <w:spacing w:line="312" w:lineRule="auto"/>
      <w:ind w:right="-210" w:firstLine="556"/>
    </w:pPr>
    <w:rPr>
      <w:rFonts w:ascii="Cambria"/>
      <w:sz w:val="28"/>
      <w:szCs w:val="20"/>
    </w:rPr>
  </w:style>
  <w:style w:type="paragraph" w:customStyle="1" w:styleId="532">
    <w:name w:val="xl31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3">
    <w:name w:val="xl319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4">
    <w:name w:val="xl320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35">
    <w:name w:val="xl320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6">
    <w:name w:val="xl320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37">
    <w:name w:val="xl318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8">
    <w:name w:val="xl31867"/>
    <w:basedOn w:val="1"/>
    <w:qFormat/>
    <w:uiPriority w:val="0"/>
    <w:pPr>
      <w:widowControl/>
      <w:spacing w:before="100" w:beforeAutospacing="1" w:after="100" w:afterAutospacing="1"/>
      <w:jc w:val="left"/>
    </w:pPr>
    <w:rPr>
      <w:rFonts w:ascii="Arial" w:hAnsi="Arial" w:cs="Arial"/>
      <w:kern w:val="0"/>
      <w:sz w:val="24"/>
    </w:rPr>
  </w:style>
  <w:style w:type="paragraph" w:customStyle="1" w:styleId="539">
    <w:name w:val="章标题"/>
    <w:next w:val="1"/>
    <w:qFormat/>
    <w:uiPriority w:val="0"/>
    <w:pPr>
      <w:spacing w:beforeLines="50" w:afterLines="50"/>
      <w:jc w:val="both"/>
      <w:outlineLvl w:val="1"/>
    </w:pPr>
    <w:rPr>
      <w:rFonts w:ascii="ˎ̥" w:hAnsi="Times New Roman" w:eastAsia="ˎ̥" w:cs="Times New Roman"/>
      <w:sz w:val="21"/>
      <w:lang w:val="en-US" w:eastAsia="zh-CN" w:bidi="ar-SA"/>
    </w:rPr>
  </w:style>
  <w:style w:type="paragraph" w:customStyle="1" w:styleId="540">
    <w:name w:val="xl318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1">
    <w:name w:val="xl319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2">
    <w:name w:val="xl318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3">
    <w:name w:val="xl319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4">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仿宋_GB2312" w:eastAsia="仿宋_GB2312" w:cs="Cambria"/>
      <w:color w:val="000000"/>
      <w:kern w:val="0"/>
      <w:sz w:val="24"/>
    </w:rPr>
  </w:style>
  <w:style w:type="paragraph" w:customStyle="1" w:styleId="545">
    <w:name w:val="样式 标题 3 + 黑体 小四 非加粗"/>
    <w:basedOn w:val="6"/>
    <w:qFormat/>
    <w:uiPriority w:val="0"/>
    <w:rPr>
      <w:rFonts w:ascii="ˎ̥" w:hAnsi="ˎ̥" w:eastAsia="ˎ̥"/>
      <w:b w:val="0"/>
      <w:bCs w:val="0"/>
      <w:kern w:val="0"/>
      <w:sz w:val="24"/>
    </w:rPr>
  </w:style>
  <w:style w:type="paragraph" w:customStyle="1" w:styleId="546">
    <w:name w:val="xl319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47">
    <w:name w:val="技术报告正文"/>
    <w:basedOn w:val="1"/>
    <w:qFormat/>
    <w:uiPriority w:val="0"/>
    <w:pPr>
      <w:autoSpaceDE w:val="0"/>
      <w:autoSpaceDN w:val="0"/>
      <w:adjustRightInd w:val="0"/>
      <w:spacing w:beforeLines="50" w:line="440" w:lineRule="exact"/>
      <w:ind w:firstLine="538" w:firstLineChars="192"/>
      <w:jc w:val="left"/>
    </w:pPr>
    <w:rPr>
      <w:rFonts w:cs="Courier New"/>
      <w:bCs/>
      <w:kern w:val="0"/>
      <w:sz w:val="28"/>
      <w:szCs w:val="20"/>
    </w:rPr>
  </w:style>
  <w:style w:type="paragraph" w:customStyle="1" w:styleId="548">
    <w:name w:val="xl320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49">
    <w:name w:val="xl320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50">
    <w:name w:val="xl31870"/>
    <w:basedOn w:val="1"/>
    <w:qFormat/>
    <w:uiPriority w:val="0"/>
    <w:pPr>
      <w:widowControl/>
      <w:spacing w:before="100" w:beforeAutospacing="1" w:after="100" w:afterAutospacing="1"/>
      <w:jc w:val="left"/>
    </w:pPr>
    <w:rPr>
      <w:rFonts w:ascii="Arial" w:hAnsi="Arial" w:cs="Arial"/>
      <w:color w:val="FF0000"/>
      <w:kern w:val="0"/>
      <w:sz w:val="24"/>
    </w:rPr>
  </w:style>
  <w:style w:type="paragraph" w:customStyle="1" w:styleId="551">
    <w:name w:val="xl319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2">
    <w:name w:val="xl318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4"/>
    </w:rPr>
  </w:style>
  <w:style w:type="paragraph" w:customStyle="1" w:styleId="553">
    <w:name w:val="Item List in Table"/>
    <w:qFormat/>
    <w:uiPriority w:val="0"/>
    <w:pPr>
      <w:tabs>
        <w:tab w:val="left" w:pos="284"/>
        <w:tab w:val="left" w:pos="720"/>
      </w:tabs>
      <w:spacing w:before="40" w:after="40"/>
      <w:ind w:left="720" w:hanging="720"/>
      <w:jc w:val="both"/>
    </w:pPr>
    <w:rPr>
      <w:rFonts w:ascii="Helvetica" w:hAnsi="Helvetica" w:eastAsia="宋体" w:cs="Courier New"/>
      <w:kern w:val="2"/>
      <w:sz w:val="18"/>
      <w:szCs w:val="18"/>
      <w:lang w:val="en-US" w:eastAsia="zh-CN" w:bidi="ar-SA"/>
    </w:rPr>
  </w:style>
  <w:style w:type="paragraph" w:customStyle="1" w:styleId="55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5">
    <w:name w:val="font11"/>
    <w:basedOn w:val="1"/>
    <w:qFormat/>
    <w:uiPriority w:val="0"/>
    <w:pPr>
      <w:widowControl/>
      <w:spacing w:before="100" w:beforeAutospacing="1" w:after="100" w:afterAutospacing="1"/>
      <w:jc w:val="left"/>
    </w:pPr>
    <w:rPr>
      <w:rFonts w:ascii="Arial" w:hAnsi="Arial" w:cs="Arial"/>
      <w:color w:val="000000"/>
      <w:kern w:val="0"/>
      <w:sz w:val="24"/>
    </w:rPr>
  </w:style>
  <w:style w:type="paragraph" w:customStyle="1" w:styleId="556">
    <w:name w:val="xl320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57">
    <w:name w:val="Char Char Char"/>
    <w:basedOn w:val="1"/>
    <w:qFormat/>
    <w:uiPriority w:val="0"/>
    <w:rPr>
      <w:rFonts w:ascii="Courier New" w:hAnsi="Courier New" w:eastAsia="仿宋_GB2312" w:cs="Tahoma"/>
      <w:sz w:val="24"/>
      <w:szCs w:val="20"/>
    </w:rPr>
  </w:style>
  <w:style w:type="paragraph" w:customStyle="1" w:styleId="558">
    <w:name w:val="xl319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i/>
      <w:iCs/>
      <w:kern w:val="0"/>
      <w:sz w:val="24"/>
    </w:rPr>
  </w:style>
  <w:style w:type="paragraph" w:customStyle="1" w:styleId="559">
    <w:name w:val="font1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0">
    <w:name w:val="xl320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61">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Calibri" w:hAnsi="Cambria" w:eastAsia="Calibri"/>
      <w:kern w:val="0"/>
      <w:sz w:val="24"/>
      <w:szCs w:val="20"/>
    </w:rPr>
  </w:style>
  <w:style w:type="paragraph" w:customStyle="1" w:styleId="562">
    <w:name w:val="xl319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b/>
      <w:bCs/>
      <w:kern w:val="0"/>
      <w:sz w:val="24"/>
    </w:rPr>
  </w:style>
  <w:style w:type="paragraph" w:customStyle="1" w:styleId="563">
    <w:name w:val="font5"/>
    <w:basedOn w:val="1"/>
    <w:qFormat/>
    <w:uiPriority w:val="0"/>
    <w:pPr>
      <w:widowControl/>
      <w:spacing w:before="100" w:beforeAutospacing="1" w:after="100" w:afterAutospacing="1"/>
      <w:jc w:val="left"/>
    </w:pPr>
    <w:rPr>
      <w:rFonts w:ascii="Cambria" w:hAnsi="Cambria" w:cs="Cambria"/>
      <w:kern w:val="0"/>
      <w:sz w:val="18"/>
      <w:szCs w:val="18"/>
    </w:rPr>
  </w:style>
  <w:style w:type="paragraph" w:customStyle="1" w:styleId="564">
    <w:name w:val="xl318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65">
    <w:name w:val="_Style 10"/>
    <w:basedOn w:val="1"/>
    <w:qFormat/>
    <w:uiPriority w:val="0"/>
  </w:style>
  <w:style w:type="paragraph" w:customStyle="1" w:styleId="56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567">
    <w:name w:val="xl319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68">
    <w:name w:val="xl320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69">
    <w:name w:val="xl76"/>
    <w:basedOn w:val="1"/>
    <w:qFormat/>
    <w:uiPriority w:val="0"/>
    <w:pPr>
      <w:widowControl/>
      <w:pBdr>
        <w:top w:val="single" w:color="auto" w:sz="4" w:space="0"/>
        <w:bottom w:val="single" w:color="auto" w:sz="4" w:space="0"/>
      </w:pBdr>
      <w:spacing w:before="100" w:beforeAutospacing="1" w:after="100" w:afterAutospacing="1"/>
      <w:jc w:val="left"/>
    </w:pPr>
    <w:rPr>
      <w:rFonts w:ascii="仿宋_GB2312" w:hAnsi="仿宋_GB2312" w:eastAsia="仿宋_GB2312" w:cs="Cambria"/>
      <w:color w:val="000000"/>
      <w:kern w:val="0"/>
      <w:sz w:val="24"/>
    </w:rPr>
  </w:style>
  <w:style w:type="paragraph" w:customStyle="1" w:styleId="570">
    <w:name w:val="xl319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71">
    <w:name w:val="样式 正文缩进正文（首行缩进两字）表正文正文非缩进特点段1正文不缩进标题4水上软件ALT+Z四号正文文字3..."/>
    <w:basedOn w:val="18"/>
    <w:qFormat/>
    <w:uiPriority w:val="0"/>
    <w:pPr>
      <w:adjustRightInd/>
      <w:spacing w:line="360" w:lineRule="auto"/>
      <w:ind w:firstLine="480" w:firstLineChars="200"/>
      <w:textAlignment w:val="auto"/>
    </w:pPr>
    <w:rPr>
      <w:rFonts w:ascii="仿宋_GB2312" w:hAnsi="仿宋_GB2312" w:eastAsia="仿宋_GB2312" w:cs="仿宋_GB2312"/>
      <w:sz w:val="24"/>
    </w:rPr>
  </w:style>
  <w:style w:type="paragraph" w:customStyle="1" w:styleId="572">
    <w:name w:val="正文文字表格居中"/>
    <w:basedOn w:val="1"/>
    <w:next w:val="47"/>
    <w:qFormat/>
    <w:uiPriority w:val="0"/>
    <w:pPr>
      <w:autoSpaceDE w:val="0"/>
      <w:autoSpaceDN w:val="0"/>
      <w:adjustRightInd w:val="0"/>
      <w:snapToGrid w:val="0"/>
      <w:spacing w:line="360" w:lineRule="auto"/>
      <w:jc w:val="left"/>
    </w:pPr>
    <w:rPr>
      <w:rFonts w:ascii="Cambria"/>
      <w:b/>
      <w:kern w:val="0"/>
      <w:sz w:val="24"/>
      <w:szCs w:val="20"/>
    </w:rPr>
  </w:style>
  <w:style w:type="paragraph" w:customStyle="1" w:styleId="573">
    <w:name w:val="xl320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574">
    <w:name w:val="样式"/>
    <w:basedOn w:val="1"/>
    <w:qFormat/>
    <w:uiPriority w:val="0"/>
    <w:pPr>
      <w:autoSpaceDE w:val="0"/>
      <w:autoSpaceDN w:val="0"/>
      <w:adjustRightInd w:val="0"/>
      <w:snapToGrid w:val="0"/>
      <w:spacing w:before="120" w:after="120" w:line="360" w:lineRule="auto"/>
      <w:jc w:val="left"/>
    </w:pPr>
    <w:rPr>
      <w:rFonts w:ascii="Cambria"/>
      <w:kern w:val="0"/>
      <w:sz w:val="24"/>
      <w:szCs w:val="20"/>
    </w:rPr>
  </w:style>
  <w:style w:type="paragraph" w:customStyle="1" w:styleId="575">
    <w:name w:val="xl319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576">
    <w:name w:val="xl319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styleId="577">
    <w:name w:val="List Paragraph"/>
    <w:basedOn w:val="1"/>
    <w:qFormat/>
    <w:uiPriority w:val="99"/>
    <w:pPr>
      <w:ind w:firstLine="420" w:firstLineChars="200"/>
    </w:pPr>
  </w:style>
  <w:style w:type="character" w:customStyle="1" w:styleId="578">
    <w:name w:val="标题 1 Char Char"/>
    <w:basedOn w:val="50"/>
    <w:qFormat/>
    <w:uiPriority w:val="0"/>
    <w:rPr>
      <w:rFonts w:hint="eastAsia" w:ascii="宋体" w:hAnsi="宋体" w:eastAsia="宋体"/>
      <w:b/>
      <w:spacing w:val="-2"/>
      <w:sz w:val="24"/>
      <w:lang w:val="en-US" w:eastAsia="zh-CN" w:bidi="ar-SA"/>
    </w:rPr>
  </w:style>
  <w:style w:type="character" w:customStyle="1" w:styleId="579">
    <w:name w:val="NormalCharacter"/>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CQSD</Company>
  <Pages>51</Pages>
  <Words>4797</Words>
  <Characters>27344</Characters>
  <Lines>227</Lines>
  <Paragraphs>64</Paragraphs>
  <TotalTime>25</TotalTime>
  <ScaleCrop>false</ScaleCrop>
  <LinksUpToDate>false</LinksUpToDate>
  <CharactersWithSpaces>32077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2019-12-30T04:36:00Z</dcterms:created>
  <dc:creator>LCMZX</dc:creator>
  <cp:lastModifiedBy>温州</cp:lastModifiedBy>
  <cp:lastPrinted>2019-10-18T01:24:00Z</cp:lastPrinted>
  <dcterms:modified xsi:type="dcterms:W3CDTF">2020-01-22T09:54:20Z</dcterms:modified>
  <dc:title>温州市政府采购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