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新宋体" w:hAnsi="新宋体" w:eastAsia="新宋体" w:cs="新宋体"/>
          <w:bCs/>
          <w:color w:val="auto"/>
          <w:sz w:val="72"/>
          <w:szCs w:val="72"/>
        </w:rPr>
      </w:pPr>
      <w:bookmarkStart w:id="147" w:name="_GoBack"/>
      <w:bookmarkEnd w:id="147"/>
      <w:r>
        <w:rPr>
          <w:rFonts w:hint="eastAsia" w:ascii="新宋体" w:hAnsi="新宋体" w:eastAsia="新宋体" w:cs="新宋体"/>
          <w:b/>
          <w:bCs/>
          <w:color w:val="auto"/>
          <w:spacing w:val="120"/>
          <w:sz w:val="72"/>
          <w:szCs w:val="72"/>
        </w:rPr>
        <w:t xml:space="preserve"> 温州市政府分散采购</w:t>
      </w:r>
    </w:p>
    <w:p>
      <w:pPr>
        <w:spacing w:line="400" w:lineRule="atLeast"/>
        <w:jc w:val="center"/>
        <w:rPr>
          <w:rFonts w:ascii="新宋体" w:hAnsi="新宋体" w:eastAsia="新宋体" w:cs="新宋体"/>
          <w:b/>
          <w:color w:val="auto"/>
          <w:sz w:val="52"/>
        </w:rPr>
      </w:pPr>
    </w:p>
    <w:p>
      <w:pPr>
        <w:tabs>
          <w:tab w:val="left" w:pos="6660"/>
        </w:tabs>
        <w:spacing w:line="400" w:lineRule="atLeast"/>
        <w:jc w:val="center"/>
        <w:rPr>
          <w:rFonts w:ascii="新宋体" w:hAnsi="新宋体" w:eastAsia="新宋体" w:cs="新宋体"/>
          <w:b/>
          <w:color w:val="auto"/>
          <w:sz w:val="52"/>
        </w:rPr>
      </w:pPr>
      <w:r>
        <w:rPr>
          <w:rFonts w:hint="eastAsia" w:ascii="新宋体" w:hAnsi="新宋体" w:eastAsia="新宋体" w:cs="新宋体"/>
          <w:b/>
          <w:color w:val="auto"/>
          <w:sz w:val="52"/>
        </w:rPr>
        <w:drawing>
          <wp:inline distT="0" distB="0" distL="114300" distR="114300">
            <wp:extent cx="1753235" cy="1748155"/>
            <wp:effectExtent l="0" t="0" r="18415" b="444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8" cstate="print"/>
                    <a:stretch>
                      <a:fillRect/>
                    </a:stretch>
                  </pic:blipFill>
                  <pic:spPr>
                    <a:xfrm>
                      <a:off x="0" y="0"/>
                      <a:ext cx="1753235" cy="1748155"/>
                    </a:xfrm>
                    <a:prstGeom prst="rect">
                      <a:avLst/>
                    </a:prstGeom>
                    <a:noFill/>
                    <a:ln>
                      <a:noFill/>
                    </a:ln>
                  </pic:spPr>
                </pic:pic>
              </a:graphicData>
            </a:graphic>
          </wp:inline>
        </w:drawing>
      </w:r>
    </w:p>
    <w:p>
      <w:pPr>
        <w:spacing w:line="400" w:lineRule="atLeast"/>
        <w:jc w:val="center"/>
        <w:rPr>
          <w:rFonts w:ascii="新宋体" w:hAnsi="新宋体" w:eastAsia="新宋体" w:cs="新宋体"/>
          <w:b/>
          <w:color w:val="auto"/>
          <w:sz w:val="52"/>
        </w:rPr>
      </w:pPr>
    </w:p>
    <w:p>
      <w:pPr>
        <w:autoSpaceDE w:val="0"/>
        <w:autoSpaceDN w:val="0"/>
        <w:spacing w:line="500" w:lineRule="atLeast"/>
        <w:jc w:val="center"/>
        <w:textAlignment w:val="bottom"/>
        <w:rPr>
          <w:rFonts w:ascii="新宋体" w:hAnsi="新宋体" w:eastAsia="新宋体" w:cs="新宋体"/>
          <w:b/>
          <w:color w:val="auto"/>
          <w:sz w:val="72"/>
          <w:szCs w:val="72"/>
        </w:rPr>
      </w:pPr>
      <w:r>
        <w:rPr>
          <w:rFonts w:hint="eastAsia" w:ascii="新宋体" w:hAnsi="新宋体" w:eastAsia="新宋体" w:cs="新宋体"/>
          <w:b/>
          <w:bCs/>
          <w:color w:val="auto"/>
          <w:sz w:val="72"/>
          <w:szCs w:val="72"/>
        </w:rPr>
        <w:t>招 标 文 件</w:t>
      </w:r>
    </w:p>
    <w:p>
      <w:pPr>
        <w:spacing w:line="400" w:lineRule="atLeast"/>
        <w:jc w:val="center"/>
        <w:rPr>
          <w:rFonts w:ascii="新宋体" w:hAnsi="新宋体" w:eastAsia="新宋体" w:cs="新宋体"/>
          <w:b/>
          <w:color w:val="auto"/>
          <w:sz w:val="52"/>
        </w:rPr>
      </w:pPr>
    </w:p>
    <w:p>
      <w:pPr>
        <w:spacing w:line="400" w:lineRule="atLeast"/>
        <w:jc w:val="center"/>
        <w:rPr>
          <w:rFonts w:ascii="新宋体" w:hAnsi="新宋体" w:eastAsia="新宋体" w:cs="新宋体"/>
          <w:b/>
          <w:color w:val="auto"/>
          <w:sz w:val="52"/>
        </w:rPr>
      </w:pPr>
    </w:p>
    <w:p>
      <w:pPr>
        <w:tabs>
          <w:tab w:val="left" w:pos="4860"/>
        </w:tabs>
        <w:spacing w:line="600" w:lineRule="exact"/>
        <w:ind w:right="1143" w:firstLine="2157" w:firstLineChars="566"/>
        <w:jc w:val="left"/>
        <w:rPr>
          <w:rFonts w:ascii="新宋体" w:hAnsi="新宋体" w:eastAsia="新宋体" w:cs="新宋体"/>
          <w:b/>
          <w:color w:val="auto"/>
          <w:sz w:val="30"/>
          <w:szCs w:val="30"/>
        </w:rPr>
      </w:pPr>
      <w:r>
        <w:rPr>
          <w:rFonts w:hint="eastAsia" w:ascii="新宋体" w:hAnsi="新宋体" w:eastAsia="新宋体" w:cs="新宋体"/>
          <w:b/>
          <w:color w:val="auto"/>
          <w:spacing w:val="40"/>
          <w:sz w:val="30"/>
          <w:szCs w:val="30"/>
        </w:rPr>
        <w:t>招 标 编 号：</w:t>
      </w:r>
      <w:r>
        <w:rPr>
          <w:rFonts w:hint="eastAsia" w:ascii="新宋体" w:hAnsi="新宋体" w:eastAsia="新宋体" w:cs="新宋体"/>
          <w:b/>
          <w:color w:val="auto"/>
          <w:spacing w:val="40"/>
          <w:sz w:val="30"/>
          <w:szCs w:val="30"/>
          <w:lang w:eastAsia="zh-CN"/>
        </w:rPr>
        <w:t>CTZB-H191229CWZ-1</w:t>
      </w:r>
      <w:r>
        <w:rPr>
          <w:rFonts w:hint="eastAsia" w:ascii="新宋体" w:hAnsi="新宋体" w:eastAsia="新宋体" w:cs="新宋体"/>
          <w:b/>
          <w:color w:val="auto"/>
          <w:spacing w:val="40"/>
          <w:sz w:val="30"/>
          <w:szCs w:val="30"/>
        </w:rPr>
        <w:t xml:space="preserve">  </w:t>
      </w:r>
      <w:r>
        <w:rPr>
          <w:rFonts w:hint="eastAsia" w:ascii="新宋体" w:hAnsi="新宋体" w:eastAsia="新宋体" w:cs="新宋体"/>
          <w:b/>
          <w:bCs/>
          <w:color w:val="auto"/>
          <w:spacing w:val="40"/>
          <w:sz w:val="30"/>
          <w:szCs w:val="30"/>
        </w:rPr>
        <w:t xml:space="preserve"> </w:t>
      </w:r>
    </w:p>
    <w:p>
      <w:pPr>
        <w:tabs>
          <w:tab w:val="left" w:pos="2340"/>
          <w:tab w:val="left" w:pos="4860"/>
        </w:tabs>
        <w:spacing w:line="600" w:lineRule="exact"/>
        <w:ind w:left="4789" w:leftChars="1019" w:right="1143" w:hanging="2649" w:hangingChars="695"/>
        <w:jc w:val="left"/>
        <w:rPr>
          <w:rFonts w:ascii="新宋体" w:hAnsi="新宋体" w:eastAsia="新宋体" w:cs="新宋体"/>
          <w:b/>
          <w:color w:val="auto"/>
          <w:sz w:val="30"/>
          <w:szCs w:val="30"/>
        </w:rPr>
      </w:pPr>
      <w:r>
        <w:rPr>
          <w:rFonts w:hint="eastAsia" w:ascii="新宋体" w:hAnsi="新宋体" w:eastAsia="新宋体" w:cs="新宋体"/>
          <w:b/>
          <w:color w:val="auto"/>
          <w:spacing w:val="40"/>
          <w:sz w:val="30"/>
          <w:szCs w:val="30"/>
        </w:rPr>
        <w:t>招 标 项 目：</w:t>
      </w:r>
      <w:r>
        <w:rPr>
          <w:rFonts w:hint="eastAsia" w:ascii="新宋体" w:hAnsi="新宋体" w:eastAsia="新宋体" w:cs="新宋体"/>
          <w:b/>
          <w:color w:val="auto"/>
          <w:sz w:val="30"/>
          <w:szCs w:val="30"/>
        </w:rPr>
        <w:t>氩气高频电刀采购</w:t>
      </w:r>
    </w:p>
    <w:p>
      <w:pPr>
        <w:tabs>
          <w:tab w:val="left" w:pos="4860"/>
        </w:tabs>
        <w:spacing w:line="600" w:lineRule="exact"/>
        <w:ind w:right="1143" w:firstLine="2157" w:firstLineChars="566"/>
        <w:jc w:val="left"/>
        <w:rPr>
          <w:rFonts w:ascii="新宋体" w:hAnsi="新宋体" w:eastAsia="新宋体" w:cs="新宋体"/>
          <w:b/>
          <w:color w:val="auto"/>
          <w:spacing w:val="40"/>
          <w:sz w:val="30"/>
          <w:szCs w:val="30"/>
        </w:rPr>
      </w:pPr>
      <w:r>
        <w:rPr>
          <w:rFonts w:hint="eastAsia" w:ascii="新宋体" w:hAnsi="新宋体" w:eastAsia="新宋体" w:cs="新宋体"/>
          <w:b/>
          <w:color w:val="auto"/>
          <w:spacing w:val="40"/>
          <w:sz w:val="30"/>
          <w:szCs w:val="30"/>
        </w:rPr>
        <w:t>招 标 方 式：公 开 招 标</w:t>
      </w:r>
    </w:p>
    <w:p>
      <w:pPr>
        <w:spacing w:line="400" w:lineRule="atLeast"/>
        <w:jc w:val="center"/>
        <w:rPr>
          <w:rFonts w:ascii="新宋体" w:hAnsi="新宋体" w:eastAsia="新宋体" w:cs="新宋体"/>
          <w:b/>
          <w:color w:val="auto"/>
          <w:sz w:val="52"/>
        </w:rPr>
      </w:pPr>
    </w:p>
    <w:p>
      <w:pPr>
        <w:spacing w:line="400" w:lineRule="atLeast"/>
        <w:jc w:val="center"/>
        <w:rPr>
          <w:rFonts w:ascii="新宋体" w:hAnsi="新宋体" w:eastAsia="新宋体" w:cs="新宋体"/>
          <w:b/>
          <w:color w:val="auto"/>
          <w:sz w:val="52"/>
        </w:rPr>
      </w:pPr>
    </w:p>
    <w:p>
      <w:pPr>
        <w:spacing w:line="600" w:lineRule="exact"/>
        <w:ind w:firstLine="2159" w:firstLineChars="717"/>
        <w:rPr>
          <w:rFonts w:ascii="新宋体" w:hAnsi="新宋体" w:eastAsia="新宋体" w:cs="新宋体"/>
          <w:b/>
          <w:color w:val="auto"/>
          <w:sz w:val="30"/>
          <w:szCs w:val="30"/>
        </w:rPr>
      </w:pPr>
    </w:p>
    <w:p>
      <w:pPr>
        <w:spacing w:line="600" w:lineRule="exact"/>
        <w:ind w:firstLine="2159" w:firstLineChars="717"/>
        <w:rPr>
          <w:rFonts w:ascii="新宋体" w:hAnsi="新宋体" w:eastAsia="新宋体" w:cs="新宋体"/>
          <w:b/>
          <w:color w:val="auto"/>
          <w:spacing w:val="12"/>
          <w:sz w:val="30"/>
          <w:szCs w:val="30"/>
        </w:rPr>
      </w:pPr>
      <w:r>
        <w:rPr>
          <w:rFonts w:hint="eastAsia" w:ascii="新宋体" w:hAnsi="新宋体" w:eastAsia="新宋体" w:cs="新宋体"/>
          <w:b/>
          <w:color w:val="auto"/>
          <w:sz w:val="30"/>
          <w:szCs w:val="30"/>
        </w:rPr>
        <w:t>采购人：</w:t>
      </w:r>
      <w:r>
        <w:rPr>
          <w:rFonts w:hint="eastAsia" w:ascii="新宋体" w:hAnsi="新宋体" w:eastAsia="新宋体" w:cs="新宋体"/>
          <w:b/>
          <w:color w:val="auto"/>
          <w:spacing w:val="12"/>
          <w:sz w:val="30"/>
          <w:szCs w:val="30"/>
        </w:rPr>
        <w:t>温州市瓯海区中西医结合医院</w:t>
      </w:r>
    </w:p>
    <w:p>
      <w:pPr>
        <w:spacing w:line="600" w:lineRule="exact"/>
        <w:ind w:firstLine="2157" w:firstLineChars="566"/>
        <w:rPr>
          <w:rFonts w:ascii="新宋体" w:hAnsi="新宋体" w:eastAsia="新宋体" w:cs="新宋体"/>
          <w:b/>
          <w:color w:val="auto"/>
          <w:spacing w:val="40"/>
          <w:sz w:val="30"/>
          <w:szCs w:val="30"/>
        </w:rPr>
      </w:pPr>
      <w:r>
        <w:rPr>
          <w:rFonts w:hint="eastAsia" w:ascii="新宋体" w:hAnsi="新宋体" w:eastAsia="新宋体" w:cs="新宋体"/>
          <w:b/>
          <w:color w:val="auto"/>
          <w:spacing w:val="40"/>
          <w:sz w:val="30"/>
          <w:szCs w:val="30"/>
        </w:rPr>
        <w:t>采购代理机构</w:t>
      </w:r>
      <w:r>
        <w:rPr>
          <w:rFonts w:hint="eastAsia" w:ascii="新宋体" w:hAnsi="新宋体" w:eastAsia="新宋体" w:cs="新宋体"/>
          <w:b/>
          <w:color w:val="auto"/>
          <w:sz w:val="30"/>
          <w:szCs w:val="30"/>
        </w:rPr>
        <w:t>：</w:t>
      </w:r>
      <w:r>
        <w:rPr>
          <w:rFonts w:hint="eastAsia" w:ascii="新宋体" w:hAnsi="新宋体" w:eastAsia="新宋体" w:cs="新宋体"/>
          <w:b/>
          <w:color w:val="auto"/>
          <w:spacing w:val="12"/>
          <w:sz w:val="30"/>
          <w:szCs w:val="30"/>
        </w:rPr>
        <w:t>浙江省成套招标代理有限公司</w:t>
      </w:r>
    </w:p>
    <w:p>
      <w:pPr>
        <w:spacing w:line="600" w:lineRule="exact"/>
        <w:jc w:val="center"/>
        <w:rPr>
          <w:rFonts w:ascii="新宋体" w:hAnsi="新宋体" w:eastAsia="新宋体" w:cs="新宋体"/>
          <w:b/>
          <w:color w:val="auto"/>
          <w:spacing w:val="40"/>
          <w:sz w:val="30"/>
          <w:szCs w:val="30"/>
        </w:rPr>
      </w:pPr>
      <w:r>
        <w:rPr>
          <w:rFonts w:hint="eastAsia" w:ascii="新宋体" w:hAnsi="新宋体" w:eastAsia="新宋体" w:cs="新宋体"/>
          <w:b/>
          <w:color w:val="auto"/>
          <w:spacing w:val="40"/>
          <w:sz w:val="30"/>
          <w:szCs w:val="30"/>
        </w:rPr>
        <w:t>二〇一九年十二月</w:t>
      </w:r>
    </w:p>
    <w:p>
      <w:pPr>
        <w:spacing w:line="600" w:lineRule="exact"/>
        <w:jc w:val="center"/>
        <w:rPr>
          <w:rFonts w:ascii="新宋体" w:hAnsi="新宋体" w:eastAsia="新宋体" w:cs="新宋体"/>
          <w:b/>
          <w:bCs/>
          <w:color w:val="auto"/>
          <w:sz w:val="32"/>
          <w:szCs w:val="32"/>
        </w:rPr>
      </w:pPr>
      <w:r>
        <w:rPr>
          <w:rFonts w:hint="eastAsia" w:ascii="新宋体" w:hAnsi="新宋体" w:eastAsia="新宋体" w:cs="新宋体"/>
          <w:color w:val="auto"/>
          <w:spacing w:val="40"/>
          <w:sz w:val="30"/>
          <w:szCs w:val="30"/>
        </w:rPr>
        <w:br w:type="page"/>
      </w:r>
      <w:r>
        <w:rPr>
          <w:rFonts w:hint="eastAsia" w:ascii="新宋体" w:hAnsi="新宋体" w:eastAsia="新宋体" w:cs="新宋体"/>
          <w:b/>
          <w:bCs/>
          <w:color w:val="auto"/>
          <w:sz w:val="32"/>
          <w:szCs w:val="32"/>
        </w:rPr>
        <w:t>目    录</w:t>
      </w:r>
    </w:p>
    <w:p>
      <w:pPr>
        <w:spacing w:line="600" w:lineRule="exact"/>
        <w:jc w:val="center"/>
        <w:rPr>
          <w:rFonts w:ascii="新宋体" w:hAnsi="新宋体" w:eastAsia="新宋体" w:cs="新宋体"/>
          <w:b/>
          <w:bCs/>
          <w:color w:val="auto"/>
          <w:sz w:val="32"/>
          <w:szCs w:val="32"/>
        </w:rPr>
      </w:pPr>
    </w:p>
    <w:p>
      <w:pPr>
        <w:pStyle w:val="39"/>
        <w:tabs>
          <w:tab w:val="right" w:leader="dot" w:pos="9638"/>
          <w:tab w:val="clear" w:pos="9628"/>
        </w:tabs>
        <w:rPr>
          <w:rFonts w:ascii="新宋体" w:hAnsi="新宋体" w:eastAsia="新宋体" w:cs="新宋体"/>
          <w:color w:val="auto"/>
        </w:rPr>
      </w:pPr>
      <w:r>
        <w:rPr>
          <w:rFonts w:hint="eastAsia" w:ascii="新宋体" w:hAnsi="新宋体" w:eastAsia="新宋体" w:cs="新宋体"/>
          <w:b/>
          <w:bCs w:val="0"/>
          <w:color w:val="auto"/>
        </w:rPr>
        <w:fldChar w:fldCharType="begin"/>
      </w:r>
      <w:r>
        <w:rPr>
          <w:rFonts w:hint="eastAsia" w:ascii="新宋体" w:hAnsi="新宋体" w:eastAsia="新宋体" w:cs="新宋体"/>
          <w:b/>
          <w:bCs w:val="0"/>
          <w:color w:val="auto"/>
        </w:rPr>
        <w:instrText xml:space="preserve"> TOC \o "1-3" \h \z \u </w:instrText>
      </w:r>
      <w:r>
        <w:rPr>
          <w:rFonts w:hint="eastAsia" w:ascii="新宋体" w:hAnsi="新宋体" w:eastAsia="新宋体" w:cs="新宋体"/>
          <w:b/>
          <w:bCs w:val="0"/>
          <w:color w:val="auto"/>
        </w:rPr>
        <w:fldChar w:fldCharType="separate"/>
      </w:r>
      <w:r>
        <w:rPr>
          <w:color w:val="auto"/>
        </w:rPr>
        <w:fldChar w:fldCharType="begin"/>
      </w:r>
      <w:r>
        <w:rPr>
          <w:color w:val="auto"/>
        </w:rPr>
        <w:instrText xml:space="preserve"> HYPERLINK \l "_Toc23968" </w:instrText>
      </w:r>
      <w:r>
        <w:rPr>
          <w:color w:val="auto"/>
        </w:rPr>
        <w:fldChar w:fldCharType="separate"/>
      </w:r>
      <w:r>
        <w:rPr>
          <w:rFonts w:hint="eastAsia" w:ascii="新宋体" w:hAnsi="新宋体" w:eastAsia="新宋体" w:cs="新宋体"/>
          <w:color w:val="auto"/>
          <w:szCs w:val="30"/>
        </w:rPr>
        <w:t>浙江省成套招标代理有限公司关于温州市瓯海区中西医结合医院氩气高频电刀采购项目的公开招标公告</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_Toc23968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"_Toc4634" </w:instrText>
      </w:r>
      <w:r>
        <w:rPr>
          <w:color w:val="auto"/>
        </w:rPr>
        <w:fldChar w:fldCharType="separate"/>
      </w:r>
      <w:r>
        <w:rPr>
          <w:rFonts w:hint="eastAsia" w:ascii="新宋体" w:hAnsi="新宋体" w:eastAsia="新宋体" w:cs="新宋体"/>
          <w:color w:val="auto"/>
          <w:szCs w:val="36"/>
        </w:rPr>
        <w:t>投标人须知前附表</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_Toc4634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5</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"_Toc29679" </w:instrText>
      </w:r>
      <w:r>
        <w:rPr>
          <w:color w:val="auto"/>
        </w:rPr>
        <w:fldChar w:fldCharType="separate"/>
      </w:r>
      <w:r>
        <w:rPr>
          <w:rFonts w:hint="eastAsia" w:ascii="新宋体" w:hAnsi="新宋体" w:eastAsia="新宋体" w:cs="新宋体"/>
          <w:color w:val="auto"/>
          <w:szCs w:val="36"/>
        </w:rPr>
        <w:t>第一部分    投标人须知</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_Toc29679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8</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"_Toc2647" </w:instrText>
      </w:r>
      <w:r>
        <w:rPr>
          <w:color w:val="auto"/>
        </w:rPr>
        <w:fldChar w:fldCharType="separate"/>
      </w:r>
      <w:r>
        <w:rPr>
          <w:rFonts w:hint="eastAsia" w:ascii="新宋体" w:hAnsi="新宋体" w:eastAsia="新宋体" w:cs="新宋体"/>
          <w:color w:val="auto"/>
          <w:szCs w:val="26"/>
        </w:rPr>
        <w:t>一、  说明</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_Toc2647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8</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"_Toc9816" </w:instrText>
      </w:r>
      <w:r>
        <w:rPr>
          <w:color w:val="auto"/>
        </w:rPr>
        <w:fldChar w:fldCharType="separate"/>
      </w:r>
      <w:r>
        <w:rPr>
          <w:rFonts w:hint="eastAsia" w:ascii="新宋体" w:hAnsi="新宋体" w:eastAsia="新宋体" w:cs="新宋体"/>
          <w:color w:val="auto"/>
          <w:szCs w:val="26"/>
        </w:rPr>
        <w:t>二、 招标文件</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_Toc9816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8</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"_Toc15323" </w:instrText>
      </w:r>
      <w:r>
        <w:rPr>
          <w:color w:val="auto"/>
        </w:rPr>
        <w:fldChar w:fldCharType="separate"/>
      </w:r>
      <w:r>
        <w:rPr>
          <w:rFonts w:hint="eastAsia" w:ascii="新宋体" w:hAnsi="新宋体" w:eastAsia="新宋体" w:cs="新宋体"/>
          <w:color w:val="auto"/>
          <w:szCs w:val="26"/>
        </w:rPr>
        <w:t>三、 投标文件的编制</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_Toc15323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"_Toc26923" </w:instrText>
      </w:r>
      <w:r>
        <w:rPr>
          <w:color w:val="auto"/>
        </w:rPr>
        <w:fldChar w:fldCharType="separate"/>
      </w:r>
      <w:r>
        <w:rPr>
          <w:rFonts w:hint="eastAsia" w:ascii="新宋体" w:hAnsi="新宋体" w:eastAsia="新宋体" w:cs="新宋体"/>
          <w:color w:val="auto"/>
          <w:szCs w:val="26"/>
        </w:rPr>
        <w:t>四、 投标文件的递交</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_Toc26923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13</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"_Toc12289" </w:instrText>
      </w:r>
      <w:r>
        <w:rPr>
          <w:color w:val="auto"/>
        </w:rPr>
        <w:fldChar w:fldCharType="separate"/>
      </w:r>
      <w:r>
        <w:rPr>
          <w:rFonts w:hint="eastAsia" w:ascii="新宋体" w:hAnsi="新宋体" w:eastAsia="新宋体" w:cs="新宋体"/>
          <w:color w:val="auto"/>
          <w:szCs w:val="26"/>
        </w:rPr>
        <w:t>五、 开标和评标</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_Toc12289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14</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"_Toc4524" </w:instrText>
      </w:r>
      <w:r>
        <w:rPr>
          <w:color w:val="auto"/>
        </w:rPr>
        <w:fldChar w:fldCharType="separate"/>
      </w:r>
      <w:r>
        <w:rPr>
          <w:rFonts w:hint="eastAsia" w:ascii="新宋体" w:hAnsi="新宋体" w:eastAsia="新宋体" w:cs="新宋体"/>
          <w:color w:val="auto"/>
          <w:szCs w:val="26"/>
        </w:rPr>
        <w:t>六、 授予合同</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_Toc4524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17</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"_Toc10195" </w:instrText>
      </w:r>
      <w:r>
        <w:rPr>
          <w:color w:val="auto"/>
        </w:rPr>
        <w:fldChar w:fldCharType="separate"/>
      </w:r>
      <w:r>
        <w:rPr>
          <w:rFonts w:hint="eastAsia" w:ascii="新宋体" w:hAnsi="新宋体" w:eastAsia="新宋体" w:cs="新宋体"/>
          <w:color w:val="auto"/>
          <w:szCs w:val="36"/>
        </w:rPr>
        <w:t>第二部分   政府采购政策功能相关说明</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_Toc10195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"_Toc4758" </w:instrText>
      </w:r>
      <w:r>
        <w:rPr>
          <w:color w:val="auto"/>
        </w:rPr>
        <w:fldChar w:fldCharType="separate"/>
      </w:r>
      <w:r>
        <w:rPr>
          <w:rFonts w:hint="eastAsia" w:ascii="新宋体" w:hAnsi="新宋体" w:eastAsia="新宋体" w:cs="新宋体"/>
          <w:color w:val="auto"/>
          <w:szCs w:val="36"/>
        </w:rPr>
        <w:t>第三部分   合同格式</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_Toc4758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24</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"_Toc28309" </w:instrText>
      </w:r>
      <w:r>
        <w:rPr>
          <w:color w:val="auto"/>
        </w:rPr>
        <w:fldChar w:fldCharType="separate"/>
      </w:r>
      <w:r>
        <w:rPr>
          <w:rFonts w:hint="eastAsia" w:ascii="新宋体" w:hAnsi="新宋体" w:eastAsia="新宋体" w:cs="新宋体"/>
          <w:color w:val="auto"/>
          <w:szCs w:val="32"/>
        </w:rPr>
        <w:t>(2)合同特殊条款</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_Toc28309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"_Toc23027" </w:instrText>
      </w:r>
      <w:r>
        <w:rPr>
          <w:color w:val="auto"/>
        </w:rPr>
        <w:fldChar w:fldCharType="separate"/>
      </w:r>
      <w:r>
        <w:rPr>
          <w:rFonts w:hint="eastAsia" w:ascii="新宋体" w:hAnsi="新宋体" w:eastAsia="新宋体" w:cs="新宋体"/>
          <w:color w:val="auto"/>
          <w:szCs w:val="36"/>
        </w:rPr>
        <w:t>第四部分   附件</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_Toc23027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"_Toc23865" </w:instrText>
      </w:r>
      <w:r>
        <w:rPr>
          <w:color w:val="auto"/>
        </w:rPr>
        <w:fldChar w:fldCharType="separate"/>
      </w:r>
      <w:r>
        <w:rPr>
          <w:rFonts w:hint="eastAsia" w:ascii="新宋体" w:hAnsi="新宋体" w:eastAsia="新宋体" w:cs="新宋体"/>
          <w:color w:val="auto"/>
        </w:rPr>
        <w:t>第五部分   招标内容及要求</w:t>
      </w:r>
      <w:r>
        <w:rPr>
          <w:rFonts w:hint="eastAsia" w:ascii="新宋体" w:hAnsi="新宋体" w:eastAsia="新宋体" w:cs="新宋体"/>
          <w:color w:val="auto"/>
        </w:rPr>
        <w:tab/>
      </w:r>
      <w:r>
        <w:rPr>
          <w:rFonts w:hint="eastAsia" w:ascii="新宋体" w:hAnsi="新宋体" w:eastAsia="新宋体" w:cs="新宋体"/>
          <w:color w:val="auto"/>
        </w:rPr>
        <w:t>4</w:t>
      </w:r>
      <w:r>
        <w:rPr>
          <w:rFonts w:hint="eastAsia" w:ascii="新宋体" w:hAnsi="新宋体" w:eastAsia="新宋体" w:cs="新宋体"/>
          <w:color w:val="auto"/>
        </w:rPr>
        <w:fldChar w:fldCharType="end"/>
      </w:r>
      <w:r>
        <w:rPr>
          <w:rFonts w:hint="eastAsia" w:ascii="新宋体" w:hAnsi="新宋体" w:eastAsia="新宋体" w:cs="新宋体"/>
          <w:color w:val="auto"/>
        </w:rPr>
        <w:t>6</w:t>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"_Toc17731" </w:instrText>
      </w:r>
      <w:r>
        <w:rPr>
          <w:color w:val="auto"/>
        </w:rPr>
        <w:fldChar w:fldCharType="separate"/>
      </w:r>
      <w:r>
        <w:rPr>
          <w:rFonts w:hint="eastAsia" w:ascii="新宋体" w:hAnsi="新宋体" w:eastAsia="新宋体" w:cs="新宋体"/>
          <w:color w:val="auto"/>
          <w:szCs w:val="36"/>
        </w:rPr>
        <w:t>第六部分   评标原则及方法</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_Toc17731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47</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spacing w:line="480" w:lineRule="auto"/>
        <w:rPr>
          <w:rFonts w:ascii="新宋体" w:hAnsi="新宋体" w:eastAsia="新宋体" w:cs="新宋体"/>
          <w:b/>
          <w:bCs/>
          <w:color w:val="auto"/>
          <w:sz w:val="22"/>
          <w:szCs w:val="22"/>
        </w:rPr>
      </w:pPr>
      <w:r>
        <w:rPr>
          <w:rFonts w:hint="eastAsia" w:ascii="新宋体" w:hAnsi="新宋体" w:eastAsia="新宋体" w:cs="新宋体"/>
          <w:bCs/>
          <w:color w:val="auto"/>
        </w:rPr>
        <w:fldChar w:fldCharType="end"/>
      </w:r>
      <w:r>
        <w:rPr>
          <w:rFonts w:hint="eastAsia" w:ascii="新宋体" w:hAnsi="新宋体" w:eastAsia="新宋体" w:cs="新宋体"/>
          <w:b/>
          <w:bCs/>
          <w:color w:val="auto"/>
          <w:sz w:val="22"/>
          <w:szCs w:val="22"/>
        </w:rPr>
        <w:t>注：招标文件中加“▲”且加下划线的条款，为招标的实质性要求和条件，着重提醒各投标人注意，并认真查看招标文件中的每一个条款及要求，因误读招标文件而造成的后果，采购人概不负责。</w:t>
      </w:r>
    </w:p>
    <w:p>
      <w:pPr>
        <w:spacing w:line="360" w:lineRule="exact"/>
        <w:ind w:left="538" w:leftChars="256"/>
        <w:jc w:val="right"/>
        <w:rPr>
          <w:rFonts w:ascii="新宋体" w:hAnsi="新宋体" w:eastAsia="新宋体" w:cs="新宋体"/>
          <w:b/>
          <w:bCs/>
          <w:color w:val="auto"/>
          <w:sz w:val="22"/>
          <w:szCs w:val="22"/>
        </w:rPr>
      </w:pPr>
    </w:p>
    <w:p>
      <w:pPr>
        <w:spacing w:line="380" w:lineRule="exact"/>
        <w:ind w:left="538" w:leftChars="256"/>
        <w:rPr>
          <w:rFonts w:ascii="新宋体" w:hAnsi="新宋体" w:eastAsia="新宋体" w:cs="新宋体"/>
          <w:color w:val="auto"/>
          <w:sz w:val="22"/>
          <w:szCs w:val="22"/>
        </w:rPr>
      </w:pPr>
    </w:p>
    <w:p>
      <w:pPr>
        <w:spacing w:line="380" w:lineRule="exact"/>
        <w:ind w:left="538" w:leftChars="256"/>
        <w:rPr>
          <w:rFonts w:ascii="新宋体" w:hAnsi="新宋体" w:eastAsia="新宋体" w:cs="新宋体"/>
          <w:color w:val="auto"/>
          <w:sz w:val="22"/>
          <w:szCs w:val="22"/>
        </w:rPr>
      </w:pPr>
    </w:p>
    <w:p>
      <w:pPr>
        <w:pStyle w:val="4"/>
        <w:spacing w:before="120" w:after="120" w:line="360" w:lineRule="auto"/>
        <w:ind w:right="-1"/>
        <w:rPr>
          <w:rFonts w:ascii="新宋体" w:hAnsi="新宋体" w:eastAsia="新宋体" w:cs="新宋体"/>
          <w:color w:val="auto"/>
          <w:sz w:val="30"/>
          <w:szCs w:val="30"/>
        </w:rPr>
      </w:pPr>
      <w:r>
        <w:rPr>
          <w:rFonts w:hint="eastAsia" w:ascii="新宋体" w:hAnsi="新宋体" w:eastAsia="新宋体" w:cs="新宋体"/>
          <w:color w:val="auto"/>
          <w:sz w:val="22"/>
          <w:szCs w:val="22"/>
        </w:rPr>
        <w:br w:type="page"/>
      </w:r>
      <w:bookmarkStart w:id="0" w:name="_Toc462130148"/>
      <w:bookmarkStart w:id="1" w:name="_Toc23968"/>
      <w:bookmarkStart w:id="2" w:name="_Toc30181"/>
      <w:bookmarkStart w:id="3" w:name="_Toc15028"/>
      <w:bookmarkStart w:id="4" w:name="_Toc434310670"/>
      <w:r>
        <w:rPr>
          <w:rFonts w:hint="eastAsia" w:ascii="新宋体" w:hAnsi="新宋体" w:eastAsia="新宋体" w:cs="新宋体"/>
          <w:color w:val="auto"/>
          <w:sz w:val="30"/>
          <w:szCs w:val="30"/>
        </w:rPr>
        <w:t>浙江省成套招标代理有限公司关于氩气高频电刀采购项目的</w:t>
      </w:r>
    </w:p>
    <w:p>
      <w:pPr>
        <w:pStyle w:val="4"/>
        <w:spacing w:before="120" w:after="120" w:line="360" w:lineRule="auto"/>
        <w:ind w:right="-1"/>
        <w:rPr>
          <w:rFonts w:ascii="新宋体" w:hAnsi="新宋体" w:eastAsia="新宋体" w:cs="新宋体"/>
          <w:b w:val="0"/>
          <w:bCs w:val="0"/>
          <w:color w:val="auto"/>
          <w:spacing w:val="12"/>
          <w:sz w:val="32"/>
          <w:szCs w:val="32"/>
        </w:rPr>
      </w:pPr>
      <w:r>
        <w:rPr>
          <w:rFonts w:hint="eastAsia" w:ascii="新宋体" w:hAnsi="新宋体" w:eastAsia="新宋体" w:cs="新宋体"/>
          <w:color w:val="auto"/>
          <w:sz w:val="30"/>
          <w:szCs w:val="30"/>
        </w:rPr>
        <w:t>公开招标公告</w:t>
      </w:r>
      <w:bookmarkEnd w:id="0"/>
      <w:bookmarkEnd w:id="1"/>
      <w:bookmarkEnd w:id="2"/>
      <w:bookmarkEnd w:id="3"/>
      <w:bookmarkEnd w:id="4"/>
    </w:p>
    <w:p>
      <w:pPr>
        <w:widowControl/>
        <w:spacing w:line="360" w:lineRule="auto"/>
        <w:ind w:left="61" w:leftChars="29" w:right="60"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根据《中华人民共和国政府采购法》等有关规定，经政府采购管理部门批准，浙江省成套招标代理有限公司受温州市瓯海区中西医结合医院委托，就氩气高频电刀采购项目以公开招标方式进行政府采购，欢迎国内合格的投标人前来投标。</w:t>
      </w:r>
    </w:p>
    <w:p>
      <w:pPr>
        <w:widowControl/>
        <w:spacing w:line="360" w:lineRule="auto"/>
        <w:ind w:right="60"/>
        <w:jc w:val="left"/>
        <w:rPr>
          <w:rFonts w:hint="eastAsia" w:ascii="新宋体" w:hAnsi="新宋体" w:eastAsia="新宋体" w:cs="新宋体"/>
          <w:bCs/>
          <w:color w:val="auto"/>
          <w:kern w:val="0"/>
          <w:sz w:val="22"/>
          <w:szCs w:val="22"/>
          <w:lang w:eastAsia="zh-CN"/>
        </w:rPr>
      </w:pPr>
      <w:r>
        <w:rPr>
          <w:rFonts w:hint="eastAsia" w:ascii="新宋体" w:hAnsi="新宋体" w:eastAsia="新宋体" w:cs="新宋体"/>
          <w:bCs/>
          <w:color w:val="auto"/>
          <w:kern w:val="0"/>
          <w:sz w:val="22"/>
          <w:szCs w:val="22"/>
        </w:rPr>
        <w:t>一、招标编号:</w:t>
      </w:r>
      <w:r>
        <w:rPr>
          <w:rFonts w:hint="eastAsia" w:ascii="新宋体" w:hAnsi="新宋体" w:eastAsia="新宋体" w:cs="新宋体"/>
          <w:bCs/>
          <w:color w:val="auto"/>
          <w:kern w:val="0"/>
          <w:sz w:val="22"/>
          <w:szCs w:val="22"/>
          <w:lang w:eastAsia="zh-CN"/>
        </w:rPr>
        <w:t>CTZB-H191229CWZ-1</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二、采购组织类型：</w:t>
      </w:r>
      <w:bookmarkStart w:id="5" w:name="B09_采购组织类型"/>
      <w:r>
        <w:rPr>
          <w:rFonts w:hint="eastAsia" w:ascii="新宋体" w:hAnsi="新宋体" w:eastAsia="新宋体" w:cs="新宋体"/>
          <w:bCs/>
          <w:color w:val="auto"/>
          <w:kern w:val="0"/>
          <w:sz w:val="22"/>
          <w:szCs w:val="22"/>
        </w:rPr>
        <w:t>分散采购委托代理</w:t>
      </w:r>
      <w:bookmarkEnd w:id="5"/>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三、招标项目概况（内容、用途、数量、简要技术要求等）：</w:t>
      </w:r>
    </w:p>
    <w:tbl>
      <w:tblPr>
        <w:tblStyle w:val="64"/>
        <w:tblW w:w="9586"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1604"/>
        <w:gridCol w:w="615"/>
        <w:gridCol w:w="663"/>
        <w:gridCol w:w="991"/>
        <w:gridCol w:w="4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4"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序号</w:t>
            </w:r>
          </w:p>
        </w:tc>
        <w:tc>
          <w:tcPr>
            <w:tcW w:w="1604"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标项内容</w:t>
            </w:r>
          </w:p>
        </w:tc>
        <w:tc>
          <w:tcPr>
            <w:tcW w:w="615"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数量</w:t>
            </w:r>
          </w:p>
        </w:tc>
        <w:tc>
          <w:tcPr>
            <w:tcW w:w="663"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单位</w:t>
            </w:r>
          </w:p>
        </w:tc>
        <w:tc>
          <w:tcPr>
            <w:tcW w:w="991"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预算金额</w:t>
            </w:r>
          </w:p>
        </w:tc>
        <w:tc>
          <w:tcPr>
            <w:tcW w:w="4969"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简要技术要求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4"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w:t>
            </w:r>
          </w:p>
        </w:tc>
        <w:tc>
          <w:tcPr>
            <w:tcW w:w="1604"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氩气高频电刀</w:t>
            </w:r>
          </w:p>
        </w:tc>
        <w:tc>
          <w:tcPr>
            <w:tcW w:w="615"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663"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 套 </w:t>
            </w:r>
          </w:p>
        </w:tc>
        <w:tc>
          <w:tcPr>
            <w:tcW w:w="991"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15万元</w:t>
            </w:r>
          </w:p>
        </w:tc>
        <w:tc>
          <w:tcPr>
            <w:tcW w:w="4969" w:type="dxa"/>
            <w:tcBorders>
              <w:tl2br w:val="nil"/>
              <w:tr2bl w:val="nil"/>
            </w:tcBorders>
            <w:tcMar>
              <w:top w:w="0" w:type="dxa"/>
              <w:left w:w="108" w:type="dxa"/>
              <w:bottom w:w="0" w:type="dxa"/>
              <w:right w:w="108" w:type="dxa"/>
            </w:tcMar>
            <w:vAlign w:val="center"/>
          </w:tcPr>
          <w:p>
            <w:pPr>
              <w:numPr>
                <w:ilvl w:val="0"/>
                <w:numId w:val="2"/>
              </w:numPr>
              <w:spacing w:line="360" w:lineRule="auto"/>
              <w:rPr>
                <w:rFonts w:ascii="华文宋体" w:hAnsi="华文宋体" w:eastAsia="华文宋体" w:cs="新宋体"/>
                <w:color w:val="auto"/>
                <w:sz w:val="22"/>
                <w:szCs w:val="22"/>
              </w:rPr>
            </w:pPr>
            <w:r>
              <w:rPr>
                <w:rFonts w:hint="eastAsia" w:ascii="新宋体" w:hAnsi="新宋体" w:eastAsia="新宋体" w:cs="新宋体"/>
                <w:color w:val="auto"/>
                <w:sz w:val="22"/>
                <w:szCs w:val="22"/>
              </w:rPr>
              <w:t>输出全悬浮，具有CF型防除颤应用部分（单极）, 与</w:t>
            </w:r>
            <w:r>
              <w:rPr>
                <w:rFonts w:hint="eastAsia" w:ascii="华文宋体" w:hAnsi="华文宋体" w:eastAsia="华文宋体"/>
                <w:color w:val="auto"/>
                <w:sz w:val="22"/>
                <w:szCs w:val="22"/>
              </w:rPr>
              <w:t>富士</w:t>
            </w:r>
            <w:r>
              <w:rPr>
                <w:rFonts w:ascii="华文宋体" w:hAnsi="华文宋体" w:eastAsia="华文宋体"/>
                <w:bCs/>
                <w:color w:val="auto"/>
              </w:rPr>
              <w:t>EG-250</w:t>
            </w:r>
            <w:r>
              <w:rPr>
                <w:rFonts w:hint="eastAsia" w:ascii="华文宋体" w:hAnsi="华文宋体" w:eastAsia="华文宋体"/>
                <w:bCs/>
                <w:color w:val="auto"/>
              </w:rPr>
              <w:t>系列内镜适配。</w:t>
            </w:r>
          </w:p>
          <w:p>
            <w:pPr>
              <w:pStyle w:val="2"/>
              <w:ind w:firstLine="0" w:firstLineChars="0"/>
              <w:jc w:val="center"/>
              <w:rPr>
                <w:rFonts w:ascii="新宋体" w:hAnsi="新宋体" w:eastAsia="新宋体" w:cs="新宋体"/>
                <w:color w:val="auto"/>
              </w:rPr>
            </w:pPr>
            <w:r>
              <w:rPr>
                <w:rFonts w:hint="eastAsia" w:ascii="新宋体" w:hAnsi="新宋体" w:eastAsia="新宋体" w:cs="新宋体"/>
                <w:color w:val="auto"/>
                <w:sz w:val="22"/>
                <w:szCs w:val="22"/>
              </w:rPr>
              <w:t>详见招标文件第五部分内容。</w:t>
            </w:r>
          </w:p>
        </w:tc>
      </w:tr>
    </w:tbl>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四、投标人资格要求：</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1、基本条件：符合《中华人民共和国政府采购法》第二十二条的规定：</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1）具有独立承担民事责任的能力；</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2）具有良好的商业信誉和健全的财务会计制度；</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3）具有履行合同所必需的设备和专业技术能力；</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4）有依法缴纳税收和社会保障资金的良好记录；</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5）参加政府采购活动前三年内，在经营活动中没有重大违法记录；</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2、供应商未被列入失信被执行人名单、重大税收违法案件当事人名单、政府采购严重违法失信行为记录名单，信用信息以信用中国网站（www.creditchina.gov.cn）、中国政府采购网（www.ccgp.gov.cn）公布为准；</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3、单位负责人为同一人或者存在直接控股、管理关系的不同供应商，不得参加同一合同项下的政府采购活动；</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4、特定资格条件: </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1）投标人须具有有效的医疗器械经营许可证（如适用）；</w:t>
      </w:r>
    </w:p>
    <w:p>
      <w:pPr>
        <w:widowControl/>
        <w:spacing w:line="360" w:lineRule="auto"/>
        <w:ind w:right="60"/>
        <w:jc w:val="left"/>
        <w:rPr>
          <w:rFonts w:ascii="新宋体" w:hAnsi="新宋体" w:eastAsia="新宋体" w:cs="新宋体"/>
          <w:b/>
          <w:color w:val="auto"/>
          <w:kern w:val="0"/>
          <w:sz w:val="22"/>
          <w:szCs w:val="22"/>
        </w:rPr>
      </w:pPr>
      <w:r>
        <w:rPr>
          <w:rFonts w:hint="eastAsia" w:ascii="新宋体" w:hAnsi="新宋体" w:eastAsia="新宋体" w:cs="新宋体"/>
          <w:bCs/>
          <w:color w:val="auto"/>
          <w:kern w:val="0"/>
          <w:sz w:val="22"/>
          <w:szCs w:val="22"/>
        </w:rPr>
        <w:t>5、本项目不接受联合体。</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五、获取招标文件方式及时间：</w:t>
      </w:r>
    </w:p>
    <w:p>
      <w:pPr>
        <w:widowControl/>
        <w:numPr>
          <w:ilvl w:val="0"/>
          <w:numId w:val="3"/>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获取方式：在浙江政府采购网“采购云”平台”（http://www.zjzfcg.gov.cn/）上申请获取（未注册的供应商请尽早注册，具体获取方法咨询政采云客服电话：400-881-7190），申请获取前须向采购代理机构支付招标文件工本费；</w:t>
      </w:r>
    </w:p>
    <w:p>
      <w:pPr>
        <w:widowControl/>
        <w:numPr>
          <w:ilvl w:val="0"/>
          <w:numId w:val="3"/>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获取招标文件时间：2019年</w:t>
      </w:r>
      <w:r>
        <w:rPr>
          <w:rFonts w:hint="eastAsia" w:ascii="新宋体" w:hAnsi="新宋体" w:eastAsia="新宋体" w:cs="新宋体"/>
          <w:snapToGrid w:val="0"/>
          <w:color w:val="auto"/>
          <w:sz w:val="22"/>
          <w:szCs w:val="22"/>
          <w:lang w:val="en-US" w:eastAsia="zh-CN"/>
        </w:rPr>
        <w:t>12</w:t>
      </w:r>
      <w:r>
        <w:rPr>
          <w:rFonts w:hint="eastAsia" w:ascii="新宋体" w:hAnsi="新宋体" w:eastAsia="新宋体" w:cs="新宋体"/>
          <w:snapToGrid w:val="0"/>
          <w:color w:val="auto"/>
          <w:sz w:val="22"/>
          <w:szCs w:val="22"/>
        </w:rPr>
        <w:t>月</w:t>
      </w:r>
      <w:r>
        <w:rPr>
          <w:rFonts w:hint="eastAsia" w:ascii="新宋体" w:hAnsi="新宋体" w:eastAsia="新宋体" w:cs="新宋体"/>
          <w:snapToGrid w:val="0"/>
          <w:color w:val="auto"/>
          <w:sz w:val="22"/>
          <w:szCs w:val="22"/>
          <w:lang w:val="en-US" w:eastAsia="zh-CN"/>
        </w:rPr>
        <w:t>30</w:t>
      </w:r>
      <w:r>
        <w:rPr>
          <w:rFonts w:hint="eastAsia" w:ascii="新宋体" w:hAnsi="新宋体" w:eastAsia="新宋体" w:cs="新宋体"/>
          <w:snapToGrid w:val="0"/>
          <w:color w:val="auto"/>
          <w:sz w:val="22"/>
          <w:szCs w:val="22"/>
        </w:rPr>
        <w:t>日起至20</w:t>
      </w:r>
      <w:r>
        <w:rPr>
          <w:rFonts w:hint="eastAsia" w:ascii="新宋体" w:hAnsi="新宋体" w:eastAsia="新宋体" w:cs="新宋体"/>
          <w:snapToGrid w:val="0"/>
          <w:color w:val="auto"/>
          <w:sz w:val="22"/>
          <w:szCs w:val="22"/>
          <w:lang w:val="en-US" w:eastAsia="zh-CN"/>
        </w:rPr>
        <w:t>20</w:t>
      </w:r>
      <w:r>
        <w:rPr>
          <w:rFonts w:hint="eastAsia" w:ascii="新宋体" w:hAnsi="新宋体" w:eastAsia="新宋体" w:cs="新宋体"/>
          <w:snapToGrid w:val="0"/>
          <w:color w:val="auto"/>
          <w:sz w:val="22"/>
          <w:szCs w:val="22"/>
        </w:rPr>
        <w:t>年</w:t>
      </w:r>
      <w:r>
        <w:rPr>
          <w:rFonts w:hint="eastAsia" w:ascii="新宋体" w:hAnsi="新宋体" w:eastAsia="新宋体" w:cs="新宋体"/>
          <w:snapToGrid w:val="0"/>
          <w:color w:val="auto"/>
          <w:sz w:val="22"/>
          <w:szCs w:val="22"/>
          <w:lang w:val="en-US" w:eastAsia="zh-CN"/>
        </w:rPr>
        <w:t>01</w:t>
      </w:r>
      <w:r>
        <w:rPr>
          <w:rFonts w:hint="eastAsia" w:ascii="新宋体" w:hAnsi="新宋体" w:eastAsia="新宋体" w:cs="新宋体"/>
          <w:snapToGrid w:val="0"/>
          <w:color w:val="auto"/>
          <w:sz w:val="22"/>
          <w:szCs w:val="22"/>
        </w:rPr>
        <w:t>月</w:t>
      </w:r>
      <w:r>
        <w:rPr>
          <w:rFonts w:hint="eastAsia" w:ascii="新宋体" w:hAnsi="新宋体" w:eastAsia="新宋体" w:cs="新宋体"/>
          <w:snapToGrid w:val="0"/>
          <w:color w:val="auto"/>
          <w:sz w:val="22"/>
          <w:szCs w:val="22"/>
          <w:lang w:val="en-US" w:eastAsia="zh-CN"/>
        </w:rPr>
        <w:t>07</w:t>
      </w:r>
      <w:r>
        <w:rPr>
          <w:rFonts w:hint="eastAsia" w:ascii="新宋体" w:hAnsi="新宋体" w:eastAsia="新宋体" w:cs="新宋体"/>
          <w:snapToGrid w:val="0"/>
          <w:color w:val="auto"/>
          <w:sz w:val="22"/>
          <w:szCs w:val="22"/>
        </w:rPr>
        <w:t>日（招标文件获取截止时间之后潜在供应商仍然可以购买招标文件，但该供应商如对招标文件有疑问应按招标文件规定的询疑截止时间前提出，逾期提出的，采购组织机构可以不予受理、答复。未支付招标文件工本费的潜在供应商拒绝参加投标。）</w:t>
      </w:r>
    </w:p>
    <w:p>
      <w:pPr>
        <w:widowControl/>
        <w:numPr>
          <w:ilvl w:val="0"/>
          <w:numId w:val="3"/>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招标文件工本费：人民币500元(售后不退)</w:t>
      </w:r>
    </w:p>
    <w:p>
      <w:pPr>
        <w:widowControl/>
        <w:numPr>
          <w:ilvl w:val="0"/>
          <w:numId w:val="3"/>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递交投标文件截止时间：</w:t>
      </w:r>
      <w:r>
        <w:rPr>
          <w:rFonts w:hint="eastAsia" w:ascii="新宋体" w:hAnsi="新宋体" w:eastAsia="新宋体" w:cs="新宋体"/>
          <w:snapToGrid w:val="0"/>
          <w:color w:val="auto"/>
          <w:sz w:val="22"/>
          <w:szCs w:val="22"/>
          <w:lang w:eastAsia="zh-CN"/>
        </w:rPr>
        <w:t>2020年01月20日14:00分</w:t>
      </w:r>
      <w:r>
        <w:rPr>
          <w:rFonts w:hint="eastAsia" w:ascii="新宋体" w:hAnsi="新宋体" w:eastAsia="新宋体" w:cs="新宋体"/>
          <w:snapToGrid w:val="0"/>
          <w:color w:val="auto"/>
          <w:sz w:val="22"/>
          <w:szCs w:val="22"/>
          <w:lang w:val="zh-CN"/>
        </w:rPr>
        <w:t>(北京时间)</w:t>
      </w:r>
      <w:r>
        <w:rPr>
          <w:rFonts w:hint="eastAsia" w:ascii="新宋体" w:hAnsi="新宋体" w:eastAsia="新宋体" w:cs="新宋体"/>
          <w:snapToGrid w:val="0"/>
          <w:color w:val="auto"/>
          <w:sz w:val="22"/>
          <w:szCs w:val="22"/>
        </w:rPr>
        <w:t>。</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六、投标截止时间：2020年01月20日14:00分(北京时间)。</w:t>
      </w:r>
    </w:p>
    <w:p>
      <w:pPr>
        <w:autoSpaceDE w:val="0"/>
        <w:autoSpaceDN w:val="0"/>
        <w:adjustRightInd w:val="0"/>
        <w:spacing w:before="60" w:after="60" w:line="360" w:lineRule="auto"/>
        <w:ind w:left="600" w:right="60" w:hanging="539"/>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七、投标文件提交地点：温州市温州大道展宏大厦2栋702室。</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八、开标时间：2020年01月20日14:00分(北京时间)</w:t>
      </w:r>
    </w:p>
    <w:p>
      <w:pPr>
        <w:autoSpaceDE w:val="0"/>
        <w:autoSpaceDN w:val="0"/>
        <w:adjustRightInd w:val="0"/>
        <w:spacing w:before="60" w:after="60" w:line="360" w:lineRule="auto"/>
        <w:ind w:left="600" w:right="60" w:hanging="539"/>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九、开标地点：温州市温州大道展宏大厦2栋702室。</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十、投标保证金及交付方式：本项目不要求提供。</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十一、其他事项：</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w:t>
      </w:r>
      <w:r>
        <w:rPr>
          <w:rFonts w:hint="eastAsia" w:ascii="新宋体" w:hAnsi="新宋体" w:eastAsia="新宋体" w:cs="新宋体"/>
          <w:color w:val="auto"/>
          <w:kern w:val="0"/>
          <w:szCs w:val="21"/>
        </w:rPr>
        <w:t>采购公告期限：5个工作日，从公告在浙江政府采购网上发布的次日起算；</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w:t>
      </w:r>
      <w:r>
        <w:rPr>
          <w:rFonts w:hint="eastAsia" w:ascii="新宋体" w:hAnsi="新宋体" w:eastAsia="新宋体" w:cs="新宋体"/>
          <w:bCs/>
          <w:color w:val="auto"/>
          <w:kern w:val="0"/>
          <w:sz w:val="22"/>
          <w:szCs w:val="22"/>
        </w:rPr>
        <w:t>供应商在依法获取招标文件后认为招标文件使自己的权益受到损害的，可以自依法获取招标文件之日（获取截止日之后依法获取招标文件的，以获取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招标公告附件的招标文件仅供阅览使用，未依法获取招标文件的潜在供应商提起的质疑,采购人和采购代理机构将不予受理。质疑函范本、投诉书范本请到浙江政府采购网下载专区下载。</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3</w:t>
      </w:r>
      <w:r>
        <w:rPr>
          <w:rFonts w:hint="eastAsia" w:ascii="新宋体" w:hAnsi="新宋体" w:eastAsia="新宋体" w:cs="新宋体"/>
          <w:color w:val="auto"/>
          <w:kern w:val="0"/>
          <w:sz w:val="22"/>
          <w:szCs w:val="22"/>
          <w:lang w:val="zh-CN"/>
        </w:rPr>
        <w:t>、招标文件获取截止时间之后潜在供应商仍然可以购买招标文件，但该供应商如对招标文件有疑问应按招标文件规定的询疑截止时间前提出，逾期提出的，采购组织机构可以不予受理、答复。</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4</w:t>
      </w:r>
      <w:r>
        <w:rPr>
          <w:rFonts w:hint="eastAsia" w:ascii="新宋体" w:hAnsi="新宋体" w:eastAsia="新宋体" w:cs="新宋体"/>
          <w:color w:val="auto"/>
          <w:kern w:val="0"/>
          <w:sz w:val="22"/>
          <w:szCs w:val="22"/>
          <w:lang w:val="zh-CN"/>
        </w:rPr>
        <w:t>、潜在供应商可在浙江政府采购网http：//www.zjzfcg.gov.cn进行免费注册，具体详见浙江政府采购网供应商注册要求，中标供应商应在合同签订前完成注册并成为正式注册供应商。</w:t>
      </w:r>
    </w:p>
    <w:p>
      <w:pPr>
        <w:autoSpaceDE w:val="0"/>
        <w:autoSpaceDN w:val="0"/>
        <w:adjustRightInd w:val="0"/>
        <w:spacing w:line="360" w:lineRule="auto"/>
        <w:ind w:firstLine="42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5、本项目对符合财政扶持政策的中小企业（小型、微型）、监狱企业、残疾人福利性单位给予价格优惠扶持；执行节能产品政府强制采购和优先采购政策；执行环境标志产品政府优先采购政策。</w:t>
      </w:r>
    </w:p>
    <w:p>
      <w:pPr>
        <w:widowControl/>
        <w:spacing w:line="360" w:lineRule="auto"/>
        <w:ind w:right="62"/>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w:t>
      </w:r>
    </w:p>
    <w:p>
      <w:pPr>
        <w:widowControl/>
        <w:spacing w:line="360" w:lineRule="auto"/>
        <w:ind w:right="62"/>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十二、联系方式</w:t>
      </w:r>
    </w:p>
    <w:p>
      <w:pPr>
        <w:widowControl/>
        <w:spacing w:line="360" w:lineRule="auto"/>
        <w:ind w:right="60" w:firstLine="660" w:firstLineChars="3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1、采购代理机构名称：浙江省成套招标代理有限公司</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地 址：温州市温州大道展宏大厦2栋702室</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联系人：邵海勇/谢武剑 电话：18967751006/13857110281</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传真： 0577-86071211</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书面质疑受理地点：温州市温州大道展宏大厦2栋702室</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质疑文件接收联系人：肖慧</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联系电话：13606874516</w:t>
      </w:r>
    </w:p>
    <w:p>
      <w:pPr>
        <w:widowControl/>
        <w:spacing w:line="360" w:lineRule="auto"/>
        <w:ind w:right="62" w:firstLine="440" w:firstLineChars="2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2、采购人名称：温州市瓯海区中西医结合医院</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联系地址：温州市瓯海区金蟾大道119号</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联系人：赵女士，电话：0577- 55592118</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行业主管部门：温州市瓯海区卫生健康局 </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地址：温州市瓯海大道900号</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联系人：季先生,电话：0577-55563914</w:t>
      </w:r>
    </w:p>
    <w:p>
      <w:pPr>
        <w:widowControl/>
        <w:numPr>
          <w:ilvl w:val="0"/>
          <w:numId w:val="4"/>
        </w:numPr>
        <w:spacing w:line="360" w:lineRule="auto"/>
        <w:ind w:right="62" w:firstLine="440" w:firstLineChars="200"/>
        <w:jc w:val="left"/>
        <w:rPr>
          <w:rFonts w:ascii="新宋体" w:hAnsi="新宋体" w:eastAsia="新宋体" w:cs="新宋体"/>
          <w:color w:val="auto"/>
          <w:kern w:val="0"/>
          <w:sz w:val="22"/>
          <w:szCs w:val="22"/>
          <w:lang w:val="zh-CN"/>
        </w:rPr>
      </w:pPr>
      <w:r>
        <w:rPr>
          <w:rFonts w:hint="eastAsia" w:ascii="新宋体" w:hAnsi="新宋体" w:eastAsia="新宋体" w:cs="新宋体"/>
          <w:bCs/>
          <w:color w:val="auto"/>
          <w:kern w:val="0"/>
          <w:sz w:val="22"/>
          <w:szCs w:val="22"/>
        </w:rPr>
        <w:t xml:space="preserve"> 政府采购监管部门：</w:t>
      </w:r>
      <w:r>
        <w:rPr>
          <w:rFonts w:hint="eastAsia" w:ascii="新宋体" w:hAnsi="新宋体" w:eastAsia="新宋体" w:cs="新宋体"/>
          <w:color w:val="auto"/>
          <w:kern w:val="0"/>
          <w:sz w:val="22"/>
          <w:szCs w:val="22"/>
          <w:lang w:val="zh-CN"/>
        </w:rPr>
        <w:t>温州市瓯海区财政局</w:t>
      </w:r>
    </w:p>
    <w:p>
      <w:pPr>
        <w:widowControl/>
        <w:spacing w:line="360" w:lineRule="auto"/>
        <w:ind w:right="62"/>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        地址：温州市瓯海行政中心1号楼</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color w:val="auto"/>
          <w:kern w:val="0"/>
          <w:sz w:val="22"/>
          <w:szCs w:val="22"/>
          <w:lang w:val="zh-CN"/>
        </w:rPr>
        <w:t xml:space="preserve">联系人：虞先生，联系电话：0577-88522238 </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w:t>
      </w:r>
    </w:p>
    <w:p>
      <w:pPr>
        <w:pStyle w:val="2"/>
        <w:ind w:firstLine="360"/>
        <w:rPr>
          <w:rFonts w:ascii="新宋体" w:hAnsi="新宋体" w:eastAsia="新宋体" w:cs="新宋体"/>
          <w:color w:val="auto"/>
          <w:sz w:val="36"/>
          <w:szCs w:val="36"/>
        </w:rPr>
      </w:pPr>
      <w:bookmarkStart w:id="6" w:name="_Toc4634"/>
    </w:p>
    <w:p>
      <w:pPr>
        <w:rPr>
          <w:rFonts w:ascii="新宋体" w:hAnsi="新宋体" w:eastAsia="新宋体" w:cs="新宋体"/>
          <w:color w:val="auto"/>
          <w:sz w:val="36"/>
          <w:szCs w:val="36"/>
        </w:rPr>
      </w:pPr>
      <w:r>
        <w:rPr>
          <w:rFonts w:hint="eastAsia" w:ascii="新宋体" w:hAnsi="新宋体" w:eastAsia="新宋体" w:cs="新宋体"/>
          <w:color w:val="auto"/>
          <w:sz w:val="36"/>
          <w:szCs w:val="36"/>
        </w:rPr>
        <w:br w:type="page"/>
      </w:r>
    </w:p>
    <w:p>
      <w:pPr>
        <w:pStyle w:val="4"/>
        <w:rPr>
          <w:rFonts w:ascii="新宋体" w:hAnsi="新宋体" w:eastAsia="新宋体" w:cs="新宋体"/>
          <w:color w:val="auto"/>
          <w:sz w:val="36"/>
          <w:szCs w:val="36"/>
        </w:rPr>
      </w:pPr>
      <w:r>
        <w:rPr>
          <w:rFonts w:hint="eastAsia" w:ascii="新宋体" w:hAnsi="新宋体" w:eastAsia="新宋体" w:cs="新宋体"/>
          <w:color w:val="auto"/>
          <w:sz w:val="36"/>
          <w:szCs w:val="36"/>
        </w:rPr>
        <w:t>投标人须知前附表</w:t>
      </w:r>
    </w:p>
    <w:bookmarkEnd w:id="6"/>
    <w:tbl>
      <w:tblPr>
        <w:tblStyle w:val="64"/>
        <w:tblW w:w="9854" w:type="dxa"/>
        <w:tblInd w:w="0" w:type="dxa"/>
        <w:tblLayout w:type="fixed"/>
        <w:tblCellMar>
          <w:top w:w="0" w:type="dxa"/>
          <w:left w:w="108" w:type="dxa"/>
          <w:bottom w:w="0" w:type="dxa"/>
          <w:right w:w="108" w:type="dxa"/>
        </w:tblCellMar>
      </w:tblPr>
      <w:tblGrid>
        <w:gridCol w:w="929"/>
        <w:gridCol w:w="1806"/>
        <w:gridCol w:w="7119"/>
      </w:tblGrid>
      <w:tr>
        <w:tblPrEx>
          <w:tblLayout w:type="fixed"/>
          <w:tblCellMar>
            <w:top w:w="0" w:type="dxa"/>
            <w:left w:w="108" w:type="dxa"/>
            <w:bottom w:w="0" w:type="dxa"/>
            <w:right w:w="108" w:type="dxa"/>
          </w:tblCellMar>
        </w:tblPrEx>
        <w:trPr>
          <w:trHeight w:val="567"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序号</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条款名称</w:t>
            </w:r>
          </w:p>
        </w:tc>
        <w:tc>
          <w:tcPr>
            <w:tcW w:w="711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编列内容</w:t>
            </w:r>
          </w:p>
        </w:tc>
      </w:tr>
      <w:tr>
        <w:tblPrEx>
          <w:tblLayout w:type="fixed"/>
          <w:tblCellMar>
            <w:top w:w="0" w:type="dxa"/>
            <w:left w:w="108" w:type="dxa"/>
            <w:bottom w:w="0" w:type="dxa"/>
            <w:right w:w="108" w:type="dxa"/>
          </w:tblCellMar>
        </w:tblPrEx>
        <w:trPr>
          <w:trHeight w:val="1054"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采购人名称：温州市瓯海区中西医结合医院</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联系地址：温州市瓯海区金蟾大道119号</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联系人：赵女士，电话：0577-55592118</w:t>
            </w:r>
          </w:p>
        </w:tc>
      </w:tr>
      <w:tr>
        <w:tblPrEx>
          <w:tblLayout w:type="fixed"/>
          <w:tblCellMar>
            <w:top w:w="0" w:type="dxa"/>
            <w:left w:w="108" w:type="dxa"/>
            <w:bottom w:w="0" w:type="dxa"/>
            <w:right w:w="108" w:type="dxa"/>
          </w:tblCellMar>
        </w:tblPrEx>
        <w:trPr>
          <w:trHeight w:val="1058"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采购代理机构</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代理机构名称：浙江省成套招标代理有限公司</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代理机构地址：温州市温州大道展宏大厦2栋702室</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联系人：邵海勇/谢武剑 电话：18967751006/13857110281</w:t>
            </w:r>
          </w:p>
        </w:tc>
      </w:tr>
      <w:tr>
        <w:tblPrEx>
          <w:tblLayout w:type="fixed"/>
          <w:tblCellMar>
            <w:top w:w="0" w:type="dxa"/>
            <w:left w:w="108" w:type="dxa"/>
            <w:bottom w:w="0" w:type="dxa"/>
            <w:right w:w="108" w:type="dxa"/>
          </w:tblCellMar>
        </w:tblPrEx>
        <w:trPr>
          <w:trHeight w:val="7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项目名称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氩气高频电刀采购</w:t>
            </w:r>
          </w:p>
          <w:p>
            <w:pPr>
              <w:rPr>
                <w:rFonts w:ascii="新宋体" w:hAnsi="新宋体" w:eastAsia="新宋体" w:cs="新宋体"/>
                <w:color w:val="auto"/>
                <w:kern w:val="0"/>
                <w:sz w:val="22"/>
                <w:szCs w:val="22"/>
              </w:rPr>
            </w:pPr>
            <w:r>
              <w:rPr>
                <w:rFonts w:hint="eastAsia" w:ascii="新宋体" w:hAnsi="新宋体" w:eastAsia="新宋体" w:cs="新宋体"/>
                <w:color w:val="auto"/>
                <w:spacing w:val="40"/>
                <w:sz w:val="22"/>
                <w:szCs w:val="22"/>
              </w:rPr>
              <w:t>招标编号</w:t>
            </w: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eastAsia="zh-CN"/>
              </w:rPr>
              <w:t>CTZB-H191229CWZ-1</w:t>
            </w:r>
            <w:r>
              <w:rPr>
                <w:rFonts w:hint="eastAsia" w:ascii="新宋体" w:hAnsi="新宋体" w:eastAsia="新宋体" w:cs="新宋体"/>
                <w:color w:val="auto"/>
                <w:sz w:val="22"/>
                <w:szCs w:val="22"/>
              </w:rPr>
              <w:t xml:space="preserve"> </w:t>
            </w:r>
          </w:p>
        </w:tc>
      </w:tr>
      <w:tr>
        <w:tblPrEx>
          <w:tblLayout w:type="fixed"/>
          <w:tblCellMar>
            <w:top w:w="0" w:type="dxa"/>
            <w:left w:w="108" w:type="dxa"/>
            <w:bottom w:w="0" w:type="dxa"/>
            <w:right w:w="108" w:type="dxa"/>
          </w:tblCellMar>
        </w:tblPrEx>
        <w:trPr>
          <w:trHeight w:val="7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招标内容</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详见招标公告，具体要求见招标文件第五部分。</w:t>
            </w:r>
          </w:p>
        </w:tc>
      </w:tr>
      <w:tr>
        <w:tblPrEx>
          <w:tblLayout w:type="fixed"/>
          <w:tblCellMar>
            <w:top w:w="0" w:type="dxa"/>
            <w:left w:w="108" w:type="dxa"/>
            <w:bottom w:w="0" w:type="dxa"/>
            <w:right w:w="108" w:type="dxa"/>
          </w:tblCellMar>
        </w:tblPrEx>
        <w:trPr>
          <w:trHeight w:val="57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交货时间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rPr>
            </w:pPr>
            <w:r>
              <w:rPr>
                <w:rFonts w:hint="eastAsia" w:ascii="新宋体" w:hAnsi="新宋体" w:eastAsia="新宋体" w:cs="新宋体"/>
                <w:color w:val="auto"/>
              </w:rPr>
              <w:t>详见招标第五部分“招标内容及要求”相关内容。</w:t>
            </w:r>
          </w:p>
        </w:tc>
      </w:tr>
      <w:tr>
        <w:tblPrEx>
          <w:tblLayout w:type="fixed"/>
          <w:tblCellMar>
            <w:top w:w="0" w:type="dxa"/>
            <w:left w:w="108" w:type="dxa"/>
            <w:bottom w:w="0" w:type="dxa"/>
            <w:right w:w="108" w:type="dxa"/>
          </w:tblCellMar>
        </w:tblPrEx>
        <w:trPr>
          <w:trHeight w:val="497"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投标人资格要求</w:t>
            </w:r>
          </w:p>
        </w:tc>
        <w:tc>
          <w:tcPr>
            <w:tcW w:w="7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right="6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详见本项目招标公告。</w:t>
            </w:r>
          </w:p>
        </w:tc>
      </w:tr>
      <w:tr>
        <w:tblPrEx>
          <w:tblLayout w:type="fixed"/>
          <w:tblCellMar>
            <w:top w:w="0" w:type="dxa"/>
            <w:left w:w="108" w:type="dxa"/>
            <w:bottom w:w="0" w:type="dxa"/>
            <w:right w:w="108" w:type="dxa"/>
          </w:tblCellMar>
        </w:tblPrEx>
        <w:trPr>
          <w:trHeight w:val="90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是否接受联合体投标</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不接受</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□接受，应满足下列要求：</w:t>
            </w:r>
          </w:p>
        </w:tc>
      </w:tr>
      <w:tr>
        <w:tblPrEx>
          <w:tblLayout w:type="fixed"/>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踏勘现场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□组织</w:t>
            </w:r>
          </w:p>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不组织,投标人若需踏勘现场，请联系采购人。</w:t>
            </w:r>
          </w:p>
        </w:tc>
      </w:tr>
      <w:tr>
        <w:tblPrEx>
          <w:tblLayout w:type="fixed"/>
          <w:tblCellMar>
            <w:top w:w="0" w:type="dxa"/>
            <w:left w:w="108" w:type="dxa"/>
            <w:bottom w:w="0" w:type="dxa"/>
            <w:right w:w="108" w:type="dxa"/>
          </w:tblCellMar>
        </w:tblPrEx>
        <w:trPr>
          <w:trHeight w:val="70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9</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投标预备会</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□召开</w:t>
            </w:r>
          </w:p>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不召开</w:t>
            </w:r>
          </w:p>
        </w:tc>
      </w:tr>
      <w:tr>
        <w:tblPrEx>
          <w:tblLayout w:type="fixed"/>
          <w:tblCellMar>
            <w:top w:w="0" w:type="dxa"/>
            <w:left w:w="108" w:type="dxa"/>
            <w:bottom w:w="0" w:type="dxa"/>
            <w:right w:w="108" w:type="dxa"/>
          </w:tblCellMar>
        </w:tblPrEx>
        <w:trPr>
          <w:trHeight w:val="61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投标截止时间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lang w:eastAsia="zh-CN"/>
              </w:rPr>
              <w:t>2020年01月20日14:00分</w:t>
            </w:r>
            <w:r>
              <w:rPr>
                <w:rFonts w:hint="eastAsia" w:ascii="新宋体" w:hAnsi="新宋体" w:eastAsia="新宋体" w:cs="新宋体"/>
                <w:color w:val="auto"/>
                <w:kern w:val="0"/>
                <w:sz w:val="22"/>
                <w:szCs w:val="22"/>
              </w:rPr>
              <w:t>(北京时间)</w:t>
            </w:r>
          </w:p>
        </w:tc>
      </w:tr>
      <w:tr>
        <w:tblPrEx>
          <w:tblLayout w:type="fixed"/>
          <w:tblCellMar>
            <w:top w:w="0" w:type="dxa"/>
            <w:left w:w="108" w:type="dxa"/>
            <w:bottom w:w="0" w:type="dxa"/>
            <w:right w:w="108" w:type="dxa"/>
          </w:tblCellMar>
        </w:tblPrEx>
        <w:trPr>
          <w:trHeight w:val="756"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分包</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□允许</w:t>
            </w:r>
          </w:p>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不允许</w:t>
            </w:r>
          </w:p>
        </w:tc>
      </w:tr>
      <w:tr>
        <w:tblPrEx>
          <w:tblLayout w:type="fixed"/>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偏离</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Layout w:type="fixed"/>
          <w:tblCellMar>
            <w:top w:w="0" w:type="dxa"/>
            <w:left w:w="108" w:type="dxa"/>
            <w:bottom w:w="0" w:type="dxa"/>
            <w:right w:w="108" w:type="dxa"/>
          </w:tblCellMar>
        </w:tblPrEx>
        <w:trPr>
          <w:trHeight w:val="68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13</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投标有效期</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投标文件自投标截止时间起生效，有效期90天。</w:t>
            </w:r>
          </w:p>
        </w:tc>
      </w:tr>
      <w:tr>
        <w:tblPrEx>
          <w:tblLayout w:type="fixed"/>
          <w:tblCellMar>
            <w:top w:w="0" w:type="dxa"/>
            <w:left w:w="108" w:type="dxa"/>
            <w:bottom w:w="0" w:type="dxa"/>
            <w:right w:w="108" w:type="dxa"/>
          </w:tblCellMar>
        </w:tblPrEx>
        <w:trPr>
          <w:trHeight w:val="436"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14</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投标保证金</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lang w:val="zh-CN"/>
              </w:rPr>
              <w:t>投本项目不要求提供</w:t>
            </w:r>
          </w:p>
        </w:tc>
      </w:tr>
      <w:tr>
        <w:tblPrEx>
          <w:tblLayout w:type="fixed"/>
          <w:tblCellMar>
            <w:top w:w="0" w:type="dxa"/>
            <w:left w:w="108" w:type="dxa"/>
            <w:bottom w:w="0" w:type="dxa"/>
            <w:right w:w="108" w:type="dxa"/>
          </w:tblCellMar>
        </w:tblPrEx>
        <w:trPr>
          <w:trHeight w:val="795"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投标文件份数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投标文件的资格文件、技术资信标、商务（报价）标各一式伍份，其中正本壹份，副本肆份。</w:t>
            </w:r>
          </w:p>
        </w:tc>
      </w:tr>
      <w:tr>
        <w:tblPrEx>
          <w:tblLayout w:type="fixed"/>
          <w:tblCellMar>
            <w:top w:w="0" w:type="dxa"/>
            <w:left w:w="108" w:type="dxa"/>
            <w:bottom w:w="0" w:type="dxa"/>
            <w:right w:w="108" w:type="dxa"/>
          </w:tblCellMar>
        </w:tblPrEx>
        <w:trPr>
          <w:trHeight w:val="49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包装要求</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rPr>
            </w:pPr>
            <w:r>
              <w:rPr>
                <w:rFonts w:hint="eastAsia" w:ascii="新宋体" w:hAnsi="新宋体" w:eastAsia="新宋体" w:cs="新宋体"/>
                <w:color w:val="auto"/>
              </w:rPr>
              <w:t>投标文件的资格文件、技术资信标、商务（报价）标分别密封于各包封袋中并加盖密封印章，并在封套的封口处加盖投标人单位章，并由法定代表人或其授权代表签字或盖章。</w:t>
            </w:r>
          </w:p>
        </w:tc>
      </w:tr>
      <w:tr>
        <w:tblPrEx>
          <w:tblLayout w:type="fixed"/>
          <w:tblCellMar>
            <w:top w:w="0" w:type="dxa"/>
            <w:left w:w="108" w:type="dxa"/>
            <w:bottom w:w="0" w:type="dxa"/>
            <w:right w:w="108" w:type="dxa"/>
          </w:tblCellMar>
        </w:tblPrEx>
        <w:trPr>
          <w:trHeight w:val="66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17</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递交投标</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文件地点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lang w:val="zh-CN"/>
              </w:rPr>
              <w:t>温州市温州大道展宏大厦2栋702室</w:t>
            </w:r>
          </w:p>
        </w:tc>
      </w:tr>
      <w:tr>
        <w:tblPrEx>
          <w:tblLayout w:type="fixed"/>
          <w:tblCellMar>
            <w:top w:w="0" w:type="dxa"/>
            <w:left w:w="108" w:type="dxa"/>
            <w:bottom w:w="0" w:type="dxa"/>
            <w:right w:w="108" w:type="dxa"/>
          </w:tblCellMar>
        </w:tblPrEx>
        <w:trPr>
          <w:trHeight w:val="6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开标时间</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和地点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开标时间：同投标文件递交截止时间</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开标地点：</w:t>
            </w:r>
            <w:r>
              <w:rPr>
                <w:rFonts w:hint="eastAsia" w:ascii="新宋体" w:hAnsi="新宋体" w:eastAsia="新宋体" w:cs="新宋体"/>
                <w:color w:val="auto"/>
                <w:sz w:val="22"/>
                <w:szCs w:val="22"/>
              </w:rPr>
              <w:t>温州市温州大道展宏大厦2栋702室</w:t>
            </w:r>
          </w:p>
        </w:tc>
      </w:tr>
      <w:tr>
        <w:tblPrEx>
          <w:tblLayout w:type="fixed"/>
          <w:tblCellMar>
            <w:top w:w="0" w:type="dxa"/>
            <w:left w:w="108" w:type="dxa"/>
            <w:bottom w:w="0" w:type="dxa"/>
            <w:right w:w="108" w:type="dxa"/>
          </w:tblCellMar>
        </w:tblPrEx>
        <w:trPr>
          <w:trHeight w:val="106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开评标程序</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rPr>
            </w:pPr>
            <w:r>
              <w:rPr>
                <w:rFonts w:hint="eastAsia" w:ascii="新宋体" w:hAnsi="新宋体" w:eastAsia="新宋体" w:cs="新宋体"/>
                <w:color w:val="auto"/>
                <w:sz w:val="22"/>
              </w:rPr>
              <w:t>（1）宣布开标纪律；</w:t>
            </w:r>
          </w:p>
          <w:p>
            <w:pPr>
              <w:rPr>
                <w:rFonts w:ascii="新宋体" w:hAnsi="新宋体" w:eastAsia="新宋体" w:cs="新宋体"/>
                <w:color w:val="auto"/>
                <w:sz w:val="22"/>
              </w:rPr>
            </w:pPr>
            <w:r>
              <w:rPr>
                <w:rFonts w:hint="eastAsia" w:ascii="新宋体" w:hAnsi="新宋体" w:eastAsia="新宋体" w:cs="新宋体"/>
                <w:color w:val="auto"/>
                <w:sz w:val="22"/>
              </w:rPr>
              <w:t>（2）公布在投标截止时间前递交投标文件的投标人名称，并点名确认投标人是否派授权代表到场；</w:t>
            </w:r>
          </w:p>
          <w:p>
            <w:pPr>
              <w:rPr>
                <w:rFonts w:ascii="新宋体" w:hAnsi="新宋体" w:eastAsia="新宋体" w:cs="新宋体"/>
                <w:color w:val="auto"/>
                <w:sz w:val="22"/>
              </w:rPr>
            </w:pPr>
            <w:r>
              <w:rPr>
                <w:rFonts w:hint="eastAsia" w:ascii="新宋体" w:hAnsi="新宋体" w:eastAsia="新宋体" w:cs="新宋体"/>
                <w:color w:val="auto"/>
                <w:sz w:val="22"/>
              </w:rPr>
              <w:t>（3）宣布唱标人、记录人、监督人员等有关人员姓名；</w:t>
            </w:r>
          </w:p>
          <w:p>
            <w:pPr>
              <w:rPr>
                <w:rFonts w:ascii="新宋体" w:hAnsi="新宋体" w:eastAsia="新宋体" w:cs="新宋体"/>
                <w:color w:val="auto"/>
                <w:sz w:val="22"/>
              </w:rPr>
            </w:pPr>
            <w:r>
              <w:rPr>
                <w:rFonts w:hint="eastAsia" w:ascii="新宋体" w:hAnsi="新宋体" w:eastAsia="新宋体" w:cs="新宋体"/>
                <w:color w:val="auto"/>
                <w:sz w:val="22"/>
              </w:rPr>
              <w:t>（4）密封情况检查：由投标人或其推选的代表检查投标文件密封情况；</w:t>
            </w:r>
          </w:p>
          <w:p>
            <w:pPr>
              <w:rPr>
                <w:rFonts w:ascii="新宋体" w:hAnsi="新宋体" w:eastAsia="新宋体" w:cs="新宋体"/>
                <w:color w:val="auto"/>
                <w:sz w:val="22"/>
              </w:rPr>
            </w:pPr>
            <w:r>
              <w:rPr>
                <w:rFonts w:hint="eastAsia" w:ascii="新宋体" w:hAnsi="新宋体" w:eastAsia="新宋体" w:cs="新宋体"/>
                <w:color w:val="auto"/>
                <w:sz w:val="22"/>
              </w:rPr>
              <w:t>（5）开标顺序：投标人送达投标文件的先后顺序；同时开启资格文件、技术资信标及商务（报价）标;</w:t>
            </w:r>
          </w:p>
          <w:p>
            <w:pPr>
              <w:rPr>
                <w:rFonts w:ascii="新宋体" w:hAnsi="新宋体" w:eastAsia="新宋体" w:cs="新宋体"/>
                <w:color w:val="auto"/>
                <w:sz w:val="22"/>
              </w:rPr>
            </w:pPr>
            <w:r>
              <w:rPr>
                <w:rFonts w:hint="eastAsia" w:ascii="新宋体" w:hAnsi="新宋体" w:eastAsia="新宋体" w:cs="新宋体"/>
                <w:color w:val="auto"/>
                <w:sz w:val="22"/>
              </w:rPr>
              <w:t>（6）确认开标结果：投标人授权代表对开标记录进行当场校核及勘误，并签字确认；并同时由记录人、监督人当场签字确认。</w:t>
            </w:r>
          </w:p>
          <w:p>
            <w:pPr>
              <w:rPr>
                <w:rFonts w:ascii="新宋体" w:hAnsi="新宋体" w:eastAsia="新宋体" w:cs="新宋体"/>
                <w:color w:val="auto"/>
                <w:sz w:val="22"/>
              </w:rPr>
            </w:pPr>
            <w:r>
              <w:rPr>
                <w:rFonts w:hint="eastAsia" w:ascii="新宋体" w:hAnsi="新宋体" w:eastAsia="新宋体" w:cs="新宋体"/>
                <w:color w:val="auto"/>
                <w:sz w:val="22"/>
              </w:rPr>
              <w:t>（7）宣布开标结束。</w:t>
            </w:r>
          </w:p>
          <w:p>
            <w:pPr>
              <w:ind w:left="2"/>
              <w:rPr>
                <w:rFonts w:ascii="新宋体" w:hAnsi="新宋体" w:eastAsia="新宋体" w:cs="新宋体"/>
                <w:color w:val="auto"/>
                <w:kern w:val="0"/>
                <w:sz w:val="22"/>
                <w:szCs w:val="22"/>
              </w:rPr>
            </w:pPr>
            <w:r>
              <w:rPr>
                <w:rFonts w:hint="eastAsia" w:ascii="新宋体" w:hAnsi="新宋体" w:eastAsia="新宋体" w:cs="新宋体"/>
                <w:color w:val="auto"/>
                <w:sz w:val="22"/>
              </w:rPr>
              <w:t>（8）投标人授权代表未参加开标会议；未到场签字确认的，不影响开标，评标过程，视同认可开标结果；事后不得对采购相关人员、开标过程和开标结果提出异议。</w:t>
            </w:r>
          </w:p>
        </w:tc>
      </w:tr>
      <w:tr>
        <w:tblPrEx>
          <w:tblLayout w:type="fixed"/>
          <w:tblCellMar>
            <w:top w:w="0" w:type="dxa"/>
            <w:left w:w="108" w:type="dxa"/>
            <w:bottom w:w="0" w:type="dxa"/>
            <w:right w:w="108" w:type="dxa"/>
          </w:tblCellMar>
        </w:tblPrEx>
        <w:trPr>
          <w:trHeight w:val="650"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评标委员会</w:t>
            </w:r>
          </w:p>
          <w:p>
            <w:pPr>
              <w:rPr>
                <w:rFonts w:ascii="新宋体" w:hAnsi="新宋体" w:eastAsia="新宋体" w:cs="新宋体"/>
                <w:bCs/>
                <w:color w:val="auto"/>
                <w:sz w:val="22"/>
                <w:szCs w:val="22"/>
              </w:rPr>
            </w:pPr>
            <w:r>
              <w:rPr>
                <w:rFonts w:hint="eastAsia" w:ascii="新宋体" w:hAnsi="新宋体" w:eastAsia="新宋体" w:cs="新宋体"/>
                <w:color w:val="auto"/>
                <w:kern w:val="0"/>
                <w:sz w:val="22"/>
                <w:szCs w:val="22"/>
              </w:rPr>
              <w:t>的组建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bCs/>
                <w:color w:val="auto"/>
                <w:sz w:val="22"/>
                <w:szCs w:val="22"/>
              </w:rPr>
              <w:t>由采购人依法组建。</w:t>
            </w:r>
          </w:p>
        </w:tc>
      </w:tr>
      <w:tr>
        <w:tblPrEx>
          <w:tblLayout w:type="fixed"/>
          <w:tblCellMar>
            <w:top w:w="0" w:type="dxa"/>
            <w:left w:w="108" w:type="dxa"/>
            <w:bottom w:w="0" w:type="dxa"/>
            <w:right w:w="108" w:type="dxa"/>
          </w:tblCellMar>
        </w:tblPrEx>
        <w:trPr>
          <w:trHeight w:val="110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履约担保</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bCs/>
                <w:color w:val="auto"/>
                <w:sz w:val="22"/>
              </w:rPr>
            </w:pPr>
            <w:r>
              <w:rPr>
                <w:rFonts w:hint="eastAsia" w:ascii="新宋体" w:hAnsi="新宋体" w:eastAsia="新宋体" w:cs="新宋体"/>
                <w:b/>
                <w:bCs/>
                <w:color w:val="auto"/>
                <w:sz w:val="22"/>
              </w:rPr>
              <w:fldChar w:fldCharType="begin"/>
            </w:r>
            <w:r>
              <w:rPr>
                <w:rFonts w:hint="eastAsia" w:ascii="新宋体" w:hAnsi="新宋体" w:eastAsia="新宋体" w:cs="新宋体"/>
                <w:b/>
                <w:bCs/>
                <w:color w:val="auto"/>
                <w:sz w:val="22"/>
              </w:rPr>
              <w:instrText xml:space="preserve"> eq \o\ac(</w:instrText>
            </w:r>
            <w:r>
              <w:rPr>
                <w:rFonts w:hint="eastAsia" w:ascii="新宋体" w:hAnsi="新宋体" w:eastAsia="新宋体" w:cs="新宋体"/>
                <w:b/>
                <w:bCs/>
                <w:color w:val="auto"/>
                <w:position w:val="-4"/>
                <w:sz w:val="33"/>
              </w:rPr>
              <w:instrText xml:space="preserve">□</w:instrText>
            </w:r>
            <w:r>
              <w:rPr>
                <w:rFonts w:hint="eastAsia" w:ascii="新宋体" w:hAnsi="新宋体" w:eastAsia="新宋体" w:cs="新宋体"/>
                <w:b/>
                <w:bCs/>
                <w:color w:val="auto"/>
                <w:sz w:val="22"/>
              </w:rPr>
              <w:instrText xml:space="preserve">,√)</w:instrText>
            </w:r>
            <w:r>
              <w:rPr>
                <w:rFonts w:hint="eastAsia" w:ascii="新宋体" w:hAnsi="新宋体" w:eastAsia="新宋体" w:cs="新宋体"/>
                <w:b/>
                <w:bCs/>
                <w:color w:val="auto"/>
                <w:sz w:val="22"/>
              </w:rPr>
              <w:fldChar w:fldCharType="end"/>
            </w:r>
            <w:r>
              <w:rPr>
                <w:rFonts w:hint="eastAsia" w:ascii="新宋体" w:hAnsi="新宋体" w:eastAsia="新宋体" w:cs="新宋体"/>
                <w:b/>
                <w:bCs/>
                <w:color w:val="auto"/>
                <w:sz w:val="22"/>
              </w:rPr>
              <w:t>不需要</w:t>
            </w:r>
          </w:p>
          <w:p>
            <w:pPr>
              <w:rPr>
                <w:rFonts w:ascii="新宋体" w:hAnsi="新宋体" w:eastAsia="新宋体" w:cs="新宋体"/>
                <w:bCs/>
                <w:color w:val="auto"/>
                <w:sz w:val="22"/>
              </w:rPr>
            </w:pPr>
            <w:r>
              <w:rPr>
                <w:rFonts w:hint="eastAsia" w:ascii="新宋体" w:hAnsi="新宋体" w:eastAsia="新宋体" w:cs="新宋体"/>
                <w:color w:val="auto"/>
                <w:sz w:val="22"/>
              </w:rPr>
              <w:t xml:space="preserve">□需要 </w:t>
            </w:r>
            <w:r>
              <w:rPr>
                <w:rFonts w:hint="eastAsia" w:ascii="新宋体" w:hAnsi="新宋体" w:eastAsia="新宋体" w:cs="新宋体"/>
                <w:bCs/>
                <w:color w:val="auto"/>
                <w:sz w:val="22"/>
              </w:rPr>
              <w:t xml:space="preserve"> 合同签订前中标投标人应提供合同总金额10%的履约保证金至采购人指定账户。</w:t>
            </w:r>
          </w:p>
        </w:tc>
      </w:tr>
      <w:tr>
        <w:tblPrEx>
          <w:tblLayout w:type="fixed"/>
          <w:tblCellMar>
            <w:top w:w="0" w:type="dxa"/>
            <w:left w:w="108" w:type="dxa"/>
            <w:bottom w:w="0" w:type="dxa"/>
            <w:right w:w="108" w:type="dxa"/>
          </w:tblCellMar>
        </w:tblPrEx>
        <w:trPr>
          <w:trHeight w:val="2958"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22</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新宋体" w:hAnsi="新宋体" w:eastAsia="新宋体" w:cs="新宋体"/>
                <w:color w:val="auto"/>
                <w:sz w:val="22"/>
              </w:rPr>
            </w:pPr>
            <w:r>
              <w:rPr>
                <w:rFonts w:hint="eastAsia" w:ascii="新宋体" w:hAnsi="新宋体" w:eastAsia="新宋体" w:cs="新宋体"/>
                <w:color w:val="auto"/>
                <w:sz w:val="22"/>
              </w:rPr>
              <w:t>政府采购</w:t>
            </w:r>
          </w:p>
          <w:p>
            <w:pPr>
              <w:adjustRightInd w:val="0"/>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扶持政策</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rPr>
            </w:pPr>
            <w:r>
              <w:rPr>
                <w:rFonts w:hint="eastAsia" w:ascii="新宋体" w:hAnsi="新宋体" w:eastAsia="新宋体" w:cs="新宋体"/>
                <w:color w:val="auto"/>
                <w:sz w:val="22"/>
              </w:rPr>
              <w:t>1）对符合财政扶持政策的小微企业给予评标价格优惠,具体规定见“第五部分评标原则及方法”。</w:t>
            </w:r>
          </w:p>
          <w:p>
            <w:pPr>
              <w:rPr>
                <w:rFonts w:ascii="新宋体" w:hAnsi="新宋体" w:eastAsia="新宋体" w:cs="新宋体"/>
                <w:color w:val="auto"/>
                <w:sz w:val="22"/>
              </w:rPr>
            </w:pPr>
            <w:r>
              <w:rPr>
                <w:rFonts w:hint="eastAsia" w:ascii="新宋体" w:hAnsi="新宋体" w:eastAsia="新宋体" w:cs="新宋体"/>
                <w:color w:val="auto"/>
                <w:sz w:val="22"/>
              </w:rPr>
              <w:t>2) 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pPr>
              <w:rPr>
                <w:rFonts w:ascii="新宋体" w:hAnsi="新宋体" w:eastAsia="新宋体" w:cs="新宋体"/>
                <w:color w:val="auto"/>
                <w:sz w:val="22"/>
              </w:rPr>
            </w:pPr>
            <w:r>
              <w:rPr>
                <w:rFonts w:hint="eastAsia" w:ascii="新宋体" w:hAnsi="新宋体" w:eastAsia="新宋体" w:cs="新宋体"/>
                <w:color w:val="auto"/>
                <w:sz w:val="22"/>
              </w:rPr>
              <w:t>3)监狱企业、残疾人福利性单位视同小微企业，参加本项目投标的，享受小微企业同等的价格扣除。</w:t>
            </w:r>
          </w:p>
          <w:p>
            <w:pPr>
              <w:rPr>
                <w:rFonts w:ascii="新宋体" w:hAnsi="新宋体" w:eastAsia="新宋体" w:cs="新宋体"/>
                <w:color w:val="auto"/>
                <w:sz w:val="22"/>
              </w:rPr>
            </w:pPr>
            <w:r>
              <w:rPr>
                <w:rFonts w:hint="eastAsia" w:ascii="新宋体" w:hAnsi="新宋体" w:eastAsia="新宋体" w:cs="新宋体"/>
                <w:color w:val="auto"/>
                <w:sz w:val="22"/>
              </w:rPr>
              <w:t>4)对节能、环保产品优先采购。</w:t>
            </w:r>
          </w:p>
          <w:p>
            <w:pPr>
              <w:rPr>
                <w:rFonts w:ascii="新宋体" w:hAnsi="新宋体" w:eastAsia="新宋体" w:cs="新宋体"/>
                <w:color w:val="auto"/>
                <w:sz w:val="22"/>
              </w:rPr>
            </w:pPr>
          </w:p>
        </w:tc>
      </w:tr>
      <w:tr>
        <w:tblPrEx>
          <w:tblLayout w:type="fixed"/>
          <w:tblCellMar>
            <w:top w:w="0" w:type="dxa"/>
            <w:left w:w="108" w:type="dxa"/>
            <w:bottom w:w="0" w:type="dxa"/>
            <w:right w:w="108" w:type="dxa"/>
          </w:tblCellMar>
        </w:tblPrEx>
        <w:trPr>
          <w:trHeight w:val="3267"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23</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2"/>
              </w:rPr>
            </w:pPr>
            <w:r>
              <w:rPr>
                <w:rFonts w:hint="eastAsia" w:ascii="新宋体" w:hAnsi="新宋体" w:eastAsia="新宋体" w:cs="新宋体"/>
                <w:color w:val="auto"/>
                <w:sz w:val="22"/>
              </w:rPr>
              <w:t>投标人信用</w:t>
            </w:r>
          </w:p>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查询</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2）查询渠道为信用中国网站（www.creditchina.gov.cn）、中国政府采购网（www.ccgp.gov.cn）。</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4）信用信息查询记录和证据以网页截图等方式留存。</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5）投标截止日当日网站显示的信用信息将作为资格审查的依据。</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6）联合体成员存在上述不良信用记录的，视同联合体存在不良信用记录</w:t>
            </w:r>
          </w:p>
          <w:p>
            <w:pPr>
              <w:jc w:val="left"/>
              <w:rPr>
                <w:rFonts w:ascii="新宋体" w:hAnsi="新宋体" w:eastAsia="新宋体" w:cs="新宋体"/>
                <w:color w:val="auto"/>
                <w:sz w:val="22"/>
              </w:rPr>
            </w:pPr>
            <w:r>
              <w:rPr>
                <w:rFonts w:hint="eastAsia" w:ascii="新宋体" w:hAnsi="新宋体" w:eastAsia="新宋体" w:cs="新宋体"/>
                <w:color w:val="auto"/>
                <w:kern w:val="0"/>
                <w:sz w:val="22"/>
                <w:szCs w:val="22"/>
              </w:rPr>
              <w:t>7）信用信息截止时点为投标文件递交截止日。</w:t>
            </w:r>
          </w:p>
        </w:tc>
      </w:tr>
      <w:tr>
        <w:tblPrEx>
          <w:tblLayout w:type="fixed"/>
          <w:tblCellMar>
            <w:top w:w="0" w:type="dxa"/>
            <w:left w:w="108" w:type="dxa"/>
            <w:bottom w:w="0" w:type="dxa"/>
            <w:right w:w="108" w:type="dxa"/>
          </w:tblCellMar>
        </w:tblPrEx>
        <w:trPr>
          <w:trHeight w:val="115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合同备案</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color w:val="auto"/>
                <w:sz w:val="22"/>
              </w:rPr>
            </w:pPr>
            <w:r>
              <w:rPr>
                <w:rFonts w:hint="eastAsia" w:ascii="新宋体" w:hAnsi="新宋体" w:eastAsia="新宋体" w:cs="新宋体"/>
                <w:color w:val="auto"/>
                <w:sz w:val="22"/>
              </w:rPr>
              <w:t>（1）中标投标人须在中标通知书发出之日起30日历天内与采购人签订合同。</w:t>
            </w:r>
          </w:p>
          <w:p>
            <w:pPr>
              <w:jc w:val="left"/>
              <w:rPr>
                <w:rFonts w:ascii="新宋体" w:hAnsi="新宋体" w:eastAsia="新宋体" w:cs="新宋体"/>
                <w:color w:val="auto"/>
                <w:sz w:val="22"/>
              </w:rPr>
            </w:pPr>
            <w:r>
              <w:rPr>
                <w:rFonts w:hint="eastAsia" w:ascii="新宋体" w:hAnsi="新宋体" w:eastAsia="新宋体" w:cs="新宋体"/>
                <w:color w:val="auto"/>
                <w:sz w:val="22"/>
              </w:rPr>
              <w:t>（2）中标投标人与采购人签订合同后，2日历天内将合同扫描件电子版发给采购代理机构：邮箱：</w:t>
            </w:r>
            <w:r>
              <w:rPr>
                <w:rFonts w:hint="eastAsia" w:ascii="新宋体" w:hAnsi="新宋体" w:eastAsia="新宋体" w:cs="新宋体"/>
                <w:b/>
                <w:color w:val="auto"/>
                <w:sz w:val="22"/>
                <w:u w:val="single"/>
              </w:rPr>
              <w:t>53514766@qq.com</w:t>
            </w:r>
            <w:r>
              <w:rPr>
                <w:rFonts w:hint="eastAsia" w:ascii="新宋体" w:hAnsi="新宋体" w:eastAsia="新宋体" w:cs="新宋体"/>
                <w:color w:val="auto"/>
                <w:sz w:val="22"/>
              </w:rPr>
              <w:t>。</w:t>
            </w:r>
          </w:p>
        </w:tc>
      </w:tr>
      <w:tr>
        <w:tblPrEx>
          <w:tblLayout w:type="fixed"/>
          <w:tblCellMar>
            <w:top w:w="0" w:type="dxa"/>
            <w:left w:w="108" w:type="dxa"/>
            <w:bottom w:w="0" w:type="dxa"/>
            <w:right w:w="108" w:type="dxa"/>
          </w:tblCellMar>
        </w:tblPrEx>
        <w:trPr>
          <w:trHeight w:val="981"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25</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合同履约管理</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color w:val="auto"/>
                <w:sz w:val="22"/>
              </w:rPr>
            </w:pPr>
            <w:r>
              <w:rPr>
                <w:rFonts w:hint="eastAsia" w:ascii="新宋体" w:hAnsi="新宋体" w:eastAsia="新宋体" w:cs="新宋体"/>
                <w:color w:val="auto"/>
                <w:sz w:val="22"/>
              </w:rPr>
              <w:t>合同签订后，采购人依法加强对合同履约进行管理，并在中标单位服务、项目验收等重要关节，如实填写《合同验收报告》（或考核资料），并及时向同级财政部门报告验收过程中遇到的问题。</w:t>
            </w:r>
          </w:p>
        </w:tc>
      </w:tr>
      <w:tr>
        <w:tblPrEx>
          <w:tblLayout w:type="fixed"/>
          <w:tblCellMar>
            <w:top w:w="0" w:type="dxa"/>
            <w:left w:w="108" w:type="dxa"/>
            <w:bottom w:w="0" w:type="dxa"/>
            <w:right w:w="108" w:type="dxa"/>
          </w:tblCellMar>
        </w:tblPrEx>
        <w:trPr>
          <w:trHeight w:val="1350"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26</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解释权</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如发现招标文件及其评标办法中存在含糊不清、相互矛盾、多种含义以及歧视性不公正条款或违法违规等内容时，请在规定的质疑截止时间前向采购代理机构书面反映，逾期不得再对招标文件的条款提出质疑。招标文件解释权归采购代理机构与采购人所有。</w:t>
            </w:r>
          </w:p>
        </w:tc>
      </w:tr>
    </w:tbl>
    <w:p>
      <w:pPr>
        <w:pStyle w:val="4"/>
        <w:rPr>
          <w:rFonts w:ascii="新宋体" w:hAnsi="新宋体" w:eastAsia="新宋体" w:cs="新宋体"/>
          <w:color w:val="auto"/>
          <w:sz w:val="36"/>
          <w:szCs w:val="36"/>
        </w:rPr>
      </w:pPr>
      <w:bookmarkStart w:id="7" w:name="_Toc221356947"/>
      <w:bookmarkStart w:id="8" w:name="_Toc221374622"/>
      <w:bookmarkStart w:id="9" w:name="_Toc221423615"/>
      <w:bookmarkStart w:id="10" w:name="_Toc221356882"/>
      <w:bookmarkStart w:id="11" w:name="_Toc241404198"/>
      <w:bookmarkStart w:id="12" w:name="_Toc222114875"/>
      <w:bookmarkStart w:id="13" w:name="_Toc239145350"/>
      <w:bookmarkStart w:id="14" w:name="_Toc223715994"/>
      <w:bookmarkStart w:id="15" w:name="_Toc265529379"/>
      <w:r>
        <w:rPr>
          <w:rFonts w:hint="eastAsia" w:ascii="新宋体" w:hAnsi="新宋体" w:eastAsia="新宋体" w:cs="新宋体"/>
          <w:color w:val="auto"/>
          <w:sz w:val="36"/>
          <w:szCs w:val="36"/>
        </w:rPr>
        <w:br w:type="page"/>
      </w:r>
      <w:bookmarkStart w:id="16" w:name="_Toc29679"/>
      <w:r>
        <w:rPr>
          <w:rFonts w:hint="eastAsia" w:ascii="新宋体" w:hAnsi="新宋体" w:eastAsia="新宋体" w:cs="新宋体"/>
          <w:color w:val="auto"/>
          <w:sz w:val="36"/>
          <w:szCs w:val="36"/>
        </w:rPr>
        <w:t>第一部分    投标人须知</w:t>
      </w:r>
      <w:bookmarkEnd w:id="7"/>
      <w:bookmarkEnd w:id="8"/>
      <w:bookmarkEnd w:id="9"/>
      <w:bookmarkEnd w:id="10"/>
      <w:bookmarkEnd w:id="11"/>
      <w:bookmarkEnd w:id="12"/>
      <w:bookmarkEnd w:id="13"/>
      <w:bookmarkEnd w:id="14"/>
      <w:bookmarkEnd w:id="15"/>
      <w:bookmarkEnd w:id="16"/>
    </w:p>
    <w:p>
      <w:pPr>
        <w:spacing w:before="100" w:beforeAutospacing="1" w:after="100" w:afterAutospacing="1" w:line="440" w:lineRule="exact"/>
        <w:jc w:val="center"/>
        <w:outlineLvl w:val="0"/>
        <w:rPr>
          <w:rFonts w:ascii="新宋体" w:hAnsi="新宋体" w:eastAsia="新宋体" w:cs="新宋体"/>
          <w:b/>
          <w:bCs/>
          <w:color w:val="auto"/>
          <w:sz w:val="26"/>
          <w:szCs w:val="26"/>
        </w:rPr>
      </w:pPr>
      <w:bookmarkStart w:id="17" w:name="_Toc223715995"/>
      <w:bookmarkStart w:id="18" w:name="_Toc239145351"/>
      <w:bookmarkStart w:id="19" w:name="_Toc265529380"/>
      <w:bookmarkStart w:id="20" w:name="_Toc2647"/>
      <w:bookmarkStart w:id="21" w:name="_Toc241404199"/>
      <w:bookmarkStart w:id="22" w:name="_Toc222114876"/>
      <w:bookmarkStart w:id="23" w:name="_Toc221423616"/>
      <w:bookmarkStart w:id="24" w:name="_Toc221374623"/>
      <w:bookmarkStart w:id="25" w:name="_Toc221356948"/>
      <w:bookmarkStart w:id="26" w:name="_Toc221356883"/>
      <w:r>
        <w:rPr>
          <w:rFonts w:hint="eastAsia" w:ascii="新宋体" w:hAnsi="新宋体" w:eastAsia="新宋体" w:cs="新宋体"/>
          <w:b/>
          <w:bCs/>
          <w:color w:val="auto"/>
          <w:sz w:val="26"/>
          <w:szCs w:val="26"/>
        </w:rPr>
        <w:t>一、  说明</w:t>
      </w:r>
      <w:bookmarkEnd w:id="17"/>
      <w:bookmarkEnd w:id="18"/>
      <w:bookmarkEnd w:id="19"/>
      <w:bookmarkEnd w:id="20"/>
      <w:bookmarkEnd w:id="21"/>
      <w:bookmarkEnd w:id="22"/>
      <w:bookmarkEnd w:id="23"/>
      <w:bookmarkEnd w:id="24"/>
      <w:bookmarkEnd w:id="25"/>
      <w:bookmarkEnd w:id="26"/>
    </w:p>
    <w:p>
      <w:pPr>
        <w:numPr>
          <w:ilvl w:val="0"/>
          <w:numId w:val="5"/>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本次招标是按照《中华人民共和国政府采购法》、《政府采购货物和服务招标投标管理办法》和《中华人民共和国政府采购法实施条例》等法律及有关法规组织和实施的。</w:t>
      </w:r>
    </w:p>
    <w:p>
      <w:pPr>
        <w:numPr>
          <w:ilvl w:val="0"/>
          <w:numId w:val="5"/>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合格投标人</w:t>
      </w:r>
    </w:p>
    <w:p>
      <w:pPr>
        <w:numPr>
          <w:ilvl w:val="1"/>
          <w:numId w:val="6"/>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投标人合格条件见本项目招标公告及投标人须知前附表；</w:t>
      </w:r>
    </w:p>
    <w:p>
      <w:pPr>
        <w:numPr>
          <w:ilvl w:val="1"/>
          <w:numId w:val="6"/>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kern w:val="0"/>
          <w:sz w:val="22"/>
          <w:szCs w:val="22"/>
        </w:rPr>
        <w:t>本项目谢绝联合体形式投标。</w:t>
      </w:r>
    </w:p>
    <w:p>
      <w:pPr>
        <w:numPr>
          <w:ilvl w:val="0"/>
          <w:numId w:val="5"/>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投标人代表</w:t>
      </w:r>
    </w:p>
    <w:p>
      <w:pPr>
        <w:spacing w:line="460" w:lineRule="exact"/>
        <w:ind w:left="538" w:leftChars="256"/>
        <w:rPr>
          <w:rFonts w:ascii="新宋体" w:hAnsi="新宋体" w:eastAsia="新宋体" w:cs="新宋体"/>
          <w:color w:val="auto"/>
          <w:sz w:val="22"/>
          <w:szCs w:val="22"/>
        </w:rPr>
      </w:pPr>
      <w:r>
        <w:rPr>
          <w:rFonts w:hint="eastAsia" w:ascii="新宋体" w:hAnsi="新宋体" w:eastAsia="新宋体" w:cs="新宋体"/>
          <w:color w:val="auto"/>
          <w:sz w:val="22"/>
          <w:szCs w:val="22"/>
        </w:rPr>
        <w:t>指全权代表投标人参加投标活动并签署投标文件的人。如果投标人代表不是法定代表人，须持有《法定代表人授权书》。</w:t>
      </w:r>
    </w:p>
    <w:p>
      <w:pPr>
        <w:numPr>
          <w:ilvl w:val="0"/>
          <w:numId w:val="5"/>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投标费用</w:t>
      </w:r>
    </w:p>
    <w:p>
      <w:pPr>
        <w:spacing w:line="460" w:lineRule="exact"/>
        <w:ind w:left="538" w:leftChars="256"/>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投标人应承担所有与准备和参加投标有关费用，不论投标的结果如何，采购人和采购代理机构均无义务和责任承担这些费用。</w:t>
      </w:r>
    </w:p>
    <w:p>
      <w:pPr>
        <w:spacing w:before="100" w:beforeAutospacing="1" w:after="100" w:afterAutospacing="1" w:line="440" w:lineRule="exact"/>
        <w:jc w:val="center"/>
        <w:outlineLvl w:val="0"/>
        <w:rPr>
          <w:rFonts w:ascii="新宋体" w:hAnsi="新宋体" w:eastAsia="新宋体" w:cs="新宋体"/>
          <w:b/>
          <w:bCs/>
          <w:color w:val="auto"/>
          <w:sz w:val="26"/>
          <w:szCs w:val="26"/>
        </w:rPr>
      </w:pPr>
      <w:bookmarkStart w:id="27" w:name="_Toc221423617"/>
      <w:bookmarkStart w:id="28" w:name="_Toc9816"/>
      <w:bookmarkStart w:id="29" w:name="_Toc223715996"/>
      <w:bookmarkStart w:id="30" w:name="_Toc221356884"/>
      <w:bookmarkStart w:id="31" w:name="_Toc221374624"/>
      <w:bookmarkStart w:id="32" w:name="_Toc265529381"/>
      <w:bookmarkStart w:id="33" w:name="_Toc222114877"/>
      <w:bookmarkStart w:id="34" w:name="_Toc221356949"/>
      <w:bookmarkStart w:id="35" w:name="_Toc241404200"/>
      <w:bookmarkStart w:id="36" w:name="_Toc239145352"/>
      <w:r>
        <w:rPr>
          <w:rFonts w:hint="eastAsia" w:ascii="新宋体" w:hAnsi="新宋体" w:eastAsia="新宋体" w:cs="新宋体"/>
          <w:b/>
          <w:bCs/>
          <w:color w:val="auto"/>
          <w:sz w:val="26"/>
          <w:szCs w:val="26"/>
        </w:rPr>
        <w:t>二、 招标文件</w:t>
      </w:r>
      <w:bookmarkEnd w:id="27"/>
      <w:bookmarkEnd w:id="28"/>
      <w:bookmarkEnd w:id="29"/>
      <w:bookmarkEnd w:id="30"/>
      <w:bookmarkEnd w:id="31"/>
      <w:bookmarkEnd w:id="32"/>
      <w:bookmarkEnd w:id="33"/>
      <w:bookmarkEnd w:id="34"/>
      <w:bookmarkEnd w:id="35"/>
      <w:bookmarkEnd w:id="36"/>
    </w:p>
    <w:p>
      <w:pPr>
        <w:numPr>
          <w:ilvl w:val="0"/>
          <w:numId w:val="7"/>
        </w:numPr>
        <w:tabs>
          <w:tab w:val="left" w:pos="540"/>
        </w:tabs>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招标文件由招标文件目录所列内容及相关资料组成。</w:t>
      </w:r>
    </w:p>
    <w:p>
      <w:pPr>
        <w:numPr>
          <w:ilvl w:val="0"/>
          <w:numId w:val="7"/>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招标文件的澄清</w:t>
      </w:r>
    </w:p>
    <w:p>
      <w:pPr>
        <w:spacing w:line="460" w:lineRule="exact"/>
        <w:ind w:left="538" w:leftChars="256"/>
        <w:rPr>
          <w:rFonts w:ascii="新宋体" w:hAnsi="新宋体" w:eastAsia="新宋体" w:cs="新宋体"/>
          <w:color w:val="auto"/>
          <w:sz w:val="22"/>
          <w:szCs w:val="22"/>
        </w:rPr>
      </w:pPr>
      <w:r>
        <w:rPr>
          <w:rFonts w:hint="eastAsia" w:ascii="新宋体" w:hAnsi="新宋体" w:eastAsia="新宋体" w:cs="新宋体"/>
          <w:color w:val="auto"/>
          <w:sz w:val="22"/>
          <w:szCs w:val="22"/>
        </w:rPr>
        <w:t>投标人对招标文件如有疑点或未尽事宜要求澄清，或认为有必要进行说明或交流，投标人可以在知道或应知其权益受到损害之日起七个工作日内，以书面形式（包括信函、传真、下同）向采购人提出质疑，但质疑应在招标文件规定的询疑截止时间前使采购人收到，采购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采购人解释为准。</w:t>
      </w:r>
    </w:p>
    <w:p>
      <w:pPr>
        <w:numPr>
          <w:ilvl w:val="0"/>
          <w:numId w:val="7"/>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招标文件的修改</w:t>
      </w:r>
    </w:p>
    <w:p>
      <w:pPr>
        <w:numPr>
          <w:ilvl w:val="1"/>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在投标截止期十五天前，采购人无论是出于何种原因，均可对招标文件用补充文件的方式进行修改，并在浙江政府采购网上发布更正公告。该澄清和修改的内容为招标文件的组成部分。采购人可以视采购具体情况在招标文件要求提交截止时间前，作出延长投标截止时间和开标时间的决定，并将变更时间书面通知所有招标文件收受人，并在浙江政府采购网上发布变更公告。</w:t>
      </w:r>
    </w:p>
    <w:p>
      <w:pPr>
        <w:numPr>
          <w:ilvl w:val="1"/>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本项目投标人均可在本项目报名后下载招标文件，并按招标文件规定的时间、地点递交投标文件（招标文件下载网址：http://www.zjzfcg.gov.cn/；招标文件如有补充更正均见http://www.zjzfcg.gov.cn/）。投标人须在开标前一日自行查看是否有补充更正文件，并按补充更正文件要求投标，否则责任自负。</w:t>
      </w:r>
    </w:p>
    <w:p>
      <w:pPr>
        <w:spacing w:before="100" w:beforeAutospacing="1" w:after="100" w:afterAutospacing="1" w:line="440" w:lineRule="exact"/>
        <w:jc w:val="center"/>
        <w:outlineLvl w:val="0"/>
        <w:rPr>
          <w:rFonts w:ascii="新宋体" w:hAnsi="新宋体" w:eastAsia="新宋体" w:cs="新宋体"/>
          <w:b/>
          <w:bCs/>
          <w:color w:val="auto"/>
          <w:sz w:val="26"/>
          <w:szCs w:val="26"/>
        </w:rPr>
      </w:pPr>
      <w:bookmarkStart w:id="37" w:name="_Toc221423618"/>
      <w:bookmarkStart w:id="38" w:name="_Toc222114878"/>
      <w:bookmarkStart w:id="39" w:name="_Toc223715997"/>
      <w:bookmarkStart w:id="40" w:name="_Toc239145353"/>
      <w:bookmarkStart w:id="41" w:name="_Toc241404201"/>
      <w:bookmarkStart w:id="42" w:name="_Toc265529382"/>
      <w:bookmarkStart w:id="43" w:name="_Toc15323"/>
      <w:bookmarkStart w:id="44" w:name="_Toc221374625"/>
      <w:bookmarkStart w:id="45" w:name="_Toc221356950"/>
      <w:bookmarkStart w:id="46" w:name="_Toc221356885"/>
      <w:r>
        <w:rPr>
          <w:rFonts w:hint="eastAsia" w:ascii="新宋体" w:hAnsi="新宋体" w:eastAsia="新宋体" w:cs="新宋体"/>
          <w:b/>
          <w:bCs/>
          <w:color w:val="auto"/>
          <w:sz w:val="26"/>
          <w:szCs w:val="26"/>
        </w:rPr>
        <w:t>三、 投标文件的编制</w:t>
      </w:r>
      <w:bookmarkEnd w:id="37"/>
      <w:bookmarkEnd w:id="38"/>
      <w:bookmarkEnd w:id="39"/>
      <w:bookmarkEnd w:id="40"/>
      <w:bookmarkEnd w:id="41"/>
      <w:bookmarkEnd w:id="42"/>
      <w:bookmarkEnd w:id="43"/>
      <w:bookmarkEnd w:id="44"/>
      <w:bookmarkEnd w:id="45"/>
      <w:bookmarkEnd w:id="46"/>
    </w:p>
    <w:p>
      <w:pPr>
        <w:numPr>
          <w:ilvl w:val="0"/>
          <w:numId w:val="9"/>
        </w:numPr>
        <w:tabs>
          <w:tab w:val="left" w:pos="540"/>
        </w:tabs>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投标人应认真阅读招标文件中所有事项格式、条款和技术规范等。投标人没有按照招标文件要求提交全部资料，或者没有对招标文件各个方面做出实质性响应，导致投标被拒绝的风险由投标人自行承担。</w:t>
      </w:r>
    </w:p>
    <w:p>
      <w:pPr>
        <w:numPr>
          <w:ilvl w:val="0"/>
          <w:numId w:val="9"/>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投标人法律责任</w:t>
      </w:r>
    </w:p>
    <w:p>
      <w:pPr>
        <w:numPr>
          <w:ilvl w:val="1"/>
          <w:numId w:val="10"/>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投标人应保证所提供文件资料的真实性，所有文件资料必须是针对本次投标的。如发现投标人提供了虚假文件资料，其投标将被拒绝，并自行承担相应的法律责任。</w:t>
      </w:r>
    </w:p>
    <w:p>
      <w:pPr>
        <w:numPr>
          <w:ilvl w:val="0"/>
          <w:numId w:val="9"/>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投标文件的构成：</w:t>
      </w:r>
    </w:p>
    <w:p>
      <w:pPr>
        <w:numPr>
          <w:ilvl w:val="1"/>
          <w:numId w:val="11"/>
        </w:numPr>
        <w:tabs>
          <w:tab w:val="left" w:pos="360"/>
          <w:tab w:val="clear" w:pos="992"/>
        </w:tabs>
        <w:spacing w:line="460" w:lineRule="exact"/>
        <w:ind w:left="360" w:hanging="360"/>
        <w:rPr>
          <w:rFonts w:ascii="新宋体" w:hAnsi="新宋体" w:eastAsia="新宋体" w:cs="新宋体"/>
          <w:b/>
          <w:color w:val="auto"/>
          <w:sz w:val="22"/>
          <w:szCs w:val="22"/>
        </w:rPr>
      </w:pPr>
      <w:r>
        <w:rPr>
          <w:rFonts w:hint="eastAsia" w:ascii="新宋体" w:hAnsi="新宋体" w:eastAsia="新宋体" w:cs="新宋体"/>
          <w:b/>
          <w:color w:val="auto"/>
          <w:sz w:val="22"/>
          <w:szCs w:val="22"/>
        </w:rPr>
        <w:t>投标文件由资格文件、技术资信标、商务（报价）标三部分构成：</w:t>
      </w:r>
    </w:p>
    <w:p>
      <w:pPr>
        <w:numPr>
          <w:ilvl w:val="0"/>
          <w:numId w:val="12"/>
        </w:numPr>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资格文件</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72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 号</w:t>
            </w:r>
          </w:p>
        </w:tc>
        <w:tc>
          <w:tcPr>
            <w:tcW w:w="7724"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内 容</w:t>
            </w:r>
          </w:p>
        </w:tc>
        <w:tc>
          <w:tcPr>
            <w:tcW w:w="1283" w:type="dxa"/>
            <w:vAlign w:val="center"/>
          </w:tcPr>
          <w:p>
            <w:pPr>
              <w:tabs>
                <w:tab w:val="center" w:pos="1534"/>
              </w:tabs>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w:t>
            </w:r>
          </w:p>
        </w:tc>
        <w:tc>
          <w:tcPr>
            <w:tcW w:w="7724" w:type="dxa"/>
          </w:tcPr>
          <w:p>
            <w:pPr>
              <w:overflowPunct w:val="0"/>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u w:val="single"/>
              </w:rPr>
              <w:t>▲资格文件（强制性要求，投标人须根据以下要求提供相关证明材料，否则不能通过资格性审查的责任自负。）</w:t>
            </w:r>
          </w:p>
        </w:tc>
        <w:tc>
          <w:tcPr>
            <w:tcW w:w="1283"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1.1</w:t>
            </w:r>
          </w:p>
        </w:tc>
        <w:tc>
          <w:tcPr>
            <w:tcW w:w="7724" w:type="dxa"/>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pPr>
              <w:rPr>
                <w:rFonts w:ascii="新宋体" w:hAnsi="新宋体" w:eastAsia="新宋体" w:cs="新宋体"/>
                <w:b/>
                <w:color w:val="auto"/>
                <w:sz w:val="22"/>
                <w:szCs w:val="22"/>
              </w:rPr>
            </w:pPr>
            <w:r>
              <w:rPr>
                <w:rFonts w:hint="eastAsia" w:ascii="新宋体" w:hAnsi="新宋体" w:eastAsia="新宋体" w:cs="新宋体"/>
                <w:color w:val="auto"/>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283" w:type="dxa"/>
            <w:vAlign w:val="center"/>
          </w:tcPr>
          <w:p>
            <w:pPr>
              <w:overflowPunct w:val="0"/>
              <w:spacing w:line="430" w:lineRule="exact"/>
              <w:jc w:val="center"/>
              <w:rPr>
                <w:rFonts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1.2</w:t>
            </w:r>
          </w:p>
        </w:tc>
        <w:tc>
          <w:tcPr>
            <w:tcW w:w="7724" w:type="dxa"/>
            <w:vAlign w:val="center"/>
          </w:tcPr>
          <w:p>
            <w:pPr>
              <w:rPr>
                <w:rFonts w:ascii="新宋体" w:hAnsi="新宋体" w:eastAsia="新宋体" w:cs="新宋体"/>
                <w:b/>
                <w:color w:val="auto"/>
                <w:sz w:val="22"/>
                <w:szCs w:val="22"/>
              </w:rPr>
            </w:pPr>
            <w:r>
              <w:rPr>
                <w:rFonts w:hint="eastAsia" w:ascii="新宋体" w:hAnsi="新宋体" w:eastAsia="新宋体" w:cs="新宋体"/>
                <w:b/>
                <w:color w:val="auto"/>
                <w:sz w:val="22"/>
                <w:szCs w:val="22"/>
              </w:rPr>
              <w:t>2018年12月份</w:t>
            </w:r>
            <w:r>
              <w:rPr>
                <w:rFonts w:hint="eastAsia" w:ascii="新宋体" w:hAnsi="新宋体" w:eastAsia="新宋体" w:cs="新宋体"/>
                <w:bCs/>
                <w:color w:val="auto"/>
                <w:sz w:val="22"/>
                <w:szCs w:val="22"/>
              </w:rPr>
              <w:t>的资产负债表及损益表（或利润表）(新成立的公司，必须提供情况说明)</w:t>
            </w:r>
          </w:p>
        </w:tc>
        <w:tc>
          <w:tcPr>
            <w:tcW w:w="1283" w:type="dxa"/>
            <w:vAlign w:val="center"/>
          </w:tcPr>
          <w:p>
            <w:pPr>
              <w:overflowPunct w:val="0"/>
              <w:spacing w:line="430" w:lineRule="exact"/>
              <w:jc w:val="center"/>
              <w:rPr>
                <w:rFonts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1.3</w:t>
            </w:r>
          </w:p>
        </w:tc>
        <w:tc>
          <w:tcPr>
            <w:tcW w:w="7724" w:type="dxa"/>
            <w:vAlign w:val="center"/>
          </w:tcPr>
          <w:p>
            <w:pPr>
              <w:rPr>
                <w:rFonts w:ascii="新宋体" w:hAnsi="新宋体" w:eastAsia="新宋体" w:cs="新宋体"/>
                <w:b/>
                <w:color w:val="auto"/>
                <w:sz w:val="22"/>
                <w:szCs w:val="22"/>
              </w:rPr>
            </w:pPr>
            <w:r>
              <w:rPr>
                <w:rFonts w:hint="eastAsia" w:ascii="新宋体" w:hAnsi="新宋体" w:eastAsia="新宋体" w:cs="新宋体"/>
                <w:color w:val="auto"/>
                <w:sz w:val="22"/>
                <w:szCs w:val="22"/>
                <w:lang w:val="zh-CN"/>
              </w:rPr>
              <w:t>具有履行合同所必需的设备和专业技术能力的承诺函</w:t>
            </w:r>
          </w:p>
        </w:tc>
        <w:tc>
          <w:tcPr>
            <w:tcW w:w="1283"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1.4</w:t>
            </w:r>
          </w:p>
        </w:tc>
        <w:tc>
          <w:tcPr>
            <w:tcW w:w="7724" w:type="dxa"/>
            <w:vAlign w:val="center"/>
          </w:tcPr>
          <w:p>
            <w:pPr>
              <w:rPr>
                <w:rFonts w:ascii="新宋体" w:hAnsi="新宋体" w:eastAsia="新宋体" w:cs="新宋体"/>
                <w:b/>
                <w:color w:val="auto"/>
                <w:sz w:val="22"/>
                <w:szCs w:val="22"/>
              </w:rPr>
            </w:pPr>
            <w:r>
              <w:rPr>
                <w:rFonts w:hint="eastAsia" w:ascii="新宋体" w:hAnsi="新宋体" w:eastAsia="新宋体" w:cs="新宋体"/>
                <w:color w:val="auto"/>
                <w:sz w:val="22"/>
                <w:szCs w:val="22"/>
                <w:lang w:val="zh-CN"/>
              </w:rPr>
              <w:t>参加政府采购活动前3年内</w:t>
            </w:r>
            <w:r>
              <w:rPr>
                <w:rFonts w:hint="eastAsia" w:ascii="新宋体" w:hAnsi="新宋体" w:eastAsia="新宋体" w:cs="新宋体"/>
                <w:color w:val="auto"/>
                <w:sz w:val="22"/>
                <w:szCs w:val="22"/>
              </w:rPr>
              <w:t>（新成立不满三年的组织机构自成立之日起算）</w:t>
            </w:r>
            <w:r>
              <w:rPr>
                <w:rFonts w:hint="eastAsia" w:ascii="新宋体" w:hAnsi="新宋体" w:eastAsia="新宋体" w:cs="新宋体"/>
                <w:color w:val="auto"/>
                <w:sz w:val="22"/>
                <w:szCs w:val="22"/>
                <w:lang w:val="zh-CN"/>
              </w:rPr>
              <w:t>在经营活动中没有重大违法记录的声明函</w:t>
            </w:r>
          </w:p>
        </w:tc>
        <w:tc>
          <w:tcPr>
            <w:tcW w:w="1283"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bCs/>
                <w:color w:val="auto"/>
                <w:sz w:val="22"/>
                <w:szCs w:val="22"/>
              </w:rPr>
              <w:t>（6）</w:t>
            </w:r>
            <w:r>
              <w:rPr>
                <w:rFonts w:hint="eastAsia" w:ascii="新宋体" w:hAnsi="新宋体" w:eastAsia="新宋体" w:cs="新宋体"/>
                <w:b/>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1.5</w:t>
            </w:r>
          </w:p>
        </w:tc>
        <w:tc>
          <w:tcPr>
            <w:tcW w:w="7724" w:type="dxa"/>
            <w:vAlign w:val="center"/>
          </w:tcPr>
          <w:p>
            <w:pPr>
              <w:rPr>
                <w:rFonts w:ascii="新宋体" w:hAnsi="新宋体" w:eastAsia="新宋体" w:cs="新宋体"/>
                <w:color w:val="auto"/>
                <w:sz w:val="22"/>
                <w:szCs w:val="22"/>
                <w:lang w:val="zh-CN"/>
              </w:rPr>
            </w:pPr>
            <w:r>
              <w:rPr>
                <w:rFonts w:hint="eastAsia" w:ascii="新宋体" w:hAnsi="新宋体" w:eastAsia="新宋体" w:cs="新宋体"/>
                <w:bCs/>
                <w:color w:val="auto"/>
                <w:kern w:val="0"/>
                <w:sz w:val="22"/>
                <w:szCs w:val="22"/>
              </w:rPr>
              <w:t>投标人有效的医疗器械经营许可证证书复印件（如适用）</w:t>
            </w:r>
          </w:p>
        </w:tc>
        <w:tc>
          <w:tcPr>
            <w:tcW w:w="1283" w:type="dxa"/>
            <w:vAlign w:val="center"/>
          </w:tcPr>
          <w:p>
            <w:pPr>
              <w:overflowPunct w:val="0"/>
              <w:spacing w:line="430" w:lineRule="exact"/>
              <w:jc w:val="center"/>
              <w:rPr>
                <w:rFonts w:ascii="新宋体" w:hAnsi="新宋体" w:eastAsia="新宋体" w:cs="新宋体"/>
                <w:b/>
                <w:bCs/>
                <w:color w:val="auto"/>
                <w:sz w:val="22"/>
                <w:szCs w:val="22"/>
              </w:rPr>
            </w:pPr>
          </w:p>
        </w:tc>
      </w:tr>
    </w:tbl>
    <w:p>
      <w:pPr>
        <w:spacing w:line="430" w:lineRule="exact"/>
        <w:rPr>
          <w:rFonts w:ascii="新宋体" w:hAnsi="新宋体" w:eastAsia="新宋体" w:cs="新宋体"/>
          <w:b/>
          <w:color w:val="auto"/>
          <w:sz w:val="22"/>
          <w:szCs w:val="22"/>
          <w:u w:val="single"/>
        </w:rPr>
      </w:pPr>
      <w:r>
        <w:rPr>
          <w:rFonts w:hint="eastAsia" w:ascii="新宋体" w:hAnsi="新宋体" w:eastAsia="新宋体" w:cs="新宋体"/>
          <w:b/>
          <w:color w:val="auto"/>
          <w:sz w:val="22"/>
          <w:szCs w:val="22"/>
          <w:u w:val="single"/>
        </w:rPr>
        <w:t>注：▲上述基本资格条件审查材料、特定资格条件审查材料有一项不提供的，视为资格审查不通过,不进入后续评审。</w:t>
      </w:r>
    </w:p>
    <w:p>
      <w:pPr>
        <w:spacing w:line="430" w:lineRule="exact"/>
        <w:ind w:left="187" w:leftChars="85" w:hanging="9" w:hangingChars="4"/>
        <w:rPr>
          <w:rFonts w:ascii="新宋体" w:hAnsi="新宋体" w:eastAsia="新宋体" w:cs="新宋体"/>
          <w:b/>
          <w:color w:val="auto"/>
          <w:sz w:val="22"/>
          <w:szCs w:val="22"/>
        </w:rPr>
      </w:pPr>
    </w:p>
    <w:p>
      <w:pPr>
        <w:spacing w:line="430" w:lineRule="exact"/>
        <w:ind w:left="187" w:leftChars="85" w:hanging="9" w:hangingChars="4"/>
        <w:rPr>
          <w:rFonts w:ascii="新宋体" w:hAnsi="新宋体" w:eastAsia="新宋体" w:cs="新宋体"/>
          <w:b/>
          <w:color w:val="auto"/>
          <w:sz w:val="22"/>
          <w:szCs w:val="22"/>
        </w:rPr>
      </w:pPr>
      <w:r>
        <w:rPr>
          <w:rFonts w:hint="eastAsia" w:ascii="新宋体" w:hAnsi="新宋体" w:eastAsia="新宋体" w:cs="新宋体"/>
          <w:b/>
          <w:color w:val="auto"/>
          <w:sz w:val="22"/>
          <w:szCs w:val="22"/>
        </w:rPr>
        <w:t>（2）技术资信标</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71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7713" w:type="dxa"/>
            <w:vAlign w:val="center"/>
          </w:tcPr>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内容</w:t>
            </w:r>
          </w:p>
        </w:tc>
        <w:tc>
          <w:tcPr>
            <w:tcW w:w="1396" w:type="dxa"/>
            <w:vAlign w:val="center"/>
          </w:tcPr>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7713" w:type="dxa"/>
            <w:vAlign w:val="center"/>
          </w:tcPr>
          <w:p>
            <w:pPr>
              <w:spacing w:line="360" w:lineRule="auto"/>
              <w:rPr>
                <w:rFonts w:ascii="新宋体" w:hAnsi="新宋体" w:eastAsia="新宋体" w:cs="新宋体"/>
                <w:b/>
                <w:color w:val="auto"/>
                <w:sz w:val="22"/>
                <w:szCs w:val="22"/>
              </w:rPr>
            </w:pPr>
            <w:r>
              <w:rPr>
                <w:rFonts w:hint="eastAsia" w:ascii="新宋体" w:hAnsi="新宋体" w:eastAsia="新宋体" w:cs="新宋体"/>
                <w:color w:val="auto"/>
                <w:sz w:val="22"/>
                <w:szCs w:val="22"/>
                <w:u w:val="single"/>
              </w:rPr>
              <w:t>▲投标函</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u w:val="single"/>
              </w:rPr>
              <w:t>▲法定代表人诚信投标承诺书</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u w:val="single"/>
              </w:rPr>
              <w:t>▲法定代表人授权书和授权代表人有效身份证明</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7713" w:type="dxa"/>
            <w:vAlign w:val="center"/>
          </w:tcPr>
          <w:p>
            <w:pPr>
              <w:spacing w:line="360" w:lineRule="auto"/>
              <w:rPr>
                <w:rFonts w:ascii="新宋体" w:hAnsi="新宋体" w:eastAsia="新宋体" w:cs="新宋体"/>
                <w:b/>
                <w:color w:val="auto"/>
                <w:sz w:val="22"/>
                <w:szCs w:val="22"/>
              </w:rPr>
            </w:pPr>
            <w:r>
              <w:rPr>
                <w:rFonts w:hint="eastAsia" w:ascii="新宋体" w:hAnsi="新宋体" w:eastAsia="新宋体" w:cs="新宋体"/>
                <w:color w:val="auto"/>
                <w:sz w:val="22"/>
                <w:szCs w:val="22"/>
                <w:u w:val="single"/>
              </w:rPr>
              <w:t>▲技术参数及服务条款应答表、商务条款偏离表</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7713" w:type="dxa"/>
            <w:vAlign w:val="center"/>
          </w:tcPr>
          <w:p>
            <w:pPr>
              <w:spacing w:line="360" w:lineRule="auto"/>
              <w:rPr>
                <w:rFonts w:ascii="新宋体" w:hAnsi="新宋体" w:eastAsia="新宋体" w:cs="新宋体"/>
                <w:bCs/>
                <w:color w:val="auto"/>
                <w:sz w:val="22"/>
                <w:szCs w:val="22"/>
              </w:rPr>
            </w:pPr>
            <w:r>
              <w:rPr>
                <w:rFonts w:hint="eastAsia" w:ascii="新宋体" w:hAnsi="新宋体" w:eastAsia="新宋体" w:cs="新宋体"/>
                <w:b/>
                <w:color w:val="auto"/>
                <w:sz w:val="22"/>
                <w:szCs w:val="22"/>
              </w:rPr>
              <w:t>资信证明文件（本项为量化评分内容，非强制性要求）</w:t>
            </w:r>
          </w:p>
        </w:tc>
        <w:tc>
          <w:tcPr>
            <w:tcW w:w="1396" w:type="dxa"/>
            <w:vAlign w:val="center"/>
          </w:tcPr>
          <w:p>
            <w:pPr>
              <w:spacing w:line="360" w:lineRule="auto"/>
              <w:jc w:val="center"/>
              <w:rPr>
                <w:rFonts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a</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2015年以来所投产品供货业绩证明材料复印件</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b</w:t>
            </w:r>
          </w:p>
        </w:tc>
        <w:tc>
          <w:tcPr>
            <w:tcW w:w="7713" w:type="dxa"/>
            <w:vAlign w:val="center"/>
          </w:tcPr>
          <w:p>
            <w:pPr>
              <w:spacing w:line="300" w:lineRule="exact"/>
              <w:ind w:firstLine="110" w:firstLineChars="50"/>
              <w:rPr>
                <w:rFonts w:ascii="新宋体" w:hAnsi="新宋体" w:eastAsia="新宋体" w:cs="新宋体"/>
                <w:color w:val="auto"/>
                <w:sz w:val="22"/>
                <w:szCs w:val="22"/>
              </w:rPr>
            </w:pPr>
            <w:r>
              <w:rPr>
                <w:rFonts w:hint="eastAsia" w:ascii="新宋体" w:hAnsi="新宋体" w:eastAsia="新宋体" w:cs="新宋体"/>
                <w:color w:val="auto"/>
                <w:sz w:val="22"/>
                <w:szCs w:val="22"/>
              </w:rPr>
              <w:t>1)投标产品列入财政部、发展改革委、生态环境部等部门发布的节能产品品目清单且提供国家确定的认证机构出具的、处于有效期之内的节能产品认证证书。</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2）投标产品列入财政部、发展改革委、生态环境部等部门发布的环境标志产品品目清单且提供国家确定的认证机构出具的、处于有效期之内的环境标志产品认证证书。</w:t>
            </w:r>
          </w:p>
        </w:tc>
        <w:tc>
          <w:tcPr>
            <w:tcW w:w="1396" w:type="dxa"/>
            <w:vAlign w:val="center"/>
          </w:tcPr>
          <w:p>
            <w:pPr>
              <w:spacing w:line="360" w:lineRule="auto"/>
              <w:jc w:val="center"/>
              <w:rPr>
                <w:rFonts w:ascii="新宋体" w:hAnsi="新宋体" w:eastAsia="新宋体" w:cs="新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6）</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投标人情况介绍（格式自定）</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7713" w:type="dxa"/>
            <w:vAlign w:val="center"/>
          </w:tcPr>
          <w:p>
            <w:pPr>
              <w:spacing w:line="360" w:lineRule="auto"/>
              <w:rPr>
                <w:rFonts w:ascii="新宋体" w:hAnsi="新宋体" w:eastAsia="新宋体" w:cs="新宋体"/>
                <w:color w:val="auto"/>
                <w:sz w:val="22"/>
                <w:szCs w:val="22"/>
                <w:u w:val="single"/>
              </w:rPr>
            </w:pPr>
            <w:r>
              <w:rPr>
                <w:rFonts w:hint="eastAsia" w:ascii="新宋体" w:hAnsi="新宋体" w:eastAsia="新宋体" w:cs="新宋体"/>
                <w:color w:val="auto"/>
                <w:sz w:val="22"/>
                <w:szCs w:val="22"/>
                <w:u w:val="single"/>
              </w:rPr>
              <w:t>▲提供食品药品监督管理部门核发的完整有效的医疗器械注册或备案证明；（适用于按医疗器械管理的设备，医疗器械注册或备案证明应包括医疗器械注册证、医疗器械注册表、备案证明及备案表等所有与医疗器械注册或备案相关的证明材料）</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7713" w:type="dxa"/>
            <w:vAlign w:val="center"/>
          </w:tcPr>
          <w:p>
            <w:pPr>
              <w:spacing w:line="360" w:lineRule="auto"/>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货物制造商或其它有销售资格（提供证明材料）的供应商出具的授权书（如有）；</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7713" w:type="dxa"/>
            <w:vAlign w:val="center"/>
          </w:tcPr>
          <w:p>
            <w:pPr>
              <w:spacing w:line="360" w:lineRule="auto"/>
              <w:rPr>
                <w:rFonts w:ascii="新宋体" w:hAnsi="新宋体" w:eastAsia="新宋体" w:cs="新宋体"/>
                <w:color w:val="auto"/>
                <w:sz w:val="22"/>
                <w:szCs w:val="22"/>
                <w:u w:val="single"/>
              </w:rPr>
            </w:pPr>
            <w:r>
              <w:rPr>
                <w:rFonts w:hint="eastAsia" w:ascii="新宋体" w:hAnsi="新宋体" w:eastAsia="新宋体" w:cs="新宋体"/>
                <w:color w:val="auto"/>
                <w:sz w:val="22"/>
                <w:szCs w:val="22"/>
                <w:u w:val="single"/>
              </w:rPr>
              <w:t>▲其他法律、法规等规定所投货物合法销售所必须具备的资质要求，提供相关证明材料；（如有）</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10)</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所投产品配置清单及产品性能、技术、质量水平的详细描述.</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a）</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所投产品配置清单</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b)</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所投产品性能、技术、质量水平的详细描述</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免费提供的备品、备件清单及质保期后主要零配件及易损件价格清单</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a)</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免费提供的备品、备件清单(格式自拟)</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b)</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质保期后主要零配件及易损件价格清单(格式自拟)</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12)</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投标产品的样本或彩页</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13)</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项目的交货、安装、调试、验收、培训等服务的详细实施方案</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14）</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售后服务网点介绍、服务内容、措施和承诺</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15）</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技术服务、质量保证、惩罚保证、优惠承诺、售后服务措施及承诺</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16)</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投标人认为需要提供的其他材料及说明</w:t>
            </w:r>
          </w:p>
        </w:tc>
        <w:tc>
          <w:tcPr>
            <w:tcW w:w="1396" w:type="dxa"/>
            <w:vAlign w:val="center"/>
          </w:tcPr>
          <w:p>
            <w:pPr>
              <w:spacing w:line="360" w:lineRule="auto"/>
              <w:rPr>
                <w:rFonts w:ascii="新宋体" w:hAnsi="新宋体" w:eastAsia="新宋体" w:cs="新宋体"/>
                <w:color w:val="auto"/>
                <w:sz w:val="22"/>
                <w:szCs w:val="22"/>
              </w:rPr>
            </w:pPr>
          </w:p>
        </w:tc>
      </w:tr>
    </w:tbl>
    <w:p>
      <w:pPr>
        <w:spacing w:line="430" w:lineRule="exact"/>
        <w:ind w:left="187" w:leftChars="85" w:hanging="9" w:hangingChars="4"/>
        <w:rPr>
          <w:rFonts w:ascii="新宋体" w:hAnsi="新宋体" w:eastAsia="新宋体" w:cs="新宋体"/>
          <w:b/>
          <w:color w:val="auto"/>
          <w:sz w:val="22"/>
          <w:szCs w:val="22"/>
          <w:u w:val="single"/>
        </w:rPr>
      </w:pPr>
      <w:r>
        <w:rPr>
          <w:rFonts w:hint="eastAsia" w:ascii="新宋体" w:hAnsi="新宋体" w:eastAsia="新宋体" w:cs="新宋体"/>
          <w:b/>
          <w:color w:val="auto"/>
          <w:sz w:val="22"/>
          <w:szCs w:val="22"/>
          <w:u w:val="single"/>
        </w:rPr>
        <w:t>注：▲技术资信标编制表格中</w:t>
      </w:r>
      <w:r>
        <w:rPr>
          <w:rFonts w:hint="eastAsia" w:ascii="新宋体" w:hAnsi="新宋体" w:eastAsia="新宋体" w:cs="新宋体"/>
          <w:b/>
          <w:color w:val="auto"/>
          <w:sz w:val="22"/>
          <w:szCs w:val="22"/>
          <w:u w:val="single"/>
          <w:lang w:val="zh-CN"/>
        </w:rPr>
        <w:t>序号的第</w:t>
      </w:r>
      <w:r>
        <w:rPr>
          <w:rFonts w:hint="eastAsia" w:ascii="新宋体" w:hAnsi="新宋体" w:eastAsia="新宋体" w:cs="新宋体"/>
          <w:b/>
          <w:color w:val="auto"/>
          <w:sz w:val="22"/>
          <w:szCs w:val="22"/>
          <w:u w:val="single"/>
        </w:rPr>
        <w:t>1)、</w:t>
      </w:r>
      <w:r>
        <w:rPr>
          <w:rFonts w:hint="eastAsia" w:ascii="新宋体" w:hAnsi="新宋体" w:eastAsia="新宋体" w:cs="新宋体"/>
          <w:b/>
          <w:color w:val="auto"/>
          <w:sz w:val="22"/>
          <w:szCs w:val="22"/>
          <w:u w:val="single"/>
          <w:lang w:val="zh-CN"/>
        </w:rPr>
        <w:t>2）、</w:t>
      </w:r>
      <w:r>
        <w:rPr>
          <w:rFonts w:hint="eastAsia" w:ascii="新宋体" w:hAnsi="新宋体" w:eastAsia="新宋体" w:cs="新宋体"/>
          <w:b/>
          <w:color w:val="auto"/>
          <w:sz w:val="22"/>
          <w:szCs w:val="22"/>
          <w:u w:val="single"/>
        </w:rPr>
        <w:t>3）、4）</w:t>
      </w:r>
      <w:r>
        <w:rPr>
          <w:rFonts w:hint="eastAsia" w:ascii="新宋体" w:hAnsi="新宋体" w:eastAsia="新宋体" w:cs="新宋体"/>
          <w:b/>
          <w:color w:val="auto"/>
          <w:sz w:val="22"/>
          <w:szCs w:val="22"/>
          <w:u w:val="single"/>
          <w:lang w:val="zh-CN"/>
        </w:rPr>
        <w:t>项投标人必须提供，否则不能通过符合性审查的，责任自负。</w:t>
      </w:r>
    </w:p>
    <w:p>
      <w:pPr>
        <w:spacing w:line="430" w:lineRule="exact"/>
        <w:ind w:left="187" w:leftChars="85" w:hanging="9" w:hangingChars="4"/>
        <w:rPr>
          <w:rFonts w:ascii="新宋体" w:hAnsi="新宋体" w:eastAsia="新宋体" w:cs="新宋体"/>
          <w:b/>
          <w:color w:val="auto"/>
          <w:sz w:val="22"/>
          <w:szCs w:val="22"/>
        </w:rPr>
      </w:pPr>
      <w:r>
        <w:rPr>
          <w:rFonts w:hint="eastAsia" w:ascii="新宋体" w:hAnsi="新宋体" w:eastAsia="新宋体" w:cs="新宋体"/>
          <w:b/>
          <w:color w:val="auto"/>
          <w:sz w:val="22"/>
          <w:szCs w:val="22"/>
        </w:rPr>
        <w:t>说明：</w:t>
      </w:r>
    </w:p>
    <w:p>
      <w:pPr>
        <w:numPr>
          <w:ilvl w:val="0"/>
          <w:numId w:val="13"/>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2015年以来所投产品供货业绩证明材料：</w:t>
      </w:r>
    </w:p>
    <w:p>
      <w:pPr>
        <w:numPr>
          <w:ilvl w:val="0"/>
          <w:numId w:val="14"/>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sz w:val="22"/>
          <w:szCs w:val="22"/>
        </w:rPr>
        <w:t>每业绩须提供证明文件，业绩证明文件以合同文本复印件加盖公章为准；</w:t>
      </w:r>
    </w:p>
    <w:p>
      <w:pPr>
        <w:numPr>
          <w:ilvl w:val="0"/>
          <w:numId w:val="14"/>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sz w:val="22"/>
          <w:szCs w:val="22"/>
        </w:rPr>
        <w:t>合同签订时间为有效时间节点；</w:t>
      </w:r>
    </w:p>
    <w:p>
      <w:pPr>
        <w:numPr>
          <w:ilvl w:val="0"/>
          <w:numId w:val="14"/>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sz w:val="22"/>
          <w:szCs w:val="22"/>
        </w:rPr>
        <w:t>合同文本中须含有所投产品；</w:t>
      </w:r>
    </w:p>
    <w:p>
      <w:pPr>
        <w:numPr>
          <w:ilvl w:val="0"/>
          <w:numId w:val="14"/>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kern w:val="0"/>
          <w:sz w:val="22"/>
          <w:szCs w:val="22"/>
        </w:rPr>
        <w:t>不满足以上要求的供货业绩在评审过程中将不被认可。</w:t>
      </w:r>
    </w:p>
    <w:p>
      <w:pPr>
        <w:numPr>
          <w:ilvl w:val="0"/>
          <w:numId w:val="13"/>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投标人可根据招标文件中的技术规格书以及技术资信评分表，提供投标人认为需要提供的文件和资料。</w:t>
      </w:r>
    </w:p>
    <w:p>
      <w:pPr>
        <w:numPr>
          <w:ilvl w:val="0"/>
          <w:numId w:val="13"/>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中应承诺：投标人所提供的货物/服务所有权归采购人所有。如若发生侵权事件，其侵权责任与采购人及采购代理机构无关，由投标人承担全部责任。侵权造成的所有相关费用，均由投标人支付，保证不伤害采购人的利益。</w:t>
      </w:r>
    </w:p>
    <w:p>
      <w:pPr>
        <w:numPr>
          <w:ilvl w:val="0"/>
          <w:numId w:val="13"/>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投标人可在投标文件中对招标文件中的技术要求选用替代标准、补充或更改，但这些替代标准及补充更改必须相当于或优于招标文件中提出的相应技术要求，并使采购人满意。同时在技术偏离表中作出详细说明。</w:t>
      </w:r>
    </w:p>
    <w:p>
      <w:pPr>
        <w:numPr>
          <w:ilvl w:val="0"/>
          <w:numId w:val="13"/>
        </w:numPr>
        <w:tabs>
          <w:tab w:val="left" w:pos="5355"/>
        </w:tabs>
        <w:spacing w:line="430" w:lineRule="exact"/>
        <w:rPr>
          <w:rFonts w:ascii="新宋体" w:hAnsi="新宋体" w:eastAsia="新宋体" w:cs="新宋体"/>
          <w:b/>
          <w:color w:val="auto"/>
          <w:sz w:val="22"/>
          <w:szCs w:val="22"/>
          <w:u w:val="single"/>
        </w:rPr>
      </w:pPr>
      <w:r>
        <w:rPr>
          <w:rFonts w:hint="eastAsia" w:ascii="新宋体" w:hAnsi="新宋体" w:eastAsia="新宋体" w:cs="新宋体"/>
          <w:color w:val="auto"/>
          <w:sz w:val="22"/>
          <w:szCs w:val="22"/>
          <w:u w:val="single"/>
        </w:rPr>
        <w:t>以上所需的各种证书、证件、证明、执照若系复印件，须在复印件上加盖投标人有效的公章。</w:t>
      </w:r>
    </w:p>
    <w:p>
      <w:pPr>
        <w:spacing w:line="430" w:lineRule="exact"/>
        <w:rPr>
          <w:rFonts w:ascii="新宋体" w:hAnsi="新宋体" w:eastAsia="新宋体" w:cs="新宋体"/>
          <w:b/>
          <w:color w:val="auto"/>
          <w:sz w:val="22"/>
          <w:szCs w:val="22"/>
        </w:rPr>
      </w:pPr>
      <w:bookmarkStart w:id="47" w:name="_Toc221356886"/>
      <w:r>
        <w:rPr>
          <w:rFonts w:hint="eastAsia" w:ascii="新宋体" w:hAnsi="新宋体" w:eastAsia="新宋体" w:cs="新宋体"/>
          <w:b/>
          <w:color w:val="auto"/>
          <w:sz w:val="22"/>
          <w:szCs w:val="22"/>
        </w:rPr>
        <w:t>（3） 商务（报价）标</w:t>
      </w:r>
      <w:bookmarkEnd w:id="47"/>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36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7369"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内容</w:t>
            </w:r>
          </w:p>
        </w:tc>
        <w:tc>
          <w:tcPr>
            <w:tcW w:w="1577" w:type="dxa"/>
            <w:vAlign w:val="center"/>
          </w:tcPr>
          <w:p>
            <w:pPr>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7369"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开标一览表</w:t>
            </w:r>
          </w:p>
        </w:tc>
        <w:tc>
          <w:tcPr>
            <w:tcW w:w="1577"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 xml:space="preserve">   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7369"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投标分项报价表</w:t>
            </w:r>
          </w:p>
        </w:tc>
        <w:tc>
          <w:tcPr>
            <w:tcW w:w="1577"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 xml:space="preserve">   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7369" w:type="dxa"/>
            <w:vAlign w:val="center"/>
          </w:tcPr>
          <w:p>
            <w:pPr>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中小企业声明函（或监狱企业声明函）及其相关的充分的证明材料、残疾人福利性单位声明函</w:t>
            </w:r>
          </w:p>
        </w:tc>
        <w:tc>
          <w:tcPr>
            <w:tcW w:w="1577" w:type="dxa"/>
            <w:vAlign w:val="center"/>
          </w:tcPr>
          <w:p>
            <w:pPr>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招标文件第二部分相关附件</w:t>
            </w:r>
          </w:p>
        </w:tc>
      </w:tr>
    </w:tbl>
    <w:p>
      <w:pPr>
        <w:numPr>
          <w:ilvl w:val="1"/>
          <w:numId w:val="11"/>
        </w:numPr>
        <w:tabs>
          <w:tab w:val="left" w:pos="360"/>
          <w:tab w:val="clear" w:pos="992"/>
        </w:tabs>
        <w:spacing w:line="360" w:lineRule="auto"/>
        <w:ind w:left="360" w:hanging="36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投标文件格式</w:t>
      </w:r>
    </w:p>
    <w:p>
      <w:pPr>
        <w:numPr>
          <w:ilvl w:val="0"/>
          <w:numId w:val="15"/>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投标人应根据招标文件中所提供的格式，内容按顺序填写并装订成册；</w:t>
      </w:r>
    </w:p>
    <w:p>
      <w:pPr>
        <w:numPr>
          <w:ilvl w:val="0"/>
          <w:numId w:val="15"/>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投标文件应有目录以及页码，以便评委检索；</w:t>
      </w:r>
    </w:p>
    <w:p>
      <w:pPr>
        <w:numPr>
          <w:ilvl w:val="0"/>
          <w:numId w:val="15"/>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投标文件表述内容应简练，尽可能以双面打印（复印）制作；</w:t>
      </w:r>
    </w:p>
    <w:p>
      <w:pPr>
        <w:numPr>
          <w:ilvl w:val="0"/>
          <w:numId w:val="15"/>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资格文件、技术资信标、商务（报价）标分别包装于各自标函袋中，标函袋不做统一要求；</w:t>
      </w:r>
    </w:p>
    <w:p>
      <w:pPr>
        <w:numPr>
          <w:ilvl w:val="0"/>
          <w:numId w:val="15"/>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说明:若资格文件装订在技术资信标中，由此造成对供应商不利评审的，评标委员会、采购人及采购代理机构不承担任何责任。</w:t>
      </w:r>
    </w:p>
    <w:p>
      <w:pPr>
        <w:tabs>
          <w:tab w:val="left" w:pos="-180"/>
          <w:tab w:val="left" w:pos="180"/>
          <w:tab w:val="left" w:pos="360"/>
        </w:tabs>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10.3 证书原件：</w:t>
      </w:r>
    </w:p>
    <w:p>
      <w:pPr>
        <w:tabs>
          <w:tab w:val="left" w:pos="-180"/>
          <w:tab w:val="left" w:pos="180"/>
          <w:tab w:val="left" w:pos="360"/>
        </w:tabs>
        <w:spacing w:line="360" w:lineRule="auto"/>
        <w:ind w:firstLine="44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证书、证件、证明等原件，属备查项目，供应商可将原件单独包封，但不需与磋商响应文件一同递交，若评标委员会对各供应商投标文件进行评审期间需要对相关证明文件原件进行审核，则由采购代理机构要求供应商提交，届时无法提交的，有可能影响其技术资信得分。</w:t>
      </w:r>
    </w:p>
    <w:p>
      <w:pPr>
        <w:numPr>
          <w:ilvl w:val="0"/>
          <w:numId w:val="9"/>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投标报</w:t>
      </w:r>
      <w:r>
        <w:rPr>
          <w:rFonts w:hint="eastAsia" w:ascii="新宋体" w:hAnsi="新宋体" w:eastAsia="新宋体" w:cs="新宋体"/>
          <w:color w:val="auto"/>
          <w:sz w:val="22"/>
          <w:szCs w:val="22"/>
        </w:rPr>
        <w:t>价</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的投标报价应为承包完成本次投标需完成全部工作所发生的所有费用，并承担一切风险责任。投标报价指是指卖方在正确地完全履行合同义务后的货物价款，即货物的供货、税金、运输、保险、装卸、安装、检验（检定费）、配合验收、技术服务、售后服务、质保期保障、材料、采购代理服务费等全部费用，实行固定费用总包干，投标人应根据上述因素自行考虑含入投标产品单价。否则由此而引起的一切费用均视为已包括在报价报价中。</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须认真阅读、充分理解招标文件，如有疑问可在询疑截止时间前送达（或传真）采购代理机构，采购代理机构将会统一解答。任何因对本项目招标文件理解不清、产生歧义等由此产生的费用，视作以含在投标总价中。</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投标人必须按第三部分附件的开标一览表（统一格式）、投标分项报价表（统一格式）的内容填写单价、合价及其他事项，并由法定代表人或授权代表签署。</w:t>
      </w:r>
    </w:p>
    <w:p>
      <w:pPr>
        <w:numPr>
          <w:ilvl w:val="1"/>
          <w:numId w:val="16"/>
        </w:numPr>
        <w:tabs>
          <w:tab w:val="left" w:pos="540"/>
          <w:tab w:val="clear" w:pos="992"/>
        </w:tabs>
        <w:spacing w:line="460" w:lineRule="exact"/>
        <w:ind w:left="540" w:hanging="540"/>
        <w:rPr>
          <w:rFonts w:ascii="新宋体" w:hAnsi="新宋体" w:eastAsia="新宋体" w:cs="新宋体"/>
          <w:b/>
          <w:color w:val="auto"/>
          <w:sz w:val="22"/>
          <w:szCs w:val="22"/>
        </w:rPr>
      </w:pPr>
      <w:r>
        <w:rPr>
          <w:rFonts w:hint="eastAsia" w:ascii="新宋体" w:hAnsi="新宋体" w:eastAsia="新宋体" w:cs="新宋体"/>
          <w:color w:val="auto"/>
          <w:sz w:val="22"/>
          <w:szCs w:val="22"/>
        </w:rPr>
        <w:t>所有投标报价均以人民币报价。</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采购人不接受任何选择报价，对每一项货物/服务只允许一个报价。</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采购人要求分类报价是为了方便评标，但在任何情况下不限制采购人以其认为最合适的条款、条件签订合同的权利。</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所报的投标价在合同执行过程中是固定不变的，不得以任何理由予以变更。任何包含价格调整的要求，将被认为是非实质性响应投标而予以拒绝（经买方认可的设计更改除外）。所有的投标报价均为货物到买方指定地点完成验收投入使用的交钥匙价。</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最低报价不能作为中标的保证。</w:t>
      </w:r>
    </w:p>
    <w:p>
      <w:pPr>
        <w:numPr>
          <w:ilvl w:val="0"/>
          <w:numId w:val="9"/>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投标保证金：本项目不要求提供。</w:t>
      </w:r>
    </w:p>
    <w:p>
      <w:pPr>
        <w:numPr>
          <w:ilvl w:val="0"/>
          <w:numId w:val="9"/>
        </w:numPr>
        <w:tabs>
          <w:tab w:val="left" w:pos="540"/>
        </w:tabs>
        <w:spacing w:line="460" w:lineRule="exact"/>
        <w:ind w:left="540" w:hanging="540"/>
        <w:rPr>
          <w:rFonts w:ascii="新宋体" w:hAnsi="新宋体" w:eastAsia="新宋体" w:cs="新宋体"/>
          <w:b/>
          <w:color w:val="auto"/>
          <w:sz w:val="22"/>
          <w:szCs w:val="22"/>
        </w:rPr>
      </w:pPr>
      <w:r>
        <w:rPr>
          <w:rFonts w:hint="eastAsia" w:ascii="新宋体" w:hAnsi="新宋体" w:eastAsia="新宋体" w:cs="新宋体"/>
          <w:bCs/>
          <w:color w:val="auto"/>
          <w:sz w:val="22"/>
          <w:szCs w:val="22"/>
        </w:rPr>
        <w:t>投标有效期</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
          <w:color w:val="auto"/>
          <w:sz w:val="22"/>
          <w:szCs w:val="22"/>
        </w:rPr>
        <w:t>自开标之日起</w:t>
      </w:r>
      <w:r>
        <w:rPr>
          <w:rFonts w:hint="eastAsia" w:ascii="新宋体" w:hAnsi="新宋体" w:eastAsia="新宋体" w:cs="新宋体"/>
          <w:b/>
          <w:color w:val="auto"/>
          <w:sz w:val="22"/>
          <w:szCs w:val="22"/>
          <w:u w:val="single"/>
        </w:rPr>
        <w:t xml:space="preserve"> 90</w:t>
      </w:r>
      <w:r>
        <w:rPr>
          <w:rFonts w:hint="eastAsia" w:ascii="新宋体" w:hAnsi="新宋体" w:eastAsia="新宋体" w:cs="新宋体"/>
          <w:b/>
          <w:color w:val="auto"/>
          <w:sz w:val="22"/>
          <w:szCs w:val="22"/>
        </w:rPr>
        <w:t>天内投标应保持有效。投标有效期短于这个规定期限的投标将视为非响应性投标而予以拒绝。</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特殊情况下，在原投标有效期截止前，采购人可与投标人协商延长投标有效期，这种要求和答复均以书面形式进行。投标人可拒绝接受延期要求。如同意延长投标有效期的投标人不得修改投标文件。</w:t>
      </w:r>
    </w:p>
    <w:p>
      <w:pPr>
        <w:numPr>
          <w:ilvl w:val="0"/>
          <w:numId w:val="9"/>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投标文件的签署和规定</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提供资格文件、技术资信标、商务（报价）标各一式五份的投标文件，分别装订成册。其中正本一份、副本四份，每套投标文件的封面应清楚标明“正本”或“副本”字样，若“正本”与“副本”不符，以“正本”为准。</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投标文件的正本必须打印或用不褪色的墨水书写，并由法定代表人或其授权代表签署，副本可用正本的复印。</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投标文件如有修改和增删必须由投标文件签字人在修改和增删处旁签署或盖章，方才有效。</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投标文件字迹模糊或在关键的技术、商务条款上表述不清楚，将可能导致其投标被拒绝。</w:t>
      </w:r>
    </w:p>
    <w:p>
      <w:pPr>
        <w:numPr>
          <w:ilvl w:val="0"/>
          <w:numId w:val="9"/>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投标文件的密封及标记</w:t>
      </w:r>
    </w:p>
    <w:p>
      <w:pPr>
        <w:numPr>
          <w:ilvl w:val="1"/>
          <w:numId w:val="19"/>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必须将投标文件的“资格文件”“技术资信标”、“商务（报价）标”分别单独密封，且在各自的密封袋上标明“资格文件”、“技术资信标”、“商务（报价）标”字样；封口处贴上封条，启封处加盖投标单位公章并由法定代表人或其授权代表签字。封皮上写明投标项目名称、招标编号并注明“开标时启封”字样。</w:t>
      </w:r>
    </w:p>
    <w:p>
      <w:pPr>
        <w:numPr>
          <w:ilvl w:val="1"/>
          <w:numId w:val="19"/>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
          <w:color w:val="auto"/>
          <w:sz w:val="22"/>
          <w:szCs w:val="22"/>
        </w:rPr>
        <w:t>如果投标人未按上述要求密封及加写标记，导致投标文件被拒绝接收的责任自负。</w:t>
      </w:r>
    </w:p>
    <w:p>
      <w:pPr>
        <w:spacing w:before="100" w:beforeAutospacing="1" w:after="100" w:afterAutospacing="1" w:line="440" w:lineRule="exact"/>
        <w:ind w:left="783" w:hanging="783" w:hangingChars="300"/>
        <w:jc w:val="center"/>
        <w:outlineLvl w:val="0"/>
        <w:rPr>
          <w:rFonts w:ascii="新宋体" w:hAnsi="新宋体" w:eastAsia="新宋体" w:cs="新宋体"/>
          <w:color w:val="auto"/>
          <w:sz w:val="22"/>
          <w:szCs w:val="22"/>
        </w:rPr>
      </w:pPr>
      <w:bookmarkStart w:id="48" w:name="_Toc265529383"/>
      <w:bookmarkStart w:id="49" w:name="_Toc26923"/>
      <w:bookmarkStart w:id="50" w:name="_Toc221356887"/>
      <w:bookmarkStart w:id="51" w:name="_Toc221356951"/>
      <w:bookmarkStart w:id="52" w:name="_Toc221374626"/>
      <w:bookmarkStart w:id="53" w:name="_Toc221423619"/>
      <w:bookmarkStart w:id="54" w:name="_Toc222114879"/>
      <w:bookmarkStart w:id="55" w:name="_Toc223715998"/>
      <w:bookmarkStart w:id="56" w:name="_Toc239145354"/>
      <w:bookmarkStart w:id="57" w:name="_Toc241404202"/>
      <w:r>
        <w:rPr>
          <w:rFonts w:hint="eastAsia" w:ascii="新宋体" w:hAnsi="新宋体" w:eastAsia="新宋体" w:cs="新宋体"/>
          <w:b/>
          <w:bCs/>
          <w:color w:val="auto"/>
          <w:sz w:val="26"/>
          <w:szCs w:val="26"/>
        </w:rPr>
        <w:t>四、 投标文件的递交</w:t>
      </w:r>
      <w:bookmarkEnd w:id="48"/>
      <w:bookmarkEnd w:id="49"/>
      <w:bookmarkEnd w:id="50"/>
      <w:bookmarkEnd w:id="51"/>
      <w:bookmarkEnd w:id="52"/>
      <w:bookmarkEnd w:id="53"/>
      <w:bookmarkEnd w:id="54"/>
      <w:bookmarkEnd w:id="55"/>
      <w:bookmarkEnd w:id="56"/>
      <w:bookmarkEnd w:id="57"/>
    </w:p>
    <w:p>
      <w:pPr>
        <w:numPr>
          <w:ilvl w:val="0"/>
          <w:numId w:val="20"/>
        </w:numPr>
        <w:tabs>
          <w:tab w:val="left" w:pos="540"/>
        </w:tabs>
        <w:spacing w:line="360" w:lineRule="auto"/>
        <w:rPr>
          <w:rFonts w:ascii="新宋体" w:hAnsi="新宋体" w:eastAsia="新宋体" w:cs="新宋体"/>
          <w:b/>
          <w:color w:val="auto"/>
          <w:sz w:val="22"/>
          <w:szCs w:val="22"/>
        </w:rPr>
      </w:pPr>
      <w:r>
        <w:rPr>
          <w:rFonts w:hint="eastAsia" w:ascii="新宋体" w:hAnsi="新宋体" w:eastAsia="新宋体" w:cs="新宋体"/>
          <w:bCs/>
          <w:color w:val="auto"/>
          <w:sz w:val="22"/>
          <w:szCs w:val="22"/>
        </w:rPr>
        <w:t>投标文件的递交</w:t>
      </w:r>
    </w:p>
    <w:p>
      <w:pPr>
        <w:numPr>
          <w:ilvl w:val="1"/>
          <w:numId w:val="21"/>
        </w:numPr>
        <w:tabs>
          <w:tab w:val="left" w:pos="540"/>
          <w:tab w:val="clear" w:pos="992"/>
        </w:tabs>
        <w:spacing w:line="360" w:lineRule="auto"/>
        <w:ind w:left="540" w:hanging="540"/>
        <w:rPr>
          <w:rFonts w:ascii="新宋体" w:hAnsi="新宋体" w:eastAsia="新宋体" w:cs="新宋体"/>
          <w:b/>
          <w:color w:val="auto"/>
          <w:sz w:val="22"/>
          <w:szCs w:val="22"/>
        </w:rPr>
      </w:pPr>
      <w:r>
        <w:rPr>
          <w:rFonts w:hint="eastAsia" w:ascii="新宋体" w:hAnsi="新宋体" w:eastAsia="新宋体" w:cs="新宋体"/>
          <w:b/>
          <w:color w:val="auto"/>
          <w:sz w:val="22"/>
          <w:szCs w:val="22"/>
        </w:rPr>
        <w:t>投标文件必须在规定的投标截止时间前送达到指定的收标地点；</w:t>
      </w:r>
    </w:p>
    <w:p>
      <w:pPr>
        <w:numPr>
          <w:ilvl w:val="1"/>
          <w:numId w:val="21"/>
        </w:numPr>
        <w:tabs>
          <w:tab w:val="left" w:pos="540"/>
          <w:tab w:val="clear" w:pos="992"/>
        </w:tabs>
        <w:spacing w:line="360" w:lineRule="auto"/>
        <w:ind w:left="540" w:hanging="540"/>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在递交投标文件同时递交以下证明文件：</w:t>
      </w:r>
    </w:p>
    <w:p>
      <w:pPr>
        <w:numPr>
          <w:ilvl w:val="0"/>
          <w:numId w:val="22"/>
        </w:numPr>
        <w:tabs>
          <w:tab w:val="left" w:pos="420"/>
          <w:tab w:val="left" w:pos="891"/>
          <w:tab w:val="left" w:pos="1070"/>
        </w:tabs>
        <w:overflowPunct w:val="0"/>
        <w:spacing w:line="360" w:lineRule="auto"/>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法定代表人有效身份证明原件（若投标人代表为法定代表人）；</w:t>
      </w:r>
    </w:p>
    <w:p>
      <w:pPr>
        <w:numPr>
          <w:ilvl w:val="0"/>
          <w:numId w:val="22"/>
        </w:numPr>
        <w:tabs>
          <w:tab w:val="left" w:pos="420"/>
          <w:tab w:val="left" w:pos="891"/>
          <w:tab w:val="left" w:pos="1070"/>
        </w:tabs>
        <w:overflowPunct w:val="0"/>
        <w:spacing w:line="360" w:lineRule="auto"/>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法定代表人授权书原件及授权代表有效身份证明原件（若法定代表人另行委派投标人代表，法定代表人授权书原件如密封在投标文件技术资信标中，在技术资信标开启后经评标委员会查验符合要求亦为有效）；</w:t>
      </w:r>
    </w:p>
    <w:p>
      <w:pPr>
        <w:numPr>
          <w:ilvl w:val="0"/>
          <w:numId w:val="22"/>
        </w:numPr>
        <w:tabs>
          <w:tab w:val="left" w:pos="420"/>
          <w:tab w:val="left" w:pos="891"/>
          <w:tab w:val="left" w:pos="1070"/>
        </w:tabs>
        <w:overflowPunct w:val="0"/>
        <w:spacing w:line="360" w:lineRule="auto"/>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企业法人营业执照复印件（加盖公章，如密封在投标文件技术资信标中，在技术资信标开启后经评标委员会查验符合要求亦为有效）。</w:t>
      </w:r>
    </w:p>
    <w:p>
      <w:pPr>
        <w:numPr>
          <w:ilvl w:val="0"/>
          <w:numId w:val="20"/>
        </w:numPr>
        <w:tabs>
          <w:tab w:val="left" w:pos="540"/>
        </w:tabs>
        <w:spacing w:line="360" w:lineRule="auto"/>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投标文件的修改和撤回</w:t>
      </w:r>
    </w:p>
    <w:p>
      <w:pPr>
        <w:numPr>
          <w:ilvl w:val="1"/>
          <w:numId w:val="23"/>
        </w:numPr>
        <w:tabs>
          <w:tab w:val="left" w:pos="540"/>
          <w:tab w:val="clear" w:pos="992"/>
        </w:tabs>
        <w:spacing w:line="360" w:lineRule="auto"/>
        <w:ind w:left="540" w:hanging="540"/>
        <w:rPr>
          <w:rFonts w:ascii="新宋体" w:hAnsi="新宋体" w:eastAsia="新宋体" w:cs="新宋体"/>
          <w:bCs/>
          <w:color w:val="auto"/>
          <w:sz w:val="22"/>
          <w:szCs w:val="22"/>
        </w:rPr>
      </w:pPr>
      <w:r>
        <w:rPr>
          <w:rFonts w:hint="eastAsia" w:ascii="新宋体" w:hAnsi="新宋体" w:eastAsia="新宋体" w:cs="新宋体"/>
          <w:b/>
          <w:color w:val="auto"/>
          <w:sz w:val="22"/>
          <w:szCs w:val="22"/>
        </w:rPr>
        <w:t>在投标截止时间前，投标人可以用书面形式提出修改或撤回其投标并送达到采购人，但不得影响开标活动的正常进行。</w:t>
      </w:r>
    </w:p>
    <w:p>
      <w:pPr>
        <w:numPr>
          <w:ilvl w:val="1"/>
          <w:numId w:val="23"/>
        </w:numPr>
        <w:tabs>
          <w:tab w:val="left" w:pos="540"/>
          <w:tab w:val="clear" w:pos="992"/>
        </w:tabs>
        <w:spacing w:line="360" w:lineRule="auto"/>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“投标文件修改”或“投标文件撤回通知”都应密封并在密封袋上写明投标项目名称、招标编号、投标单位名称，并注明“投标文件修改”或“投标文件撤回通知”字样。</w:t>
      </w:r>
    </w:p>
    <w:p>
      <w:pPr>
        <w:numPr>
          <w:ilvl w:val="1"/>
          <w:numId w:val="23"/>
        </w:numPr>
        <w:tabs>
          <w:tab w:val="left" w:pos="540"/>
          <w:tab w:val="clear" w:pos="992"/>
        </w:tabs>
        <w:spacing w:line="360" w:lineRule="auto"/>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从投标截止日期起至投标有效期满这段时间内，投标人不得撤回其投标文件，投标人强行撤回其投标文件的，应按采购预算金额的2%赔偿对采购组织机构造成的损失</w:t>
      </w:r>
      <w:r>
        <w:rPr>
          <w:rFonts w:hint="eastAsia" w:ascii="新宋体" w:hAnsi="新宋体" w:eastAsia="新宋体" w:cs="新宋体"/>
          <w:color w:val="auto"/>
          <w:sz w:val="22"/>
          <w:szCs w:val="22"/>
        </w:rPr>
        <w:t>。</w:t>
      </w:r>
    </w:p>
    <w:p>
      <w:pPr>
        <w:numPr>
          <w:ilvl w:val="0"/>
          <w:numId w:val="20"/>
        </w:numPr>
        <w:tabs>
          <w:tab w:val="left" w:pos="540"/>
        </w:tabs>
        <w:spacing w:line="360" w:lineRule="auto"/>
        <w:rPr>
          <w:rFonts w:ascii="新宋体" w:hAnsi="新宋体" w:eastAsia="新宋体" w:cs="新宋体"/>
          <w:bCs/>
          <w:color w:val="auto"/>
          <w:sz w:val="22"/>
          <w:szCs w:val="22"/>
        </w:rPr>
      </w:pPr>
      <w:r>
        <w:rPr>
          <w:rFonts w:hint="eastAsia" w:ascii="新宋体" w:hAnsi="新宋体" w:eastAsia="新宋体" w:cs="新宋体"/>
          <w:color w:val="auto"/>
          <w:sz w:val="22"/>
        </w:rPr>
        <w:t>递交投标文件时，需满足以下要求，否则该投标文件予以拒绝：</w:t>
      </w:r>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58" w:name="_Toc22626"/>
      <w:bookmarkStart w:id="59" w:name="_Toc10111"/>
      <w:bookmarkStart w:id="60" w:name="_Toc14942"/>
      <w:bookmarkStart w:id="61" w:name="_Toc28773"/>
      <w:bookmarkStart w:id="62" w:name="_Toc221356952"/>
      <w:bookmarkStart w:id="63" w:name="_Toc221374627"/>
      <w:bookmarkStart w:id="64" w:name="_Toc241404203"/>
      <w:bookmarkStart w:id="65" w:name="_Toc222114880"/>
      <w:bookmarkStart w:id="66" w:name="_Toc223715999"/>
      <w:bookmarkStart w:id="67" w:name="_Toc265529384"/>
      <w:bookmarkStart w:id="68" w:name="_Toc221356888"/>
      <w:bookmarkStart w:id="69" w:name="_Toc221423620"/>
      <w:bookmarkStart w:id="70" w:name="_Toc239145355"/>
      <w:r>
        <w:rPr>
          <w:rFonts w:hint="eastAsia" w:ascii="新宋体" w:hAnsi="新宋体" w:eastAsia="新宋体" w:cs="新宋体"/>
          <w:b/>
          <w:bCs/>
          <w:color w:val="auto"/>
          <w:sz w:val="22"/>
          <w:szCs w:val="22"/>
        </w:rPr>
        <w:t>18.1在投标截止时间以后送达的投标文件；</w:t>
      </w:r>
      <w:bookmarkEnd w:id="58"/>
      <w:bookmarkEnd w:id="59"/>
      <w:bookmarkEnd w:id="60"/>
      <w:bookmarkEnd w:id="61"/>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71" w:name="_Toc15651"/>
      <w:bookmarkStart w:id="72" w:name="_Toc14059"/>
      <w:bookmarkStart w:id="73" w:name="_Toc28418"/>
      <w:bookmarkStart w:id="74" w:name="_Toc9016"/>
      <w:r>
        <w:rPr>
          <w:rFonts w:hint="eastAsia" w:ascii="新宋体" w:hAnsi="新宋体" w:eastAsia="新宋体" w:cs="新宋体"/>
          <w:b/>
          <w:bCs/>
          <w:color w:val="auto"/>
          <w:sz w:val="22"/>
          <w:szCs w:val="22"/>
        </w:rPr>
        <w:t>18.2未购买招标文件；</w:t>
      </w:r>
      <w:bookmarkEnd w:id="71"/>
      <w:bookmarkEnd w:id="72"/>
      <w:bookmarkEnd w:id="73"/>
      <w:bookmarkEnd w:id="74"/>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75" w:name="_Toc4380"/>
      <w:bookmarkStart w:id="76" w:name="_Toc31264"/>
      <w:bookmarkStart w:id="77" w:name="_Toc16244"/>
      <w:bookmarkStart w:id="78" w:name="_Toc29177"/>
      <w:r>
        <w:rPr>
          <w:rFonts w:hint="eastAsia" w:ascii="新宋体" w:hAnsi="新宋体" w:eastAsia="新宋体" w:cs="新宋体"/>
          <w:b/>
          <w:bCs/>
          <w:color w:val="auto"/>
          <w:sz w:val="22"/>
          <w:szCs w:val="22"/>
        </w:rPr>
        <w:t>18.3未密封的投标文件及由于包装不妥在送达途中严重破损或失散的投标文件；</w:t>
      </w:r>
      <w:bookmarkEnd w:id="75"/>
      <w:bookmarkEnd w:id="76"/>
      <w:bookmarkEnd w:id="77"/>
      <w:bookmarkEnd w:id="78"/>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79" w:name="_Toc26116"/>
      <w:bookmarkStart w:id="80" w:name="_Toc12076"/>
      <w:bookmarkStart w:id="81" w:name="_Toc25081"/>
      <w:bookmarkStart w:id="82" w:name="_Toc22326"/>
      <w:r>
        <w:rPr>
          <w:rFonts w:hint="eastAsia" w:ascii="新宋体" w:hAnsi="新宋体" w:eastAsia="新宋体" w:cs="新宋体"/>
          <w:b/>
          <w:bCs/>
          <w:color w:val="auto"/>
          <w:sz w:val="22"/>
          <w:szCs w:val="22"/>
        </w:rPr>
        <w:t>18.4技术资信标与商务报价标未分别包装密封的投标文件；</w:t>
      </w:r>
      <w:bookmarkEnd w:id="79"/>
      <w:bookmarkEnd w:id="80"/>
      <w:bookmarkEnd w:id="81"/>
      <w:bookmarkEnd w:id="82"/>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83" w:name="_Toc23924"/>
      <w:bookmarkStart w:id="84" w:name="_Toc9216"/>
      <w:bookmarkStart w:id="85" w:name="_Toc3179"/>
      <w:bookmarkStart w:id="86" w:name="_Toc14998"/>
      <w:r>
        <w:rPr>
          <w:rFonts w:hint="eastAsia" w:ascii="新宋体" w:hAnsi="新宋体" w:eastAsia="新宋体" w:cs="新宋体"/>
          <w:b/>
          <w:bCs/>
          <w:color w:val="auto"/>
          <w:sz w:val="22"/>
          <w:szCs w:val="22"/>
        </w:rPr>
        <w:t>18.5以电讯形式递交的投标文件。</w:t>
      </w:r>
      <w:bookmarkEnd w:id="83"/>
      <w:bookmarkEnd w:id="84"/>
      <w:bookmarkEnd w:id="85"/>
      <w:bookmarkEnd w:id="86"/>
    </w:p>
    <w:p>
      <w:pPr>
        <w:tabs>
          <w:tab w:val="left" w:pos="360"/>
          <w:tab w:val="left" w:pos="540"/>
          <w:tab w:val="left" w:pos="1260"/>
        </w:tabs>
        <w:spacing w:before="100" w:beforeAutospacing="1" w:after="100" w:afterAutospacing="1" w:line="440" w:lineRule="exact"/>
        <w:ind w:left="777" w:hanging="777" w:hangingChars="352"/>
        <w:outlineLvl w:val="0"/>
        <w:rPr>
          <w:rFonts w:ascii="新宋体" w:hAnsi="新宋体" w:eastAsia="新宋体" w:cs="新宋体"/>
          <w:color w:val="auto"/>
          <w:sz w:val="22"/>
          <w:szCs w:val="22"/>
        </w:rPr>
      </w:pPr>
      <w:r>
        <w:rPr>
          <w:rFonts w:hint="eastAsia" w:ascii="新宋体" w:hAnsi="新宋体" w:eastAsia="新宋体" w:cs="新宋体"/>
          <w:b/>
          <w:bCs/>
          <w:color w:val="auto"/>
          <w:sz w:val="22"/>
          <w:szCs w:val="22"/>
        </w:rPr>
        <w:t xml:space="preserve">                               </w:t>
      </w:r>
      <w:bookmarkStart w:id="87" w:name="_Toc12289"/>
      <w:r>
        <w:rPr>
          <w:rFonts w:hint="eastAsia" w:ascii="新宋体" w:hAnsi="新宋体" w:eastAsia="新宋体" w:cs="新宋体"/>
          <w:b/>
          <w:bCs/>
          <w:color w:val="auto"/>
          <w:sz w:val="26"/>
          <w:szCs w:val="26"/>
        </w:rPr>
        <w:t>五、 开标和评标</w:t>
      </w:r>
      <w:bookmarkEnd w:id="62"/>
      <w:bookmarkEnd w:id="63"/>
      <w:bookmarkEnd w:id="64"/>
      <w:bookmarkEnd w:id="65"/>
      <w:bookmarkEnd w:id="66"/>
      <w:bookmarkEnd w:id="67"/>
      <w:bookmarkEnd w:id="68"/>
      <w:bookmarkEnd w:id="69"/>
      <w:bookmarkEnd w:id="70"/>
      <w:bookmarkEnd w:id="87"/>
    </w:p>
    <w:p>
      <w:pPr>
        <w:numPr>
          <w:ilvl w:val="0"/>
          <w:numId w:val="24"/>
        </w:num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评标委员会</w:t>
      </w:r>
    </w:p>
    <w:p>
      <w:pPr>
        <w:tabs>
          <w:tab w:val="left" w:pos="540"/>
        </w:tabs>
        <w:spacing w:line="440" w:lineRule="exact"/>
        <w:ind w:firstLine="440" w:firstLineChars="20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政府采购云平台评标专家库中随机抽取产生。</w:t>
      </w:r>
    </w:p>
    <w:p>
      <w:pPr>
        <w:numPr>
          <w:ilvl w:val="0"/>
          <w:numId w:val="24"/>
        </w:num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评标过程的保密性</w:t>
      </w:r>
    </w:p>
    <w:p>
      <w:pPr>
        <w:spacing w:line="440" w:lineRule="exact"/>
        <w:ind w:firstLine="442" w:firstLineChars="2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开标后直至向中标人授予合同时止，凡与评审有关的资料均不得向投标人及与评标无关人员透露。如果投标人在评标过程中试图向采购人和采购代理机构施加影响，其投标将被拒绝。</w:t>
      </w:r>
    </w:p>
    <w:p>
      <w:pPr>
        <w:numPr>
          <w:ilvl w:val="0"/>
          <w:numId w:val="24"/>
        </w:numPr>
        <w:tabs>
          <w:tab w:val="left" w:pos="540"/>
        </w:tabs>
        <w:spacing w:line="440" w:lineRule="exact"/>
        <w:rPr>
          <w:rFonts w:ascii="新宋体" w:hAnsi="新宋体" w:eastAsia="新宋体" w:cs="新宋体"/>
          <w:b/>
          <w:bCs/>
          <w:color w:val="auto"/>
          <w:sz w:val="22"/>
          <w:szCs w:val="22"/>
        </w:rPr>
      </w:pPr>
      <w:r>
        <w:rPr>
          <w:rFonts w:hint="eastAsia" w:ascii="新宋体" w:hAnsi="新宋体" w:eastAsia="新宋体" w:cs="新宋体"/>
          <w:bCs/>
          <w:color w:val="auto"/>
          <w:sz w:val="22"/>
          <w:szCs w:val="22"/>
        </w:rPr>
        <w:t>开标、评标</w:t>
      </w:r>
    </w:p>
    <w:p>
      <w:pPr>
        <w:numPr>
          <w:ilvl w:val="1"/>
          <w:numId w:val="25"/>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开标时间和地点：见本招标文件“招标公告”。</w:t>
      </w:r>
    </w:p>
    <w:p>
      <w:pPr>
        <w:numPr>
          <w:ilvl w:val="1"/>
          <w:numId w:val="25"/>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开标时邀请所有投标人代表参加，参加开标的代表应准时出席并签名报到以证明其出席。投标人代表对开标过程和开标记录有疑义，以及认为采购人、采购代理机构相关工作人员有需要回避的情形的，应当场提出询问或者回避申请。投标人代表未参加开标会的，视同认可开标结果。</w:t>
      </w:r>
    </w:p>
    <w:p>
      <w:pPr>
        <w:numPr>
          <w:ilvl w:val="1"/>
          <w:numId w:val="25"/>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参加开标大会的投标人应签署不存在影响公平竞争的《政府采购活动现场确认声明书》。未参加开标大会，但被确定为中标人的，应补签《政府采购活动现场确认声明书》。</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color w:val="auto"/>
          <w:sz w:val="22"/>
          <w:szCs w:val="22"/>
        </w:rPr>
        <w:t>开标时，由投标人或其推选的代表检查投标文件密封情况；经确认无误后，由采购代理机构工作人员按各投标人提交投标文件的先后顺序当众拆封、清点资格文件、技术资信标及商务（报价）标（包括</w:t>
      </w:r>
      <w:r>
        <w:rPr>
          <w:rFonts w:hint="eastAsia" w:ascii="新宋体" w:hAnsi="新宋体" w:eastAsia="新宋体" w:cs="新宋体"/>
          <w:b/>
          <w:bCs/>
          <w:color w:val="auto"/>
          <w:sz w:val="22"/>
          <w:szCs w:val="22"/>
        </w:rPr>
        <w:t>正</w:t>
      </w:r>
      <w:r>
        <w:rPr>
          <w:rFonts w:hint="eastAsia" w:ascii="新宋体" w:hAnsi="新宋体" w:eastAsia="新宋体" w:cs="新宋体"/>
          <w:bCs/>
          <w:color w:val="auto"/>
          <w:sz w:val="22"/>
          <w:szCs w:val="22"/>
        </w:rPr>
        <w:t>本、副本）数量，宣布投标人名称、投标价格和招标文件规定的需要宣布的其他内容，然后送评标室评审；对不符合装订要求的采购响应文件，由现场工作人员退还投标人代表。采购代理机构指定专人作好记录，存档备查。投标人不足3家的，不得开标。</w:t>
      </w:r>
    </w:p>
    <w:p>
      <w:pPr>
        <w:numPr>
          <w:ilvl w:val="1"/>
          <w:numId w:val="25"/>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开标结束后，</w:t>
      </w:r>
      <w:r>
        <w:rPr>
          <w:rFonts w:hint="eastAsia" w:ascii="新宋体" w:hAnsi="新宋体" w:eastAsia="新宋体" w:cs="新宋体"/>
          <w:color w:val="auto"/>
          <w:sz w:val="22"/>
          <w:szCs w:val="22"/>
        </w:rPr>
        <w:t>采购人或采购代理机构依法对各投标人进行投标资格审查，审查内容为投标文件所提交证明材料是否能证明符合本项目对合格投标人的实质性要求。通过资格审查视作具备投标资格，审查不合格的投标文件将不进入后续详细评审。</w:t>
      </w:r>
    </w:p>
    <w:p>
      <w:pPr>
        <w:numPr>
          <w:ilvl w:val="1"/>
          <w:numId w:val="25"/>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评标委员会依据招标文件的规定，从投标文件中的有效性、完整性和对招标文件的响应程度进行符合性检查，以确定是否对招标文件的实质性要求作出响应。</w:t>
      </w:r>
    </w:p>
    <w:p>
      <w:pPr>
        <w:numPr>
          <w:ilvl w:val="1"/>
          <w:numId w:val="25"/>
        </w:numPr>
        <w:tabs>
          <w:tab w:val="left" w:pos="540"/>
          <w:tab w:val="clear" w:pos="992"/>
        </w:tabs>
        <w:spacing w:line="440" w:lineRule="exact"/>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▲投标人存在下列情况之一的，投标无效:</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1）投标文件正本未按招标文件要求签署、盖章的；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2）授权代表没有法定代表人合法、有效委托的；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3）不具备招标文件中规定的资格要求的；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4）报价超过招标文件中规定的预算金额或者最高限价的；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5）投标文件含有采购人不能接受的附加条件的（包括招标文件中明确要求不得偏离的招标要求，存在负偏离的）;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6）投标人递交两份或两份以上内容不同的投标文件，未声明哪一份有效的；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7）存在串标、抬标或弄虚作假情况的；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8）明显不符合招标文件中标注“▲”且加下划线的条款；</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9）法律、法规和招标文件规定的其他无效情形（或出现重大偏差）。</w:t>
      </w:r>
    </w:p>
    <w:p>
      <w:pPr>
        <w:numPr>
          <w:ilvl w:val="1"/>
          <w:numId w:val="25"/>
        </w:numPr>
        <w:tabs>
          <w:tab w:val="left" w:pos="540"/>
          <w:tab w:val="clear" w:pos="992"/>
        </w:tabs>
        <w:spacing w:line="440" w:lineRule="exact"/>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▲评标委员会发现投标文件有下列情形之一的属于重大偏差(评标委员会按少数服从多数原则认定),按照无效投标处理：</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1）未按招标文件要求编制或字迹模糊、辨认不清的投标文件；</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2）除21.7条款以外，出现其它明显不符合技术规格、技术标准的要求或不满足招标文件技术规格书中的主要参数的投标文件；</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3）除21.7条款以外，出现投标项目数量与招标文件对比出现较大偏差；商务报价明细表计算错误，出现较大差错；</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4）除21.7条款以外，出现其它不符合招标文件中规定的实质性要求的投标文件，是否为偏离实质性要求由评标委员会认定。</w:t>
      </w:r>
    </w:p>
    <w:p>
      <w:pPr>
        <w:numPr>
          <w:ilvl w:val="1"/>
          <w:numId w:val="25"/>
        </w:numPr>
        <w:tabs>
          <w:tab w:val="left" w:pos="540"/>
          <w:tab w:val="clear" w:pos="992"/>
        </w:tabs>
        <w:spacing w:line="440" w:lineRule="exact"/>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有下列情形之一的，视为投标人串通投标，其投标无效：</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1)不同投标人的投标文件由同一单位或者个人编制；</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2)不同投标人委托同一单位或者个人办理投标事宜；</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3)不同投标人的投标文件载明的项目管理成员或者联系人员为同一人；</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4）不同投标人的投标文件异常一致或者投标报价呈规律性差异；</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5）不同投标人的投标文件相互混装；</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“商务（报价）标”评审时，由评标委员会对各投标人的商务报价进行核查，核查时发现投标报价内容不清楚可要求投标人书面澄清，计算上的错误，可按下面方法修正：</w:t>
      </w:r>
    </w:p>
    <w:p>
      <w:pPr>
        <w:numPr>
          <w:ilvl w:val="0"/>
          <w:numId w:val="26"/>
        </w:numPr>
        <w:tabs>
          <w:tab w:val="left" w:pos="720"/>
          <w:tab w:val="clear" w:pos="420"/>
        </w:tabs>
        <w:spacing w:line="440" w:lineRule="exact"/>
        <w:ind w:left="720" w:hanging="720"/>
        <w:rPr>
          <w:rFonts w:ascii="新宋体" w:hAnsi="新宋体" w:eastAsia="新宋体" w:cs="新宋体"/>
          <w:color w:val="auto"/>
          <w:spacing w:val="-4"/>
          <w:sz w:val="22"/>
          <w:szCs w:val="22"/>
        </w:rPr>
      </w:pPr>
      <w:r>
        <w:rPr>
          <w:rFonts w:hint="eastAsia" w:ascii="新宋体" w:hAnsi="新宋体" w:eastAsia="新宋体" w:cs="新宋体"/>
          <w:color w:val="auto"/>
          <w:spacing w:val="-4"/>
          <w:sz w:val="22"/>
          <w:szCs w:val="22"/>
        </w:rPr>
        <w:t>投标文件中开标一览表内容与投标分项报价表内容不一致的，以开标一览表（报价表）为准。投标文件的大写金额和小写金额不一致的，以大写金额为准；总价金额与按单价汇总金额不一致的，以单价金额计算结果为准；单价金额小数点或者百分比有明显错位的，以开标一览表的总价为准，并修改单价。</w:t>
      </w:r>
    </w:p>
    <w:p>
      <w:pPr>
        <w:numPr>
          <w:ilvl w:val="0"/>
          <w:numId w:val="26"/>
        </w:numPr>
        <w:tabs>
          <w:tab w:val="left" w:pos="720"/>
          <w:tab w:val="clear" w:pos="420"/>
        </w:tabs>
        <w:spacing w:line="44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如果投标人不接受对其价格错误进行修正，其投标将被否决。</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在详细评标之前，评标委员会要审查每份投标文件是否实质上响应了招标文件的要求。实质上响应的投标应该是与招标文件要求的全部条款、条件和规格基本相符。没有重大偏离。</w:t>
      </w:r>
      <w:r>
        <w:rPr>
          <w:rFonts w:hint="eastAsia" w:ascii="新宋体" w:hAnsi="新宋体" w:eastAsia="新宋体" w:cs="新宋体"/>
          <w:b/>
          <w:bCs/>
          <w:color w:val="auto"/>
          <w:sz w:val="22"/>
          <w:szCs w:val="22"/>
        </w:rPr>
        <w:t>评标委员会决定投标的响应性只根据投标文件本身的内容，而不寻求外部的证据。</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
          <w:bCs/>
          <w:color w:val="auto"/>
          <w:sz w:val="22"/>
          <w:szCs w:val="22"/>
        </w:rPr>
        <w:t>实质上没有响应招标文件要求的投标将被拒绝，</w:t>
      </w:r>
      <w:r>
        <w:rPr>
          <w:rFonts w:hint="eastAsia" w:ascii="新宋体" w:hAnsi="新宋体" w:eastAsia="新宋体" w:cs="新宋体"/>
          <w:bCs/>
          <w:color w:val="auto"/>
          <w:sz w:val="22"/>
          <w:szCs w:val="22"/>
        </w:rPr>
        <w:t>投标人不得通过修正或撤消不合要求的偏离或保留从而使其投标成为实质上响应的投标。</w:t>
      </w:r>
    </w:p>
    <w:p>
      <w:pPr>
        <w:numPr>
          <w:ilvl w:val="1"/>
          <w:numId w:val="25"/>
        </w:numPr>
        <w:tabs>
          <w:tab w:val="left" w:pos="540"/>
          <w:tab w:val="clear" w:pos="992"/>
        </w:tabs>
        <w:spacing w:line="440" w:lineRule="exact"/>
        <w:ind w:left="540" w:hanging="540"/>
        <w:rPr>
          <w:rFonts w:ascii="新宋体" w:hAnsi="新宋体" w:eastAsia="新宋体" w:cs="新宋体"/>
          <w:b/>
          <w:color w:val="auto"/>
          <w:sz w:val="22"/>
          <w:szCs w:val="22"/>
        </w:rPr>
      </w:pPr>
      <w:r>
        <w:rPr>
          <w:rFonts w:hint="eastAsia" w:ascii="新宋体" w:hAnsi="新宋体" w:eastAsia="新宋体" w:cs="新宋体"/>
          <w:b/>
          <w:color w:val="auto"/>
          <w:sz w:val="22"/>
          <w:szCs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25"/>
        </w:numPr>
        <w:tabs>
          <w:tab w:val="left" w:pos="540"/>
          <w:tab w:val="clear" w:pos="992"/>
        </w:tabs>
        <w:spacing w:line="360" w:lineRule="auto"/>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招标文件中加“▲”且加下划线的条款，为实质性条款。对于标书中规定的实质性条款，  </w:t>
      </w:r>
    </w:p>
    <w:p>
      <w:p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如响应时出现有微小偏离的，判定是否构成实质性偏离，由评标委员会来判定。对重大负偏离</w:t>
      </w:r>
    </w:p>
    <w:p>
      <w:p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的认定，须经评标委员会多数同意，重大负偏离将被认定为是对招标文件实质上的不响应，其</w:t>
      </w:r>
    </w:p>
    <w:p>
      <w:p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投标将被视为无效投标。</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评标委员会对审查合格的投标文件按照招标文件中制订的评标方法进行综合评定打分。</w:t>
      </w:r>
    </w:p>
    <w:p>
      <w:pPr>
        <w:numPr>
          <w:ilvl w:val="1"/>
          <w:numId w:val="25"/>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评标过程中遇到特殊情况，由评标委员会遵循公开、公正原则，采取投票方式按照少数服从多数原则决定。</w:t>
      </w:r>
    </w:p>
    <w:p>
      <w:pPr>
        <w:numPr>
          <w:ilvl w:val="1"/>
          <w:numId w:val="25"/>
        </w:numPr>
        <w:tabs>
          <w:tab w:val="left" w:pos="540"/>
          <w:tab w:val="clear" w:pos="992"/>
        </w:tabs>
        <w:spacing w:line="440" w:lineRule="exact"/>
        <w:ind w:left="540" w:hanging="540"/>
        <w:rPr>
          <w:rFonts w:ascii="新宋体" w:hAnsi="新宋体" w:eastAsia="新宋体" w:cs="新宋体"/>
          <w:b/>
          <w:color w:val="auto"/>
          <w:sz w:val="22"/>
          <w:szCs w:val="22"/>
          <w:u w:val="single"/>
        </w:rPr>
      </w:pPr>
      <w:r>
        <w:rPr>
          <w:rFonts w:hint="eastAsia" w:ascii="新宋体" w:hAnsi="新宋体" w:eastAsia="新宋体" w:cs="新宋体"/>
          <w:b/>
          <w:color w:val="auto"/>
          <w:sz w:val="22"/>
          <w:szCs w:val="22"/>
          <w:u w:val="single"/>
        </w:rPr>
        <w:t>▲投标截止时间止及评审期间，出现有效供应商不足3家的，则本项目按流（废）标处理，重新组织招标</w:t>
      </w:r>
      <w:r>
        <w:rPr>
          <w:rFonts w:hint="eastAsia" w:ascii="新宋体" w:hAnsi="新宋体" w:eastAsia="新宋体" w:cs="新宋体"/>
          <w:b/>
          <w:color w:val="auto"/>
          <w:sz w:val="22"/>
          <w:szCs w:val="22"/>
        </w:rPr>
        <w:t>。</w:t>
      </w:r>
    </w:p>
    <w:p>
      <w:pPr>
        <w:numPr>
          <w:ilvl w:val="0"/>
          <w:numId w:val="24"/>
        </w:num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投标文件的澄清</w:t>
      </w:r>
    </w:p>
    <w:p>
      <w:pPr>
        <w:numPr>
          <w:ilvl w:val="1"/>
          <w:numId w:val="27"/>
        </w:numPr>
        <w:tabs>
          <w:tab w:val="left" w:pos="540"/>
          <w:tab w:val="clear" w:pos="992"/>
        </w:tabs>
        <w:spacing w:line="440" w:lineRule="exact"/>
        <w:ind w:left="540" w:hanging="540"/>
        <w:rPr>
          <w:rFonts w:ascii="新宋体" w:hAnsi="新宋体" w:eastAsia="新宋体" w:cs="新宋体"/>
          <w:b/>
          <w:color w:val="auto"/>
          <w:sz w:val="22"/>
          <w:szCs w:val="22"/>
        </w:rPr>
      </w:pPr>
      <w:r>
        <w:rPr>
          <w:rFonts w:hint="eastAsia" w:ascii="新宋体" w:hAnsi="新宋体" w:eastAsia="新宋体" w:cs="新宋体"/>
          <w:bCs/>
          <w:color w:val="auto"/>
          <w:sz w:val="22"/>
          <w:szCs w:val="22"/>
        </w:rPr>
        <w:t>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numPr>
          <w:ilvl w:val="1"/>
          <w:numId w:val="27"/>
        </w:numPr>
        <w:tabs>
          <w:tab w:val="left" w:pos="540"/>
          <w:tab w:val="clear" w:pos="992"/>
        </w:tabs>
        <w:spacing w:line="440" w:lineRule="exact"/>
        <w:ind w:left="540" w:hanging="540"/>
        <w:rPr>
          <w:rFonts w:ascii="新宋体" w:hAnsi="新宋体" w:eastAsia="新宋体" w:cs="新宋体"/>
          <w:b/>
          <w:color w:val="auto"/>
          <w:sz w:val="22"/>
          <w:szCs w:val="22"/>
        </w:rPr>
      </w:pPr>
      <w:r>
        <w:rPr>
          <w:rFonts w:hint="eastAsia" w:ascii="新宋体" w:hAnsi="新宋体" w:eastAsia="新宋体" w:cs="新宋体"/>
          <w:b/>
          <w:color w:val="auto"/>
          <w:sz w:val="22"/>
          <w:szCs w:val="22"/>
        </w:rPr>
        <w:t>经澄清后，若偏差仍存在，且不可接受，投标人则被认为是“没有实质性响应招标文件要求”，其投标不进入下一步评审。</w:t>
      </w:r>
    </w:p>
    <w:p>
      <w:pPr>
        <w:numPr>
          <w:ilvl w:val="0"/>
          <w:numId w:val="24"/>
        </w:numPr>
        <w:spacing w:line="440" w:lineRule="exact"/>
        <w:rPr>
          <w:rFonts w:ascii="新宋体" w:hAnsi="新宋体" w:eastAsia="新宋体" w:cs="新宋体"/>
          <w:color w:val="auto"/>
          <w:sz w:val="22"/>
          <w:szCs w:val="22"/>
        </w:rPr>
      </w:pPr>
      <w:bookmarkStart w:id="88" w:name="_Toc221356889"/>
      <w:bookmarkStart w:id="89" w:name="_Toc221356953"/>
      <w:bookmarkStart w:id="90" w:name="_Toc221374628"/>
      <w:bookmarkStart w:id="91" w:name="_Toc221423621"/>
      <w:bookmarkStart w:id="92" w:name="_Toc222114881"/>
      <w:bookmarkStart w:id="93" w:name="_Toc223716000"/>
      <w:bookmarkStart w:id="94" w:name="_Toc239145356"/>
      <w:bookmarkStart w:id="95" w:name="_Toc241404204"/>
      <w:bookmarkStart w:id="96" w:name="_Toc265529385"/>
      <w:r>
        <w:rPr>
          <w:rFonts w:hint="eastAsia" w:ascii="新宋体" w:hAnsi="新宋体" w:eastAsia="新宋体" w:cs="新宋体"/>
          <w:bCs/>
          <w:color w:val="auto"/>
          <w:sz w:val="22"/>
          <w:szCs w:val="22"/>
        </w:rPr>
        <w:t>确定中标候选人</w:t>
      </w:r>
    </w:p>
    <w:p>
      <w:pPr>
        <w:numPr>
          <w:ilvl w:val="1"/>
          <w:numId w:val="28"/>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本次招标由评标委员会推荐中标候选人，采购人根据评标委员会的推荐结果进行最终确认。</w:t>
      </w:r>
    </w:p>
    <w:p>
      <w:pPr>
        <w:numPr>
          <w:ilvl w:val="1"/>
          <w:numId w:val="28"/>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评标委员会依据法律、法规及招标文件有关规定在有效标中按投标人的综合得分（即技术分与商务分之和）高低进行排序，综合得分前二名的投标人推荐为第一和第二中标候选人（得分相同投标报价低的排序第一；得分且投标报价相同的，由评标委员会成员抽签决定排序）。</w:t>
      </w:r>
    </w:p>
    <w:p>
      <w:pPr>
        <w:numPr>
          <w:ilvl w:val="1"/>
          <w:numId w:val="28"/>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val="zh-CN"/>
        </w:rPr>
        <w:t>若出现以下情形之一，采购人可视具体情况确定是否由备选中标人为中标人或重新组织招标：</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1）中标人放弃中标资格；</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2）中标人因不可抗力提出不能履行合同；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3）中标人未能在规定时间内与采购单位签订合同；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4）经质疑，采购人审查后，中标候选人或中标人确实在本次采购活动中存在违法违规行为或其他原因使质疑成立的。</w:t>
      </w:r>
    </w:p>
    <w:p>
      <w:pPr>
        <w:numPr>
          <w:ilvl w:val="1"/>
          <w:numId w:val="28"/>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采购人、采购代理机构及评标委员会不向落标的投标人解释落标原因，也不公布评标过程中的相关细节。</w:t>
      </w:r>
    </w:p>
    <w:p>
      <w:pPr>
        <w:numPr>
          <w:ilvl w:val="0"/>
          <w:numId w:val="24"/>
        </w:numPr>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评标细则详见“评标原则及方法”。</w:t>
      </w:r>
    </w:p>
    <w:p>
      <w:pPr>
        <w:spacing w:before="100" w:beforeAutospacing="1" w:after="100" w:afterAutospacing="1" w:line="440" w:lineRule="exact"/>
        <w:ind w:left="-6"/>
        <w:jc w:val="center"/>
        <w:outlineLvl w:val="0"/>
        <w:rPr>
          <w:rFonts w:ascii="新宋体" w:hAnsi="新宋体" w:eastAsia="新宋体" w:cs="新宋体"/>
          <w:b/>
          <w:bCs/>
          <w:color w:val="auto"/>
          <w:sz w:val="26"/>
          <w:szCs w:val="26"/>
        </w:rPr>
      </w:pPr>
      <w:bookmarkStart w:id="97" w:name="_Toc4524"/>
      <w:r>
        <w:rPr>
          <w:rFonts w:hint="eastAsia" w:ascii="新宋体" w:hAnsi="新宋体" w:eastAsia="新宋体" w:cs="新宋体"/>
          <w:b/>
          <w:bCs/>
          <w:color w:val="auto"/>
          <w:sz w:val="26"/>
          <w:szCs w:val="26"/>
        </w:rPr>
        <w:t>六、 授予合同</w:t>
      </w:r>
      <w:bookmarkEnd w:id="88"/>
      <w:bookmarkEnd w:id="89"/>
      <w:bookmarkEnd w:id="90"/>
      <w:bookmarkEnd w:id="91"/>
      <w:bookmarkEnd w:id="92"/>
      <w:bookmarkEnd w:id="93"/>
      <w:bookmarkEnd w:id="94"/>
      <w:bookmarkEnd w:id="95"/>
      <w:bookmarkEnd w:id="96"/>
      <w:bookmarkEnd w:id="97"/>
    </w:p>
    <w:p>
      <w:pPr>
        <w:numPr>
          <w:ilvl w:val="0"/>
          <w:numId w:val="24"/>
        </w:numPr>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确定中标人</w:t>
      </w:r>
    </w:p>
    <w:p>
      <w:pPr>
        <w:numPr>
          <w:ilvl w:val="1"/>
          <w:numId w:val="29"/>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rPr>
        <w:t>采购人自收到评标报告之日起5个工作日内，在评标报告确定的中标候选人名单中按顺序确定中标人。</w:t>
      </w:r>
    </w:p>
    <w:p>
      <w:pPr>
        <w:numPr>
          <w:ilvl w:val="1"/>
          <w:numId w:val="29"/>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中标人确定之日起2个工作日内，在浙江政府采购网上公示中标结果，中标公告期限为1个工作日；</w:t>
      </w:r>
    </w:p>
    <w:p>
      <w:pPr>
        <w:numPr>
          <w:ilvl w:val="1"/>
          <w:numId w:val="29"/>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在公告中标结果的同时，采购人向中标人发出中标通知书。</w:t>
      </w:r>
    </w:p>
    <w:p>
      <w:pPr>
        <w:numPr>
          <w:ilvl w:val="1"/>
          <w:numId w:val="29"/>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各投标人对评标结果如有异议，应在中标公告期限届满之日起七个工作日内，以书面形式向采购人进行署名提出质疑，但需对质疑内容的真实性承担法律责任。</w:t>
      </w:r>
    </w:p>
    <w:p>
      <w:pPr>
        <w:numPr>
          <w:ilvl w:val="0"/>
          <w:numId w:val="24"/>
        </w:numPr>
        <w:spacing w:line="440" w:lineRule="exact"/>
        <w:rPr>
          <w:rFonts w:ascii="新宋体" w:hAnsi="新宋体" w:eastAsia="新宋体" w:cs="新宋体"/>
          <w:color w:val="auto"/>
          <w:sz w:val="22"/>
          <w:szCs w:val="22"/>
        </w:rPr>
      </w:pPr>
      <w:r>
        <w:rPr>
          <w:rFonts w:hint="eastAsia" w:ascii="新宋体" w:hAnsi="新宋体" w:eastAsia="新宋体" w:cs="新宋体"/>
          <w:bCs/>
          <w:color w:val="auto"/>
          <w:sz w:val="22"/>
          <w:szCs w:val="22"/>
        </w:rPr>
        <w:t>签订合同</w:t>
      </w:r>
    </w:p>
    <w:p>
      <w:pPr>
        <w:numPr>
          <w:ilvl w:val="1"/>
          <w:numId w:val="30"/>
        </w:numPr>
        <w:tabs>
          <w:tab w:val="left" w:pos="640"/>
          <w:tab w:val="clear" w:pos="992"/>
        </w:tabs>
        <w:spacing w:line="460" w:lineRule="exact"/>
        <w:ind w:left="652" w:hanging="652"/>
        <w:rPr>
          <w:rFonts w:ascii="新宋体" w:hAnsi="新宋体" w:eastAsia="新宋体" w:cs="新宋体"/>
          <w:color w:val="auto"/>
          <w:sz w:val="22"/>
          <w:szCs w:val="22"/>
        </w:rPr>
      </w:pPr>
      <w:r>
        <w:rPr>
          <w:rFonts w:hint="eastAsia" w:ascii="新宋体" w:hAnsi="新宋体" w:eastAsia="新宋体" w:cs="新宋体"/>
          <w:color w:val="auto"/>
          <w:sz w:val="22"/>
          <w:szCs w:val="22"/>
        </w:rPr>
        <w:t>中标投标人应当在中标通知书发出之日起30日内与采购人签订合同。中标投标人未经采购人许可，在规定时间内未到采购人处与采购人签订合同，则视为拒签合同。</w:t>
      </w:r>
    </w:p>
    <w:p>
      <w:pPr>
        <w:numPr>
          <w:ilvl w:val="1"/>
          <w:numId w:val="30"/>
        </w:numPr>
        <w:tabs>
          <w:tab w:val="left" w:pos="640"/>
          <w:tab w:val="clear" w:pos="992"/>
        </w:tabs>
        <w:spacing w:line="460" w:lineRule="exact"/>
        <w:ind w:left="652" w:hanging="652"/>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招标文件、中标投标人的投标文件及投标修改文件、评标过程中有关澄清文件及经双方签字的询标纪要（承诺）和中标通知书均作为合同附件。</w:t>
      </w:r>
    </w:p>
    <w:p>
      <w:pPr>
        <w:numPr>
          <w:ilvl w:val="1"/>
          <w:numId w:val="30"/>
        </w:numPr>
        <w:tabs>
          <w:tab w:val="left" w:pos="640"/>
          <w:tab w:val="clear" w:pos="992"/>
        </w:tabs>
        <w:spacing w:line="460" w:lineRule="exact"/>
        <w:ind w:left="652" w:hanging="652"/>
        <w:rPr>
          <w:rFonts w:ascii="新宋体" w:hAnsi="新宋体" w:eastAsia="新宋体" w:cs="新宋体"/>
          <w:color w:val="auto"/>
          <w:sz w:val="22"/>
          <w:szCs w:val="22"/>
        </w:rPr>
      </w:pPr>
      <w:r>
        <w:rPr>
          <w:rFonts w:hint="eastAsia" w:ascii="新宋体" w:hAnsi="新宋体" w:eastAsia="新宋体" w:cs="新宋体"/>
          <w:color w:val="auto"/>
          <w:sz w:val="22"/>
          <w:szCs w:val="22"/>
        </w:rPr>
        <w:t>拒签合同的责任</w:t>
      </w:r>
    </w:p>
    <w:p>
      <w:pPr>
        <w:numPr>
          <w:ilvl w:val="1"/>
          <w:numId w:val="30"/>
        </w:numPr>
        <w:tabs>
          <w:tab w:val="left" w:pos="640"/>
          <w:tab w:val="clear" w:pos="992"/>
        </w:tabs>
        <w:spacing w:line="460" w:lineRule="exact"/>
        <w:ind w:left="652" w:hanging="652"/>
        <w:rPr>
          <w:rFonts w:ascii="新宋体" w:hAnsi="新宋体" w:eastAsia="新宋体" w:cs="新宋体"/>
          <w:b/>
          <w:bCs/>
          <w:color w:val="auto"/>
          <w:sz w:val="22"/>
          <w:szCs w:val="22"/>
          <w:u w:val="single"/>
        </w:rPr>
      </w:pPr>
      <w:r>
        <w:rPr>
          <w:rFonts w:hint="eastAsia" w:ascii="新宋体" w:hAnsi="新宋体" w:eastAsia="新宋体" w:cs="新宋体"/>
          <w:color w:val="auto"/>
          <w:sz w:val="22"/>
          <w:szCs w:val="22"/>
        </w:rPr>
        <w:t>中标投标人在规定时间内（30日历天）借故否认已经承诺的条件、拒签合同或拒交履约保证金者，以投标违约处理，应按采购预算金额的2%赔偿对采购组织机构造成的损失；采购人重新组织招标的，所需费用由原中标投标人承担。</w:t>
      </w:r>
    </w:p>
    <w:p>
      <w:pPr>
        <w:numPr>
          <w:ilvl w:val="0"/>
          <w:numId w:val="24"/>
        </w:numPr>
        <w:spacing w:line="44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采购代理服务费</w:t>
      </w:r>
    </w:p>
    <w:p>
      <w:pPr>
        <w:tabs>
          <w:tab w:val="left" w:pos="640"/>
        </w:tabs>
        <w:spacing w:line="440" w:lineRule="exact"/>
        <w:rPr>
          <w:rFonts w:ascii="新宋体" w:hAnsi="新宋体" w:eastAsia="新宋体" w:cs="新宋体"/>
          <w:b/>
          <w:color w:val="auto"/>
          <w:spacing w:val="6"/>
          <w:sz w:val="22"/>
          <w:szCs w:val="22"/>
        </w:rPr>
      </w:pPr>
      <w:r>
        <w:rPr>
          <w:rFonts w:hint="eastAsia" w:ascii="新宋体" w:hAnsi="新宋体" w:eastAsia="新宋体" w:cs="新宋体"/>
          <w:b/>
          <w:color w:val="auto"/>
          <w:sz w:val="22"/>
          <w:szCs w:val="22"/>
        </w:rPr>
        <w:t>27.1本次招标采购代理服务费按固定金额人民币陆仟元整执行收费,由中标人在领取中标通知书之前支付给招标代理机构。</w:t>
      </w:r>
    </w:p>
    <w:p>
      <w:pPr>
        <w:tabs>
          <w:tab w:val="left" w:pos="640"/>
        </w:tabs>
        <w:spacing w:line="440" w:lineRule="exact"/>
        <w:rPr>
          <w:rFonts w:ascii="新宋体" w:hAnsi="新宋体" w:eastAsia="新宋体" w:cs="新宋体"/>
          <w:b/>
          <w:bCs/>
          <w:color w:val="auto"/>
          <w:spacing w:val="6"/>
          <w:sz w:val="22"/>
          <w:szCs w:val="22"/>
        </w:rPr>
      </w:pPr>
      <w:r>
        <w:rPr>
          <w:rFonts w:hint="eastAsia" w:ascii="新宋体" w:hAnsi="新宋体" w:eastAsia="新宋体" w:cs="新宋体"/>
          <w:b/>
          <w:bCs/>
          <w:color w:val="auto"/>
          <w:spacing w:val="6"/>
          <w:sz w:val="22"/>
          <w:szCs w:val="22"/>
        </w:rPr>
        <w:t>27.2采购代理服务费可以是现金、支票或汇票。</w:t>
      </w:r>
    </w:p>
    <w:p>
      <w:pPr>
        <w:spacing w:line="440" w:lineRule="exact"/>
        <w:rPr>
          <w:rFonts w:ascii="新宋体" w:hAnsi="新宋体" w:eastAsia="新宋体" w:cs="新宋体"/>
          <w:b/>
          <w:bCs/>
          <w:color w:val="auto"/>
          <w:sz w:val="22"/>
          <w:szCs w:val="22"/>
        </w:rPr>
      </w:pPr>
    </w:p>
    <w:p>
      <w:pPr>
        <w:pStyle w:val="49"/>
        <w:rPr>
          <w:rFonts w:ascii="新宋体" w:hAnsi="新宋体" w:eastAsia="新宋体" w:cs="新宋体"/>
          <w:color w:val="auto"/>
          <w:kern w:val="2"/>
          <w:sz w:val="36"/>
          <w:szCs w:val="36"/>
        </w:rPr>
      </w:pPr>
      <w:r>
        <w:rPr>
          <w:rFonts w:hint="eastAsia" w:ascii="新宋体" w:hAnsi="新宋体" w:eastAsia="新宋体" w:cs="新宋体"/>
          <w:b w:val="0"/>
          <w:bCs w:val="0"/>
          <w:color w:val="auto"/>
          <w:sz w:val="22"/>
          <w:szCs w:val="22"/>
        </w:rPr>
        <w:br w:type="page"/>
      </w:r>
      <w:bookmarkStart w:id="98" w:name="_Toc495955195"/>
      <w:bookmarkStart w:id="99" w:name="_Toc10195"/>
      <w:r>
        <w:rPr>
          <w:rFonts w:hint="eastAsia" w:ascii="新宋体" w:hAnsi="新宋体" w:eastAsia="新宋体" w:cs="新宋体"/>
          <w:color w:val="auto"/>
          <w:kern w:val="2"/>
          <w:sz w:val="36"/>
          <w:szCs w:val="36"/>
        </w:rPr>
        <w:t>第二部分   政府采购政策功能相关说明</w:t>
      </w:r>
      <w:bookmarkEnd w:id="98"/>
      <w:bookmarkEnd w:id="99"/>
    </w:p>
    <w:p>
      <w:pPr>
        <w:jc w:val="left"/>
        <w:rPr>
          <w:rFonts w:ascii="新宋体" w:hAnsi="新宋体" w:eastAsia="新宋体" w:cs="新宋体"/>
          <w:b/>
          <w:color w:val="auto"/>
          <w:sz w:val="22"/>
        </w:rPr>
      </w:pPr>
    </w:p>
    <w:p>
      <w:pPr>
        <w:jc w:val="left"/>
        <w:rPr>
          <w:rFonts w:ascii="新宋体" w:hAnsi="新宋体" w:eastAsia="新宋体" w:cs="新宋体"/>
          <w:bCs/>
          <w:color w:val="auto"/>
          <w:sz w:val="22"/>
        </w:rPr>
      </w:pPr>
      <w:r>
        <w:rPr>
          <w:rFonts w:hint="eastAsia" w:ascii="新宋体" w:hAnsi="新宋体" w:eastAsia="新宋体" w:cs="新宋体"/>
          <w:bCs/>
          <w:color w:val="auto"/>
          <w:sz w:val="22"/>
        </w:rPr>
        <w:t>一、小、微企业（含监狱企业、残疾人福利性单位）扶持政策说明</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1、文件依据</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（1）关于印发《政府采购促进中小企业发展暂行办法》的通知（财库[2011]181号）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（2）浙江省财政厅转发财政部 工业和信息化部关于印发《政府采购促进中小企业发展暂行办法》的通知（浙财采监[2012]11号）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（3）浙江省省财政厅《关于开展政府采购投标人网上注册登记和诚信管理工作的通知》（浙财采监〔2010〕8号)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（4）《工业和信息化部、国家统计局、国家发展和改革委员会、财政部关于印发中小企业划型标准规定的通知》（工信部联企业[2011]300号）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（5）财政部、司法部《关于政府采购支持监狱企业发展有关问题的通知》（财库〔2014〕68号）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（6）《财政部 民政部 中国残疾人联合会关于促进残疾人就业政府采购政策的通知》（财库〔2017〕 141号）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2、享受小微企业价格折扣应具备的条件与价格折扣比例</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（1）符合中小企业划分标准；</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（2）提供本企业制造的货物、承担的工程或者服务，或者提供其他中小企业制造的货物。本项所称货物不包括使用大型企业注册商标的货物。</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  中小企业划分标准，是指国务院有关部门根据企业从业人员、营业收入、资产总额等指标制定的中小企业划型标准。</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  小型、微型企业提供中型企业制造的货物的，视同为中型企业。</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（3）本项目对小型和微型企业产品的价格给予6%的扣除，用扣除后的价格参与评审。</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u w:val="single"/>
        </w:rPr>
        <w:t>3、享受小微企业价格折扣应提供以下证明材料（投标文件商务（报价）标中，三项证明材料提供不齐全的，不能享受价格扣除）</w:t>
      </w:r>
      <w:r>
        <w:rPr>
          <w:rFonts w:hint="eastAsia" w:ascii="新宋体" w:hAnsi="新宋体" w:eastAsia="新宋体" w:cs="新宋体"/>
          <w:bCs/>
          <w:color w:val="auto"/>
          <w:sz w:val="22"/>
        </w:rPr>
        <w:t>：</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（1）投标人和投标产品生产企业已通过浙江政府采购网申请注册并成为正式入库供应商的网页打印件（</w:t>
      </w:r>
      <w:r>
        <w:rPr>
          <w:rFonts w:hint="eastAsia" w:ascii="新宋体" w:hAnsi="新宋体" w:eastAsia="新宋体" w:cs="新宋体"/>
          <w:b/>
          <w:color w:val="auto"/>
          <w:sz w:val="22"/>
        </w:rPr>
        <w:t>网页打印件应当显示为小型或微型企业</w:t>
      </w:r>
      <w:r>
        <w:rPr>
          <w:rFonts w:hint="eastAsia" w:ascii="新宋体" w:hAnsi="新宋体" w:eastAsia="新宋体" w:cs="新宋体"/>
          <w:bCs/>
          <w:color w:val="auto"/>
          <w:sz w:val="22"/>
        </w:rPr>
        <w:t>）并加盖投标人公章。</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（2）《中小企业声明函》（原件加盖投标人公章，格式见附件1）</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（3）投标人和投标产品生产企业在在小微企业名录系统（http://xwqy.gsxt.gov.cn/）被列入小微企业名录的网页打印件并加盖投标人公章；</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4、</w:t>
      </w:r>
      <w:r>
        <w:rPr>
          <w:rFonts w:hint="eastAsia" w:ascii="新宋体" w:hAnsi="新宋体" w:eastAsia="新宋体" w:cs="新宋体"/>
          <w:bCs/>
          <w:color w:val="auto"/>
          <w:sz w:val="22"/>
          <w:u w:val="single"/>
        </w:rPr>
        <w:t>享受监狱企业价格折扣应提供以下证明材料（投标文件技术资信标中，不提供的不享受价格折扣）</w:t>
      </w:r>
      <w:r>
        <w:rPr>
          <w:rFonts w:hint="eastAsia" w:ascii="新宋体" w:hAnsi="新宋体" w:eastAsia="新宋体" w:cs="新宋体"/>
          <w:bCs/>
          <w:color w:val="auto"/>
          <w:sz w:val="22"/>
        </w:rPr>
        <w:t>：</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（1）《监狱企业声明函》（格式见附件2，原件加盖投标人公章）。</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5、</w:t>
      </w:r>
      <w:r>
        <w:rPr>
          <w:rFonts w:hint="eastAsia" w:ascii="新宋体" w:hAnsi="新宋体" w:eastAsia="新宋体" w:cs="新宋体"/>
          <w:bCs/>
          <w:color w:val="auto"/>
          <w:sz w:val="22"/>
          <w:u w:val="single"/>
        </w:rPr>
        <w:t>享受残疾人福利性单位格折扣应提供以下证明材料（投标文件商务（报价）标中，不提供的不享受价格折扣）</w:t>
      </w:r>
      <w:r>
        <w:rPr>
          <w:rFonts w:hint="eastAsia" w:ascii="新宋体" w:hAnsi="新宋体" w:eastAsia="新宋体" w:cs="新宋体"/>
          <w:bCs/>
          <w:color w:val="auto"/>
          <w:sz w:val="22"/>
        </w:rPr>
        <w:t>：</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（1）残疾人福利性单位声明函（格式见附件3，原件加盖投标人公章）。在政府采购活动中，残疾人福利性单位视同小型、微型企业，享受评审中价格扣除政策。</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7、</w:t>
      </w:r>
      <w:r>
        <w:rPr>
          <w:rFonts w:hint="eastAsia" w:ascii="新宋体" w:hAnsi="新宋体" w:eastAsia="新宋体" w:cs="新宋体"/>
          <w:bCs/>
          <w:color w:val="auto"/>
          <w:sz w:val="22"/>
          <w:u w:val="single"/>
        </w:rPr>
        <w:t>监狱企业、残疾人福利性单位参加投标，视为小型、微型企业，享受小微企业政策扶持，监狱企业、残疾人福利性单位属于小型、微型企业的，不重复享受政策。</w:t>
      </w: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b/>
          <w:bCs/>
          <w:color w:val="auto"/>
          <w:sz w:val="22"/>
          <w:szCs w:val="22"/>
        </w:rPr>
      </w:pPr>
      <w:r>
        <w:rPr>
          <w:rFonts w:hint="eastAsia" w:ascii="新宋体" w:hAnsi="新宋体" w:eastAsia="新宋体" w:cs="新宋体"/>
          <w:color w:val="auto"/>
          <w:sz w:val="22"/>
          <w:szCs w:val="22"/>
        </w:rPr>
        <w:t xml:space="preserve">附件1                          </w:t>
      </w:r>
      <w:r>
        <w:rPr>
          <w:rFonts w:hint="eastAsia" w:ascii="新宋体" w:hAnsi="新宋体" w:eastAsia="新宋体" w:cs="新宋体"/>
          <w:b/>
          <w:bCs/>
          <w:color w:val="auto"/>
          <w:sz w:val="22"/>
          <w:szCs w:val="22"/>
        </w:rPr>
        <w:t xml:space="preserve">    中小企业声明函</w:t>
      </w:r>
    </w:p>
    <w:p>
      <w:pPr>
        <w:spacing w:line="440" w:lineRule="atLeas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【非小微企业不用提供】</w:t>
      </w:r>
    </w:p>
    <w:p>
      <w:pPr>
        <w:spacing w:line="440" w:lineRule="atLeast"/>
        <w:rPr>
          <w:rFonts w:ascii="新宋体" w:hAnsi="新宋体" w:eastAsia="新宋体" w:cs="新宋体"/>
          <w:color w:val="auto"/>
          <w:sz w:val="22"/>
          <w:szCs w:val="22"/>
        </w:rPr>
      </w:pPr>
    </w:p>
    <w:p>
      <w:pPr>
        <w:spacing w:beforeLines="100" w:line="440" w:lineRule="atLeas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rPr>
        <w:br w:type="textWrapping"/>
      </w:r>
      <w:r>
        <w:rPr>
          <w:rFonts w:hint="eastAsia" w:ascii="新宋体" w:hAnsi="新宋体" w:eastAsia="新宋体" w:cs="新宋体"/>
          <w:color w:val="auto"/>
          <w:sz w:val="22"/>
          <w:szCs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rPr>
        <w:br w:type="textWrapping"/>
      </w:r>
      <w:r>
        <w:rPr>
          <w:rFonts w:hint="eastAsia" w:ascii="新宋体" w:hAnsi="新宋体" w:eastAsia="新宋体" w:cs="新宋体"/>
          <w:color w:val="auto"/>
          <w:sz w:val="22"/>
          <w:szCs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rPr>
        <w:br w:type="textWrapping"/>
      </w:r>
      <w:r>
        <w:rPr>
          <w:rFonts w:hint="eastAsia" w:ascii="新宋体" w:hAnsi="新宋体" w:eastAsia="新宋体" w:cs="新宋体"/>
          <w:color w:val="auto"/>
          <w:sz w:val="22"/>
          <w:szCs w:val="22"/>
        </w:rPr>
        <w:t>    本公司对上述声明的真实性负责。如有虚假，将依法承担相应责任。</w:t>
      </w:r>
    </w:p>
    <w:p>
      <w:pPr>
        <w:spacing w:beforeLines="100" w:line="440" w:lineRule="atLeast"/>
        <w:ind w:firstLine="440" w:firstLineChars="200"/>
        <w:rPr>
          <w:rFonts w:ascii="新宋体" w:hAnsi="新宋体" w:eastAsia="新宋体" w:cs="新宋体"/>
          <w:color w:val="auto"/>
          <w:sz w:val="22"/>
          <w:szCs w:val="22"/>
        </w:rPr>
      </w:pPr>
    </w:p>
    <w:p>
      <w:pPr>
        <w:spacing w:beforeLines="100" w:line="440" w:lineRule="atLeast"/>
        <w:ind w:firstLine="440" w:firstLineChars="20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投标人名称（盖章）：              </w:t>
      </w:r>
    </w:p>
    <w:p>
      <w:pPr>
        <w:spacing w:beforeLines="100" w:line="440" w:lineRule="atLeast"/>
        <w:ind w:firstLine="440" w:firstLineChars="20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日   期：</w:t>
      </w: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r>
        <w:rPr>
          <w:rFonts w:hint="eastAsia" w:ascii="新宋体" w:hAnsi="新宋体" w:eastAsia="新宋体" w:cs="新宋体"/>
          <w:color w:val="auto"/>
          <w:sz w:val="22"/>
          <w:szCs w:val="22"/>
        </w:rPr>
        <w:t>附件2</w:t>
      </w:r>
    </w:p>
    <w:p>
      <w:pPr>
        <w:adjustRightInd w:val="0"/>
        <w:snapToGrid w:val="0"/>
        <w:spacing w:line="300" w:lineRule="auto"/>
        <w:jc w:val="center"/>
        <w:rPr>
          <w:rFonts w:ascii="新宋体" w:hAnsi="新宋体" w:eastAsia="新宋体" w:cs="新宋体"/>
          <w:color w:val="auto"/>
          <w:kern w:val="0"/>
          <w:sz w:val="22"/>
          <w:szCs w:val="22"/>
        </w:rPr>
      </w:pPr>
      <w:r>
        <w:rPr>
          <w:rFonts w:hint="eastAsia" w:ascii="新宋体" w:hAnsi="新宋体" w:eastAsia="新宋体" w:cs="新宋体"/>
          <w:b/>
          <w:color w:val="auto"/>
          <w:spacing w:val="6"/>
          <w:sz w:val="22"/>
          <w:szCs w:val="22"/>
        </w:rPr>
        <w:t xml:space="preserve">   监狱企业声明函</w:t>
      </w:r>
    </w:p>
    <w:p>
      <w:pPr>
        <w:snapToGrid w:val="0"/>
        <w:spacing w:line="300" w:lineRule="auto"/>
        <w:ind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【非监狱企业不用提供】</w:t>
      </w:r>
    </w:p>
    <w:p>
      <w:pPr>
        <w:snapToGrid w:val="0"/>
        <w:spacing w:line="300" w:lineRule="auto"/>
        <w:ind w:firstLine="464" w:firstLineChars="200"/>
        <w:jc w:val="center"/>
        <w:rPr>
          <w:rFonts w:ascii="新宋体" w:hAnsi="新宋体" w:eastAsia="新宋体" w:cs="新宋体"/>
          <w:color w:val="auto"/>
          <w:spacing w:val="6"/>
          <w:sz w:val="22"/>
          <w:szCs w:val="22"/>
        </w:rPr>
      </w:pP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本企业郑重声明，根据《关于政府采购支持监狱企业发展有关问题的通知》（财库[2014]68号）的规定，本企业为监狱企业。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根据上述标准，我企业属于监狱企业的理由为：</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 xml:space="preserve">。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本企业为参加（项目名称</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）（招标编号</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 xml:space="preserve">）采购活动并承担本工程。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本企业对上述声明的真实性负责。如有虚假，将依法承担相应责任。 </w:t>
      </w:r>
    </w:p>
    <w:p>
      <w:pPr>
        <w:tabs>
          <w:tab w:val="left" w:pos="4860"/>
        </w:tabs>
        <w:spacing w:line="588" w:lineRule="exact"/>
        <w:ind w:right="1560"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 </w:t>
      </w:r>
    </w:p>
    <w:p>
      <w:pPr>
        <w:adjustRightInd w:val="0"/>
        <w:snapToGrid w:val="0"/>
        <w:spacing w:line="300" w:lineRule="auto"/>
        <w:ind w:firstLine="440" w:firstLineChars="20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投标人名称（盖章）：</w:t>
      </w:r>
      <w:r>
        <w:rPr>
          <w:rFonts w:hint="eastAsia" w:ascii="新宋体" w:hAnsi="新宋体" w:eastAsia="新宋体" w:cs="新宋体"/>
          <w:color w:val="auto"/>
          <w:kern w:val="0"/>
          <w:sz w:val="22"/>
          <w:szCs w:val="22"/>
          <w:u w:val="single"/>
        </w:rPr>
        <w:t xml:space="preserve">                      </w:t>
      </w:r>
      <w:r>
        <w:rPr>
          <w:rFonts w:hint="eastAsia" w:ascii="新宋体" w:hAnsi="新宋体" w:eastAsia="新宋体" w:cs="新宋体"/>
          <w:color w:val="auto"/>
          <w:kern w:val="0"/>
          <w:sz w:val="22"/>
          <w:szCs w:val="22"/>
        </w:rPr>
        <w:t xml:space="preserve">                   </w:t>
      </w:r>
    </w:p>
    <w:p>
      <w:pPr>
        <w:adjustRightInd w:val="0"/>
        <w:snapToGrid w:val="0"/>
        <w:spacing w:line="300" w:lineRule="auto"/>
        <w:ind w:firstLine="440" w:firstLineChars="20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日期：       年     月   日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监狱企业参加政府采购活动时，应当提供由省级以上监狱管理局、戒毒管理局（含新疆生产建设兵团）出具的属于监狱企业的证明文件。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bookmarkStart w:id="100" w:name="OLE_LINK14"/>
      <w:bookmarkStart w:id="101" w:name="OLE_LINK13"/>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r>
        <w:rPr>
          <w:rFonts w:hint="eastAsia" w:ascii="新宋体" w:hAnsi="新宋体" w:eastAsia="新宋体" w:cs="新宋体"/>
          <w:color w:val="auto"/>
          <w:sz w:val="22"/>
          <w:szCs w:val="22"/>
        </w:rPr>
        <w:t>附件3</w:t>
      </w:r>
    </w:p>
    <w:p>
      <w:pPr>
        <w:spacing w:line="588" w:lineRule="exact"/>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残疾人福利性单位声明函</w:t>
      </w:r>
    </w:p>
    <w:p>
      <w:pPr>
        <w:spacing w:line="588" w:lineRule="exact"/>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【非残疾人福利性单位不用提供】</w:t>
      </w:r>
    </w:p>
    <w:p>
      <w:pPr>
        <w:spacing w:line="588" w:lineRule="exact"/>
        <w:jc w:val="center"/>
        <w:rPr>
          <w:rFonts w:ascii="新宋体" w:hAnsi="新宋体" w:eastAsia="新宋体" w:cs="新宋体"/>
          <w:color w:val="auto"/>
          <w:spacing w:val="6"/>
          <w:sz w:val="22"/>
          <w:szCs w:val="22"/>
        </w:rPr>
      </w:pPr>
    </w:p>
    <w:bookmarkEnd w:id="100"/>
    <w:bookmarkEnd w:id="101"/>
    <w:p>
      <w:pPr>
        <w:spacing w:line="588" w:lineRule="exact"/>
        <w:rPr>
          <w:rFonts w:ascii="新宋体" w:hAnsi="新宋体" w:eastAsia="新宋体" w:cs="新宋体"/>
          <w:color w:val="auto"/>
          <w:spacing w:val="6"/>
          <w:sz w:val="22"/>
          <w:szCs w:val="22"/>
        </w:rPr>
      </w:pPr>
    </w:p>
    <w:p>
      <w:pPr>
        <w:spacing w:line="588" w:lineRule="exact"/>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本单位郑重声明，根据《财政部民政部中国残疾人联合会关于促进残疾人就业政府采购政策的通知》（财库</w:t>
      </w:r>
      <w:r>
        <w:rPr>
          <w:rFonts w:hint="eastAsia" w:ascii="新宋体" w:hAnsi="新宋体" w:eastAsia="新宋体" w:cs="新宋体"/>
          <w:color w:val="auto"/>
          <w:sz w:val="22"/>
          <w:szCs w:val="22"/>
        </w:rPr>
        <w:t>〔2017〕141</w:t>
      </w:r>
      <w:r>
        <w:rPr>
          <w:rFonts w:hint="eastAsia" w:ascii="新宋体" w:hAnsi="新宋体" w:eastAsia="新宋体" w:cs="新宋体"/>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本单位对上述声明的真实性负责。如有虚假，将依法承担相应责任。</w:t>
      </w:r>
    </w:p>
    <w:p>
      <w:pPr>
        <w:spacing w:line="588" w:lineRule="exact"/>
        <w:ind w:firstLine="464" w:firstLineChars="200"/>
        <w:rPr>
          <w:rFonts w:ascii="新宋体" w:hAnsi="新宋体" w:eastAsia="新宋体" w:cs="新宋体"/>
          <w:color w:val="auto"/>
          <w:spacing w:val="6"/>
          <w:sz w:val="22"/>
          <w:szCs w:val="22"/>
        </w:rPr>
      </w:pPr>
    </w:p>
    <w:p>
      <w:pPr>
        <w:tabs>
          <w:tab w:val="left" w:pos="4860"/>
        </w:tabs>
        <w:spacing w:line="588" w:lineRule="exact"/>
        <w:ind w:right="1560"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               单位名称（盖章）：</w:t>
      </w:r>
    </w:p>
    <w:p>
      <w:pPr>
        <w:tabs>
          <w:tab w:val="left" w:pos="4860"/>
        </w:tabs>
        <w:spacing w:line="588" w:lineRule="exact"/>
        <w:ind w:right="1560"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       日  期：</w:t>
      </w: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pStyle w:val="4"/>
        <w:rPr>
          <w:rFonts w:ascii="新宋体" w:hAnsi="新宋体" w:eastAsia="新宋体" w:cs="新宋体"/>
          <w:color w:val="auto"/>
          <w:sz w:val="36"/>
          <w:szCs w:val="36"/>
        </w:rPr>
      </w:pPr>
      <w:bookmarkStart w:id="102" w:name="_Toc221356890"/>
      <w:bookmarkStart w:id="103" w:name="_Toc221356954"/>
      <w:bookmarkStart w:id="104" w:name="_Toc221374629"/>
      <w:bookmarkStart w:id="105" w:name="_Toc221423622"/>
      <w:bookmarkStart w:id="106" w:name="_Toc222114882"/>
      <w:bookmarkStart w:id="107" w:name="_Toc223716001"/>
      <w:bookmarkStart w:id="108" w:name="_Toc239145357"/>
      <w:bookmarkStart w:id="109" w:name="_Toc241404205"/>
      <w:bookmarkStart w:id="110" w:name="_Toc265529386"/>
    </w:p>
    <w:p>
      <w:pPr>
        <w:pStyle w:val="4"/>
        <w:rPr>
          <w:rFonts w:ascii="新宋体" w:hAnsi="新宋体" w:eastAsia="新宋体" w:cs="新宋体"/>
          <w:color w:val="auto"/>
          <w:sz w:val="36"/>
          <w:szCs w:val="36"/>
        </w:rPr>
      </w:pPr>
    </w:p>
    <w:bookmarkEnd w:id="102"/>
    <w:bookmarkEnd w:id="103"/>
    <w:bookmarkEnd w:id="104"/>
    <w:bookmarkEnd w:id="105"/>
    <w:bookmarkEnd w:id="106"/>
    <w:bookmarkEnd w:id="107"/>
    <w:bookmarkEnd w:id="108"/>
    <w:bookmarkEnd w:id="109"/>
    <w:bookmarkEnd w:id="110"/>
    <w:p>
      <w:pPr>
        <w:spacing w:line="440" w:lineRule="exact"/>
        <w:ind w:firstLine="442" w:firstLineChars="200"/>
        <w:rPr>
          <w:rFonts w:ascii="新宋体" w:hAnsi="新宋体" w:eastAsia="新宋体" w:cs="新宋体"/>
          <w:b/>
          <w:color w:val="auto"/>
          <w:sz w:val="22"/>
          <w:szCs w:val="22"/>
        </w:rPr>
      </w:pPr>
    </w:p>
    <w:p>
      <w:pPr>
        <w:pStyle w:val="4"/>
        <w:rPr>
          <w:rFonts w:ascii="新宋体" w:hAnsi="新宋体" w:eastAsia="新宋体" w:cs="新宋体"/>
          <w:color w:val="auto"/>
          <w:sz w:val="36"/>
          <w:szCs w:val="36"/>
        </w:rPr>
      </w:pPr>
      <w:bookmarkStart w:id="111" w:name="_Toc4758"/>
      <w:r>
        <w:rPr>
          <w:rFonts w:hint="eastAsia" w:ascii="新宋体" w:hAnsi="新宋体" w:eastAsia="新宋体" w:cs="新宋体"/>
          <w:color w:val="auto"/>
          <w:sz w:val="36"/>
          <w:szCs w:val="36"/>
        </w:rPr>
        <w:t>第三部分   合同格式</w:t>
      </w:r>
      <w:bookmarkEnd w:id="111"/>
    </w:p>
    <w:p>
      <w:pPr>
        <w:rPr>
          <w:rFonts w:ascii="新宋体" w:hAnsi="新宋体" w:eastAsia="新宋体" w:cs="新宋体"/>
          <w:color w:val="auto"/>
          <w:sz w:val="36"/>
          <w:szCs w:val="36"/>
        </w:rPr>
      </w:pPr>
      <w:r>
        <w:rPr>
          <w:rFonts w:hint="eastAsia" w:ascii="新宋体" w:hAnsi="新宋体" w:eastAsia="新宋体" w:cs="新宋体"/>
          <w:color w:val="auto"/>
          <w:sz w:val="36"/>
          <w:szCs w:val="36"/>
        </w:rPr>
        <w:t xml:space="preserve">                     </w:t>
      </w:r>
    </w:p>
    <w:p>
      <w:pPr>
        <w:rPr>
          <w:rFonts w:ascii="新宋体" w:hAnsi="新宋体" w:eastAsia="新宋体" w:cs="新宋体"/>
          <w:color w:val="auto"/>
        </w:rPr>
      </w:pPr>
      <w:r>
        <w:rPr>
          <w:rFonts w:hint="eastAsia" w:ascii="新宋体" w:hAnsi="新宋体" w:eastAsia="新宋体" w:cs="新宋体"/>
          <w:color w:val="auto"/>
          <w:sz w:val="36"/>
          <w:szCs w:val="36"/>
        </w:rPr>
        <w:t xml:space="preserve">                   </w:t>
      </w:r>
    </w:p>
    <w:p>
      <w:pPr>
        <w:spacing w:line="440" w:lineRule="exact"/>
        <w:ind w:firstLine="442" w:firstLineChars="200"/>
        <w:rPr>
          <w:rFonts w:ascii="新宋体" w:hAnsi="新宋体" w:eastAsia="新宋体" w:cs="新宋体"/>
          <w:b/>
          <w:color w:val="auto"/>
          <w:sz w:val="22"/>
          <w:szCs w:val="22"/>
        </w:rPr>
      </w:pPr>
    </w:p>
    <w:p>
      <w:pPr>
        <w:spacing w:line="360" w:lineRule="auto"/>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说明：如甲、乙双方同意，合同格式也可以按照其他形式。但合同条款的基本内容应与《中标合同》要求的内容相一致。</w:t>
      </w: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jc w:val="center"/>
        <w:textAlignment w:val="bottom"/>
        <w:rPr>
          <w:rFonts w:ascii="新宋体" w:hAnsi="新宋体" w:eastAsia="新宋体" w:cs="新宋体"/>
          <w:color w:val="auto"/>
          <w:sz w:val="22"/>
          <w:szCs w:val="22"/>
        </w:rPr>
      </w:pPr>
    </w:p>
    <w:p>
      <w:pPr>
        <w:autoSpaceDE w:val="0"/>
        <w:autoSpaceDN w:val="0"/>
        <w:spacing w:line="360" w:lineRule="auto"/>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中标合同</w:t>
      </w:r>
    </w:p>
    <w:p>
      <w:pPr>
        <w:autoSpaceDE w:val="0"/>
        <w:autoSpaceDN w:val="0"/>
        <w:spacing w:line="360" w:lineRule="auto"/>
        <w:jc w:val="center"/>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项目名称：</w:t>
      </w:r>
      <w:r>
        <w:rPr>
          <w:rFonts w:hint="eastAsia" w:ascii="新宋体" w:hAnsi="新宋体" w:eastAsia="新宋体" w:cs="新宋体"/>
          <w:color w:val="auto"/>
          <w:sz w:val="22"/>
          <w:szCs w:val="22"/>
          <w:u w:val="single"/>
        </w:rPr>
        <w:t xml:space="preserve">                                             </w:t>
      </w: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设备名称：</w:t>
      </w:r>
      <w:r>
        <w:rPr>
          <w:rFonts w:hint="eastAsia" w:ascii="新宋体" w:hAnsi="新宋体" w:eastAsia="新宋体" w:cs="新宋体"/>
          <w:color w:val="auto"/>
          <w:sz w:val="22"/>
          <w:szCs w:val="22"/>
          <w:u w:val="single"/>
        </w:rPr>
        <w:t xml:space="preserve">                      </w:t>
      </w: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合同编号：</w:t>
      </w:r>
      <w:r>
        <w:rPr>
          <w:rFonts w:hint="eastAsia" w:ascii="新宋体" w:hAnsi="新宋体" w:eastAsia="新宋体" w:cs="新宋体"/>
          <w:color w:val="auto"/>
          <w:sz w:val="22"/>
          <w:szCs w:val="22"/>
          <w:u w:val="single"/>
        </w:rPr>
        <w:t xml:space="preserve">                      </w:t>
      </w: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甲    方：</w:t>
      </w:r>
      <w:r>
        <w:rPr>
          <w:rFonts w:hint="eastAsia" w:ascii="新宋体" w:hAnsi="新宋体" w:eastAsia="新宋体" w:cs="新宋体"/>
          <w:color w:val="auto"/>
          <w:sz w:val="22"/>
          <w:szCs w:val="22"/>
          <w:u w:val="single"/>
        </w:rPr>
        <w:t xml:space="preserve">                      </w:t>
      </w: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乙    方：</w:t>
      </w:r>
      <w:r>
        <w:rPr>
          <w:rFonts w:hint="eastAsia" w:ascii="新宋体" w:hAnsi="新宋体" w:eastAsia="新宋体" w:cs="新宋体"/>
          <w:color w:val="auto"/>
          <w:sz w:val="22"/>
          <w:szCs w:val="22"/>
          <w:u w:val="single"/>
        </w:rPr>
        <w:t xml:space="preserve">                      </w:t>
      </w:r>
    </w:p>
    <w:p>
      <w:pPr>
        <w:autoSpaceDE w:val="0"/>
        <w:autoSpaceDN w:val="0"/>
        <w:spacing w:line="360" w:lineRule="auto"/>
        <w:textAlignment w:val="bottom"/>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签署日期：</w:t>
      </w:r>
      <w:r>
        <w:rPr>
          <w:rFonts w:hint="eastAsia" w:ascii="新宋体" w:hAnsi="新宋体" w:eastAsia="新宋体" w:cs="新宋体"/>
          <w:color w:val="auto"/>
          <w:sz w:val="22"/>
          <w:szCs w:val="22"/>
          <w:u w:val="single"/>
        </w:rPr>
        <w:t xml:space="preserve">                      </w:t>
      </w:r>
    </w:p>
    <w:p>
      <w:pPr>
        <w:spacing w:line="360" w:lineRule="auto"/>
        <w:rPr>
          <w:rFonts w:ascii="新宋体" w:hAnsi="新宋体" w:eastAsia="新宋体" w:cs="新宋体"/>
          <w:b/>
          <w:bCs/>
          <w:color w:val="auto"/>
          <w:sz w:val="22"/>
          <w:szCs w:val="22"/>
        </w:rPr>
      </w:pPr>
    </w:p>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bCs/>
          <w:color w:val="auto"/>
          <w:sz w:val="22"/>
          <w:szCs w:val="22"/>
        </w:rPr>
        <w:br w:type="page"/>
      </w:r>
      <w:r>
        <w:rPr>
          <w:rFonts w:hint="eastAsia" w:ascii="新宋体" w:hAnsi="新宋体" w:eastAsia="新宋体" w:cs="新宋体"/>
          <w:b/>
          <w:bCs/>
          <w:color w:val="auto"/>
          <w:sz w:val="32"/>
          <w:szCs w:val="32"/>
        </w:rPr>
        <w:t>（1）</w:t>
      </w:r>
      <w:r>
        <w:rPr>
          <w:rFonts w:hint="eastAsia" w:ascii="新宋体" w:hAnsi="新宋体" w:eastAsia="新宋体" w:cs="新宋体"/>
          <w:b/>
          <w:color w:val="auto"/>
          <w:sz w:val="32"/>
          <w:szCs w:val="32"/>
        </w:rPr>
        <w:t>合同主要条款</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    定义：</w:t>
      </w:r>
    </w:p>
    <w:p>
      <w:pPr>
        <w:snapToGrid w:val="0"/>
        <w:spacing w:line="360" w:lineRule="auto"/>
        <w:ind w:firstLine="660" w:firstLineChars="300"/>
        <w:rPr>
          <w:rFonts w:ascii="新宋体" w:hAnsi="新宋体" w:eastAsia="新宋体" w:cs="新宋体"/>
          <w:color w:val="auto"/>
          <w:sz w:val="22"/>
          <w:szCs w:val="22"/>
        </w:rPr>
      </w:pPr>
      <w:r>
        <w:rPr>
          <w:rFonts w:hint="eastAsia" w:ascii="新宋体" w:hAnsi="新宋体" w:eastAsia="新宋体" w:cs="新宋体"/>
          <w:color w:val="auto"/>
          <w:sz w:val="22"/>
          <w:szCs w:val="22"/>
        </w:rPr>
        <w:t>本合同下列述语应解释为：</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1.1  “合同”系指买卖双方签署的，合同格式中载明的买卖双方所达成的协议，包括所有的附件和构成合同的其它文件。</w:t>
      </w:r>
    </w:p>
    <w:p>
      <w:pPr>
        <w:snapToGrid w:val="0"/>
        <w:spacing w:line="360" w:lineRule="auto"/>
        <w:ind w:left="663" w:hanging="663" w:hangingChars="3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1.2  “合同价”是指根据本合同规定，中标人在正确地完全履行合同义务后采购人应支付给中标人的价款（工地价）。即：货物的供货、税金、运输、保险、装卸、安装、检验（检定费）、配合验收、技术服务、售后服务、质保期保障、材料、采购代理服务费等全部费用、实行固定费用总包干。</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1.3  “货物”是指根据合同规定须向买方提供的本次招标采购人所需物品。</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1.4  “服务”是指根据合同规定卖方承担与供货有关的辅助服务，如运输、保险以及其它的伴随服务和合同中规定卖方应承担的其它义务。</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1.5   “现场”是指合同项下货物将要运输的指定地点。</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1.6   “验收”是指合同双方依据规定的程序和条件确认合同项下的货物符合技术规范的要求。</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2.    标准</w:t>
      </w:r>
    </w:p>
    <w:p>
      <w:pPr>
        <w:snapToGrid w:val="0"/>
        <w:spacing w:line="360" w:lineRule="auto"/>
        <w:ind w:left="719" w:hanging="719" w:hangingChars="327"/>
        <w:rPr>
          <w:rFonts w:ascii="新宋体" w:hAnsi="新宋体" w:eastAsia="新宋体" w:cs="新宋体"/>
          <w:color w:val="auto"/>
          <w:sz w:val="22"/>
          <w:szCs w:val="22"/>
        </w:rPr>
      </w:pPr>
      <w:r>
        <w:rPr>
          <w:rFonts w:hint="eastAsia" w:ascii="新宋体" w:hAnsi="新宋体" w:eastAsia="新宋体" w:cs="新宋体"/>
          <w:color w:val="auto"/>
          <w:sz w:val="22"/>
          <w:szCs w:val="22"/>
        </w:rPr>
        <w:t>2.1   本合同项下交付的货物应符合技术规格所述的标准。如在招标文件中无相应说明，则以国家颁布的最新版本标准或行业（部）标准或相应的国际标准执行，没有国家或行业（部）标准的则按企业标准执行。</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2.2   除非技术规格中另有规定，计量单位均采用中华人民共和国法定计量单位。</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3.    专利权</w:t>
      </w:r>
    </w:p>
    <w:p>
      <w:pPr>
        <w:snapToGrid w:val="0"/>
        <w:spacing w:line="360" w:lineRule="auto"/>
        <w:ind w:left="623" w:hanging="622" w:hangingChars="283"/>
        <w:rPr>
          <w:rFonts w:ascii="新宋体" w:hAnsi="新宋体" w:eastAsia="新宋体" w:cs="新宋体"/>
          <w:color w:val="auto"/>
          <w:sz w:val="22"/>
          <w:szCs w:val="22"/>
        </w:rPr>
      </w:pPr>
      <w:r>
        <w:rPr>
          <w:rFonts w:hint="eastAsia" w:ascii="新宋体" w:hAnsi="新宋体" w:eastAsia="新宋体" w:cs="新宋体"/>
          <w:color w:val="auto"/>
          <w:sz w:val="22"/>
          <w:szCs w:val="22"/>
        </w:rPr>
        <w:t>3.1   卖方应保证，买方在使用该货物或货物的任何一部分时，免受第三方提出的侵犯其专利权、商标权、著作权或其它知识产权的起诉。卖方应承担由此可能产生的一切法律责任和费用。</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4.   包装要求</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4.1   </w:t>
      </w:r>
      <w:r>
        <w:rPr>
          <w:rFonts w:hint="eastAsia" w:ascii="新宋体" w:hAnsi="新宋体" w:eastAsia="新宋体" w:cs="新宋体"/>
          <w:color w:val="auto"/>
          <w:spacing w:val="-2"/>
          <w:sz w:val="22"/>
          <w:szCs w:val="22"/>
        </w:rPr>
        <w:t>除合同另有规定外，卖方应提供货物运至合同规定的最终目的地所需要的包装，以防止货物在转运中损坏或变质。这类包装应采取防霉、防潮、防晒、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破损和丢失的任何损失的责任或费用。</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5.    装运标记</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5.1   根据货物的特点和运输的不同要求，卖方还应清楚地标注“小心轻放”、“防潮”、“此端向上”、“请勿倒置”“保持干燥”等字样和其他国际贸易中使用的适当标志。</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    交货方式</w:t>
      </w:r>
    </w:p>
    <w:p>
      <w:pPr>
        <w:snapToGrid w:val="0"/>
        <w:spacing w:line="360" w:lineRule="auto"/>
        <w:ind w:left="649" w:hanging="649" w:hangingChars="294"/>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6.1   现场交货：中标人负责办理运输和保险，将货物运抵采购人指定的现场并落地就位。有关运输和保险的一切费用由中标人承担。所有货物运抵现场的日期为交货日期。</w:t>
      </w:r>
    </w:p>
    <w:p>
      <w:pPr>
        <w:snapToGrid w:val="0"/>
        <w:spacing w:line="360" w:lineRule="auto"/>
        <w:ind w:left="649" w:hanging="649" w:hangingChars="294"/>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6.2   在现场交货条件下，中标人在货物发运前15天，将要发运货物的名称、规格、数量、尺寸、重量和货物的卸车，贮存的特殊要求以及运输工具名称以及启运日期，以传真形式通知采购人。</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6.3   如因中标人延误将上述内容用传真形式通知采购人，由此引起的一切损失应由中标人承担。</w:t>
      </w:r>
    </w:p>
    <w:p>
      <w:pPr>
        <w:snapToGrid w:val="0"/>
        <w:spacing w:line="360" w:lineRule="auto"/>
        <w:ind w:left="663" w:hanging="663" w:hangingChars="3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7.    付款方式</w:t>
      </w:r>
    </w:p>
    <w:p>
      <w:pPr>
        <w:snapToGrid w:val="0"/>
        <w:spacing w:line="360" w:lineRule="auto"/>
        <w:ind w:left="657" w:leftChars="313"/>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见招标文件第三部分“合同特殊条款”。</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8.    技术文件和资料</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8.1   提供技术文件和资料的种类和数量在本招标文件《招标内容及要求》中规定，买卖双方可根据采购要求和需要订立具体的技术文件和资料交付时间和数量。</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8.2   如果买方确认卖方提供的技术文件和资料不完整，或在运输途中丢失，卖方应在收到甲方通知后3天内将这些文件、资料补齐。</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9.    质量保证</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9.1   卖方所提供的货物应保证是企业原厂生产的，而不是其他地方生产的、全新的、未使用过的，是用一流的工艺和最佳材料制造而成的，并完全符合合同规定的质量、规格和尺寸要求。在货物质量保证期内，卖方应对由于设计、工艺、材料和配套件的缺陷所产生的任何不足或故障负责。</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9.2   根据甲方按检验标准检验的结果或当地质检部门检验的结果，或者在质量保证期内，如果货物的数量、质量或规格与合同不符，或证实货物是有缺陷的，包括潜在的缺陷或使用不符合要求的材料等，甲方应尽快以书面形式通知卖方，提出索赔。卖方在收到通知后，应在规定期限内，更换有缺陷的或不符合要求的规格和尺寸，同时相应延长质量保证期。</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 xml:space="preserve">9.3 </w:t>
      </w:r>
      <w:r>
        <w:rPr>
          <w:rFonts w:hint="eastAsia" w:ascii="新宋体" w:hAnsi="新宋体" w:eastAsia="新宋体" w:cs="新宋体"/>
          <w:b/>
          <w:bCs/>
          <w:color w:val="auto"/>
          <w:sz w:val="22"/>
          <w:szCs w:val="22"/>
        </w:rPr>
        <w:t>货物质量保证期</w:t>
      </w:r>
    </w:p>
    <w:p>
      <w:pPr>
        <w:snapToGrid w:val="0"/>
        <w:spacing w:line="360" w:lineRule="auto"/>
        <w:ind w:left="660" w:leftChars="209" w:hanging="221" w:hangingChars="1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见招标文件第三部分“合同特殊条款”。</w:t>
      </w:r>
    </w:p>
    <w:p>
      <w:pPr>
        <w:snapToGrid w:val="0"/>
        <w:spacing w:line="360" w:lineRule="auto"/>
        <w:ind w:left="663" w:hanging="663" w:hangingChars="3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10.   卖方履约延误</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10.1  乙方应按照合同规定的时间交货和提供服务。</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10.2  在履行合同过程中，如果乙方遇到妨碍按时交货和提供服务的情况时，应及时以书面形式将延误的事实、可能拖延的时间和原因通知甲方。甲方在收到乙方通知后，应尽快对情况进行分析评价，并确定是否同意延长交货时间以及是否收取误期赔偿费。延期应通过修改合同的方式由双方认可。</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10.3  除了合同条款中不可抗力的情况外，除甲方同意延误并不收赔偿费外，乙方延误交货或提供服务将按合同条款11条规定被收取误期赔偿费。</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10.4  所有提供的货物的交货、运输及验收都应服从甲方的统一安排。</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11.   误期赔偿费</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11.1  除不可抗力外，如果乙方没有按照合同规定的时间交货和提供服务，甲方应在不影响合同项下的其他补救措施的情况下，从合同价款中扣除误期赔偿费。每延误一周的赔偿费按迟交货物交货价或未提供服务的服务费用的百分之零点五（0.5%）计收，直至交货或提供服务为止。误期赔偿费最高限额为合同价的百分之五（5%）。一旦延到误期赔偿费的最高限额，甲方可考虑终止合同且不承担违约责任。</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12.   不可抗力</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12.1  如果双方中任何一方由于战争、严重火灾、水灾、破坏性台风和地震以及其它经双方同意属不可抗力的事故，致使合同履行受阻时，履行合同期限应予延长，延长时限应相当于事故所影响的时间，或双方协商解决。</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13.   税费</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13.1  根据国家现行税法对甲方征收的与本合同有关的一切费用由甲方承担。</w:t>
      </w:r>
    </w:p>
    <w:p>
      <w:pPr>
        <w:snapToGrid w:val="0"/>
        <w:spacing w:line="360" w:lineRule="auto"/>
        <w:ind w:left="484" w:hanging="484" w:hangingChars="220"/>
        <w:rPr>
          <w:rFonts w:ascii="新宋体" w:hAnsi="新宋体" w:eastAsia="新宋体" w:cs="新宋体"/>
          <w:color w:val="auto"/>
          <w:sz w:val="22"/>
          <w:szCs w:val="22"/>
        </w:rPr>
      </w:pPr>
      <w:r>
        <w:rPr>
          <w:rFonts w:hint="eastAsia" w:ascii="新宋体" w:hAnsi="新宋体" w:eastAsia="新宋体" w:cs="新宋体"/>
          <w:color w:val="auto"/>
          <w:sz w:val="22"/>
          <w:szCs w:val="22"/>
        </w:rPr>
        <w:t>13.2  根据现行税法对乙方征收的与本合同有关的一切税费均由乙方承担。</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13.3  在中国境外发生的与本合同执行有关的一切税费由乙方承担。</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14.   违约终止合同</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14.1  甲方在乙方违约的情况下，如果发生下列情况之一，可考虑终止部分或全部合同：</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乙方未能在合同规定的期限内或甲方同意延长的期限内提供全部或部分货物；</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pacing w:val="40"/>
          <w:sz w:val="22"/>
          <w:szCs w:val="22"/>
        </w:rPr>
        <w:t>）</w:t>
      </w:r>
      <w:r>
        <w:rPr>
          <w:rFonts w:hint="eastAsia" w:ascii="新宋体" w:hAnsi="新宋体" w:eastAsia="新宋体" w:cs="新宋体"/>
          <w:color w:val="auto"/>
          <w:sz w:val="22"/>
          <w:szCs w:val="22"/>
        </w:rPr>
        <w:t>乙方未能履行合同规定的任何其他义务。乙方在收到甲方发出的违约通知后30天内，或经甲方书面认可延长的时间内未能纠正其过失。甲方可向乙方发出书面通知，终止部分或合同全部，通知到达乙方时合同即行解除。在这种情况下，并不影响甲方向乙方提出的索赔。</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14.2  如果甲方根据上述第14.1条的规定，终止了全部或部分合同，甲方可以依其认为适当的条件和方法购买与未交货物类似的货物或服务，乙方应承担甲方因购买类似货物或服务而产生的额外支出。但是，乙方应继续执行合同中未终止的部分。</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15.   双方责任</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15.1  甲方</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按合同规定向乙方支付货款。</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 组织对货物的验收。</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15.2  乙方</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按合同要求提供货物和服务。</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 对所提供的货物和服务质量问题无条件负责处理。</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16.   争端的解决</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16.1  合同实施或与合同有关的一切争端，买卖双方应通过友好协商解决，如果协商仍得不到解决，任何一方可向履行合同所在地或合同签约地的仲裁机构申请调解或仲裁。</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16.2  仲裁裁决应为最终裁决，对双方均有约束力。</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16.3  仲裁费用除仲裁机构另有裁决外应由败诉方承担。</w:t>
      </w:r>
    </w:p>
    <w:p>
      <w:pPr>
        <w:snapToGrid w:val="0"/>
        <w:spacing w:line="360" w:lineRule="auto"/>
        <w:ind w:left="550"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16.4  在仲裁期间，除正在执行仲裁的部分外，本合同的其他部分应继续执行。</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17.   转让和分包及产品不可替代</w:t>
      </w:r>
    </w:p>
    <w:p>
      <w:pPr>
        <w:snapToGrid w:val="0"/>
        <w:spacing w:line="360" w:lineRule="auto"/>
        <w:ind w:left="715" w:hanging="715" w:hangingChars="325"/>
        <w:rPr>
          <w:rFonts w:ascii="新宋体" w:hAnsi="新宋体" w:eastAsia="新宋体" w:cs="新宋体"/>
          <w:color w:val="auto"/>
          <w:sz w:val="22"/>
          <w:szCs w:val="22"/>
        </w:rPr>
      </w:pPr>
      <w:r>
        <w:rPr>
          <w:rFonts w:hint="eastAsia" w:ascii="新宋体" w:hAnsi="新宋体" w:eastAsia="新宋体" w:cs="新宋体"/>
          <w:color w:val="auto"/>
          <w:sz w:val="22"/>
          <w:szCs w:val="22"/>
        </w:rPr>
        <w:t>17.1  未经甲方事先书面同意，乙方不得部分转让或全部转让和分包其履行合同的义务。</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17.2  产品不可替代，乙方在没有取得甲方的书面授权的情况下，不得将合同货物的生产制造转交其他生产厂商或以其他厂商的产品替代。</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18.   适用法律</w:t>
      </w:r>
    </w:p>
    <w:p>
      <w:pPr>
        <w:snapToGrid w:val="0"/>
        <w:spacing w:line="360" w:lineRule="auto"/>
        <w:ind w:firstLine="660" w:firstLineChars="300"/>
        <w:rPr>
          <w:rFonts w:ascii="新宋体" w:hAnsi="新宋体" w:eastAsia="新宋体" w:cs="新宋体"/>
          <w:color w:val="auto"/>
          <w:sz w:val="22"/>
          <w:szCs w:val="22"/>
        </w:rPr>
      </w:pPr>
      <w:r>
        <w:rPr>
          <w:rFonts w:hint="eastAsia" w:ascii="新宋体" w:hAnsi="新宋体" w:eastAsia="新宋体" w:cs="新宋体"/>
          <w:color w:val="auto"/>
          <w:sz w:val="22"/>
          <w:szCs w:val="22"/>
        </w:rPr>
        <w:t>本合同按照中华人民共和国的法律进行解释。</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19.   合同生效及其他</w:t>
      </w:r>
    </w:p>
    <w:p>
      <w:pPr>
        <w:snapToGrid w:val="0"/>
        <w:spacing w:line="360" w:lineRule="auto"/>
        <w:ind w:left="561" w:hanging="561" w:hangingChars="255"/>
        <w:rPr>
          <w:rFonts w:ascii="新宋体" w:hAnsi="新宋体" w:eastAsia="新宋体" w:cs="新宋体"/>
          <w:color w:val="auto"/>
          <w:sz w:val="22"/>
          <w:szCs w:val="22"/>
        </w:rPr>
      </w:pPr>
      <w:r>
        <w:rPr>
          <w:rFonts w:hint="eastAsia" w:ascii="新宋体" w:hAnsi="新宋体" w:eastAsia="新宋体" w:cs="新宋体"/>
          <w:color w:val="auto"/>
          <w:sz w:val="22"/>
          <w:szCs w:val="22"/>
        </w:rPr>
        <w:t>19.1  合同应在双方签字盖章后开始生效。</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19.2  本合同一式柒份，双方各执叁份，采购代理机构执壹份，具有同等效力。</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19.3  如需修改或补充合同内容，经协商，双方应签署书面修改或补充协议，该协议将作为本合同的一个组成部分。</w:t>
      </w:r>
    </w:p>
    <w:p>
      <w:pPr>
        <w:spacing w:line="360" w:lineRule="auto"/>
        <w:ind w:left="552" w:hanging="552" w:hangingChars="250"/>
        <w:rPr>
          <w:rFonts w:ascii="新宋体" w:hAnsi="新宋体" w:eastAsia="新宋体" w:cs="新宋体"/>
          <w:b/>
          <w:bCs/>
          <w:color w:val="auto"/>
          <w:sz w:val="22"/>
          <w:szCs w:val="22"/>
        </w:rPr>
      </w:pP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甲方：（印章）                        乙方：（印章）</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全权代表:（签字）                    全权代表:（签字）</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地址：                               地址：</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邮政编码：                           邮政编码：</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电话：                               电话：</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传真：                               传真：</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开户银行：                           开户银行：</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帐号：                               帐号：</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签订日期：</w:t>
      </w:r>
    </w:p>
    <w:p>
      <w:pPr>
        <w:spacing w:line="420" w:lineRule="exact"/>
        <w:ind w:firstLine="1210" w:firstLineChars="550"/>
        <w:rPr>
          <w:rFonts w:ascii="新宋体" w:hAnsi="新宋体" w:eastAsia="新宋体" w:cs="新宋体"/>
          <w:color w:val="auto"/>
          <w:sz w:val="22"/>
          <w:szCs w:val="2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autoSpaceDE w:val="0"/>
        <w:autoSpaceDN w:val="0"/>
        <w:adjustRightInd w:val="0"/>
        <w:spacing w:line="360" w:lineRule="auto"/>
        <w:rPr>
          <w:rFonts w:ascii="新宋体" w:hAnsi="新宋体" w:eastAsia="新宋体" w:cs="新宋体"/>
          <w:color w:val="auto"/>
          <w:sz w:val="22"/>
          <w:szCs w:val="22"/>
        </w:rPr>
      </w:pPr>
    </w:p>
    <w:p>
      <w:pPr>
        <w:autoSpaceDE w:val="0"/>
        <w:autoSpaceDN w:val="0"/>
        <w:adjustRightInd w:val="0"/>
        <w:spacing w:line="360" w:lineRule="auto"/>
        <w:rPr>
          <w:rFonts w:ascii="新宋体" w:hAnsi="新宋体" w:eastAsia="新宋体" w:cs="新宋体"/>
          <w:color w:val="auto"/>
          <w:sz w:val="22"/>
          <w:szCs w:val="22"/>
        </w:rPr>
      </w:pPr>
    </w:p>
    <w:p>
      <w:pPr>
        <w:pStyle w:val="4"/>
        <w:rPr>
          <w:rFonts w:ascii="新宋体" w:hAnsi="新宋体" w:eastAsia="新宋体" w:cs="新宋体"/>
          <w:color w:val="auto"/>
          <w:sz w:val="32"/>
          <w:szCs w:val="32"/>
        </w:rPr>
      </w:pPr>
      <w:bookmarkStart w:id="112" w:name="_Toc28309"/>
      <w:r>
        <w:rPr>
          <w:rFonts w:hint="eastAsia" w:ascii="新宋体" w:hAnsi="新宋体" w:eastAsia="新宋体" w:cs="新宋体"/>
          <w:color w:val="auto"/>
          <w:sz w:val="32"/>
          <w:szCs w:val="32"/>
        </w:rPr>
        <w:t>(2)合同特殊条款</w:t>
      </w:r>
      <w:bookmarkEnd w:id="112"/>
      <w:r>
        <w:rPr>
          <w:rFonts w:hint="eastAsia" w:ascii="新宋体" w:hAnsi="新宋体" w:eastAsia="新宋体" w:cs="新宋体"/>
          <w:color w:val="auto"/>
          <w:sz w:val="32"/>
          <w:szCs w:val="32"/>
        </w:rPr>
        <w:t xml:space="preserve"> </w:t>
      </w:r>
    </w:p>
    <w:p>
      <w:pPr>
        <w:pStyle w:val="3"/>
        <w:adjustRightInd w:val="0"/>
        <w:snapToGrid w:val="0"/>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一、货物的交货时间及地点</w:t>
      </w:r>
    </w:p>
    <w:p>
      <w:pPr>
        <w:spacing w:line="360" w:lineRule="auto"/>
        <w:ind w:firstLine="331" w:firstLineChars="150"/>
        <w:rPr>
          <w:rFonts w:ascii="新宋体" w:hAnsi="新宋体" w:eastAsia="新宋体" w:cs="新宋体"/>
          <w:b/>
          <w:color w:val="auto"/>
          <w:sz w:val="22"/>
          <w:szCs w:val="22"/>
        </w:rPr>
      </w:pPr>
      <w:r>
        <w:rPr>
          <w:rFonts w:hint="eastAsia" w:ascii="新宋体" w:hAnsi="新宋体" w:eastAsia="新宋体" w:cs="新宋体"/>
          <w:b/>
          <w:color w:val="auto"/>
          <w:sz w:val="22"/>
          <w:szCs w:val="22"/>
        </w:rPr>
        <w:t>1、交货地点：买方指定地点。</w:t>
      </w:r>
    </w:p>
    <w:p>
      <w:pPr>
        <w:tabs>
          <w:tab w:val="left" w:pos="6480"/>
        </w:tabs>
        <w:autoSpaceDE w:val="0"/>
        <w:autoSpaceDN w:val="0"/>
        <w:adjustRightInd w:val="0"/>
        <w:snapToGrid w:val="0"/>
        <w:spacing w:line="360" w:lineRule="auto"/>
        <w:ind w:firstLine="331" w:firstLineChars="150"/>
        <w:rPr>
          <w:rFonts w:ascii="新宋体" w:hAnsi="新宋体" w:eastAsia="新宋体" w:cs="新宋体"/>
          <w:b/>
          <w:color w:val="auto"/>
          <w:sz w:val="22"/>
          <w:szCs w:val="22"/>
        </w:rPr>
      </w:pPr>
      <w:r>
        <w:rPr>
          <w:rFonts w:hint="eastAsia" w:ascii="新宋体" w:hAnsi="新宋体" w:eastAsia="新宋体" w:cs="新宋体"/>
          <w:b/>
          <w:color w:val="auto"/>
          <w:sz w:val="22"/>
          <w:szCs w:val="22"/>
        </w:rPr>
        <w:t>2、交货时间：详见招标第五部分“招标内容及要求”相关内容。</w:t>
      </w:r>
    </w:p>
    <w:p>
      <w:pPr>
        <w:tabs>
          <w:tab w:val="left" w:pos="6480"/>
        </w:tabs>
        <w:autoSpaceDE w:val="0"/>
        <w:autoSpaceDN w:val="0"/>
        <w:adjustRightInd w:val="0"/>
        <w:snapToGrid w:val="0"/>
        <w:spacing w:line="360" w:lineRule="auto"/>
        <w:ind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二、到货和验收</w:t>
      </w:r>
    </w:p>
    <w:p>
      <w:pPr>
        <w:spacing w:line="360" w:lineRule="auto"/>
        <w:ind w:left="1"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1、制造中的检验和测试</w:t>
      </w:r>
    </w:p>
    <w:p>
      <w:pPr>
        <w:spacing w:line="360" w:lineRule="auto"/>
        <w:ind w:left="34" w:firstLine="391" w:firstLineChars="178"/>
        <w:rPr>
          <w:rFonts w:ascii="新宋体" w:hAnsi="新宋体" w:eastAsia="新宋体" w:cs="新宋体"/>
          <w:color w:val="auto"/>
          <w:sz w:val="22"/>
          <w:szCs w:val="22"/>
        </w:rPr>
      </w:pPr>
      <w:r>
        <w:rPr>
          <w:rFonts w:hint="eastAsia" w:ascii="新宋体" w:hAnsi="新宋体" w:eastAsia="新宋体" w:cs="新宋体"/>
          <w:color w:val="auto"/>
          <w:sz w:val="22"/>
          <w:szCs w:val="22"/>
        </w:rPr>
        <w:t>1.1采购人有权对货物发货前进行检验或测试，中标人应邀请采购人代表到制造厂检查加工工艺、原材料用料和产品质量，并参加出厂检验，以确认所投产品的制造工艺、原材料、质量等是否符合招标文件和投标时提供的样式要求，但不能作为最终验收。中标人应为采购人检验和测试提供各种方便，并承担相应费用，如果检验或测试的产品不能满足招标要求，采购人可以拒绝接受，中标人应更换被拒绝的货物，并承担给采购人造成的经济损失。</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1.2 货物交货前，中标人应自行对所投产品的材料、质量、样式等进行详细而全面的检验，并出具检验（检测）报告，提供权威部门出具的检测报告，该检验（检测）报告将作为采购人付款的重要依据，但不能作为最终验收。</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2、到货</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所有货物到达现场后，采购人有权对货物进行抽样检测。抽样检测不合格的可以部分或全部拒收，由此对采购人造成的损失应给予经济赔偿。中标人必须派员到现场与采购人一起清点检验,按供货清单验收,若有缺少或损坏，中标人应立即补足或更换全新同规格、同面料、同样式的产品，并承担相关费用直至使采购人满意为止。</w:t>
      </w:r>
    </w:p>
    <w:p>
      <w:pPr>
        <w:spacing w:line="360" w:lineRule="auto"/>
        <w:ind w:left="17" w:leftChars="8" w:firstLine="407" w:firstLineChars="185"/>
        <w:rPr>
          <w:rFonts w:ascii="新宋体" w:hAnsi="新宋体" w:eastAsia="新宋体" w:cs="新宋体"/>
          <w:color w:val="auto"/>
          <w:sz w:val="22"/>
          <w:szCs w:val="22"/>
        </w:rPr>
      </w:pPr>
      <w:r>
        <w:rPr>
          <w:rFonts w:hint="eastAsia" w:ascii="新宋体" w:hAnsi="新宋体" w:eastAsia="新宋体" w:cs="新宋体"/>
          <w:color w:val="auto"/>
          <w:sz w:val="22"/>
          <w:szCs w:val="22"/>
        </w:rPr>
        <w:t>3、验收</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中标人已按合同规定提供了符合招标文件规定的要求的货物，并经有关部门检验合格，所有的技术资料和清单已向采购人提交并被接受，验收视为合格，买卖双方签署验收合格证书。 若因中标人制造工艺、质量问题等导致验收不合格，中标人应及时予以处理，直至验收合格，期间发生的一切费用由中标人承担，采购人保留向中标人索赔的权利。中标人在所有货物的到货、验收期间应接受采购人的协调和管理，中标人应采取严格的安全措施，承担由于自身原因所造成的事故责任及其发生的一切费用。</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三、售后服务</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1、中标人提供的货物必须是全新的,并且符合国家质量性能检测标准及该产品的出厂标准。 </w:t>
      </w:r>
    </w:p>
    <w:p>
      <w:pPr>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2、质量保证期：详见招标第五部分“招标内容及要求”相关内容。</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3、投标人应按照投标文件中的承诺，进行其他售后服务工作。</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4、服务：所有设备需要在最终用户现场进行安装、调试、试运行和培训，这些技术服务费应计入投标总价中。</w:t>
      </w:r>
    </w:p>
    <w:p>
      <w:pPr>
        <w:spacing w:line="360" w:lineRule="auto"/>
        <w:rPr>
          <w:rFonts w:ascii="新宋体" w:hAnsi="新宋体" w:eastAsia="新宋体" w:cs="新宋体"/>
          <w:color w:val="auto"/>
          <w:sz w:val="36"/>
          <w:szCs w:val="36"/>
        </w:rPr>
      </w:pPr>
      <w:r>
        <w:rPr>
          <w:rFonts w:hint="eastAsia" w:ascii="新宋体" w:hAnsi="新宋体" w:eastAsia="新宋体" w:cs="新宋体"/>
          <w:b/>
          <w:color w:val="auto"/>
          <w:sz w:val="22"/>
          <w:szCs w:val="22"/>
        </w:rPr>
        <w:t>四、付款方式 ：详见招标第五部分“招标内容及要求”相关内容。</w:t>
      </w:r>
      <w:bookmarkStart w:id="113" w:name="_Toc23027"/>
    </w:p>
    <w:p>
      <w:pPr>
        <w:pStyle w:val="4"/>
        <w:rPr>
          <w:rFonts w:ascii="新宋体" w:hAnsi="新宋体" w:eastAsia="新宋体" w:cs="新宋体"/>
          <w:color w:val="auto"/>
          <w:sz w:val="36"/>
          <w:szCs w:val="36"/>
        </w:rPr>
      </w:pPr>
    </w:p>
    <w:bookmarkEnd w:id="113"/>
    <w:p>
      <w:pPr>
        <w:pStyle w:val="4"/>
        <w:rPr>
          <w:rFonts w:ascii="新宋体" w:hAnsi="新宋体" w:eastAsia="新宋体" w:cs="新宋体"/>
          <w:color w:val="auto"/>
          <w:sz w:val="36"/>
          <w:szCs w:val="36"/>
        </w:rPr>
      </w:pPr>
      <w:r>
        <w:rPr>
          <w:rFonts w:hint="eastAsia" w:ascii="新宋体" w:hAnsi="新宋体" w:eastAsia="新宋体" w:cs="新宋体"/>
          <w:color w:val="auto"/>
          <w:sz w:val="36"/>
          <w:szCs w:val="36"/>
        </w:rPr>
        <w:t xml:space="preserve">第四部分   </w:t>
      </w:r>
      <w:bookmarkStart w:id="114" w:name="_Toc221356892"/>
      <w:bookmarkStart w:id="115" w:name="_Toc265529388"/>
      <w:bookmarkStart w:id="116" w:name="_Toc223716003"/>
      <w:bookmarkStart w:id="117" w:name="_Toc239145359"/>
      <w:bookmarkStart w:id="118" w:name="_Toc221356956"/>
      <w:bookmarkStart w:id="119" w:name="_Toc221374631"/>
      <w:bookmarkStart w:id="120" w:name="_Toc241404207"/>
      <w:bookmarkStart w:id="121" w:name="_Toc222114884"/>
      <w:bookmarkStart w:id="122" w:name="_Toc221423624"/>
      <w:r>
        <w:rPr>
          <w:rFonts w:hint="eastAsia" w:ascii="新宋体" w:hAnsi="新宋体" w:eastAsia="新宋体" w:cs="新宋体"/>
          <w:color w:val="auto"/>
          <w:sz w:val="36"/>
          <w:szCs w:val="36"/>
        </w:rPr>
        <w:t>附件</w:t>
      </w:r>
      <w:bookmarkEnd w:id="114"/>
      <w:bookmarkEnd w:id="115"/>
      <w:bookmarkEnd w:id="116"/>
      <w:bookmarkEnd w:id="117"/>
      <w:bookmarkEnd w:id="118"/>
      <w:bookmarkEnd w:id="119"/>
      <w:bookmarkEnd w:id="120"/>
      <w:bookmarkEnd w:id="121"/>
      <w:bookmarkEnd w:id="122"/>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附件一</w:t>
      </w:r>
    </w:p>
    <w:p>
      <w:pPr>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投 标 函</w:t>
      </w: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温州市瓯海区中西医结合医院：</w:t>
      </w: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浙江省成套招标代理有限公司：</w:t>
      </w:r>
    </w:p>
    <w:p>
      <w:pPr>
        <w:spacing w:line="42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根据贵方为</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项目（项目编号：</w:t>
      </w:r>
      <w:r>
        <w:rPr>
          <w:rFonts w:hint="eastAsia" w:ascii="新宋体" w:hAnsi="新宋体" w:eastAsia="新宋体" w:cs="新宋体"/>
          <w:b/>
          <w:color w:val="auto"/>
          <w:sz w:val="22"/>
          <w:szCs w:val="22"/>
          <w:u w:val="single"/>
        </w:rPr>
        <w:t xml:space="preserve">               </w:t>
      </w:r>
      <w:r>
        <w:rPr>
          <w:rFonts w:hint="eastAsia" w:ascii="新宋体" w:hAnsi="新宋体" w:eastAsia="新宋体" w:cs="新宋体"/>
          <w:b/>
          <w:color w:val="auto"/>
          <w:sz w:val="22"/>
          <w:szCs w:val="22"/>
        </w:rPr>
        <w:t xml:space="preserve"> </w:t>
      </w:r>
      <w:r>
        <w:rPr>
          <w:rFonts w:hint="eastAsia" w:ascii="新宋体" w:hAnsi="新宋体" w:eastAsia="新宋体" w:cs="新宋体"/>
          <w:color w:val="auto"/>
          <w:sz w:val="22"/>
          <w:szCs w:val="22"/>
        </w:rPr>
        <w:t>）的投标邀请，我方</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（投标人名称）作为投标人正式授权</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（授权代表全名，职务）代表我方处理有关本投标的一切事宜。</w:t>
      </w:r>
    </w:p>
    <w:p>
      <w:pPr>
        <w:pStyle w:val="18"/>
        <w:spacing w:line="420" w:lineRule="exact"/>
        <w:ind w:firstLine="440"/>
        <w:rPr>
          <w:rFonts w:ascii="新宋体" w:hAnsi="新宋体" w:eastAsia="新宋体" w:cs="新宋体"/>
          <w:color w:val="auto"/>
          <w:sz w:val="22"/>
        </w:rPr>
      </w:pPr>
      <w:r>
        <w:rPr>
          <w:rFonts w:hint="eastAsia" w:ascii="新宋体" w:hAnsi="新宋体" w:eastAsia="新宋体" w:cs="新宋体"/>
          <w:color w:val="auto"/>
          <w:sz w:val="22"/>
          <w:szCs w:val="22"/>
        </w:rPr>
        <w:t>在此提交的投标文件中，包括如下内</w:t>
      </w:r>
      <w:r>
        <w:rPr>
          <w:rFonts w:hint="eastAsia" w:ascii="新宋体" w:hAnsi="新宋体" w:eastAsia="新宋体" w:cs="新宋体"/>
          <w:color w:val="auto"/>
          <w:sz w:val="22"/>
        </w:rPr>
        <w:t>容，并已分别单独密封装袋：</w:t>
      </w:r>
    </w:p>
    <w:p>
      <w:pPr>
        <w:pStyle w:val="18"/>
        <w:spacing w:line="420" w:lineRule="exact"/>
        <w:ind w:firstLine="0"/>
        <w:rPr>
          <w:rFonts w:ascii="新宋体" w:hAnsi="新宋体" w:eastAsia="新宋体" w:cs="新宋体"/>
          <w:color w:val="auto"/>
          <w:sz w:val="22"/>
        </w:rPr>
      </w:pPr>
      <w:r>
        <w:rPr>
          <w:rFonts w:hint="eastAsia" w:ascii="新宋体" w:hAnsi="新宋体" w:eastAsia="新宋体" w:cs="新宋体"/>
          <w:color w:val="auto"/>
          <w:sz w:val="22"/>
        </w:rPr>
        <w:t xml:space="preserve">   （—）按“投标人须知”要求编制的投标文件资格文件【正本一份，副本四份】</w:t>
      </w:r>
    </w:p>
    <w:p>
      <w:pPr>
        <w:spacing w:line="420" w:lineRule="exact"/>
        <w:ind w:firstLine="330" w:firstLineChars="150"/>
        <w:rPr>
          <w:rFonts w:ascii="新宋体" w:hAnsi="新宋体" w:eastAsia="新宋体" w:cs="新宋体"/>
          <w:color w:val="auto"/>
          <w:sz w:val="22"/>
        </w:rPr>
      </w:pPr>
      <w:r>
        <w:rPr>
          <w:rFonts w:hint="eastAsia" w:ascii="新宋体" w:hAnsi="新宋体" w:eastAsia="新宋体" w:cs="新宋体"/>
          <w:color w:val="auto"/>
          <w:sz w:val="22"/>
        </w:rPr>
        <w:t>（二）按“投标人须知”要求编制的投标文件技术资信标【正本一份，副本四份】；</w:t>
      </w:r>
    </w:p>
    <w:p>
      <w:pPr>
        <w:spacing w:line="420" w:lineRule="exact"/>
        <w:ind w:firstLine="330" w:firstLineChars="150"/>
        <w:rPr>
          <w:rFonts w:ascii="新宋体" w:hAnsi="新宋体" w:eastAsia="新宋体" w:cs="新宋体"/>
          <w:color w:val="auto"/>
          <w:sz w:val="22"/>
        </w:rPr>
      </w:pPr>
      <w:r>
        <w:rPr>
          <w:rFonts w:hint="eastAsia" w:ascii="新宋体" w:hAnsi="新宋体" w:eastAsia="新宋体" w:cs="新宋体"/>
          <w:color w:val="auto"/>
          <w:sz w:val="22"/>
        </w:rPr>
        <w:t>（三）按“投标人须知”要求编制的投标文件商务（报价）标【正本一份，副本四份】</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我方己完全明白招标文件的所有条款要求，并重申以下几点：</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1、已详细阅读全部招标文件，包括招标文件补充文件（如果有，包括相关的补充、更正、澄清公告和文件）、参考资料及有关附件，确认无误。我方完全理解并接受招标文件的各项规定和要求。</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2、同意提供按照贵方可能要求的与投标有关的一切数据或资料等。若贵方需要，我方愿意提供我方作出的一切承诺的证明材料。</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3、如中标，保证按照招标文件要求及投标文件的承诺与采购人签订合同，保证履行合同条款并交纳履约保证金。</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4、中标或者成交后，按要购文件规定与采购人签订合同，拒绝签订合同的，承诺按采购预算金额的2%对采购人进行赔偿；赔偿金额不足以弥补采购人损失的，承诺继续承担超过部分的损失。</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5、中标或者成交后，按采购文件规定的采购代理服务费标准，承诺在签订合同前向采购代理机构支付采购代理服务费。</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6、同意在招标文件中投标人须知规定的开标日期起遵守本投标书中的承诺且在投标有效期满之前均具有约束力。</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7、在开标后规定的投标有效期内不撤回投标文件，强行撤回投标文件的，承诺按采购预算金额的2%赔偿对采购组织机构造成的损失。</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8、完全理解贵方不一定要接受最低价的投标。</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9、在参加本项目前三年内（被通报或者处罚的违法行为有：</w:t>
      </w:r>
      <w:r>
        <w:rPr>
          <w:rFonts w:hint="eastAsia" w:ascii="新宋体" w:hAnsi="新宋体" w:eastAsia="新宋体" w:cs="新宋体"/>
          <w:color w:val="auto"/>
          <w:sz w:val="22"/>
          <w:u w:val="single"/>
        </w:rPr>
        <w:t xml:space="preserve">                  </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u w:val="single"/>
        </w:rPr>
        <w:t xml:space="preserve">                                     </w:t>
      </w:r>
      <w:r>
        <w:rPr>
          <w:rFonts w:hint="eastAsia" w:ascii="新宋体" w:hAnsi="新宋体" w:eastAsia="新宋体" w:cs="新宋体"/>
          <w:color w:val="auto"/>
          <w:sz w:val="22"/>
        </w:rPr>
        <w:t>）或（没有因违法经营受到刑事处罚或者责令停产停业、吊销许可证或者执照、较大数额罚款等行政处罚或处罚）或（在</w:t>
      </w:r>
      <w:r>
        <w:rPr>
          <w:rFonts w:hint="eastAsia" w:ascii="新宋体" w:hAnsi="新宋体" w:eastAsia="新宋体" w:cs="新宋体"/>
          <w:color w:val="auto"/>
          <w:sz w:val="22"/>
          <w:u w:val="single"/>
        </w:rPr>
        <w:t xml:space="preserve">  </w:t>
      </w:r>
      <w:r>
        <w:rPr>
          <w:rFonts w:hint="eastAsia" w:ascii="新宋体" w:hAnsi="新宋体" w:eastAsia="新宋体" w:cs="新宋体"/>
          <w:color w:val="auto"/>
          <w:sz w:val="22"/>
        </w:rPr>
        <w:t>至</w:t>
      </w:r>
      <w:r>
        <w:rPr>
          <w:rFonts w:hint="eastAsia" w:ascii="新宋体" w:hAnsi="新宋体" w:eastAsia="新宋体" w:cs="新宋体"/>
          <w:color w:val="auto"/>
          <w:sz w:val="22"/>
          <w:u w:val="single"/>
        </w:rPr>
        <w:t xml:space="preserve">  </w:t>
      </w:r>
      <w:r>
        <w:rPr>
          <w:rFonts w:hint="eastAsia" w:ascii="新宋体" w:hAnsi="新宋体" w:eastAsia="新宋体" w:cs="新宋体"/>
          <w:color w:val="auto"/>
          <w:sz w:val="22"/>
        </w:rPr>
        <w:t>期间禁止参加政府采购活动但是期限届满，须附相关证明文件）</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10、在投标截止前（未被“信用中国”网站(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新宋体" w:hAnsi="新宋体" w:eastAsia="新宋体" w:cs="新宋体"/>
          <w:color w:val="auto"/>
          <w:sz w:val="22"/>
        </w:rPr>
        <w:t>www.creditchina.gov.cn</w:t>
      </w:r>
      <w:r>
        <w:rPr>
          <w:rFonts w:hint="eastAsia" w:ascii="新宋体" w:hAnsi="新宋体" w:eastAsia="新宋体" w:cs="新宋体"/>
          <w:color w:val="auto"/>
          <w:sz w:val="22"/>
        </w:rPr>
        <w:fldChar w:fldCharType="end"/>
      </w:r>
      <w:r>
        <w:rPr>
          <w:rFonts w:hint="eastAsia" w:ascii="新宋体" w:hAnsi="新宋体" w:eastAsia="新宋体" w:cs="新宋体"/>
          <w:color w:val="auto"/>
          <w:sz w:val="22"/>
        </w:rPr>
        <w:t>)列入失信被执行人、重大税收违法案件当事人名单；未被“中国政府采购网”(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新宋体" w:hAnsi="新宋体" w:eastAsia="新宋体" w:cs="新宋体"/>
          <w:color w:val="auto"/>
          <w:sz w:val="22"/>
        </w:rPr>
        <w:t>www.ccgp.gov.cn</w:t>
      </w:r>
      <w:r>
        <w:rPr>
          <w:rFonts w:hint="eastAsia" w:ascii="新宋体" w:hAnsi="新宋体" w:eastAsia="新宋体" w:cs="新宋体"/>
          <w:color w:val="auto"/>
          <w:sz w:val="22"/>
        </w:rPr>
        <w:fldChar w:fldCharType="end"/>
      </w:r>
      <w:r>
        <w:rPr>
          <w:rFonts w:hint="eastAsia" w:ascii="新宋体" w:hAnsi="新宋体" w:eastAsia="新宋体" w:cs="新宋体"/>
          <w:color w:val="auto"/>
          <w:sz w:val="22"/>
        </w:rPr>
        <w:t>)列入政府采购严重违法失信行为记录名单。）或（被“信用中国”或“中国政府采购网”列入……名单。）</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11、单位、法定代表人、本项目授权代表及本项目负责人在参加本项目前三年内（以法院判决书生效日期为准）均无行贿犯罪记录。</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12、如有下列情形之一的，我方愿意被取消中标资格（如中标），并按采购预算金额的2%赔偿对采购组织机构造成的损失，同时继续承担其他一切法律后果，并不再寻求任何旨在减轻或免除法律责任的解释：</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(1)提供虚假材料（承诺）谋取中标、成交的；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(2)采取不正当手段诋毁、排挤其他投标人的；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(3)与采购人、其它投标人或者采购代理机构恶意串通的；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(4)向采购人、采购代理机构行贿或者提供其他不正当利益的；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(5)在招标采购过程中与采购人进行协商谈判的；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(6)拒绝有关部门监督检查或提供虚假情况的。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13、所有与本投标有关的函件请发往下列地址：</w:t>
      </w: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地址</w:t>
      </w:r>
      <w:r>
        <w:rPr>
          <w:rFonts w:hint="eastAsia" w:ascii="新宋体" w:hAnsi="新宋体" w:eastAsia="新宋体" w:cs="新宋体"/>
          <w:color w:val="auto"/>
          <w:sz w:val="22"/>
          <w:szCs w:val="22"/>
          <w:u w:val="single"/>
        </w:rPr>
        <w:t xml:space="preserve">                           </w:t>
      </w: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电话</w:t>
      </w:r>
      <w:r>
        <w:rPr>
          <w:rFonts w:hint="eastAsia" w:ascii="新宋体" w:hAnsi="新宋体" w:eastAsia="新宋体" w:cs="新宋体"/>
          <w:color w:val="auto"/>
          <w:sz w:val="22"/>
          <w:szCs w:val="22"/>
          <w:u w:val="single"/>
        </w:rPr>
        <w:t xml:space="preserve">                           </w:t>
      </w:r>
    </w:p>
    <w:p>
      <w:pPr>
        <w:spacing w:line="420" w:lineRule="exact"/>
        <w:ind w:firstLine="435"/>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   传真</w:t>
      </w:r>
      <w:r>
        <w:rPr>
          <w:rFonts w:hint="eastAsia" w:ascii="新宋体" w:hAnsi="新宋体" w:eastAsia="新宋体" w:cs="新宋体"/>
          <w:color w:val="auto"/>
          <w:sz w:val="22"/>
          <w:szCs w:val="22"/>
          <w:u w:val="single"/>
        </w:rPr>
        <w:t xml:space="preserve">                           </w:t>
      </w:r>
    </w:p>
    <w:p>
      <w:pPr>
        <w:spacing w:line="420" w:lineRule="exact"/>
        <w:ind w:firstLine="770" w:firstLineChars="350"/>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电子邮件</w:t>
      </w:r>
      <w:r>
        <w:rPr>
          <w:rFonts w:hint="eastAsia" w:ascii="新宋体" w:hAnsi="新宋体" w:eastAsia="新宋体" w:cs="新宋体"/>
          <w:color w:val="auto"/>
          <w:sz w:val="22"/>
          <w:szCs w:val="22"/>
          <w:u w:val="single"/>
        </w:rPr>
        <w:t xml:space="preserve">                       </w:t>
      </w:r>
    </w:p>
    <w:p>
      <w:pPr>
        <w:spacing w:line="420" w:lineRule="exact"/>
        <w:ind w:firstLine="435"/>
        <w:rPr>
          <w:rFonts w:ascii="新宋体" w:hAnsi="新宋体" w:eastAsia="新宋体" w:cs="新宋体"/>
          <w:color w:val="auto"/>
          <w:sz w:val="22"/>
          <w:szCs w:val="22"/>
        </w:rPr>
      </w:pP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投标人名称（盖章）</w:t>
      </w:r>
      <w:r>
        <w:rPr>
          <w:rFonts w:hint="eastAsia" w:ascii="新宋体" w:hAnsi="新宋体" w:eastAsia="新宋体" w:cs="新宋体"/>
          <w:color w:val="auto"/>
          <w:sz w:val="22"/>
          <w:szCs w:val="22"/>
          <w:u w:val="single"/>
        </w:rPr>
        <w:t xml:space="preserve">                  </w:t>
      </w: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法定代表人或授权代表（签字或盖章）</w:t>
      </w:r>
      <w:r>
        <w:rPr>
          <w:rFonts w:hint="eastAsia" w:ascii="新宋体" w:hAnsi="新宋体" w:eastAsia="新宋体" w:cs="新宋体"/>
          <w:color w:val="auto"/>
          <w:sz w:val="22"/>
          <w:szCs w:val="22"/>
          <w:u w:val="single"/>
        </w:rPr>
        <w:t xml:space="preserve">            </w:t>
      </w:r>
    </w:p>
    <w:p>
      <w:pPr>
        <w:spacing w:line="460" w:lineRule="exact"/>
        <w:ind w:firstLine="435"/>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                                   日    期</w:t>
      </w:r>
      <w:r>
        <w:rPr>
          <w:rFonts w:hint="eastAsia" w:ascii="新宋体" w:hAnsi="新宋体" w:eastAsia="新宋体" w:cs="新宋体"/>
          <w:color w:val="auto"/>
          <w:sz w:val="22"/>
          <w:szCs w:val="22"/>
          <w:u w:val="single"/>
        </w:rPr>
        <w:t xml:space="preserve">         </w:t>
      </w:r>
    </w:p>
    <w:p>
      <w:pPr>
        <w:spacing w:line="460" w:lineRule="exact"/>
        <w:ind w:firstLine="435"/>
        <w:rPr>
          <w:rFonts w:ascii="新宋体" w:hAnsi="新宋体" w:eastAsia="新宋体" w:cs="新宋体"/>
          <w:color w:val="auto"/>
          <w:sz w:val="22"/>
          <w:szCs w:val="22"/>
          <w:u w:val="single"/>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w:t>
      </w:r>
      <w:r>
        <w:rPr>
          <w:rFonts w:hint="eastAsia" w:ascii="新宋体" w:hAnsi="新宋体" w:eastAsia="新宋体" w:cs="新宋体"/>
          <w:b/>
          <w:bCs/>
          <w:color w:val="auto"/>
          <w:sz w:val="22"/>
          <w:szCs w:val="22"/>
          <w:u w:val="single"/>
        </w:rPr>
        <w:t>▲投标人必须提供本函，不提供按无效投标处理。</w:t>
      </w: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pStyle w:val="29"/>
        <w:snapToGrid w:val="0"/>
        <w:spacing w:line="324" w:lineRule="auto"/>
        <w:jc w:val="center"/>
        <w:rPr>
          <w:rFonts w:ascii="新宋体" w:hAnsi="新宋体" w:eastAsia="新宋体" w:cs="新宋体"/>
          <w:b/>
          <w:color w:val="auto"/>
          <w:sz w:val="30"/>
        </w:rPr>
      </w:pPr>
    </w:p>
    <w:p>
      <w:pPr>
        <w:pStyle w:val="29"/>
        <w:snapToGrid w:val="0"/>
        <w:spacing w:line="324" w:lineRule="auto"/>
        <w:jc w:val="center"/>
        <w:rPr>
          <w:rFonts w:ascii="新宋体" w:hAnsi="新宋体" w:eastAsia="新宋体" w:cs="新宋体"/>
          <w:b/>
          <w:color w:val="auto"/>
          <w:sz w:val="30"/>
        </w:rPr>
      </w:pPr>
      <w:r>
        <w:rPr>
          <w:rFonts w:hint="eastAsia" w:ascii="新宋体" w:hAnsi="新宋体" w:eastAsia="新宋体" w:cs="新宋体"/>
          <w:b/>
          <w:color w:val="auto"/>
          <w:sz w:val="30"/>
        </w:rPr>
        <w:t>(2)法定代表人诚信投标承诺书</w:t>
      </w:r>
    </w:p>
    <w:p>
      <w:pPr>
        <w:spacing w:line="460" w:lineRule="atLeast"/>
        <w:jc w:val="left"/>
        <w:rPr>
          <w:rFonts w:ascii="新宋体" w:hAnsi="新宋体" w:eastAsia="新宋体" w:cs="新宋体"/>
          <w:color w:val="auto"/>
          <w:sz w:val="22"/>
        </w:rPr>
      </w:pPr>
      <w:r>
        <w:rPr>
          <w:rFonts w:hint="eastAsia" w:ascii="新宋体" w:hAnsi="新宋体" w:eastAsia="新宋体" w:cs="新宋体"/>
          <w:color w:val="auto"/>
          <w:sz w:val="22"/>
        </w:rPr>
        <w:t>本人以企业法定代表人的身份郑重承诺：</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将遵循公开、公平、公正和诚信信用的原则参加</w:t>
      </w:r>
      <w:r>
        <w:rPr>
          <w:rFonts w:hint="eastAsia" w:ascii="新宋体" w:hAnsi="新宋体" w:eastAsia="新宋体" w:cs="新宋体"/>
          <w:color w:val="auto"/>
          <w:sz w:val="22"/>
          <w:u w:val="single"/>
        </w:rPr>
        <w:t xml:space="preserve">              项目（招标编号：   ）</w:t>
      </w:r>
      <w:r>
        <w:rPr>
          <w:rFonts w:hint="eastAsia" w:ascii="新宋体" w:hAnsi="新宋体" w:eastAsia="新宋体" w:cs="新宋体"/>
          <w:color w:val="auto"/>
          <w:sz w:val="22"/>
        </w:rPr>
        <w:t>的投标；</w:t>
      </w:r>
    </w:p>
    <w:p>
      <w:pPr>
        <w:spacing w:line="460" w:lineRule="atLeast"/>
        <w:ind w:firstLine="440" w:firstLineChars="200"/>
        <w:jc w:val="left"/>
        <w:rPr>
          <w:rFonts w:ascii="新宋体" w:hAnsi="新宋体" w:eastAsia="新宋体" w:cs="新宋体"/>
          <w:color w:val="auto"/>
          <w:sz w:val="22"/>
          <w:u w:val="single"/>
        </w:rPr>
      </w:pPr>
      <w:r>
        <w:rPr>
          <w:rFonts w:hint="eastAsia" w:ascii="新宋体" w:hAnsi="新宋体" w:eastAsia="新宋体" w:cs="新宋体"/>
          <w:color w:val="auto"/>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二、投标文件所提供的一切材料都是真实、有效、合法的。</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三、不与其他投标人相互串通投标报价，不排挤其他投标人的公平竞争，不损害采购人或其他投标人的合法权益。</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四、不与采购人或采购代理机构串通投标，不损害国家利益，社会公共利益或其他人的合法权益。</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五、不向采购人或者评标委员会成员行贿以牟取中标。</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六、不以其他人名义投标或者以其他方式弄虚作假，骗取中标。</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七、不在开标后进行虚假恶意投诉。</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 xml:space="preserve">九、没有被各地、各级财政部门禁止参加政府采购活动，且在限制期限内：    </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十、参与本项目政府采购活动3年内没有重大违法记录情况。</w:t>
      </w:r>
    </w:p>
    <w:p>
      <w:pPr>
        <w:spacing w:line="460" w:lineRule="atLeas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新宋体" w:hAnsi="新宋体" w:eastAsia="新宋体" w:cs="新宋体"/>
          <w:color w:val="auto"/>
          <w:sz w:val="22"/>
        </w:rPr>
      </w:pPr>
    </w:p>
    <w:p>
      <w:pPr>
        <w:spacing w:line="460" w:lineRule="atLeast"/>
        <w:ind w:right="1120" w:firstLine="2982" w:firstLineChars="1350"/>
        <w:rPr>
          <w:rFonts w:ascii="新宋体" w:hAnsi="新宋体" w:eastAsia="新宋体" w:cs="新宋体"/>
          <w:b/>
          <w:bCs/>
          <w:color w:val="auto"/>
          <w:sz w:val="22"/>
        </w:rPr>
      </w:pPr>
    </w:p>
    <w:p>
      <w:pPr>
        <w:spacing w:line="460" w:lineRule="atLeast"/>
        <w:ind w:right="1120" w:firstLine="2982" w:firstLineChars="1350"/>
        <w:rPr>
          <w:rFonts w:ascii="新宋体" w:hAnsi="新宋体" w:eastAsia="新宋体" w:cs="新宋体"/>
          <w:b/>
          <w:bCs/>
          <w:color w:val="auto"/>
          <w:sz w:val="22"/>
        </w:rPr>
      </w:pPr>
      <w:r>
        <w:rPr>
          <w:rFonts w:hint="eastAsia" w:ascii="新宋体" w:hAnsi="新宋体" w:eastAsia="新宋体" w:cs="新宋体"/>
          <w:b/>
          <w:bCs/>
          <w:color w:val="auto"/>
          <w:sz w:val="22"/>
        </w:rPr>
        <w:t>法定代表人（签字或签章）：</w:t>
      </w:r>
    </w:p>
    <w:p>
      <w:pPr>
        <w:spacing w:line="460" w:lineRule="atLeast"/>
        <w:ind w:right="1120" w:firstLine="2970" w:firstLineChars="1350"/>
        <w:rPr>
          <w:rFonts w:ascii="新宋体" w:hAnsi="新宋体" w:eastAsia="新宋体" w:cs="新宋体"/>
          <w:color w:val="auto"/>
          <w:sz w:val="22"/>
        </w:rPr>
      </w:pPr>
      <w:r>
        <w:rPr>
          <w:rFonts w:hint="eastAsia" w:ascii="新宋体" w:hAnsi="新宋体" w:eastAsia="新宋体" w:cs="新宋体"/>
          <w:color w:val="auto"/>
          <w:sz w:val="22"/>
        </w:rPr>
        <w:t>投标人（盖章）</w:t>
      </w:r>
    </w:p>
    <w:p>
      <w:pPr>
        <w:spacing w:line="460" w:lineRule="atLeast"/>
        <w:ind w:right="1120" w:firstLine="2970" w:firstLineChars="1350"/>
        <w:rPr>
          <w:rFonts w:ascii="新宋体" w:hAnsi="新宋体" w:eastAsia="新宋体" w:cs="新宋体"/>
          <w:color w:val="auto"/>
          <w:sz w:val="22"/>
        </w:rPr>
      </w:pPr>
      <w:r>
        <w:rPr>
          <w:rFonts w:hint="eastAsia" w:ascii="新宋体" w:hAnsi="新宋体" w:eastAsia="新宋体" w:cs="新宋体"/>
          <w:color w:val="auto"/>
          <w:sz w:val="22"/>
        </w:rPr>
        <w:t>承诺书签署日期：         年  月  日</w:t>
      </w:r>
    </w:p>
    <w:p>
      <w:pPr>
        <w:spacing w:line="460" w:lineRule="atLeast"/>
        <w:ind w:right="1120" w:firstLine="3403" w:firstLineChars="1547"/>
        <w:jc w:val="center"/>
        <w:rPr>
          <w:rFonts w:ascii="新宋体" w:hAnsi="新宋体" w:eastAsia="新宋体" w:cs="新宋体"/>
          <w:color w:val="auto"/>
          <w:sz w:val="22"/>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Cs/>
          <w:color w:val="auto"/>
          <w:sz w:val="22"/>
        </w:rPr>
        <w:t>备注：</w:t>
      </w:r>
      <w:r>
        <w:rPr>
          <w:rFonts w:hint="eastAsia" w:ascii="新宋体" w:hAnsi="新宋体" w:eastAsia="新宋体" w:cs="新宋体"/>
          <w:bCs/>
          <w:color w:val="auto"/>
          <w:sz w:val="22"/>
          <w:u w:val="single"/>
        </w:rPr>
        <w:t>▲投标人必须提供本承诺书，不提供按无效投标处理。</w:t>
      </w: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附件二：</w:t>
      </w:r>
    </w:p>
    <w:p>
      <w:pPr>
        <w:spacing w:line="460" w:lineRule="exact"/>
        <w:jc w:val="center"/>
        <w:rPr>
          <w:rFonts w:ascii="新宋体" w:hAnsi="新宋体" w:eastAsia="新宋体" w:cs="新宋体"/>
          <w:color w:val="auto"/>
          <w:sz w:val="28"/>
          <w:szCs w:val="28"/>
        </w:rPr>
      </w:pPr>
      <w:r>
        <w:rPr>
          <w:rFonts w:hint="eastAsia" w:ascii="新宋体" w:hAnsi="新宋体" w:eastAsia="新宋体" w:cs="新宋体"/>
          <w:b/>
          <w:bCs/>
          <w:color w:val="auto"/>
          <w:sz w:val="28"/>
          <w:szCs w:val="28"/>
        </w:rPr>
        <w:t xml:space="preserve"> </w:t>
      </w:r>
    </w:p>
    <w:p>
      <w:pPr>
        <w:spacing w:line="380" w:lineRule="exact"/>
        <w:ind w:left="420"/>
        <w:rPr>
          <w:rFonts w:ascii="新宋体" w:hAnsi="新宋体" w:eastAsia="新宋体" w:cs="新宋体"/>
          <w:b/>
          <w:color w:val="auto"/>
          <w:sz w:val="22"/>
          <w:szCs w:val="22"/>
        </w:rPr>
      </w:pPr>
      <w:r>
        <w:rPr>
          <w:rFonts w:hint="eastAsia" w:ascii="新宋体" w:hAnsi="新宋体" w:eastAsia="新宋体" w:cs="新宋体"/>
          <w:b/>
          <w:color w:val="auto"/>
          <w:sz w:val="22"/>
          <w:szCs w:val="22"/>
        </w:rPr>
        <w:t xml:space="preserve">                   </w:t>
      </w:r>
      <w:r>
        <w:rPr>
          <w:rFonts w:hint="eastAsia" w:ascii="新宋体" w:hAnsi="新宋体" w:eastAsia="新宋体" w:cs="新宋体"/>
          <w:b/>
          <w:color w:val="auto"/>
          <w:kern w:val="0"/>
          <w:sz w:val="30"/>
          <w:szCs w:val="21"/>
        </w:rPr>
        <w:t>法定代表人授权书</w:t>
      </w:r>
    </w:p>
    <w:p>
      <w:pPr>
        <w:spacing w:line="420" w:lineRule="exact"/>
        <w:rPr>
          <w:rFonts w:ascii="新宋体" w:hAnsi="新宋体" w:eastAsia="新宋体" w:cs="新宋体"/>
          <w:b/>
          <w:color w:val="auto"/>
          <w:sz w:val="22"/>
          <w:szCs w:val="22"/>
        </w:rPr>
      </w:pP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温州市瓯海区中西医结合医院:</w:t>
      </w: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浙江省成套招标代理有限公司：</w:t>
      </w:r>
    </w:p>
    <w:p>
      <w:pPr>
        <w:spacing w:line="460" w:lineRule="exact"/>
        <w:rPr>
          <w:rFonts w:ascii="新宋体" w:hAnsi="新宋体" w:eastAsia="新宋体" w:cs="新宋体"/>
          <w:color w:val="auto"/>
          <w:sz w:val="22"/>
          <w:szCs w:val="22"/>
          <w:u w:val="single"/>
        </w:rPr>
      </w:pPr>
    </w:p>
    <w:p>
      <w:pPr>
        <w:spacing w:line="460" w:lineRule="exact"/>
        <w:ind w:firstLine="550" w:firstLineChars="250"/>
        <w:rPr>
          <w:rFonts w:ascii="新宋体" w:hAnsi="新宋体" w:eastAsia="新宋体" w:cs="新宋体"/>
          <w:color w:val="auto"/>
          <w:sz w:val="22"/>
          <w:szCs w:val="22"/>
        </w:rPr>
      </w:pP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（投标人全称）法定代表人</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授权</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（全权代表姓名）为全权代表，参加贵处组织的</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（招标项目名称、招标编号）的招标活动，全权代表我方处理招标活动中的一切事宜。</w:t>
      </w:r>
    </w:p>
    <w:p>
      <w:pPr>
        <w:spacing w:line="460" w:lineRule="exact"/>
        <w:ind w:firstLine="2955"/>
        <w:rPr>
          <w:rFonts w:ascii="新宋体" w:hAnsi="新宋体" w:eastAsia="新宋体" w:cs="新宋体"/>
          <w:color w:val="auto"/>
          <w:sz w:val="22"/>
          <w:szCs w:val="22"/>
        </w:rPr>
      </w:pPr>
    </w:p>
    <w:p>
      <w:pPr>
        <w:spacing w:line="460" w:lineRule="exact"/>
        <w:ind w:firstLine="295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p>
    <w:p>
      <w:pPr>
        <w:spacing w:line="460" w:lineRule="exact"/>
        <w:ind w:firstLine="3971" w:firstLineChars="1805"/>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 (签字或盖章)：</w:t>
      </w:r>
    </w:p>
    <w:p>
      <w:pPr>
        <w:spacing w:line="460" w:lineRule="exact"/>
        <w:ind w:firstLine="295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投标人全称（公章）：</w:t>
      </w:r>
    </w:p>
    <w:p>
      <w:pPr>
        <w:spacing w:line="460" w:lineRule="exact"/>
        <w:ind w:firstLine="295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日期：     年    月   日</w:t>
      </w:r>
    </w:p>
    <w:p>
      <w:pPr>
        <w:spacing w:line="460" w:lineRule="exact"/>
        <w:rPr>
          <w:rFonts w:ascii="新宋体" w:hAnsi="新宋体" w:eastAsia="新宋体" w:cs="新宋体"/>
          <w:color w:val="auto"/>
          <w:sz w:val="22"/>
          <w:szCs w:val="22"/>
        </w:rPr>
      </w:pP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附：</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授权代表姓名：</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职务：</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详细通讯地址：</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电话：</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传真：       邮政编码:</w:t>
      </w:r>
    </w:p>
    <w:p>
      <w:pPr>
        <w:spacing w:line="460" w:lineRule="exact"/>
        <w:rPr>
          <w:rFonts w:ascii="新宋体" w:hAnsi="新宋体" w:eastAsia="新宋体" w:cs="新宋体"/>
          <w:b/>
          <w:bCs/>
          <w:color w:val="auto"/>
          <w:sz w:val="22"/>
          <w:szCs w:val="22"/>
        </w:rPr>
      </w:pPr>
    </w:p>
    <w:tbl>
      <w:tblPr>
        <w:tblStyle w:val="64"/>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新宋体" w:hAnsi="新宋体" w:eastAsia="新宋体" w:cs="新宋体"/>
                <w:b/>
                <w:color w:val="auto"/>
                <w:sz w:val="28"/>
                <w:szCs w:val="28"/>
              </w:rPr>
            </w:pPr>
            <w:r>
              <w:rPr>
                <w:rFonts w:hint="eastAsia" w:ascii="新宋体" w:hAnsi="新宋体" w:eastAsia="新宋体" w:cs="新宋体"/>
                <w:b/>
                <w:color w:val="auto"/>
                <w:sz w:val="28"/>
                <w:szCs w:val="28"/>
              </w:rPr>
              <w:t>投标人代表身份证复印件</w:t>
            </w:r>
          </w:p>
          <w:p>
            <w:pPr>
              <w:spacing w:line="380" w:lineRule="exact"/>
              <w:jc w:val="center"/>
              <w:rPr>
                <w:rFonts w:ascii="新宋体" w:hAnsi="新宋体" w:eastAsia="新宋体" w:cs="新宋体"/>
                <w:b/>
                <w:bCs/>
                <w:color w:val="auto"/>
                <w:sz w:val="28"/>
              </w:rPr>
            </w:pPr>
          </w:p>
        </w:tc>
      </w:tr>
    </w:tbl>
    <w:p>
      <w:pPr>
        <w:spacing w:line="460" w:lineRule="exact"/>
        <w:ind w:firstLine="435"/>
        <w:rPr>
          <w:rFonts w:ascii="新宋体" w:hAnsi="新宋体" w:eastAsia="新宋体" w:cs="新宋体"/>
          <w:color w:val="auto"/>
          <w:sz w:val="22"/>
          <w:szCs w:val="22"/>
          <w:u w:val="single"/>
        </w:rPr>
        <w:sectPr>
          <w:footerReference r:id="rId6" w:type="first"/>
          <w:headerReference r:id="rId3" w:type="default"/>
          <w:footerReference r:id="rId4" w:type="default"/>
          <w:footerReference r:id="rId5" w:type="even"/>
          <w:pgSz w:w="11906" w:h="16838"/>
          <w:pgMar w:top="1134" w:right="1312" w:bottom="1402" w:left="1134" w:header="851" w:footer="851" w:gutter="0"/>
          <w:pgNumType w:start="0"/>
          <w:cols w:space="720" w:num="1"/>
          <w:titlePg/>
          <w:docGrid w:linePitch="312" w:charSpace="0"/>
        </w:sectPr>
      </w:pPr>
    </w:p>
    <w:p>
      <w:pPr>
        <w:spacing w:line="38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附件三    </w:t>
      </w:r>
    </w:p>
    <w:p>
      <w:pPr>
        <w:tabs>
          <w:tab w:val="left" w:pos="3900"/>
          <w:tab w:val="center" w:pos="4819"/>
        </w:tabs>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开标一览表</w:t>
      </w:r>
    </w:p>
    <w:p>
      <w:pPr>
        <w:tabs>
          <w:tab w:val="left" w:pos="3900"/>
          <w:tab w:val="center" w:pos="4819"/>
        </w:tabs>
        <w:spacing w:line="460" w:lineRule="exact"/>
        <w:jc w:val="center"/>
        <w:rPr>
          <w:rFonts w:ascii="新宋体" w:hAnsi="新宋体" w:eastAsia="新宋体" w:cs="新宋体"/>
          <w:b/>
          <w:bCs/>
          <w:color w:val="auto"/>
          <w:sz w:val="28"/>
          <w:szCs w:val="28"/>
        </w:rPr>
      </w:pPr>
    </w:p>
    <w:p>
      <w:pPr>
        <w:spacing w:line="380" w:lineRule="exact"/>
        <w:rPr>
          <w:rFonts w:ascii="新宋体" w:hAnsi="新宋体" w:eastAsia="新宋体" w:cs="新宋体"/>
          <w:b/>
          <w:color w:val="auto"/>
          <w:sz w:val="22"/>
        </w:rPr>
      </w:pPr>
      <w:r>
        <w:rPr>
          <w:rFonts w:hint="eastAsia" w:ascii="新宋体" w:hAnsi="新宋体" w:eastAsia="新宋体" w:cs="新宋体"/>
          <w:b/>
          <w:color w:val="auto"/>
          <w:sz w:val="22"/>
        </w:rPr>
        <w:t xml:space="preserve">项目名称： </w:t>
      </w:r>
      <w:r>
        <w:rPr>
          <w:rFonts w:hint="eastAsia" w:ascii="新宋体" w:hAnsi="新宋体" w:eastAsia="新宋体" w:cs="新宋体"/>
          <w:color w:val="auto"/>
          <w:sz w:val="22"/>
        </w:rPr>
        <w:t xml:space="preserve">       </w:t>
      </w:r>
      <w:r>
        <w:rPr>
          <w:rFonts w:hint="eastAsia" w:ascii="新宋体" w:hAnsi="新宋体" w:eastAsia="新宋体" w:cs="新宋体"/>
          <w:b/>
          <w:color w:val="auto"/>
          <w:sz w:val="22"/>
        </w:rPr>
        <w:t xml:space="preserve">                                            招标编号：</w:t>
      </w:r>
    </w:p>
    <w:p>
      <w:pPr>
        <w:spacing w:line="380" w:lineRule="exact"/>
        <w:rPr>
          <w:rFonts w:ascii="新宋体" w:hAnsi="新宋体" w:eastAsia="新宋体" w:cs="新宋体"/>
          <w:b/>
          <w:color w:val="auto"/>
          <w:sz w:val="22"/>
        </w:rPr>
      </w:pPr>
      <w:r>
        <w:rPr>
          <w:rFonts w:hint="eastAsia" w:ascii="新宋体" w:hAnsi="新宋体" w:eastAsia="新宋体" w:cs="新宋体"/>
          <w:b/>
          <w:color w:val="auto"/>
          <w:sz w:val="22"/>
        </w:rPr>
        <w:t>价格单位：元</w:t>
      </w:r>
    </w:p>
    <w:tbl>
      <w:tblPr>
        <w:tblStyle w:val="64"/>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1"/>
        <w:gridCol w:w="4229"/>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color w:val="auto"/>
                <w:kern w:val="2"/>
              </w:rPr>
            </w:pPr>
            <w:r>
              <w:rPr>
                <w:rFonts w:hint="eastAsia" w:ascii="新宋体" w:hAnsi="新宋体" w:eastAsia="新宋体" w:cs="新宋体"/>
                <w:color w:val="auto"/>
                <w:kern w:val="2"/>
              </w:rPr>
              <w:t>项目名称</w:t>
            </w:r>
          </w:p>
        </w:tc>
        <w:tc>
          <w:tcPr>
            <w:tcW w:w="4229" w:type="dxa"/>
            <w:vAlign w:val="center"/>
          </w:tcPr>
          <w:p>
            <w:pPr>
              <w:pStyle w:val="29"/>
              <w:jc w:val="center"/>
              <w:rPr>
                <w:rFonts w:ascii="新宋体" w:hAnsi="新宋体" w:eastAsia="新宋体" w:cs="新宋体"/>
                <w:color w:val="auto"/>
                <w:kern w:val="2"/>
              </w:rPr>
            </w:pPr>
            <w:r>
              <w:rPr>
                <w:rFonts w:hint="eastAsia" w:ascii="新宋体" w:hAnsi="新宋体" w:eastAsia="新宋体" w:cs="新宋体"/>
                <w:color w:val="auto"/>
                <w:kern w:val="2"/>
              </w:rPr>
              <w:t>免费质保期</w:t>
            </w:r>
          </w:p>
        </w:tc>
        <w:tc>
          <w:tcPr>
            <w:tcW w:w="2082" w:type="dxa"/>
            <w:vAlign w:val="center"/>
          </w:tcPr>
          <w:p>
            <w:pPr>
              <w:pStyle w:val="29"/>
              <w:jc w:val="center"/>
              <w:rPr>
                <w:rFonts w:ascii="新宋体" w:hAnsi="新宋体" w:eastAsia="新宋体" w:cs="新宋体"/>
                <w:color w:val="auto"/>
                <w:kern w:val="2"/>
              </w:rPr>
            </w:pPr>
            <w:r>
              <w:rPr>
                <w:rFonts w:hint="eastAsia" w:ascii="新宋体" w:hAnsi="新宋体" w:eastAsia="新宋体" w:cs="新宋体"/>
                <w:color w:val="auto"/>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color w:val="auto"/>
                <w:kern w:val="2"/>
              </w:rPr>
            </w:pPr>
          </w:p>
        </w:tc>
        <w:tc>
          <w:tcPr>
            <w:tcW w:w="4229" w:type="dxa"/>
            <w:vAlign w:val="center"/>
          </w:tcPr>
          <w:p>
            <w:pPr>
              <w:pStyle w:val="29"/>
              <w:jc w:val="center"/>
              <w:rPr>
                <w:rFonts w:ascii="新宋体" w:hAnsi="新宋体" w:eastAsia="新宋体" w:cs="新宋体"/>
                <w:color w:val="auto"/>
                <w:kern w:val="2"/>
              </w:rPr>
            </w:pPr>
          </w:p>
        </w:tc>
        <w:tc>
          <w:tcPr>
            <w:tcW w:w="2082" w:type="dxa"/>
            <w:vAlign w:val="center"/>
          </w:tcPr>
          <w:p>
            <w:pPr>
              <w:pStyle w:val="29"/>
              <w:jc w:val="center"/>
              <w:rPr>
                <w:rFonts w:ascii="新宋体" w:hAnsi="新宋体" w:eastAsia="新宋体" w:cs="新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b/>
                <w:color w:val="auto"/>
                <w:kern w:val="2"/>
              </w:rPr>
            </w:pPr>
            <w:r>
              <w:rPr>
                <w:rFonts w:hint="eastAsia" w:ascii="新宋体" w:hAnsi="新宋体" w:eastAsia="新宋体" w:cs="新宋体"/>
                <w:b/>
                <w:color w:val="auto"/>
                <w:kern w:val="2"/>
              </w:rPr>
              <w:t>投标</w:t>
            </w:r>
            <w:r>
              <w:rPr>
                <w:rFonts w:hint="eastAsia" w:ascii="新宋体" w:hAnsi="新宋体" w:eastAsia="新宋体" w:cs="新宋体"/>
                <w:b/>
                <w:color w:val="auto"/>
                <w:sz w:val="22"/>
              </w:rPr>
              <w:t>总</w:t>
            </w:r>
            <w:r>
              <w:rPr>
                <w:rFonts w:hint="eastAsia" w:ascii="新宋体" w:hAnsi="新宋体" w:eastAsia="新宋体" w:cs="新宋体"/>
                <w:b/>
                <w:color w:val="auto"/>
                <w:kern w:val="2"/>
              </w:rPr>
              <w:t>价（人民币元）</w:t>
            </w:r>
          </w:p>
        </w:tc>
        <w:tc>
          <w:tcPr>
            <w:tcW w:w="6311" w:type="dxa"/>
            <w:gridSpan w:val="2"/>
            <w:vAlign w:val="center"/>
          </w:tcPr>
          <w:p>
            <w:pPr>
              <w:pStyle w:val="29"/>
              <w:rPr>
                <w:rFonts w:ascii="新宋体" w:hAnsi="新宋体" w:eastAsia="新宋体" w:cs="新宋体"/>
                <w:b/>
                <w:color w:val="auto"/>
                <w:kern w:val="2"/>
              </w:rPr>
            </w:pPr>
            <w:r>
              <w:rPr>
                <w:rFonts w:hint="eastAsia" w:ascii="新宋体" w:hAnsi="新宋体" w:eastAsia="新宋体" w:cs="新宋体"/>
                <w:b/>
                <w:color w:val="auto"/>
                <w:kern w:val="2"/>
              </w:rPr>
              <w:t>（大写）</w:t>
            </w:r>
          </w:p>
          <w:p>
            <w:pPr>
              <w:pStyle w:val="29"/>
              <w:rPr>
                <w:rFonts w:ascii="新宋体" w:hAnsi="新宋体" w:eastAsia="新宋体" w:cs="新宋体"/>
                <w:color w:val="auto"/>
                <w:kern w:val="2"/>
              </w:rPr>
            </w:pPr>
            <w:r>
              <w:rPr>
                <w:rFonts w:hint="eastAsia" w:ascii="新宋体" w:hAnsi="新宋体" w:eastAsia="新宋体" w:cs="新宋体"/>
                <w:b/>
                <w:color w:val="auto"/>
                <w:kern w:val="2"/>
              </w:rPr>
              <w:t>（小写）</w:t>
            </w:r>
          </w:p>
        </w:tc>
      </w:tr>
    </w:tbl>
    <w:p>
      <w:pPr>
        <w:spacing w:line="380" w:lineRule="exact"/>
        <w:ind w:left="532" w:leftChars="-66" w:hanging="671" w:hangingChars="304"/>
        <w:rPr>
          <w:rFonts w:ascii="新宋体" w:hAnsi="新宋体" w:eastAsia="新宋体" w:cs="新宋体"/>
          <w:b/>
          <w:color w:val="auto"/>
          <w:sz w:val="22"/>
        </w:rPr>
      </w:pPr>
      <w:r>
        <w:rPr>
          <w:rFonts w:hint="eastAsia" w:ascii="新宋体" w:hAnsi="新宋体" w:eastAsia="新宋体" w:cs="新宋体"/>
          <w:b/>
          <w:color w:val="auto"/>
          <w:sz w:val="22"/>
        </w:rPr>
        <w:t>说明：</w:t>
      </w:r>
    </w:p>
    <w:p>
      <w:pPr>
        <w:spacing w:line="380" w:lineRule="exact"/>
        <w:ind w:left="523" w:leftChars="247" w:hanging="4" w:hangingChars="2"/>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w:t>
      </w:r>
      <w:r>
        <w:rPr>
          <w:rFonts w:hint="eastAsia" w:ascii="新宋体" w:hAnsi="新宋体" w:eastAsia="新宋体" w:cs="新宋体"/>
          <w:bCs/>
          <w:color w:val="auto"/>
          <w:sz w:val="22"/>
          <w:u w:val="single"/>
        </w:rPr>
        <w:t>▲</w:t>
      </w:r>
      <w:r>
        <w:rPr>
          <w:rFonts w:hint="eastAsia" w:ascii="新宋体" w:hAnsi="新宋体" w:eastAsia="新宋体" w:cs="新宋体"/>
          <w:b/>
          <w:color w:val="auto"/>
          <w:sz w:val="22"/>
          <w:u w:val="single"/>
        </w:rPr>
        <w:t>本表中的投标总价须与附件四《投标分项报价表》中的“设备总价”相一致。</w:t>
      </w:r>
    </w:p>
    <w:p>
      <w:pPr>
        <w:spacing w:line="380" w:lineRule="exact"/>
        <w:rPr>
          <w:rFonts w:ascii="新宋体" w:hAnsi="新宋体" w:eastAsia="新宋体" w:cs="新宋体"/>
          <w:b/>
          <w:color w:val="auto"/>
          <w:sz w:val="22"/>
        </w:rPr>
      </w:pPr>
      <w:r>
        <w:rPr>
          <w:rFonts w:hint="eastAsia" w:ascii="新宋体" w:hAnsi="新宋体" w:eastAsia="新宋体" w:cs="新宋体"/>
          <w:color w:val="auto"/>
          <w:sz w:val="22"/>
          <w:szCs w:val="22"/>
        </w:rPr>
        <w:t xml:space="preserve">     </w:t>
      </w:r>
      <w:r>
        <w:rPr>
          <w:rFonts w:hint="eastAsia" w:ascii="新宋体" w:hAnsi="新宋体" w:eastAsia="新宋体" w:cs="新宋体"/>
          <w:b/>
          <w:bCs/>
          <w:color w:val="auto"/>
          <w:sz w:val="22"/>
          <w:szCs w:val="22"/>
        </w:rPr>
        <w:t>2.</w:t>
      </w:r>
      <w:r>
        <w:rPr>
          <w:rFonts w:hint="eastAsia" w:ascii="新宋体" w:hAnsi="新宋体" w:eastAsia="新宋体" w:cs="新宋体"/>
          <w:bCs/>
          <w:color w:val="auto"/>
          <w:sz w:val="22"/>
          <w:u w:val="single"/>
        </w:rPr>
        <w:t>▲</w:t>
      </w:r>
      <w:r>
        <w:rPr>
          <w:rFonts w:hint="eastAsia" w:ascii="新宋体" w:hAnsi="新宋体" w:eastAsia="新宋体" w:cs="新宋体"/>
          <w:b/>
          <w:color w:val="auto"/>
          <w:sz w:val="22"/>
          <w:szCs w:val="22"/>
          <w:u w:val="single"/>
        </w:rPr>
        <w:t>不提供开标一览表的投标文件将被视为未实质性响应招标文件。</w:t>
      </w:r>
    </w:p>
    <w:p>
      <w:pPr>
        <w:spacing w:line="380" w:lineRule="exact"/>
        <w:rPr>
          <w:rFonts w:ascii="新宋体" w:hAnsi="新宋体" w:eastAsia="新宋体" w:cs="新宋体"/>
          <w:color w:val="auto"/>
          <w:sz w:val="22"/>
          <w:szCs w:val="22"/>
        </w:rPr>
      </w:pPr>
    </w:p>
    <w:p>
      <w:pPr>
        <w:spacing w:line="380" w:lineRule="exact"/>
        <w:rPr>
          <w:rFonts w:ascii="新宋体" w:hAnsi="新宋体" w:eastAsia="新宋体" w:cs="新宋体"/>
          <w:color w:val="auto"/>
          <w:sz w:val="22"/>
          <w:szCs w:val="22"/>
        </w:rPr>
      </w:pPr>
    </w:p>
    <w:p>
      <w:pPr>
        <w:spacing w:line="380" w:lineRule="exact"/>
        <w:rPr>
          <w:rFonts w:ascii="新宋体" w:hAnsi="新宋体" w:eastAsia="新宋体" w:cs="新宋体"/>
          <w:color w:val="auto"/>
          <w:sz w:val="22"/>
          <w:szCs w:val="22"/>
        </w:rPr>
      </w:pPr>
    </w:p>
    <w:p>
      <w:pPr>
        <w:spacing w:line="38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tabs>
          <w:tab w:val="left" w:pos="3990"/>
          <w:tab w:val="center" w:pos="4819"/>
        </w:tabs>
        <w:spacing w:line="460" w:lineRule="exact"/>
        <w:jc w:val="left"/>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ab/>
      </w:r>
    </w:p>
    <w:p>
      <w:pPr>
        <w:spacing w:line="380" w:lineRule="exact"/>
        <w:ind w:firstLine="9460" w:firstLineChars="4300"/>
        <w:rPr>
          <w:rFonts w:ascii="新宋体" w:hAnsi="新宋体" w:eastAsia="新宋体" w:cs="新宋体"/>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br w:type="page"/>
      </w:r>
    </w:p>
    <w:p>
      <w:pPr>
        <w:spacing w:line="380" w:lineRule="exact"/>
        <w:rPr>
          <w:rFonts w:ascii="新宋体" w:hAnsi="新宋体" w:eastAsia="新宋体" w:cs="新宋体"/>
          <w:color w:val="auto"/>
          <w:sz w:val="24"/>
        </w:rPr>
      </w:pPr>
      <w:r>
        <w:rPr>
          <w:rFonts w:hint="eastAsia" w:ascii="新宋体" w:hAnsi="新宋体" w:eastAsia="新宋体" w:cs="新宋体"/>
          <w:b/>
          <w:bCs/>
          <w:color w:val="auto"/>
          <w:sz w:val="22"/>
          <w:szCs w:val="22"/>
        </w:rPr>
        <w:t xml:space="preserve">附件四 </w:t>
      </w:r>
    </w:p>
    <w:p>
      <w:pPr>
        <w:spacing w:line="360" w:lineRule="auto"/>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投标分项报价表</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项目名称：</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招标编号：</w:t>
      </w:r>
    </w:p>
    <w:p>
      <w:pPr>
        <w:pStyle w:val="29"/>
        <w:spacing w:line="360" w:lineRule="auto"/>
        <w:ind w:left="469" w:hanging="469"/>
        <w:jc w:val="right"/>
        <w:rPr>
          <w:rFonts w:ascii="新宋体" w:hAnsi="新宋体" w:eastAsia="新宋体" w:cs="新宋体"/>
          <w:color w:val="auto"/>
          <w:sz w:val="22"/>
          <w:szCs w:val="22"/>
        </w:rPr>
      </w:pPr>
      <w:r>
        <w:rPr>
          <w:rFonts w:hint="eastAsia" w:ascii="新宋体" w:hAnsi="新宋体" w:eastAsia="新宋体" w:cs="新宋体"/>
          <w:color w:val="auto"/>
          <w:sz w:val="22"/>
          <w:szCs w:val="22"/>
        </w:rPr>
        <w:t>（价格单位：元人民币）</w:t>
      </w:r>
    </w:p>
    <w:tbl>
      <w:tblPr>
        <w:tblStyle w:val="64"/>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1455"/>
        <w:gridCol w:w="1539"/>
        <w:gridCol w:w="701"/>
        <w:gridCol w:w="1167"/>
        <w:gridCol w:w="95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设备名称</w:t>
            </w:r>
          </w:p>
        </w:tc>
        <w:tc>
          <w:tcPr>
            <w:tcW w:w="14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品牌型号规格、产地</w:t>
            </w:r>
          </w:p>
        </w:tc>
        <w:tc>
          <w:tcPr>
            <w:tcW w:w="1539"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制造厂商名称</w:t>
            </w:r>
          </w:p>
        </w:tc>
        <w:tc>
          <w:tcPr>
            <w:tcW w:w="701"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数量</w:t>
            </w:r>
          </w:p>
        </w:tc>
        <w:tc>
          <w:tcPr>
            <w:tcW w:w="1167"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出厂单价</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（含税）</w:t>
            </w:r>
          </w:p>
        </w:tc>
        <w:tc>
          <w:tcPr>
            <w:tcW w:w="95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总价</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（含税）</w:t>
            </w:r>
          </w:p>
        </w:tc>
        <w:tc>
          <w:tcPr>
            <w:tcW w:w="1457"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免费</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费用名称</w:t>
            </w: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金额</w:t>
            </w: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费用价格（小计）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设备总价（设备价格+费用价格）</w:t>
            </w:r>
          </w:p>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（合计）</w:t>
            </w:r>
          </w:p>
        </w:tc>
        <w:tc>
          <w:tcPr>
            <w:tcW w:w="5817" w:type="dxa"/>
            <w:gridSpan w:val="5"/>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bl>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1、</w:t>
      </w:r>
      <w:r>
        <w:rPr>
          <w:rFonts w:hint="eastAsia" w:ascii="新宋体" w:hAnsi="新宋体" w:eastAsia="新宋体" w:cs="新宋体"/>
          <w:b/>
          <w:bCs/>
          <w:color w:val="auto"/>
          <w:sz w:val="22"/>
          <w:szCs w:val="22"/>
          <w:u w:val="single"/>
        </w:rPr>
        <w:t>▲氩气高频电刀采购预算为人民币15万元整；如投标人设备总价超过采购预算，其投标文件作无效标处理。</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b/>
          <w:bCs/>
          <w:color w:val="auto"/>
          <w:sz w:val="22"/>
          <w:szCs w:val="22"/>
          <w:u w:val="single"/>
        </w:rPr>
        <w:t>▲</w:t>
      </w:r>
      <w:r>
        <w:rPr>
          <w:rFonts w:hint="eastAsia" w:ascii="新宋体" w:hAnsi="新宋体" w:eastAsia="新宋体" w:cs="新宋体"/>
          <w:color w:val="auto"/>
          <w:sz w:val="22"/>
          <w:szCs w:val="22"/>
          <w:u w:val="single"/>
        </w:rPr>
        <w:t>不提供详细分项报价将视为没有实质性响应招标文件，投标文件将被拒绝；</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3、本表可在不改变格式的情况下根据具体需要自行增减；</w:t>
      </w:r>
    </w:p>
    <w:p>
      <w:pPr>
        <w:spacing w:line="380" w:lineRule="exact"/>
        <w:ind w:firstLine="720"/>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pStyle w:val="2"/>
        <w:ind w:firstLine="240"/>
        <w:rPr>
          <w:rFonts w:ascii="新宋体" w:hAnsi="新宋体" w:eastAsia="新宋体" w:cs="新宋体"/>
          <w:color w:val="auto"/>
          <w:sz w:val="24"/>
        </w:rPr>
      </w:pPr>
    </w:p>
    <w:p>
      <w:pPr>
        <w:pStyle w:val="2"/>
        <w:ind w:firstLine="240"/>
        <w:rPr>
          <w:rFonts w:ascii="新宋体" w:hAnsi="新宋体" w:eastAsia="新宋体" w:cs="新宋体"/>
          <w:color w:val="auto"/>
          <w:sz w:val="24"/>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附件五</w:t>
      </w:r>
    </w:p>
    <w:p>
      <w:pPr>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 xml:space="preserve"> (1)技术参数及服务条款应答表</w:t>
      </w:r>
    </w:p>
    <w:p>
      <w:pPr>
        <w:ind w:firstLine="435"/>
        <w:jc w:val="center"/>
        <w:rPr>
          <w:rFonts w:ascii="新宋体" w:hAnsi="新宋体" w:eastAsia="新宋体" w:cs="新宋体"/>
          <w:b/>
          <w:color w:val="auto"/>
          <w:sz w:val="44"/>
        </w:rPr>
      </w:pPr>
    </w:p>
    <w:p>
      <w:pPr>
        <w:overflowPunct w:val="0"/>
        <w:spacing w:line="380" w:lineRule="exact"/>
        <w:rPr>
          <w:rFonts w:ascii="新宋体" w:hAnsi="新宋体" w:eastAsia="新宋体" w:cs="新宋体"/>
          <w:bCs/>
          <w:color w:val="auto"/>
          <w:sz w:val="22"/>
          <w:szCs w:val="22"/>
        </w:rPr>
      </w:pPr>
      <w:r>
        <w:rPr>
          <w:rFonts w:hint="eastAsia" w:ascii="新宋体" w:hAnsi="新宋体" w:eastAsia="新宋体" w:cs="新宋体"/>
          <w:b/>
          <w:color w:val="auto"/>
          <w:sz w:val="24"/>
        </w:rPr>
        <w:t xml:space="preserve">   </w:t>
      </w:r>
      <w:r>
        <w:rPr>
          <w:rFonts w:hint="eastAsia" w:ascii="新宋体" w:hAnsi="新宋体" w:eastAsia="新宋体" w:cs="新宋体"/>
          <w:bCs/>
          <w:color w:val="auto"/>
          <w:sz w:val="22"/>
          <w:szCs w:val="22"/>
        </w:rPr>
        <w:t>项目名称：                                      招标编号：</w:t>
      </w:r>
    </w:p>
    <w:p>
      <w:pPr>
        <w:ind w:firstLine="361" w:firstLineChars="150"/>
        <w:rPr>
          <w:rFonts w:ascii="新宋体" w:hAnsi="新宋体" w:eastAsia="新宋体" w:cs="新宋体"/>
          <w:b/>
          <w:color w:val="auto"/>
          <w:sz w:val="24"/>
        </w:rPr>
      </w:pPr>
    </w:p>
    <w:tbl>
      <w:tblPr>
        <w:tblStyle w:val="64"/>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73"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2538"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招标文件技术规格</w:t>
            </w:r>
          </w:p>
        </w:tc>
        <w:tc>
          <w:tcPr>
            <w:tcW w:w="2326"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实际技术规格</w:t>
            </w:r>
          </w:p>
        </w:tc>
        <w:tc>
          <w:tcPr>
            <w:tcW w:w="2115"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偏离</w:t>
            </w:r>
          </w:p>
        </w:tc>
        <w:tc>
          <w:tcPr>
            <w:tcW w:w="1902"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bl>
    <w:p>
      <w:pPr>
        <w:rPr>
          <w:rFonts w:ascii="新宋体" w:hAnsi="新宋体" w:eastAsia="新宋体" w:cs="新宋体"/>
          <w:color w:val="auto"/>
          <w:sz w:val="24"/>
        </w:rPr>
      </w:pPr>
    </w:p>
    <w:p>
      <w:pPr>
        <w:spacing w:line="400" w:lineRule="exact"/>
        <w:ind w:left="218" w:leftChars="104"/>
        <w:rPr>
          <w:rFonts w:ascii="新宋体" w:hAnsi="新宋体" w:eastAsia="新宋体" w:cs="新宋体"/>
          <w:color w:val="auto"/>
          <w:sz w:val="22"/>
          <w:szCs w:val="22"/>
        </w:rPr>
      </w:pPr>
      <w:r>
        <w:rPr>
          <w:rFonts w:hint="eastAsia" w:ascii="新宋体" w:hAnsi="新宋体" w:eastAsia="新宋体" w:cs="新宋体"/>
          <w:color w:val="auto"/>
          <w:sz w:val="22"/>
          <w:szCs w:val="22"/>
        </w:rPr>
        <w:t>说明：</w:t>
      </w:r>
    </w:p>
    <w:p>
      <w:pPr>
        <w:spacing w:line="400" w:lineRule="exact"/>
        <w:ind w:left="218" w:leftChars="104"/>
        <w:rPr>
          <w:rFonts w:ascii="新宋体" w:hAnsi="新宋体" w:eastAsia="新宋体" w:cs="新宋体"/>
          <w:color w:val="auto"/>
          <w:sz w:val="22"/>
          <w:szCs w:val="22"/>
        </w:rPr>
      </w:pPr>
      <w:r>
        <w:rPr>
          <w:rFonts w:hint="eastAsia" w:ascii="新宋体" w:hAnsi="新宋体" w:eastAsia="新宋体" w:cs="新宋体"/>
          <w:color w:val="auto"/>
          <w:sz w:val="22"/>
          <w:szCs w:val="22"/>
        </w:rPr>
        <w:t>1、如有偏离，必须在偏离表中进行详细对比说明并注明正偏离和负偏离，如不说明偏离情况，视为完全响应招标文件要求无偏离.</w:t>
      </w:r>
    </w:p>
    <w:p>
      <w:pPr>
        <w:spacing w:line="40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u w:val="single"/>
        </w:rPr>
        <w:t>▲不提供此表将视为没有实质性响应招标文件，按无效投标处理。</w:t>
      </w:r>
    </w:p>
    <w:p>
      <w:pPr>
        <w:spacing w:line="400" w:lineRule="exact"/>
        <w:rPr>
          <w:rFonts w:ascii="新宋体" w:hAnsi="新宋体" w:eastAsia="新宋体" w:cs="新宋体"/>
          <w:color w:val="auto"/>
          <w:sz w:val="22"/>
          <w:szCs w:val="22"/>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00" w:lineRule="exact"/>
        <w:ind w:firstLine="770" w:firstLineChars="350"/>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spacing w:line="400" w:lineRule="exact"/>
        <w:rPr>
          <w:rFonts w:ascii="新宋体" w:hAnsi="新宋体" w:eastAsia="新宋体" w:cs="新宋体"/>
          <w:color w:val="auto"/>
          <w:sz w:val="22"/>
          <w:szCs w:val="22"/>
        </w:rPr>
      </w:pPr>
    </w:p>
    <w:p>
      <w:pPr>
        <w:spacing w:line="500" w:lineRule="exact"/>
        <w:jc w:val="center"/>
        <w:rPr>
          <w:rFonts w:ascii="新宋体" w:hAnsi="新宋体" w:eastAsia="新宋体" w:cs="新宋体"/>
          <w:b/>
          <w:bCs/>
          <w:color w:val="auto"/>
          <w:sz w:val="28"/>
          <w:szCs w:val="28"/>
        </w:rPr>
      </w:pPr>
      <w:r>
        <w:rPr>
          <w:rFonts w:hint="eastAsia" w:ascii="新宋体" w:hAnsi="新宋体" w:eastAsia="新宋体" w:cs="新宋体"/>
          <w:color w:val="auto"/>
          <w:sz w:val="24"/>
        </w:rPr>
        <w:br w:type="page"/>
      </w:r>
      <w:r>
        <w:rPr>
          <w:rFonts w:hint="eastAsia" w:ascii="新宋体" w:hAnsi="新宋体" w:eastAsia="新宋体" w:cs="新宋体"/>
          <w:b/>
          <w:bCs/>
          <w:color w:val="auto"/>
          <w:sz w:val="28"/>
          <w:szCs w:val="28"/>
        </w:rPr>
        <w:t>(2)商务条款偏离表</w:t>
      </w:r>
    </w:p>
    <w:p>
      <w:pPr>
        <w:ind w:firstLine="435"/>
        <w:jc w:val="center"/>
        <w:rPr>
          <w:rFonts w:ascii="新宋体" w:hAnsi="新宋体" w:eastAsia="新宋体" w:cs="新宋体"/>
          <w:b/>
          <w:color w:val="auto"/>
          <w:sz w:val="44"/>
        </w:rPr>
      </w:pPr>
    </w:p>
    <w:p>
      <w:pPr>
        <w:overflowPunct w:val="0"/>
        <w:spacing w:line="380" w:lineRule="exact"/>
        <w:rPr>
          <w:rFonts w:ascii="新宋体" w:hAnsi="新宋体" w:eastAsia="新宋体" w:cs="新宋体"/>
          <w:bCs/>
          <w:color w:val="auto"/>
          <w:sz w:val="22"/>
          <w:szCs w:val="22"/>
        </w:rPr>
      </w:pPr>
      <w:r>
        <w:rPr>
          <w:rFonts w:hint="eastAsia" w:ascii="新宋体" w:hAnsi="新宋体" w:eastAsia="新宋体" w:cs="新宋体"/>
          <w:b/>
          <w:color w:val="auto"/>
          <w:sz w:val="22"/>
          <w:szCs w:val="22"/>
        </w:rPr>
        <w:t xml:space="preserve">  </w:t>
      </w:r>
      <w:r>
        <w:rPr>
          <w:rFonts w:hint="eastAsia" w:ascii="新宋体" w:hAnsi="新宋体" w:eastAsia="新宋体" w:cs="新宋体"/>
          <w:bCs/>
          <w:color w:val="auto"/>
          <w:sz w:val="22"/>
          <w:szCs w:val="22"/>
        </w:rPr>
        <w:t>项目名称：                                      招标编号：</w:t>
      </w:r>
    </w:p>
    <w:p>
      <w:pPr>
        <w:ind w:firstLine="221" w:firstLineChars="100"/>
        <w:rPr>
          <w:rFonts w:ascii="新宋体" w:hAnsi="新宋体" w:eastAsia="新宋体" w:cs="新宋体"/>
          <w:b/>
          <w:color w:val="auto"/>
          <w:sz w:val="22"/>
          <w:szCs w:val="22"/>
        </w:rPr>
      </w:pPr>
    </w:p>
    <w:tbl>
      <w:tblPr>
        <w:tblStyle w:val="64"/>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条款内容</w:t>
            </w:r>
          </w:p>
        </w:tc>
        <w:tc>
          <w:tcPr>
            <w:tcW w:w="2184"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招标文件商务条款描述</w:t>
            </w:r>
          </w:p>
        </w:tc>
        <w:tc>
          <w:tcPr>
            <w:tcW w:w="2402"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投标文件商务条款</w:t>
            </w:r>
          </w:p>
        </w:tc>
        <w:tc>
          <w:tcPr>
            <w:tcW w:w="1200"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偏离</w:t>
            </w:r>
          </w:p>
        </w:tc>
        <w:tc>
          <w:tcPr>
            <w:tcW w:w="1588"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付款方式</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交货时间</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交货地点</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售后服务</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1559" w:type="dxa"/>
            <w:vAlign w:val="center"/>
          </w:tcPr>
          <w:p>
            <w:pPr>
              <w:jc w:val="center"/>
              <w:rPr>
                <w:rFonts w:ascii="新宋体" w:hAnsi="新宋体" w:eastAsia="新宋体" w:cs="新宋体"/>
                <w:color w:val="auto"/>
                <w:sz w:val="22"/>
                <w:szCs w:val="22"/>
              </w:rPr>
            </w:pP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bl>
    <w:p>
      <w:pPr>
        <w:spacing w:line="500" w:lineRule="exact"/>
        <w:rPr>
          <w:rFonts w:ascii="新宋体" w:hAnsi="新宋体" w:eastAsia="新宋体" w:cs="新宋体"/>
          <w:color w:val="auto"/>
          <w:sz w:val="24"/>
        </w:rPr>
      </w:pPr>
      <w:r>
        <w:rPr>
          <w:rFonts w:hint="eastAsia" w:ascii="新宋体" w:hAnsi="新宋体" w:eastAsia="新宋体" w:cs="新宋体"/>
          <w:color w:val="auto"/>
          <w:sz w:val="24"/>
        </w:rPr>
        <w:t>说明：</w:t>
      </w:r>
    </w:p>
    <w:p>
      <w:pPr>
        <w:spacing w:line="500" w:lineRule="exact"/>
        <w:rPr>
          <w:rFonts w:ascii="新宋体" w:hAnsi="新宋体" w:eastAsia="新宋体" w:cs="新宋体"/>
          <w:color w:val="auto"/>
          <w:sz w:val="24"/>
        </w:rPr>
      </w:pPr>
      <w:r>
        <w:rPr>
          <w:rFonts w:hint="eastAsia" w:ascii="新宋体" w:hAnsi="新宋体" w:eastAsia="新宋体" w:cs="新宋体"/>
          <w:color w:val="auto"/>
          <w:sz w:val="24"/>
        </w:rPr>
        <w:t>1、如有偏离，必须在偏离表中进行详细对比说明并注明正偏离和负偏离，如不说明偏离情况，视为完全响应招标文件要求无偏离。</w:t>
      </w:r>
    </w:p>
    <w:p>
      <w:pPr>
        <w:spacing w:line="5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u w:val="single"/>
        </w:rPr>
        <w:t>▲不提供此表将视为没有实质性响应招标文件，按无效投标处理；</w:t>
      </w:r>
    </w:p>
    <w:p>
      <w:pPr>
        <w:spacing w:line="500" w:lineRule="exact"/>
        <w:ind w:firstLine="4400" w:firstLineChars="2000"/>
        <w:rPr>
          <w:rFonts w:ascii="新宋体" w:hAnsi="新宋体" w:eastAsia="新宋体" w:cs="新宋体"/>
          <w:color w:val="auto"/>
          <w:sz w:val="22"/>
          <w:szCs w:val="22"/>
        </w:rPr>
      </w:pPr>
    </w:p>
    <w:p>
      <w:pPr>
        <w:spacing w:line="500" w:lineRule="exact"/>
        <w:ind w:firstLine="4400" w:firstLineChars="2000"/>
        <w:rPr>
          <w:rFonts w:ascii="新宋体" w:hAnsi="新宋体" w:eastAsia="新宋体" w:cs="新宋体"/>
          <w:color w:val="auto"/>
          <w:sz w:val="22"/>
          <w:szCs w:val="22"/>
        </w:rPr>
      </w:pPr>
    </w:p>
    <w:p>
      <w:pPr>
        <w:spacing w:line="500" w:lineRule="exact"/>
        <w:ind w:firstLine="4400" w:firstLineChars="2000"/>
        <w:rPr>
          <w:rFonts w:ascii="新宋体" w:hAnsi="新宋体" w:eastAsia="新宋体" w:cs="新宋体"/>
          <w:color w:val="auto"/>
          <w:sz w:val="22"/>
          <w:szCs w:val="22"/>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spacing w:line="460" w:lineRule="exact"/>
        <w:rPr>
          <w:rFonts w:ascii="新宋体" w:hAnsi="新宋体" w:eastAsia="新宋体" w:cs="新宋体"/>
          <w:color w:val="auto"/>
          <w:sz w:val="22"/>
          <w:szCs w:val="22"/>
        </w:rPr>
      </w:pPr>
    </w:p>
    <w:p>
      <w:pPr>
        <w:spacing w:line="460" w:lineRule="exact"/>
        <w:jc w:val="center"/>
        <w:rPr>
          <w:rFonts w:ascii="新宋体" w:hAnsi="新宋体" w:eastAsia="新宋体" w:cs="新宋体"/>
          <w:color w:val="auto"/>
          <w:sz w:val="24"/>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4"/>
        </w:rPr>
        <w:t xml:space="preserve"> </w:t>
      </w:r>
    </w:p>
    <w:p>
      <w:pPr>
        <w:spacing w:line="460" w:lineRule="exact"/>
        <w:jc w:val="center"/>
        <w:rPr>
          <w:rFonts w:ascii="新宋体" w:hAnsi="新宋体" w:eastAsia="新宋体" w:cs="新宋体"/>
          <w:color w:val="auto"/>
          <w:sz w:val="24"/>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color w:val="auto"/>
          <w:sz w:val="28"/>
          <w:szCs w:val="28"/>
        </w:rPr>
        <w:t xml:space="preserve">附件六 </w:t>
      </w:r>
      <w:r>
        <w:rPr>
          <w:rFonts w:hint="eastAsia" w:ascii="新宋体" w:hAnsi="新宋体" w:eastAsia="新宋体" w:cs="新宋体"/>
          <w:b/>
          <w:bCs/>
          <w:color w:val="auto"/>
          <w:sz w:val="22"/>
          <w:szCs w:val="22"/>
        </w:rPr>
        <w:t xml:space="preserve">                           </w:t>
      </w:r>
      <w:r>
        <w:rPr>
          <w:rFonts w:hint="eastAsia" w:ascii="新宋体" w:hAnsi="新宋体" w:eastAsia="新宋体" w:cs="新宋体"/>
          <w:b/>
          <w:color w:val="auto"/>
          <w:sz w:val="28"/>
          <w:szCs w:val="28"/>
        </w:rPr>
        <w:t>资格文件</w:t>
      </w:r>
    </w:p>
    <w:p>
      <w:pPr>
        <w:overflowPunct w:val="0"/>
        <w:spacing w:line="460" w:lineRule="exact"/>
        <w:ind w:firstLine="108" w:firstLineChars="49"/>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（1）企业/事业单位法人有效营业执照、税务登记证（如为多证合一仅需提供营业执照）；</w:t>
      </w:r>
    </w:p>
    <w:p>
      <w:pPr>
        <w:overflowPunct w:val="0"/>
        <w:spacing w:line="460" w:lineRule="exact"/>
        <w:ind w:firstLine="108" w:firstLineChars="49"/>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（2）2018年12月份的资产负债表及损益表（或利润表）(新成立的公司，必须提供情况说明)；</w:t>
      </w:r>
    </w:p>
    <w:p>
      <w:pPr>
        <w:tabs>
          <w:tab w:val="left" w:pos="840"/>
        </w:tabs>
        <w:overflowPunct w:val="0"/>
        <w:spacing w:line="460" w:lineRule="exact"/>
        <w:ind w:left="42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（3）资格文件中及技术资信标中要求的其它资格证明材料;</w:t>
      </w:r>
    </w:p>
    <w:p>
      <w:pPr>
        <w:tabs>
          <w:tab w:val="left" w:pos="840"/>
        </w:tabs>
        <w:overflowPunct w:val="0"/>
        <w:spacing w:line="460" w:lineRule="exact"/>
        <w:ind w:left="420" w:firstLine="221" w:firstLineChars="1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(4)投标人有效的医疗器械经营许可证证书复印件;</w:t>
      </w:r>
    </w:p>
    <w:p>
      <w:pPr>
        <w:overflowPunct w:val="0"/>
        <w:spacing w:line="460" w:lineRule="exact"/>
        <w:rPr>
          <w:rFonts w:ascii="新宋体" w:hAnsi="新宋体" w:eastAsia="新宋体" w:cs="新宋体"/>
          <w:b/>
          <w:bCs/>
          <w:color w:val="auto"/>
          <w:sz w:val="22"/>
          <w:szCs w:val="22"/>
        </w:rPr>
      </w:pPr>
    </w:p>
    <w:p>
      <w:pPr>
        <w:overflowPunct w:val="0"/>
        <w:spacing w:line="460" w:lineRule="exact"/>
        <w:ind w:firstLine="442" w:firstLineChars="2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备注：以上证书、材料若为复印件，须加盖投标人公章。</w:t>
      </w:r>
    </w:p>
    <w:p>
      <w:pPr>
        <w:widowControl/>
        <w:adjustRightInd w:val="0"/>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w:t>
      </w: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color w:val="auto"/>
          <w:kern w:val="0"/>
          <w:sz w:val="22"/>
          <w:szCs w:val="22"/>
        </w:rPr>
      </w:pPr>
      <w:r>
        <w:rPr>
          <w:rFonts w:hint="eastAsia" w:ascii="新宋体" w:hAnsi="新宋体" w:eastAsia="新宋体" w:cs="新宋体"/>
          <w:b/>
          <w:bCs/>
          <w:color w:val="auto"/>
          <w:sz w:val="22"/>
          <w:szCs w:val="22"/>
        </w:rPr>
        <w:t xml:space="preserve">（5）  </w:t>
      </w:r>
      <w:r>
        <w:rPr>
          <w:rFonts w:hint="eastAsia" w:ascii="新宋体" w:hAnsi="新宋体" w:eastAsia="新宋体" w:cs="新宋体"/>
          <w:b/>
          <w:color w:val="auto"/>
          <w:kern w:val="0"/>
          <w:sz w:val="28"/>
          <w:szCs w:val="28"/>
        </w:rPr>
        <w:t>具有履行合同所必需的设备和专业技术能力的承诺函</w:t>
      </w:r>
    </w:p>
    <w:p>
      <w:pPr>
        <w:widowControl/>
        <w:adjustRightInd w:val="0"/>
        <w:snapToGrid w:val="0"/>
        <w:spacing w:line="360" w:lineRule="auto"/>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u w:val="single"/>
        </w:rPr>
        <w:t>（采购人）</w:t>
      </w:r>
      <w:r>
        <w:rPr>
          <w:rFonts w:hint="eastAsia" w:ascii="新宋体" w:hAnsi="新宋体" w:eastAsia="新宋体" w:cs="新宋体"/>
          <w:color w:val="auto"/>
          <w:kern w:val="0"/>
          <w:sz w:val="22"/>
          <w:szCs w:val="22"/>
        </w:rPr>
        <w:t>：</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我方</w:t>
      </w:r>
      <w:r>
        <w:rPr>
          <w:rFonts w:hint="eastAsia" w:ascii="新宋体" w:hAnsi="新宋体" w:eastAsia="新宋体" w:cs="新宋体"/>
          <w:color w:val="auto"/>
          <w:kern w:val="0"/>
          <w:sz w:val="22"/>
          <w:szCs w:val="22"/>
          <w:u w:val="single"/>
        </w:rPr>
        <w:t xml:space="preserve"> （供应商）</w:t>
      </w:r>
      <w:r>
        <w:rPr>
          <w:rFonts w:hint="eastAsia" w:ascii="新宋体" w:hAnsi="新宋体" w:eastAsia="新宋体" w:cs="新宋体"/>
          <w:color w:val="auto"/>
          <w:kern w:val="0"/>
          <w:sz w:val="22"/>
          <w:szCs w:val="22"/>
        </w:rPr>
        <w:t>承诺具有履行合同所必需的设备和专业技术能力。如有虚假，采购人可取消我方任何资格（投标/中标/签订合同），我方对此无任何异议。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供应商名称（盖章） ：</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法定代表人或其授权代表（签字或盖章）：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日期：     年  月  日</w:t>
      </w:r>
    </w:p>
    <w:p>
      <w:pPr>
        <w:spacing w:line="480" w:lineRule="auto"/>
        <w:ind w:left="1260" w:hanging="559"/>
        <w:rPr>
          <w:rFonts w:ascii="新宋体" w:hAnsi="新宋体" w:eastAsia="新宋体" w:cs="新宋体"/>
          <w:b/>
          <w:bCs/>
          <w:color w:val="auto"/>
          <w:sz w:val="22"/>
          <w:szCs w:val="22"/>
        </w:rPr>
      </w:pPr>
    </w:p>
    <w:p>
      <w:pPr>
        <w:widowControl/>
        <w:adjustRightInd w:val="0"/>
        <w:snapToGrid w:val="0"/>
        <w:spacing w:line="360" w:lineRule="auto"/>
        <w:jc w:val="center"/>
        <w:rPr>
          <w:rFonts w:ascii="新宋体" w:hAnsi="新宋体" w:eastAsia="新宋体" w:cs="新宋体"/>
          <w:b/>
          <w:color w:val="auto"/>
          <w:kern w:val="0"/>
          <w:sz w:val="32"/>
          <w:szCs w:val="21"/>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color w:val="auto"/>
          <w:kern w:val="0"/>
          <w:sz w:val="28"/>
          <w:szCs w:val="28"/>
        </w:rPr>
      </w:pPr>
      <w:r>
        <w:rPr>
          <w:rFonts w:hint="eastAsia" w:ascii="新宋体" w:hAnsi="新宋体" w:eastAsia="新宋体" w:cs="新宋体"/>
          <w:b/>
          <w:bCs/>
          <w:color w:val="auto"/>
          <w:sz w:val="22"/>
          <w:szCs w:val="22"/>
        </w:rPr>
        <w:t xml:space="preserve">（6）       </w:t>
      </w:r>
      <w:r>
        <w:rPr>
          <w:rFonts w:hint="eastAsia" w:ascii="新宋体" w:hAnsi="新宋体" w:eastAsia="新宋体" w:cs="新宋体"/>
          <w:b/>
          <w:color w:val="auto"/>
          <w:kern w:val="0"/>
          <w:sz w:val="28"/>
          <w:szCs w:val="28"/>
        </w:rPr>
        <w:t>参加政府采购活动前3年内在经营活动中没有重大违法记录的</w:t>
      </w:r>
    </w:p>
    <w:p>
      <w:pPr>
        <w:widowControl/>
        <w:adjustRightInd w:val="0"/>
        <w:snapToGrid w:val="0"/>
        <w:spacing w:line="360" w:lineRule="auto"/>
        <w:jc w:val="center"/>
        <w:rPr>
          <w:rFonts w:ascii="新宋体" w:hAnsi="新宋体" w:eastAsia="新宋体" w:cs="新宋体"/>
          <w:b/>
          <w:color w:val="auto"/>
          <w:kern w:val="0"/>
          <w:sz w:val="28"/>
          <w:szCs w:val="28"/>
        </w:rPr>
      </w:pPr>
      <w:r>
        <w:rPr>
          <w:rFonts w:hint="eastAsia" w:ascii="新宋体" w:hAnsi="新宋体" w:eastAsia="新宋体" w:cs="新宋体"/>
          <w:b/>
          <w:color w:val="auto"/>
          <w:kern w:val="0"/>
          <w:sz w:val="28"/>
          <w:szCs w:val="28"/>
        </w:rPr>
        <w:t>声明函</w:t>
      </w:r>
    </w:p>
    <w:p>
      <w:pPr>
        <w:widowControl/>
        <w:adjustRightInd w:val="0"/>
        <w:snapToGrid w:val="0"/>
        <w:spacing w:line="360" w:lineRule="auto"/>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u w:val="single"/>
        </w:rPr>
        <w:t>（采购人）</w:t>
      </w:r>
      <w:r>
        <w:rPr>
          <w:rFonts w:hint="eastAsia" w:ascii="新宋体" w:hAnsi="新宋体" w:eastAsia="新宋体" w:cs="新宋体"/>
          <w:color w:val="auto"/>
          <w:kern w:val="0"/>
          <w:sz w:val="22"/>
          <w:szCs w:val="22"/>
        </w:rPr>
        <w:t>：</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我方</w:t>
      </w:r>
      <w:r>
        <w:rPr>
          <w:rFonts w:hint="eastAsia" w:ascii="新宋体" w:hAnsi="新宋体" w:eastAsia="新宋体" w:cs="新宋体"/>
          <w:color w:val="auto"/>
          <w:kern w:val="0"/>
          <w:sz w:val="22"/>
          <w:szCs w:val="22"/>
          <w:u w:val="single"/>
        </w:rPr>
        <w:t xml:space="preserve"> （供应商）</w:t>
      </w:r>
      <w:r>
        <w:rPr>
          <w:rFonts w:hint="eastAsia" w:ascii="新宋体" w:hAnsi="新宋体" w:eastAsia="新宋体" w:cs="新宋体"/>
          <w:color w:val="auto"/>
          <w:kern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供应商名称（盖章） ：</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法定代表人或其授权代表（签字或盖章）：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日期：     年  月  日</w:t>
      </w:r>
    </w:p>
    <w:p>
      <w:pPr>
        <w:spacing w:line="38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br w:type="page"/>
      </w:r>
      <w:r>
        <w:rPr>
          <w:rFonts w:hint="eastAsia" w:ascii="新宋体" w:hAnsi="新宋体" w:eastAsia="新宋体" w:cs="新宋体"/>
          <w:b/>
          <w:bCs/>
          <w:color w:val="auto"/>
          <w:sz w:val="22"/>
          <w:szCs w:val="22"/>
        </w:rPr>
        <w:t>附件七</w:t>
      </w:r>
    </w:p>
    <w:p>
      <w:pPr>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 xml:space="preserve">资信证明文件 </w:t>
      </w:r>
    </w:p>
    <w:p>
      <w:pPr>
        <w:spacing w:line="460" w:lineRule="exact"/>
        <w:jc w:val="center"/>
        <w:rPr>
          <w:rFonts w:ascii="新宋体" w:hAnsi="新宋体" w:eastAsia="新宋体" w:cs="新宋体"/>
          <w:b/>
          <w:bCs/>
          <w:color w:val="auto"/>
          <w:sz w:val="28"/>
          <w:szCs w:val="28"/>
        </w:rPr>
      </w:pPr>
    </w:p>
    <w:p>
      <w:pPr>
        <w:tabs>
          <w:tab w:val="left" w:pos="540"/>
          <w:tab w:val="left" w:pos="780"/>
        </w:tabs>
        <w:spacing w:line="400" w:lineRule="exact"/>
        <w:ind w:left="180"/>
        <w:rPr>
          <w:rFonts w:ascii="新宋体" w:hAnsi="新宋体" w:eastAsia="新宋体" w:cs="新宋体"/>
          <w:b/>
          <w:color w:val="auto"/>
          <w:sz w:val="22"/>
          <w:szCs w:val="22"/>
        </w:rPr>
      </w:pPr>
      <w:r>
        <w:rPr>
          <w:rFonts w:hint="eastAsia" w:ascii="新宋体" w:hAnsi="新宋体" w:eastAsia="新宋体" w:cs="新宋体"/>
          <w:b/>
          <w:color w:val="auto"/>
          <w:sz w:val="22"/>
          <w:szCs w:val="22"/>
        </w:rPr>
        <w:t>(1)                2015年以来所投产品供货业绩情况一览表</w:t>
      </w:r>
    </w:p>
    <w:p>
      <w:pPr>
        <w:tabs>
          <w:tab w:val="left" w:pos="540"/>
          <w:tab w:val="left" w:pos="780"/>
        </w:tabs>
        <w:spacing w:line="400" w:lineRule="exact"/>
        <w:rPr>
          <w:rFonts w:ascii="新宋体" w:hAnsi="新宋体" w:eastAsia="新宋体" w:cs="新宋体"/>
          <w:b/>
          <w:color w:val="auto"/>
          <w:sz w:val="22"/>
          <w:szCs w:val="22"/>
        </w:rPr>
      </w:pPr>
    </w:p>
    <w:tbl>
      <w:tblPr>
        <w:tblStyle w:val="6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545"/>
        <w:gridCol w:w="1588"/>
        <w:gridCol w:w="2042"/>
        <w:gridCol w:w="1476"/>
        <w:gridCol w:w="101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项目名称</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项目单位</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项目金额</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合同日期</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联系人</w:t>
            </w:r>
          </w:p>
        </w:tc>
        <w:tc>
          <w:tcPr>
            <w:tcW w:w="1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bl>
    <w:p>
      <w:pPr>
        <w:spacing w:line="5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此表仅提供了表格形式，供应商应根据需要准备足够数量的表格来填写。</w:t>
      </w:r>
    </w:p>
    <w:p>
      <w:pPr>
        <w:spacing w:line="40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u w:val="thick"/>
        </w:rPr>
        <w:t>2、投标人不按此要求填写此项内容或未按招标文件要求提供业绩证明材料将视为无业绩，不纳入评分范围</w:t>
      </w:r>
      <w:r>
        <w:rPr>
          <w:rFonts w:hint="eastAsia" w:ascii="新宋体" w:hAnsi="新宋体" w:eastAsia="新宋体" w:cs="新宋体"/>
          <w:b/>
          <w:bCs/>
          <w:color w:val="auto"/>
          <w:sz w:val="22"/>
          <w:szCs w:val="22"/>
        </w:rPr>
        <w:t>。</w:t>
      </w:r>
    </w:p>
    <w:p>
      <w:pPr>
        <w:spacing w:line="400" w:lineRule="exact"/>
        <w:ind w:left="180"/>
        <w:rPr>
          <w:rFonts w:ascii="新宋体" w:hAnsi="新宋体" w:eastAsia="新宋体" w:cs="新宋体"/>
          <w:b/>
          <w:color w:val="auto"/>
          <w:sz w:val="22"/>
          <w:szCs w:val="22"/>
        </w:rPr>
      </w:pP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spacing w:line="380" w:lineRule="exact"/>
        <w:rPr>
          <w:rFonts w:ascii="新宋体" w:hAnsi="新宋体" w:eastAsia="新宋体" w:cs="新宋体"/>
          <w:color w:val="auto"/>
          <w:sz w:val="22"/>
          <w:szCs w:val="22"/>
        </w:rPr>
      </w:pPr>
    </w:p>
    <w:p>
      <w:pPr>
        <w:jc w:val="center"/>
        <w:rPr>
          <w:rFonts w:ascii="新宋体" w:hAnsi="新宋体" w:eastAsia="新宋体" w:cs="新宋体"/>
          <w:b/>
          <w:color w:val="auto"/>
          <w:sz w:val="28"/>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（2）                                所投产品配置清单</w:t>
      </w:r>
    </w:p>
    <w:p>
      <w:pPr>
        <w:pStyle w:val="2"/>
        <w:ind w:firstLine="0" w:firstLineChars="0"/>
        <w:rPr>
          <w:color w:val="auto"/>
        </w:rPr>
      </w:pP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项目名称：                                                         招标编号：</w:t>
      </w:r>
    </w:p>
    <w:tbl>
      <w:tblPr>
        <w:tblStyle w:val="64"/>
        <w:tblW w:w="1018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2098"/>
        <w:gridCol w:w="1965"/>
        <w:gridCol w:w="175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设备名称</w:t>
            </w:r>
          </w:p>
        </w:tc>
        <w:tc>
          <w:tcPr>
            <w:tcW w:w="2098"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品牌型号规格、产地</w:t>
            </w:r>
          </w:p>
        </w:tc>
        <w:tc>
          <w:tcPr>
            <w:tcW w:w="196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制造厂商名称</w:t>
            </w:r>
          </w:p>
        </w:tc>
        <w:tc>
          <w:tcPr>
            <w:tcW w:w="17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数量</w:t>
            </w:r>
          </w:p>
        </w:tc>
        <w:tc>
          <w:tcPr>
            <w:tcW w:w="1995"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top w:val="single" w:color="auto" w:sz="12" w:space="0"/>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top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bl>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1、本表根据具体需要自行增减；</w:t>
      </w:r>
    </w:p>
    <w:p>
      <w:pPr>
        <w:spacing w:line="360" w:lineRule="auto"/>
        <w:rPr>
          <w:rFonts w:ascii="新宋体" w:hAnsi="新宋体" w:eastAsia="新宋体" w:cs="新宋体"/>
          <w:color w:val="auto"/>
          <w:sz w:val="22"/>
          <w:szCs w:val="22"/>
        </w:rPr>
      </w:pPr>
    </w:p>
    <w:p>
      <w:pPr>
        <w:spacing w:line="380" w:lineRule="exact"/>
        <w:ind w:firstLine="720"/>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pStyle w:val="2"/>
        <w:ind w:firstLine="200"/>
        <w:rPr>
          <w:rFonts w:eastAsia="新宋体"/>
          <w:color w:val="auto"/>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附件八</w:t>
      </w:r>
    </w:p>
    <w:p>
      <w:pPr>
        <w:spacing w:line="360" w:lineRule="auto"/>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制造商出具的授权函(参考格式)</w:t>
      </w: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Cs/>
          <w:color w:val="auto"/>
          <w:sz w:val="22"/>
          <w:szCs w:val="22"/>
          <w:u w:val="single"/>
        </w:rPr>
      </w:pPr>
      <w:r>
        <w:rPr>
          <w:rFonts w:hint="eastAsia" w:ascii="新宋体" w:hAnsi="新宋体" w:eastAsia="新宋体" w:cs="新宋体"/>
          <w:bCs/>
          <w:color w:val="auto"/>
          <w:sz w:val="22"/>
          <w:szCs w:val="22"/>
        </w:rPr>
        <w:t>致：</w:t>
      </w:r>
      <w:r>
        <w:rPr>
          <w:rFonts w:hint="eastAsia" w:ascii="新宋体" w:hAnsi="新宋体" w:eastAsia="新宋体" w:cs="新宋体"/>
          <w:bCs/>
          <w:color w:val="auto"/>
          <w:sz w:val="22"/>
          <w:szCs w:val="22"/>
          <w:u w:val="single"/>
        </w:rPr>
        <w:t xml:space="preserve">         （采购人）        </w:t>
      </w:r>
    </w:p>
    <w:p>
      <w:pPr>
        <w:spacing w:line="360" w:lineRule="auto"/>
        <w:ind w:firstLine="480"/>
        <w:rPr>
          <w:rFonts w:ascii="新宋体" w:hAnsi="新宋体" w:eastAsia="新宋体" w:cs="新宋体"/>
          <w:color w:val="auto"/>
          <w:sz w:val="22"/>
          <w:szCs w:val="22"/>
        </w:rPr>
      </w:pPr>
      <w:r>
        <w:rPr>
          <w:rFonts w:hint="eastAsia" w:ascii="新宋体" w:hAnsi="新宋体" w:eastAsia="新宋体" w:cs="新宋体"/>
          <w:color w:val="auto"/>
          <w:sz w:val="22"/>
          <w:szCs w:val="22"/>
        </w:rPr>
        <w:t>我们(</w:t>
      </w:r>
      <w:r>
        <w:rPr>
          <w:rFonts w:hint="eastAsia" w:ascii="新宋体" w:hAnsi="新宋体" w:eastAsia="新宋体" w:cs="新宋体"/>
          <w:color w:val="auto"/>
          <w:sz w:val="22"/>
          <w:szCs w:val="22"/>
          <w:u w:val="single"/>
        </w:rPr>
        <w:t>制造商名称</w:t>
      </w:r>
      <w:r>
        <w:rPr>
          <w:rFonts w:hint="eastAsia" w:ascii="新宋体" w:hAnsi="新宋体" w:eastAsia="新宋体" w:cs="新宋体"/>
          <w:color w:val="auto"/>
          <w:sz w:val="22"/>
          <w:szCs w:val="22"/>
        </w:rPr>
        <w:t>)是按</w:t>
      </w:r>
      <w:r>
        <w:rPr>
          <w:rFonts w:hint="eastAsia" w:ascii="新宋体" w:hAnsi="新宋体" w:eastAsia="新宋体" w:cs="新宋体"/>
          <w:color w:val="auto"/>
          <w:sz w:val="22"/>
          <w:szCs w:val="22"/>
          <w:u w:val="single"/>
        </w:rPr>
        <w:t>（国家名称）</w:t>
      </w:r>
      <w:r>
        <w:rPr>
          <w:rFonts w:hint="eastAsia" w:ascii="新宋体" w:hAnsi="新宋体" w:eastAsia="新宋体" w:cs="新宋体"/>
          <w:color w:val="auto"/>
          <w:sz w:val="22"/>
          <w:szCs w:val="22"/>
        </w:rPr>
        <w:t>法律成立的一家制造商，主要营业地点设在（</w:t>
      </w:r>
      <w:r>
        <w:rPr>
          <w:rFonts w:hint="eastAsia" w:ascii="新宋体" w:hAnsi="新宋体" w:eastAsia="新宋体" w:cs="新宋体"/>
          <w:color w:val="auto"/>
          <w:sz w:val="22"/>
          <w:szCs w:val="22"/>
          <w:u w:val="single"/>
        </w:rPr>
        <w:t>制造商地址</w:t>
      </w:r>
      <w:r>
        <w:rPr>
          <w:rFonts w:hint="eastAsia" w:ascii="新宋体" w:hAnsi="新宋体" w:eastAsia="新宋体" w:cs="新宋体"/>
          <w:color w:val="auto"/>
          <w:sz w:val="22"/>
          <w:szCs w:val="22"/>
        </w:rPr>
        <w:t>）。兹指派按中华人民共和国法律成立的，主要营业地点设在（</w:t>
      </w:r>
      <w:r>
        <w:rPr>
          <w:rFonts w:hint="eastAsia" w:ascii="新宋体" w:hAnsi="新宋体" w:eastAsia="新宋体" w:cs="新宋体"/>
          <w:color w:val="auto"/>
          <w:sz w:val="22"/>
          <w:szCs w:val="22"/>
          <w:u w:val="single"/>
        </w:rPr>
        <w:t>供应商地址</w:t>
      </w:r>
      <w:r>
        <w:rPr>
          <w:rFonts w:hint="eastAsia" w:ascii="新宋体" w:hAnsi="新宋体" w:eastAsia="新宋体" w:cs="新宋体"/>
          <w:color w:val="auto"/>
          <w:sz w:val="22"/>
          <w:szCs w:val="22"/>
        </w:rPr>
        <w:t>）的（</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）作为我方真正的和合法代理人进行下列有效的活动：</w:t>
      </w:r>
    </w:p>
    <w:p>
      <w:pPr>
        <w:spacing w:line="360" w:lineRule="auto"/>
        <w:ind w:left="586" w:leftChars="17"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（1）代表我方在中华人民共和国办理贵方</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（采购项目名称、编号）采购项目的报价邀请要求提供的由我方制造的货物的有关事宜，并对我方具有约束力。</w:t>
      </w:r>
    </w:p>
    <w:p>
      <w:pPr>
        <w:spacing w:line="360" w:lineRule="auto"/>
        <w:ind w:left="550"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（2）作为制造商，我方保证以报价合作者来约束自己，并对该报价共同和分别承担报价文件中所规定的义务。</w:t>
      </w:r>
    </w:p>
    <w:p>
      <w:pPr>
        <w:spacing w:line="360" w:lineRule="auto"/>
        <w:ind w:left="550"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（3）我方兹授予（</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）全权办理和履行上述我方为完成上述各点所必须的事宜，具有替换或撤销的全权。兹确认（</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）或其正式授权代表依此合法地办理一切事宜。</w:t>
      </w:r>
    </w:p>
    <w:p>
      <w:pPr>
        <w:spacing w:line="360" w:lineRule="auto"/>
        <w:ind w:firstLine="550" w:firstLineChars="250"/>
        <w:rPr>
          <w:rFonts w:ascii="新宋体" w:hAnsi="新宋体" w:eastAsia="新宋体" w:cs="新宋体"/>
          <w:color w:val="auto"/>
          <w:sz w:val="22"/>
          <w:szCs w:val="22"/>
        </w:rPr>
      </w:pPr>
    </w:p>
    <w:p>
      <w:pPr>
        <w:spacing w:line="360" w:lineRule="auto"/>
        <w:ind w:left="548" w:leftChars="261" w:firstLine="2"/>
        <w:rPr>
          <w:rFonts w:ascii="新宋体" w:hAnsi="新宋体" w:eastAsia="新宋体" w:cs="新宋体"/>
          <w:color w:val="auto"/>
          <w:sz w:val="22"/>
          <w:szCs w:val="22"/>
        </w:rPr>
      </w:pPr>
      <w:r>
        <w:rPr>
          <w:rFonts w:hint="eastAsia" w:ascii="新宋体" w:hAnsi="新宋体" w:eastAsia="新宋体" w:cs="新宋体"/>
          <w:color w:val="auto"/>
          <w:sz w:val="22"/>
          <w:szCs w:val="22"/>
        </w:rPr>
        <w:t>我方于</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年</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月</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日签署本文件，（</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）于</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年</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月</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日接受此件，以此为证。</w:t>
      </w:r>
    </w:p>
    <w:p>
      <w:pPr>
        <w:spacing w:line="360" w:lineRule="auto"/>
        <w:rPr>
          <w:rFonts w:ascii="新宋体" w:hAnsi="新宋体" w:eastAsia="新宋体" w:cs="新宋体"/>
          <w:color w:val="auto"/>
          <w:sz w:val="22"/>
          <w:szCs w:val="22"/>
        </w:rPr>
      </w:pP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p>
    <w:p>
      <w:pPr>
        <w:spacing w:line="360" w:lineRule="auto"/>
        <w:rPr>
          <w:rFonts w:ascii="新宋体" w:hAnsi="新宋体" w:eastAsia="新宋体" w:cs="新宋体"/>
          <w:color w:val="auto"/>
          <w:sz w:val="22"/>
          <w:szCs w:val="22"/>
        </w:rPr>
      </w:pPr>
    </w:p>
    <w:p>
      <w:pPr>
        <w:spacing w:line="360" w:lineRule="auto"/>
        <w:ind w:firstLine="5247" w:firstLineChars="2385"/>
        <w:rPr>
          <w:rFonts w:ascii="新宋体" w:hAnsi="新宋体" w:eastAsia="新宋体" w:cs="新宋体"/>
          <w:color w:val="auto"/>
          <w:sz w:val="22"/>
          <w:szCs w:val="22"/>
        </w:rPr>
      </w:pPr>
      <w:r>
        <w:rPr>
          <w:rFonts w:hint="eastAsia" w:ascii="新宋体" w:hAnsi="新宋体" w:eastAsia="新宋体" w:cs="新宋体"/>
          <w:color w:val="auto"/>
          <w:sz w:val="22"/>
          <w:szCs w:val="22"/>
        </w:rPr>
        <w:t>制造商名称</w:t>
      </w:r>
      <w:r>
        <w:rPr>
          <w:rFonts w:hint="eastAsia" w:ascii="新宋体" w:hAnsi="新宋体" w:eastAsia="新宋体" w:cs="新宋体"/>
          <w:color w:val="auto"/>
          <w:sz w:val="22"/>
          <w:szCs w:val="22"/>
          <w:u w:val="single"/>
        </w:rPr>
        <w:t xml:space="preserve">                          </w:t>
      </w:r>
    </w:p>
    <w:p>
      <w:pPr>
        <w:spacing w:line="360" w:lineRule="auto"/>
        <w:ind w:firstLine="5247" w:firstLineChars="2385"/>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法定代表人姓名和职务</w:t>
      </w:r>
      <w:r>
        <w:rPr>
          <w:rFonts w:hint="eastAsia" w:ascii="新宋体" w:hAnsi="新宋体" w:eastAsia="新宋体" w:cs="新宋体"/>
          <w:color w:val="auto"/>
          <w:sz w:val="22"/>
          <w:szCs w:val="22"/>
          <w:u w:val="single"/>
        </w:rPr>
        <w:t xml:space="preserve">                 </w:t>
      </w:r>
    </w:p>
    <w:p>
      <w:pPr>
        <w:spacing w:line="360" w:lineRule="auto"/>
        <w:ind w:firstLine="5247" w:firstLineChars="2385"/>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签字人姓名 </w:t>
      </w:r>
      <w:r>
        <w:rPr>
          <w:rFonts w:hint="eastAsia" w:ascii="新宋体" w:hAnsi="新宋体" w:eastAsia="新宋体" w:cs="新宋体"/>
          <w:color w:val="auto"/>
          <w:sz w:val="22"/>
          <w:szCs w:val="22"/>
          <w:u w:val="single"/>
        </w:rPr>
        <w:t xml:space="preserve">                        </w:t>
      </w:r>
    </w:p>
    <w:p>
      <w:pPr>
        <w:spacing w:line="380" w:lineRule="exact"/>
        <w:ind w:firstLine="4400" w:firstLineChars="2000"/>
        <w:rPr>
          <w:rFonts w:ascii="新宋体" w:hAnsi="新宋体" w:eastAsia="新宋体" w:cs="新宋体"/>
          <w:color w:val="auto"/>
          <w:sz w:val="22"/>
        </w:rPr>
      </w:pPr>
      <w:r>
        <w:rPr>
          <w:rFonts w:hint="eastAsia" w:ascii="新宋体" w:hAnsi="新宋体" w:eastAsia="新宋体" w:cs="新宋体"/>
          <w:color w:val="auto"/>
          <w:sz w:val="22"/>
          <w:szCs w:val="22"/>
        </w:rPr>
        <w:t xml:space="preserve">        签字人签名</w:t>
      </w:r>
      <w:r>
        <w:rPr>
          <w:rFonts w:hint="eastAsia" w:ascii="新宋体" w:hAnsi="新宋体" w:eastAsia="新宋体" w:cs="新宋体"/>
          <w:color w:val="auto"/>
          <w:sz w:val="22"/>
          <w:szCs w:val="22"/>
          <w:u w:val="single"/>
        </w:rPr>
        <w:t xml:space="preserve">                 </w:t>
      </w: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color w:val="auto"/>
          <w:sz w:val="36"/>
          <w:szCs w:val="36"/>
        </w:rPr>
      </w:pPr>
      <w:r>
        <w:rPr>
          <w:rFonts w:hint="eastAsia" w:ascii="新宋体" w:hAnsi="新宋体" w:eastAsia="新宋体" w:cs="新宋体"/>
          <w:b/>
          <w:bCs/>
          <w:color w:val="auto"/>
          <w:sz w:val="36"/>
          <w:szCs w:val="36"/>
        </w:rPr>
        <w:t>第五部分   招标内容及要求</w:t>
      </w:r>
    </w:p>
    <w:p>
      <w:pPr>
        <w:spacing w:line="360" w:lineRule="auto"/>
        <w:rPr>
          <w:rFonts w:ascii="新宋体" w:hAnsi="新宋体" w:eastAsia="新宋体" w:cs="新宋体"/>
          <w:b/>
          <w:color w:val="auto"/>
          <w:sz w:val="22"/>
          <w:szCs w:val="22"/>
        </w:rPr>
      </w:pPr>
      <w:bookmarkStart w:id="123" w:name="_Toc221356897"/>
      <w:bookmarkStart w:id="124" w:name="_Toc241404209"/>
      <w:bookmarkStart w:id="125" w:name="_Toc222114886"/>
      <w:bookmarkStart w:id="126" w:name="_Toc221356960"/>
      <w:bookmarkStart w:id="127" w:name="_Toc239145361"/>
      <w:bookmarkStart w:id="128" w:name="_Toc221374633"/>
      <w:bookmarkStart w:id="129" w:name="_Toc223716005"/>
      <w:bookmarkStart w:id="130" w:name="_Toc221423626"/>
      <w:bookmarkStart w:id="131" w:name="_Toc265529390"/>
      <w:r>
        <w:rPr>
          <w:rFonts w:hint="eastAsia" w:ascii="新宋体" w:hAnsi="新宋体" w:eastAsia="新宋体" w:cs="新宋体"/>
          <w:b/>
          <w:color w:val="auto"/>
          <w:sz w:val="22"/>
          <w:szCs w:val="22"/>
        </w:rPr>
        <w:t>一、采购原则及规范</w:t>
      </w:r>
    </w:p>
    <w:p>
      <w:pPr>
        <w:pStyle w:val="33"/>
        <w:tabs>
          <w:tab w:val="left" w:pos="540"/>
        </w:tabs>
        <w:spacing w:line="360" w:lineRule="auto"/>
        <w:ind w:firstLine="426" w:firstLineChars="0"/>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w:t>
      </w:r>
      <w:r>
        <w:rPr>
          <w:rFonts w:hint="eastAsia" w:ascii="新宋体" w:hAnsi="新宋体" w:eastAsia="新宋体" w:cs="新宋体"/>
          <w:bCs/>
          <w:color w:val="auto"/>
          <w:kern w:val="0"/>
          <w:sz w:val="22"/>
          <w:szCs w:val="22"/>
          <w:u w:val="single"/>
        </w:rPr>
        <w:t>▲本次招标只设一个标项，投标供应商必须对全部采购内容进行投标，不允许仅对部分内容进行投标报价。</w:t>
      </w:r>
    </w:p>
    <w:p>
      <w:pPr>
        <w:pStyle w:val="33"/>
        <w:tabs>
          <w:tab w:val="left" w:pos="540"/>
        </w:tabs>
        <w:spacing w:line="360" w:lineRule="auto"/>
        <w:ind w:firstLine="426" w:firstLineChars="0"/>
        <w:rPr>
          <w:rFonts w:ascii="新宋体" w:hAnsi="新宋体" w:eastAsia="新宋体" w:cs="新宋体"/>
          <w:color w:val="auto"/>
          <w:sz w:val="22"/>
          <w:szCs w:val="22"/>
        </w:rPr>
      </w:pPr>
      <w:r>
        <w:rPr>
          <w:rFonts w:hint="eastAsia" w:ascii="新宋体" w:hAnsi="新宋体" w:eastAsia="新宋体" w:cs="新宋体"/>
          <w:color w:val="auto"/>
          <w:sz w:val="22"/>
          <w:szCs w:val="22"/>
        </w:rPr>
        <w:t>2、所涉及产品的产品标准、规范，验收标准、规范，应符合国家有关条例及规范，如有新的标准应采纳新标准，如是国外相应标准应得到采购人认可。</w:t>
      </w:r>
    </w:p>
    <w:p>
      <w:pPr>
        <w:spacing w:line="360" w:lineRule="auto"/>
        <w:rPr>
          <w:rFonts w:ascii="新宋体" w:hAnsi="新宋体" w:eastAsia="新宋体" w:cs="新宋体"/>
          <w:b/>
          <w:bCs/>
          <w:color w:val="auto"/>
          <w:sz w:val="22"/>
          <w:szCs w:val="22"/>
          <w:lang w:val="zh-CN"/>
        </w:rPr>
      </w:pPr>
      <w:r>
        <w:rPr>
          <w:rFonts w:hint="eastAsia" w:ascii="新宋体" w:hAnsi="新宋体" w:eastAsia="新宋体" w:cs="新宋体"/>
          <w:b/>
          <w:bCs/>
          <w:color w:val="auto"/>
          <w:sz w:val="22"/>
          <w:szCs w:val="22"/>
        </w:rPr>
        <w:t>二、</w:t>
      </w:r>
      <w:r>
        <w:rPr>
          <w:rFonts w:hint="eastAsia" w:ascii="新宋体" w:hAnsi="新宋体" w:eastAsia="新宋体" w:cs="新宋体"/>
          <w:b/>
          <w:bCs/>
          <w:color w:val="auto"/>
          <w:sz w:val="22"/>
          <w:szCs w:val="22"/>
          <w:lang w:val="zh-CN"/>
        </w:rPr>
        <w:t>采购内容及要求</w:t>
      </w:r>
    </w:p>
    <w:p>
      <w:pPr>
        <w:pStyle w:val="2"/>
        <w:ind w:firstLine="0" w:firstLineChars="0"/>
        <w:rPr>
          <w:rFonts w:ascii="新宋体" w:hAnsi="新宋体" w:eastAsia="新宋体" w:cs="新宋体"/>
          <w:b/>
          <w:bCs/>
          <w:color w:val="auto"/>
          <w:sz w:val="22"/>
          <w:szCs w:val="22"/>
          <w:lang w:val="zh-CN"/>
        </w:rPr>
      </w:pPr>
      <w:r>
        <w:rPr>
          <w:rFonts w:hint="eastAsia" w:ascii="新宋体" w:hAnsi="新宋体" w:eastAsia="新宋体" w:cs="新宋体"/>
          <w:b/>
          <w:bCs/>
          <w:color w:val="auto"/>
          <w:sz w:val="22"/>
          <w:szCs w:val="22"/>
          <w:lang w:val="zh-CN"/>
        </w:rPr>
        <w:t>（一）技术参数内容及要求</w:t>
      </w:r>
    </w:p>
    <w:p>
      <w:pPr>
        <w:pStyle w:val="2"/>
        <w:ind w:firstLine="331" w:firstLineChars="150"/>
        <w:rPr>
          <w:rFonts w:ascii="新宋体" w:hAnsi="新宋体" w:eastAsia="新宋体" w:cs="新宋体"/>
          <w:b/>
          <w:bCs/>
          <w:color w:val="auto"/>
          <w:sz w:val="22"/>
          <w:szCs w:val="22"/>
        </w:rPr>
      </w:pPr>
      <w:r>
        <w:rPr>
          <w:rFonts w:hint="eastAsia" w:ascii="新宋体" w:hAnsi="新宋体" w:eastAsia="新宋体" w:cs="新宋体"/>
          <w:b/>
          <w:color w:val="auto"/>
          <w:sz w:val="22"/>
          <w:szCs w:val="22"/>
        </w:rPr>
        <w:t>1）</w:t>
      </w:r>
      <w:r>
        <w:rPr>
          <w:rFonts w:hint="eastAsia" w:ascii="新宋体" w:hAnsi="新宋体" w:eastAsia="新宋体" w:cs="新宋体"/>
          <w:b/>
          <w:bCs/>
          <w:color w:val="auto"/>
          <w:sz w:val="22"/>
          <w:szCs w:val="22"/>
        </w:rPr>
        <w:t>★</w:t>
      </w:r>
      <w:r>
        <w:rPr>
          <w:rFonts w:hint="eastAsia" w:ascii="新宋体" w:hAnsi="新宋体" w:eastAsia="新宋体" w:cs="新宋体"/>
          <w:b/>
          <w:color w:val="auto"/>
          <w:sz w:val="22"/>
          <w:szCs w:val="22"/>
        </w:rPr>
        <w:t>必须能与</w:t>
      </w:r>
      <w:r>
        <w:rPr>
          <w:rFonts w:hint="eastAsia" w:ascii="华文宋体" w:hAnsi="华文宋体" w:eastAsia="华文宋体"/>
          <w:b/>
          <w:color w:val="auto"/>
          <w:sz w:val="22"/>
          <w:szCs w:val="22"/>
        </w:rPr>
        <w:t>富士</w:t>
      </w:r>
      <w:r>
        <w:rPr>
          <w:rFonts w:ascii="华文宋体" w:hAnsi="华文宋体" w:eastAsia="华文宋体"/>
          <w:b/>
          <w:bCs/>
          <w:color w:val="auto"/>
        </w:rPr>
        <w:t>EG-250</w:t>
      </w:r>
      <w:r>
        <w:rPr>
          <w:rFonts w:hint="eastAsia" w:ascii="华文宋体" w:hAnsi="华文宋体" w:eastAsia="华文宋体"/>
          <w:b/>
          <w:bCs/>
          <w:color w:val="auto"/>
        </w:rPr>
        <w:t>系列内镜适配。</w:t>
      </w:r>
    </w:p>
    <w:p>
      <w:pPr>
        <w:numPr>
          <w:ilvl w:val="0"/>
          <w:numId w:val="2"/>
        </w:numPr>
        <w:spacing w:line="360" w:lineRule="auto"/>
        <w:rPr>
          <w:rFonts w:ascii="华文宋体" w:hAnsi="华文宋体" w:eastAsia="华文宋体" w:cs="新宋体"/>
          <w:color w:val="auto"/>
          <w:sz w:val="22"/>
          <w:szCs w:val="22"/>
        </w:rPr>
      </w:pPr>
      <w:r>
        <w:rPr>
          <w:rFonts w:hint="eastAsia" w:ascii="新宋体" w:hAnsi="新宋体" w:eastAsia="新宋体" w:cs="新宋体"/>
          <w:color w:val="auto"/>
          <w:sz w:val="22"/>
          <w:szCs w:val="22"/>
        </w:rPr>
        <w:t>输出全悬浮，具有CF型防除颤应用部分（单极）。</w:t>
      </w:r>
    </w:p>
    <w:p>
      <w:pPr>
        <w:numPr>
          <w:ilvl w:val="0"/>
          <w:numId w:val="2"/>
        </w:num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输出高频功率的同时，还可输出稳定可靠的氩气流量，可增强切、凝效果，减轻氧化和灼伤，改善环境。</w:t>
      </w:r>
    </w:p>
    <w:p>
      <w:pPr>
        <w:numPr>
          <w:ilvl w:val="0"/>
          <w:numId w:val="2"/>
        </w:numPr>
        <w:spacing w:line="360" w:lineRule="auto"/>
        <w:rPr>
          <w:rFonts w:ascii="新宋体" w:hAnsi="新宋体" w:eastAsia="新宋体" w:cs="新宋体"/>
          <w:b/>
          <w:color w:val="auto"/>
          <w:sz w:val="22"/>
          <w:szCs w:val="22"/>
        </w:rPr>
      </w:pPr>
      <w:r>
        <w:rPr>
          <w:rFonts w:hint="eastAsia" w:ascii="新宋体" w:hAnsi="新宋体" w:eastAsia="新宋体" w:cs="新宋体"/>
          <w:color w:val="auto"/>
          <w:sz w:val="22"/>
          <w:szCs w:val="22"/>
        </w:rPr>
        <w:t>将高频电刀部分和氩气控制部分有机结合，能够真正的使电刀、氩气合一的氩气电刀。</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color w:val="auto"/>
          <w:sz w:val="22"/>
          <w:szCs w:val="22"/>
        </w:rPr>
        <w:t>能满足于需要切割和/或凝血的各类大、中型外科手术，包括普外、胸腹外、心脏科、骨科、泌尿科、妇科以及内镜和水下汽化等手术。止血能力超强，特别适合于出血较多的肝、脾类外科手术。配备相应的消化内镜和附件，可应用于消化道内出血的止血，组织失活，息肉摘除，肿瘤引起的管腔狭窄，支架内组织增生等各种治疗。</w:t>
      </w:r>
    </w:p>
    <w:p>
      <w:pPr>
        <w:numPr>
          <w:ilvl w:val="0"/>
          <w:numId w:val="2"/>
        </w:numPr>
        <w:tabs>
          <w:tab w:val="left" w:pos="360"/>
          <w:tab w:val="left" w:pos="540"/>
        </w:tabs>
        <w:spacing w:line="360" w:lineRule="auto"/>
        <w:rPr>
          <w:rFonts w:ascii="新宋体" w:hAnsi="新宋体" w:eastAsia="新宋体" w:cs="新宋体"/>
          <w:b/>
          <w:color w:val="auto"/>
          <w:sz w:val="22"/>
          <w:szCs w:val="22"/>
        </w:rPr>
      </w:pPr>
      <w:r>
        <w:rPr>
          <w:rFonts w:hint="eastAsia" w:ascii="新宋体" w:hAnsi="新宋体" w:eastAsia="新宋体" w:cs="新宋体"/>
          <w:b/>
          <w:bCs/>
          <w:color w:val="auto"/>
          <w:sz w:val="22"/>
          <w:szCs w:val="22"/>
        </w:rPr>
        <w:t>★</w:t>
      </w:r>
      <w:r>
        <w:rPr>
          <w:rFonts w:hint="eastAsia" w:ascii="新宋体" w:hAnsi="新宋体" w:eastAsia="新宋体" w:cs="新宋体"/>
          <w:b/>
          <w:snapToGrid w:val="0"/>
          <w:color w:val="auto"/>
          <w:sz w:val="22"/>
          <w:szCs w:val="22"/>
        </w:rPr>
        <w:t>具有</w:t>
      </w:r>
      <w:r>
        <w:rPr>
          <w:rFonts w:hint="eastAsia" w:ascii="新宋体" w:hAnsi="新宋体" w:eastAsia="新宋体" w:cs="新宋体"/>
          <w:b/>
          <w:color w:val="auto"/>
          <w:sz w:val="22"/>
          <w:szCs w:val="22"/>
        </w:rPr>
        <w:t>≥</w:t>
      </w:r>
      <w:r>
        <w:rPr>
          <w:rFonts w:hint="eastAsia" w:ascii="新宋体" w:hAnsi="新宋体" w:eastAsia="新宋体" w:cs="新宋体"/>
          <w:b/>
          <w:snapToGrid w:val="0"/>
          <w:color w:val="auto"/>
          <w:sz w:val="22"/>
          <w:szCs w:val="22"/>
        </w:rPr>
        <w:t>4种工作模式，</w:t>
      </w:r>
      <w:r>
        <w:rPr>
          <w:rFonts w:hint="eastAsia" w:ascii="新宋体" w:hAnsi="新宋体" w:eastAsia="新宋体" w:cs="新宋体"/>
          <w:b/>
          <w:color w:val="auto"/>
          <w:sz w:val="22"/>
          <w:szCs w:val="22"/>
        </w:rPr>
        <w:t>汽化工作频率≥</w:t>
      </w:r>
      <w:r>
        <w:rPr>
          <w:rFonts w:hint="eastAsia" w:ascii="新宋体" w:hAnsi="新宋体" w:eastAsia="新宋体" w:cs="新宋体"/>
          <w:b/>
          <w:color w:val="auto"/>
          <w:spacing w:val="8"/>
          <w:sz w:val="22"/>
          <w:szCs w:val="22"/>
        </w:rPr>
        <w:t>512</w:t>
      </w:r>
      <w:r>
        <w:rPr>
          <w:rFonts w:hint="eastAsia" w:ascii="新宋体" w:hAnsi="新宋体" w:eastAsia="新宋体" w:cs="新宋体"/>
          <w:b/>
          <w:color w:val="auto"/>
          <w:sz w:val="22"/>
          <w:szCs w:val="22"/>
        </w:rPr>
        <w:t xml:space="preserve"> kHz，额定功率≥</w:t>
      </w:r>
      <w:r>
        <w:rPr>
          <w:rFonts w:hint="eastAsia" w:ascii="新宋体" w:hAnsi="新宋体" w:eastAsia="新宋体" w:cs="新宋体"/>
          <w:b/>
          <w:color w:val="auto"/>
          <w:spacing w:val="8"/>
          <w:sz w:val="22"/>
          <w:szCs w:val="22"/>
        </w:rPr>
        <w:t>350</w:t>
      </w:r>
      <w:r>
        <w:rPr>
          <w:rFonts w:hint="eastAsia" w:ascii="新宋体" w:hAnsi="新宋体" w:eastAsia="新宋体" w:cs="新宋体"/>
          <w:b/>
          <w:color w:val="auto"/>
          <w:sz w:val="22"/>
          <w:szCs w:val="22"/>
        </w:rPr>
        <w:t xml:space="preserve"> W，额定负载≥</w:t>
      </w:r>
      <w:r>
        <w:rPr>
          <w:rFonts w:hint="eastAsia" w:ascii="新宋体" w:hAnsi="新宋体" w:eastAsia="新宋体" w:cs="新宋体"/>
          <w:b/>
          <w:color w:val="auto"/>
          <w:spacing w:val="8"/>
          <w:sz w:val="22"/>
          <w:szCs w:val="22"/>
        </w:rPr>
        <w:t>500</w:t>
      </w:r>
      <w:r>
        <w:rPr>
          <w:rFonts w:hint="eastAsia" w:ascii="新宋体" w:hAnsi="新宋体" w:eastAsia="新宋体" w:cs="新宋体"/>
          <w:b/>
          <w:color w:val="auto"/>
          <w:sz w:val="22"/>
          <w:szCs w:val="22"/>
        </w:rPr>
        <w:t>Ω；混切工作频率</w:t>
      </w:r>
      <w:r>
        <w:rPr>
          <w:rFonts w:hint="eastAsia" w:ascii="新宋体" w:hAnsi="新宋体" w:eastAsia="新宋体" w:cs="新宋体"/>
          <w:b/>
          <w:color w:val="auto"/>
          <w:spacing w:val="8"/>
          <w:sz w:val="22"/>
          <w:szCs w:val="22"/>
        </w:rPr>
        <w:t>512</w:t>
      </w:r>
      <w:r>
        <w:rPr>
          <w:rFonts w:hint="eastAsia" w:ascii="新宋体" w:hAnsi="新宋体" w:eastAsia="新宋体" w:cs="新宋体"/>
          <w:b/>
          <w:color w:val="auto"/>
          <w:sz w:val="22"/>
          <w:szCs w:val="22"/>
        </w:rPr>
        <w:t>≥ kHz，额定功率≥</w:t>
      </w:r>
      <w:r>
        <w:rPr>
          <w:rFonts w:hint="eastAsia" w:ascii="新宋体" w:hAnsi="新宋体" w:eastAsia="新宋体" w:cs="新宋体"/>
          <w:b/>
          <w:color w:val="auto"/>
          <w:spacing w:val="8"/>
          <w:sz w:val="22"/>
          <w:szCs w:val="22"/>
        </w:rPr>
        <w:t>200</w:t>
      </w:r>
      <w:r>
        <w:rPr>
          <w:rFonts w:hint="eastAsia" w:ascii="新宋体" w:hAnsi="新宋体" w:eastAsia="新宋体" w:cs="新宋体"/>
          <w:b/>
          <w:color w:val="auto"/>
          <w:sz w:val="22"/>
          <w:szCs w:val="22"/>
        </w:rPr>
        <w:t xml:space="preserve"> W，额定负载≥</w:t>
      </w:r>
      <w:r>
        <w:rPr>
          <w:rFonts w:hint="eastAsia" w:ascii="新宋体" w:hAnsi="新宋体" w:eastAsia="新宋体" w:cs="新宋体"/>
          <w:b/>
          <w:color w:val="auto"/>
          <w:spacing w:val="8"/>
          <w:sz w:val="22"/>
          <w:szCs w:val="22"/>
        </w:rPr>
        <w:t>500</w:t>
      </w:r>
      <w:r>
        <w:rPr>
          <w:rFonts w:hint="eastAsia" w:ascii="新宋体" w:hAnsi="新宋体" w:eastAsia="新宋体" w:cs="新宋体"/>
          <w:b/>
          <w:color w:val="auto"/>
          <w:sz w:val="22"/>
          <w:szCs w:val="22"/>
        </w:rPr>
        <w:t>Ω；点凝工作频率≥</w:t>
      </w:r>
      <w:r>
        <w:rPr>
          <w:rFonts w:hint="eastAsia" w:ascii="新宋体" w:hAnsi="新宋体" w:eastAsia="新宋体" w:cs="新宋体"/>
          <w:b/>
          <w:color w:val="auto"/>
          <w:spacing w:val="8"/>
          <w:sz w:val="22"/>
          <w:szCs w:val="22"/>
        </w:rPr>
        <w:t>512</w:t>
      </w:r>
      <w:r>
        <w:rPr>
          <w:rFonts w:hint="eastAsia" w:ascii="新宋体" w:hAnsi="新宋体" w:eastAsia="新宋体" w:cs="新宋体"/>
          <w:b/>
          <w:color w:val="auto"/>
          <w:sz w:val="22"/>
          <w:szCs w:val="22"/>
        </w:rPr>
        <w:t xml:space="preserve"> kHz，额定功率≥</w:t>
      </w:r>
      <w:r>
        <w:rPr>
          <w:rFonts w:hint="eastAsia" w:ascii="新宋体" w:hAnsi="新宋体" w:eastAsia="新宋体" w:cs="新宋体"/>
          <w:b/>
          <w:color w:val="auto"/>
          <w:spacing w:val="8"/>
          <w:sz w:val="22"/>
          <w:szCs w:val="22"/>
        </w:rPr>
        <w:t>120</w:t>
      </w:r>
      <w:r>
        <w:rPr>
          <w:rFonts w:hint="eastAsia" w:ascii="新宋体" w:hAnsi="新宋体" w:eastAsia="新宋体" w:cs="新宋体"/>
          <w:b/>
          <w:color w:val="auto"/>
          <w:sz w:val="22"/>
          <w:szCs w:val="22"/>
        </w:rPr>
        <w:t xml:space="preserve"> W，额定负载≥</w:t>
      </w:r>
      <w:r>
        <w:rPr>
          <w:rFonts w:hint="eastAsia" w:ascii="新宋体" w:hAnsi="新宋体" w:eastAsia="新宋体" w:cs="新宋体"/>
          <w:b/>
          <w:color w:val="auto"/>
          <w:spacing w:val="8"/>
          <w:sz w:val="22"/>
          <w:szCs w:val="22"/>
        </w:rPr>
        <w:t>500</w:t>
      </w:r>
      <w:r>
        <w:rPr>
          <w:rFonts w:hint="eastAsia" w:ascii="新宋体" w:hAnsi="新宋体" w:eastAsia="新宋体" w:cs="新宋体"/>
          <w:b/>
          <w:color w:val="auto"/>
          <w:sz w:val="22"/>
          <w:szCs w:val="22"/>
        </w:rPr>
        <w:t>Ω；面凝工作频率≥</w:t>
      </w:r>
      <w:r>
        <w:rPr>
          <w:rFonts w:hint="eastAsia" w:ascii="新宋体" w:hAnsi="新宋体" w:eastAsia="新宋体" w:cs="新宋体"/>
          <w:b/>
          <w:color w:val="auto"/>
          <w:spacing w:val="8"/>
          <w:sz w:val="22"/>
          <w:szCs w:val="22"/>
        </w:rPr>
        <w:t>512</w:t>
      </w:r>
      <w:r>
        <w:rPr>
          <w:rFonts w:hint="eastAsia" w:ascii="新宋体" w:hAnsi="新宋体" w:eastAsia="新宋体" w:cs="新宋体"/>
          <w:b/>
          <w:color w:val="auto"/>
          <w:sz w:val="22"/>
          <w:szCs w:val="22"/>
        </w:rPr>
        <w:t xml:space="preserve"> kHz，额定功率≥</w:t>
      </w:r>
      <w:r>
        <w:rPr>
          <w:rFonts w:hint="eastAsia" w:ascii="新宋体" w:hAnsi="新宋体" w:eastAsia="新宋体" w:cs="新宋体"/>
          <w:b/>
          <w:color w:val="auto"/>
          <w:spacing w:val="8"/>
          <w:sz w:val="22"/>
          <w:szCs w:val="22"/>
        </w:rPr>
        <w:t>100</w:t>
      </w:r>
      <w:r>
        <w:rPr>
          <w:rFonts w:hint="eastAsia" w:ascii="新宋体" w:hAnsi="新宋体" w:eastAsia="新宋体" w:cs="新宋体"/>
          <w:b/>
          <w:color w:val="auto"/>
          <w:sz w:val="22"/>
          <w:szCs w:val="22"/>
        </w:rPr>
        <w:t xml:space="preserve"> W，额定负载≥</w:t>
      </w:r>
      <w:r>
        <w:rPr>
          <w:rFonts w:hint="eastAsia" w:ascii="新宋体" w:hAnsi="新宋体" w:eastAsia="新宋体" w:cs="新宋体"/>
          <w:b/>
          <w:color w:val="auto"/>
          <w:spacing w:val="8"/>
          <w:sz w:val="22"/>
          <w:szCs w:val="22"/>
        </w:rPr>
        <w:t>500</w:t>
      </w:r>
      <w:r>
        <w:rPr>
          <w:rFonts w:hint="eastAsia" w:ascii="新宋体" w:hAnsi="新宋体" w:eastAsia="新宋体" w:cs="新宋体"/>
          <w:b/>
          <w:color w:val="auto"/>
          <w:sz w:val="22"/>
          <w:szCs w:val="22"/>
        </w:rPr>
        <w:t>Ω</w:t>
      </w:r>
      <w:r>
        <w:rPr>
          <w:rFonts w:hint="eastAsia" w:ascii="新宋体" w:hAnsi="新宋体" w:eastAsia="新宋体" w:cs="新宋体"/>
          <w:b/>
          <w:snapToGrid w:val="0"/>
          <w:color w:val="auto"/>
          <w:spacing w:val="-2"/>
          <w:sz w:val="22"/>
          <w:szCs w:val="22"/>
        </w:rPr>
        <w:t>。</w:t>
      </w:r>
      <w:r>
        <w:rPr>
          <w:rFonts w:hint="eastAsia" w:ascii="新宋体" w:hAnsi="新宋体" w:eastAsia="新宋体" w:cs="新宋体"/>
          <w:b/>
          <w:bCs/>
          <w:color w:val="auto"/>
          <w:sz w:val="22"/>
          <w:szCs w:val="22"/>
        </w:rPr>
        <w:t>各模式均具有氩气增强功能</w:t>
      </w:r>
      <w:r>
        <w:rPr>
          <w:rFonts w:hint="eastAsia" w:ascii="新宋体" w:hAnsi="新宋体" w:eastAsia="新宋体" w:cs="新宋体"/>
          <w:b/>
          <w:color w:val="auto"/>
          <w:sz w:val="22"/>
          <w:szCs w:val="22"/>
        </w:rPr>
        <w:t>，具有间切功能，且具有手控和脚控两种输出控制方式。</w:t>
      </w:r>
    </w:p>
    <w:p>
      <w:pPr>
        <w:numPr>
          <w:ilvl w:val="0"/>
          <w:numId w:val="2"/>
        </w:numPr>
        <w:tabs>
          <w:tab w:val="left" w:pos="360"/>
          <w:tab w:val="left" w:pos="540"/>
        </w:tabs>
        <w:spacing w:line="360" w:lineRule="auto"/>
        <w:rPr>
          <w:rFonts w:ascii="新宋体" w:hAnsi="新宋体" w:eastAsia="新宋体" w:cs="新宋体"/>
          <w:b/>
          <w:bCs/>
          <w:color w:val="auto"/>
          <w:spacing w:val="14"/>
          <w:sz w:val="22"/>
          <w:szCs w:val="22"/>
        </w:rPr>
      </w:pPr>
      <w:r>
        <w:rPr>
          <w:rFonts w:hint="eastAsia" w:ascii="新宋体" w:hAnsi="新宋体" w:eastAsia="新宋体" w:cs="新宋体"/>
          <w:b/>
          <w:color w:val="auto"/>
          <w:sz w:val="22"/>
          <w:szCs w:val="22"/>
        </w:rPr>
        <w:t>可</w:t>
      </w:r>
      <w:r>
        <w:rPr>
          <w:rFonts w:hint="eastAsia" w:ascii="新宋体" w:hAnsi="新宋体" w:eastAsia="新宋体" w:cs="新宋体"/>
          <w:b/>
          <w:color w:val="auto"/>
          <w:spacing w:val="8"/>
          <w:sz w:val="22"/>
          <w:szCs w:val="22"/>
        </w:rPr>
        <w:t>对钢瓶</w:t>
      </w:r>
      <w:r>
        <w:rPr>
          <w:rFonts w:hint="eastAsia" w:ascii="新宋体" w:hAnsi="新宋体" w:eastAsia="新宋体" w:cs="新宋体"/>
          <w:b/>
          <w:color w:val="auto"/>
          <w:sz w:val="22"/>
          <w:szCs w:val="22"/>
        </w:rPr>
        <w:t>氩</w:t>
      </w:r>
      <w:r>
        <w:rPr>
          <w:rFonts w:hint="eastAsia" w:ascii="新宋体" w:hAnsi="新宋体" w:eastAsia="新宋体" w:cs="新宋体"/>
          <w:b/>
          <w:color w:val="auto"/>
          <w:spacing w:val="8"/>
          <w:sz w:val="22"/>
          <w:szCs w:val="22"/>
        </w:rPr>
        <w:t>气压力进行实时检测</w:t>
      </w:r>
      <w:r>
        <w:rPr>
          <w:rFonts w:hint="eastAsia" w:ascii="新宋体" w:hAnsi="新宋体" w:eastAsia="新宋体" w:cs="新宋体"/>
          <w:b/>
          <w:bCs/>
          <w:color w:val="auto"/>
          <w:spacing w:val="14"/>
          <w:sz w:val="22"/>
          <w:szCs w:val="22"/>
        </w:rPr>
        <w:t>。</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color w:val="auto"/>
          <w:spacing w:val="8"/>
          <w:sz w:val="22"/>
          <w:szCs w:val="22"/>
        </w:rPr>
        <w:t>可接普通手控刀或脚控刀进行不用氩气的电手术。</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bCs/>
          <w:color w:val="auto"/>
          <w:spacing w:val="8"/>
          <w:sz w:val="22"/>
          <w:szCs w:val="22"/>
        </w:rPr>
        <w:t>可使用间切功能，间切功能为切启动时切凝自动交替输出，且凝的时间参数可调。</w:t>
      </w:r>
    </w:p>
    <w:p>
      <w:pPr>
        <w:numPr>
          <w:ilvl w:val="0"/>
          <w:numId w:val="2"/>
        </w:numPr>
        <w:tabs>
          <w:tab w:val="left" w:pos="360"/>
          <w:tab w:val="left" w:pos="540"/>
        </w:tabs>
        <w:spacing w:line="360" w:lineRule="auto"/>
        <w:rPr>
          <w:rFonts w:ascii="新宋体" w:hAnsi="新宋体" w:eastAsia="新宋体" w:cs="新宋体"/>
          <w:bCs/>
          <w:color w:val="auto"/>
          <w:spacing w:val="8"/>
          <w:sz w:val="22"/>
          <w:szCs w:val="22"/>
        </w:rPr>
      </w:pPr>
      <w:r>
        <w:rPr>
          <w:rFonts w:hint="eastAsia" w:ascii="新宋体" w:hAnsi="新宋体" w:eastAsia="新宋体" w:cs="新宋体"/>
          <w:color w:val="auto"/>
          <w:spacing w:val="8"/>
          <w:sz w:val="22"/>
          <w:szCs w:val="22"/>
        </w:rPr>
        <w:t>在</w:t>
      </w:r>
      <w:r>
        <w:rPr>
          <w:rFonts w:hint="eastAsia" w:ascii="新宋体" w:hAnsi="新宋体" w:eastAsia="新宋体" w:cs="新宋体"/>
          <w:bCs/>
          <w:color w:val="auto"/>
          <w:spacing w:val="8"/>
          <w:sz w:val="22"/>
          <w:szCs w:val="22"/>
        </w:rPr>
        <w:t>使用“氩刀”方式时，可接脚控电极，由面板通气开关进行通气、关气，由脚踏开关进行切、凝启动，在脚控电极上输出氩气。</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color w:val="auto"/>
          <w:sz w:val="22"/>
          <w:szCs w:val="22"/>
        </w:rPr>
        <w:t>采用CPU控制，记忆上次手术时最佳功率和</w:t>
      </w:r>
      <w:r>
        <w:rPr>
          <w:rFonts w:hint="eastAsia" w:ascii="新宋体" w:hAnsi="新宋体" w:eastAsia="新宋体" w:cs="新宋体"/>
          <w:color w:val="auto"/>
          <w:spacing w:val="8"/>
          <w:sz w:val="22"/>
          <w:szCs w:val="22"/>
        </w:rPr>
        <w:t>流量</w:t>
      </w:r>
      <w:r>
        <w:rPr>
          <w:rFonts w:hint="eastAsia" w:ascii="新宋体" w:hAnsi="新宋体" w:eastAsia="新宋体" w:cs="新宋体"/>
          <w:color w:val="auto"/>
          <w:sz w:val="22"/>
          <w:szCs w:val="22"/>
        </w:rPr>
        <w:t>，当再次开机时可复现上次功率和</w:t>
      </w:r>
      <w:r>
        <w:rPr>
          <w:rFonts w:hint="eastAsia" w:ascii="新宋体" w:hAnsi="新宋体" w:eastAsia="新宋体" w:cs="新宋体"/>
          <w:color w:val="auto"/>
          <w:spacing w:val="8"/>
          <w:sz w:val="22"/>
          <w:szCs w:val="22"/>
        </w:rPr>
        <w:t>流量</w:t>
      </w:r>
      <w:r>
        <w:rPr>
          <w:rFonts w:hint="eastAsia" w:ascii="新宋体" w:hAnsi="新宋体" w:eastAsia="新宋体" w:cs="新宋体"/>
          <w:color w:val="auto"/>
          <w:sz w:val="22"/>
          <w:szCs w:val="22"/>
        </w:rPr>
        <w:t>设定值。</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b/>
          <w:bCs/>
          <w:color w:val="auto"/>
          <w:sz w:val="22"/>
          <w:szCs w:val="22"/>
        </w:rPr>
        <w:t>★</w:t>
      </w:r>
      <w:r>
        <w:rPr>
          <w:rFonts w:hint="eastAsia" w:ascii="新宋体" w:hAnsi="新宋体" w:eastAsia="新宋体" w:cs="新宋体"/>
          <w:b/>
          <w:color w:val="auto"/>
          <w:sz w:val="22"/>
          <w:szCs w:val="22"/>
        </w:rPr>
        <w:t>每次开机时，内设软件检测系统对设备参数进行自检，视情形进行自修复、或显示错误代码、停止输出等功能。</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color w:val="auto"/>
          <w:sz w:val="22"/>
          <w:szCs w:val="22"/>
        </w:rPr>
        <w:t>采用断线自检技术，全程对极板连线进行检测，一旦发现断线情形，立即发出声光报警。</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color w:val="auto"/>
          <w:sz w:val="22"/>
          <w:szCs w:val="22"/>
        </w:rPr>
        <w:t>具有中性电极接触质量监测电路，配用双片中性电极时，可进一步防止患者高频灼伤。采用极板接触质量检测系统对双片极板接触质量进行全程监测，一旦发现短路、开路、接触电阻太大或接触质量降低，立即发出声光报警，切断输出。</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color w:val="auto"/>
          <w:spacing w:val="8"/>
          <w:sz w:val="22"/>
          <w:szCs w:val="22"/>
        </w:rPr>
        <w:t>具有开路、短路、过功率、过电流自动保护功能</w:t>
      </w:r>
      <w:r>
        <w:rPr>
          <w:rFonts w:hint="eastAsia" w:ascii="新宋体" w:hAnsi="新宋体" w:eastAsia="新宋体" w:cs="新宋体"/>
          <w:color w:val="auto"/>
          <w:sz w:val="22"/>
          <w:szCs w:val="22"/>
        </w:rPr>
        <w:t>。</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color w:val="auto"/>
          <w:spacing w:val="8"/>
          <w:sz w:val="22"/>
          <w:szCs w:val="22"/>
        </w:rPr>
        <w:t>具有极板报警和氩气欠压报警，分别有指示灯提示，报警音量大小可调。</w:t>
      </w:r>
    </w:p>
    <w:p>
      <w:pPr>
        <w:numPr>
          <w:ilvl w:val="0"/>
          <w:numId w:val="2"/>
        </w:numPr>
        <w:tabs>
          <w:tab w:val="left" w:pos="360"/>
          <w:tab w:val="left" w:pos="540"/>
        </w:tabs>
        <w:spacing w:line="360" w:lineRule="auto"/>
        <w:rPr>
          <w:rFonts w:ascii="新宋体" w:hAnsi="新宋体" w:eastAsia="新宋体" w:cs="新宋体"/>
          <w:color w:val="auto"/>
          <w:spacing w:val="14"/>
          <w:sz w:val="22"/>
          <w:szCs w:val="22"/>
        </w:rPr>
      </w:pPr>
      <w:r>
        <w:rPr>
          <w:rFonts w:hint="eastAsia" w:ascii="新宋体" w:hAnsi="新宋体" w:eastAsia="新宋体" w:cs="新宋体"/>
          <w:color w:val="auto"/>
          <w:spacing w:val="8"/>
          <w:sz w:val="22"/>
          <w:szCs w:val="22"/>
        </w:rPr>
        <w:t>设有氩气欠压报警保护功能，当钢瓶氩气压力低于3Mpa时，压力指示排灯闪动提醒用户充气，当压力低于2MPa时，欠压红色指示灯点亮，且禁止氩气输出，防止充气时钢瓶受污染（要求氩气纯度≥99.99%）。</w:t>
      </w:r>
    </w:p>
    <w:p>
      <w:pPr>
        <w:numPr>
          <w:ilvl w:val="0"/>
          <w:numId w:val="2"/>
        </w:numPr>
        <w:tabs>
          <w:tab w:val="left" w:pos="360"/>
          <w:tab w:val="left" w:pos="540"/>
        </w:tabs>
        <w:spacing w:line="360" w:lineRule="auto"/>
        <w:rPr>
          <w:rFonts w:ascii="新宋体" w:hAnsi="新宋体" w:eastAsia="新宋体" w:cs="新宋体"/>
          <w:b/>
          <w:bCs/>
          <w:color w:val="auto"/>
          <w:spacing w:val="14"/>
          <w:sz w:val="22"/>
          <w:szCs w:val="22"/>
        </w:rPr>
      </w:pPr>
      <w:r>
        <w:rPr>
          <w:rFonts w:hint="eastAsia" w:ascii="新宋体" w:hAnsi="新宋体" w:eastAsia="新宋体" w:cs="新宋体"/>
          <w:b/>
          <w:bCs/>
          <w:color w:val="auto"/>
          <w:sz w:val="22"/>
          <w:szCs w:val="22"/>
        </w:rPr>
        <w:t>★</w:t>
      </w:r>
      <w:r>
        <w:rPr>
          <w:rFonts w:hint="eastAsia" w:ascii="新宋体" w:hAnsi="新宋体" w:eastAsia="新宋体" w:cs="新宋体"/>
          <w:b/>
          <w:color w:val="auto"/>
          <w:sz w:val="22"/>
          <w:szCs w:val="22"/>
        </w:rPr>
        <w:t>输出功率实行双重采样和双重控制，在单一故障状态下，输出功率仍然维持在标准规定范围内。</w:t>
      </w:r>
      <w:r>
        <w:rPr>
          <w:rFonts w:hint="eastAsia" w:ascii="新宋体" w:hAnsi="新宋体" w:eastAsia="新宋体" w:cs="新宋体"/>
          <w:color w:val="auto"/>
          <w:sz w:val="22"/>
          <w:szCs w:val="22"/>
        </w:rPr>
        <w:t>为恒功率电刀：在正常人体阻抗范围和正常手术所需功率范围内，平均输出功率不随阻抗变化或变化较小。它可保证高低阻抗下切割效果均较佳。可适应需要大功率的手术。</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color w:val="auto"/>
          <w:sz w:val="22"/>
          <w:szCs w:val="22"/>
        </w:rPr>
        <w:t>允许连续使用，允许长时间开路和短路。</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color w:val="auto"/>
          <w:spacing w:val="8"/>
          <w:sz w:val="22"/>
          <w:szCs w:val="22"/>
        </w:rPr>
        <w:t>冷却方式</w:t>
      </w:r>
      <w:r>
        <w:rPr>
          <w:rFonts w:hint="eastAsia" w:ascii="新宋体" w:hAnsi="新宋体" w:eastAsia="新宋体" w:cs="新宋体"/>
          <w:color w:val="auto"/>
          <w:spacing w:val="8"/>
          <w:sz w:val="22"/>
          <w:szCs w:val="22"/>
        </w:rPr>
        <w:tab/>
      </w:r>
      <w:r>
        <w:rPr>
          <w:rFonts w:hint="eastAsia" w:ascii="新宋体" w:hAnsi="新宋体" w:eastAsia="新宋体" w:cs="新宋体"/>
          <w:color w:val="auto"/>
          <w:spacing w:val="8"/>
          <w:sz w:val="22"/>
          <w:szCs w:val="22"/>
        </w:rPr>
        <w:t xml:space="preserve"> : 自然冷却、无风扇或机械风扇冷却。</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color w:val="auto"/>
          <w:sz w:val="22"/>
          <w:szCs w:val="22"/>
        </w:rPr>
        <w:t>采用先进功率器件和高效开关电路制作电刀的高压电源和高频功放，使电刀的高效性和可靠性得到保证。</w:t>
      </w:r>
    </w:p>
    <w:p>
      <w:pPr>
        <w:numPr>
          <w:ilvl w:val="0"/>
          <w:numId w:val="2"/>
        </w:numPr>
        <w:tabs>
          <w:tab w:val="left" w:pos="360"/>
          <w:tab w:val="left" w:pos="540"/>
        </w:tabs>
        <w:spacing w:line="360" w:lineRule="auto"/>
        <w:rPr>
          <w:rFonts w:ascii="新宋体" w:hAnsi="新宋体" w:eastAsia="新宋体" w:cs="新宋体"/>
          <w:bCs/>
          <w:color w:val="auto"/>
          <w:spacing w:val="14"/>
          <w:sz w:val="22"/>
          <w:szCs w:val="22"/>
        </w:rPr>
      </w:pPr>
      <w:r>
        <w:rPr>
          <w:rFonts w:hint="eastAsia" w:ascii="新宋体" w:hAnsi="新宋体" w:eastAsia="新宋体" w:cs="新宋体"/>
          <w:color w:val="auto"/>
          <w:sz w:val="22"/>
          <w:szCs w:val="22"/>
        </w:rPr>
        <w:t>可使用内置</w:t>
      </w:r>
      <w:r>
        <w:rPr>
          <w:rFonts w:hint="eastAsia" w:ascii="新宋体" w:hAnsi="新宋体" w:eastAsia="新宋体" w:cs="新宋体"/>
          <w:color w:val="auto"/>
          <w:spacing w:val="8"/>
          <w:sz w:val="22"/>
          <w:szCs w:val="22"/>
        </w:rPr>
        <w:t>钢瓶进行供气，也可用</w:t>
      </w:r>
      <w:r>
        <w:rPr>
          <w:rFonts w:hint="eastAsia" w:ascii="新宋体" w:hAnsi="新宋体" w:eastAsia="新宋体" w:cs="新宋体"/>
          <w:color w:val="auto"/>
          <w:sz w:val="22"/>
          <w:szCs w:val="22"/>
        </w:rPr>
        <w:t>外接大气瓶</w:t>
      </w:r>
      <w:r>
        <w:rPr>
          <w:rFonts w:hint="eastAsia" w:ascii="新宋体" w:hAnsi="新宋体" w:eastAsia="新宋体" w:cs="新宋体"/>
          <w:color w:val="auto"/>
          <w:spacing w:val="8"/>
          <w:sz w:val="22"/>
          <w:szCs w:val="22"/>
        </w:rPr>
        <w:t>进行供气。</w:t>
      </w:r>
    </w:p>
    <w:p>
      <w:pPr>
        <w:numPr>
          <w:ilvl w:val="0"/>
          <w:numId w:val="2"/>
        </w:numPr>
        <w:tabs>
          <w:tab w:val="left" w:pos="360"/>
          <w:tab w:val="left" w:pos="540"/>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供电电源：单相AC220V±22 V，50Hz±1 Hz，4A。</w:t>
      </w:r>
    </w:p>
    <w:p>
      <w:pPr>
        <w:pStyle w:val="2"/>
        <w:ind w:firstLine="301" w:firstLineChars="150"/>
        <w:rPr>
          <w:rFonts w:eastAsiaTheme="minorEastAsia"/>
          <w:b/>
          <w:color w:val="auto"/>
        </w:rPr>
      </w:pPr>
      <w:r>
        <w:rPr>
          <w:rFonts w:hint="eastAsia" w:eastAsiaTheme="minorEastAsia"/>
          <w:b/>
          <w:color w:val="auto"/>
        </w:rPr>
        <w:t>24）设备生产日期为2019年6月30日以后的产品</w:t>
      </w:r>
    </w:p>
    <w:p>
      <w:pPr>
        <w:tabs>
          <w:tab w:val="left" w:pos="540"/>
        </w:tabs>
        <w:spacing w:line="360" w:lineRule="auto"/>
        <w:rPr>
          <w:rFonts w:ascii="新宋体" w:hAnsi="新宋体" w:eastAsia="新宋体" w:cs="新宋体"/>
          <w:b/>
          <w:bCs/>
          <w:color w:val="auto"/>
          <w:spacing w:val="14"/>
          <w:sz w:val="22"/>
          <w:szCs w:val="22"/>
        </w:rPr>
      </w:pPr>
      <w:r>
        <w:rPr>
          <w:rFonts w:hint="eastAsia" w:ascii="新宋体" w:hAnsi="新宋体" w:eastAsia="新宋体" w:cs="新宋体"/>
          <w:b/>
          <w:bCs/>
          <w:color w:val="auto"/>
          <w:sz w:val="22"/>
          <w:szCs w:val="22"/>
        </w:rPr>
        <w:t>（二）</w:t>
      </w:r>
      <w:r>
        <w:rPr>
          <w:rFonts w:hint="eastAsia" w:ascii="新宋体" w:hAnsi="新宋体" w:eastAsia="新宋体" w:cs="新宋体"/>
          <w:b/>
          <w:bCs/>
          <w:color w:val="auto"/>
          <w:spacing w:val="14"/>
          <w:sz w:val="22"/>
          <w:szCs w:val="22"/>
        </w:rPr>
        <w:t>购置设备主要配件包括但不限于以下物品</w:t>
      </w:r>
    </w:p>
    <w:tbl>
      <w:tblPr>
        <w:tblStyle w:val="64"/>
        <w:tblW w:w="9694" w:type="dxa"/>
        <w:jc w:val="center"/>
        <w:tblInd w:w="-2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tabs>
                <w:tab w:val="left" w:pos="3960"/>
              </w:tabs>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品名</w:t>
            </w:r>
          </w:p>
        </w:tc>
        <w:tc>
          <w:tcPr>
            <w:tcW w:w="2558" w:type="dxa"/>
            <w:vAlign w:val="center"/>
          </w:tcPr>
          <w:p>
            <w:pPr>
              <w:tabs>
                <w:tab w:val="left" w:pos="3960"/>
              </w:tabs>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7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氩气电刀主机（内镜）</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消化道内窥镜喷凝电极</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二支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金属极板</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可高温消毒绝缘容器</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永磁双联脚踏开关</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内窥镜连接电缆（Φ3）</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气桥</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气瓶</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right="-22"/>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扳手</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36" w:type="dxa"/>
            <w:vAlign w:val="center"/>
          </w:tcPr>
          <w:p>
            <w:pPr>
              <w:spacing w:line="360" w:lineRule="auto"/>
              <w:ind w:left="1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电源线</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一根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exact"/>
          <w:jc w:val="center"/>
        </w:trPr>
        <w:tc>
          <w:tcPr>
            <w:tcW w:w="7136" w:type="dxa"/>
            <w:vAlign w:val="center"/>
          </w:tcPr>
          <w:p>
            <w:pPr>
              <w:spacing w:line="360" w:lineRule="auto"/>
              <w:ind w:left="1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所需软件、操作说明书、资质证书</w:t>
            </w:r>
          </w:p>
        </w:tc>
        <w:tc>
          <w:tcPr>
            <w:tcW w:w="2558" w:type="dxa"/>
            <w:vAlign w:val="center"/>
          </w:tcPr>
          <w:p>
            <w:pPr>
              <w:tabs>
                <w:tab w:val="left" w:pos="3960"/>
              </w:tabs>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全套</w:t>
            </w:r>
          </w:p>
        </w:tc>
      </w:tr>
    </w:tbl>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br w:type="column"/>
      </w:r>
      <w:r>
        <w:rPr>
          <w:rFonts w:hint="eastAsia" w:ascii="新宋体" w:hAnsi="新宋体" w:eastAsia="新宋体" w:cs="新宋体"/>
          <w:b/>
          <w:bCs/>
          <w:color w:val="auto"/>
          <w:sz w:val="22"/>
          <w:szCs w:val="22"/>
        </w:rPr>
        <w:t>三、其他要求</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交货期限：</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合同签订后30天内完成合同范围内货物供货、搬运、安装、调试及验收等工作。</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2. 交货地点：</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由卖方送到买方指定地点。 </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3.付款方式： </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合同签订后，所有设备安装完成、验收合格并正常运行后付供货总金额的90%，两年后无质量问题一次性支付供货总金额的10%。</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4、售后服务要求：</w:t>
      </w:r>
    </w:p>
    <w:p>
      <w:pPr>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为了保证设备正常使用，须提供设</w:t>
      </w:r>
      <w:r>
        <w:rPr>
          <w:rFonts w:hint="eastAsia" w:ascii="新宋体" w:hAnsi="新宋体" w:eastAsia="新宋体" w:cs="新宋体"/>
          <w:b/>
          <w:bCs/>
          <w:color w:val="auto"/>
          <w:sz w:val="22"/>
          <w:szCs w:val="22"/>
        </w:rPr>
        <w:t>原厂保修及售后服务承诺</w:t>
      </w:r>
      <w:r>
        <w:rPr>
          <w:rFonts w:hint="eastAsia" w:ascii="新宋体" w:hAnsi="新宋体" w:eastAsia="新宋体" w:cs="新宋体"/>
          <w:b/>
          <w:bCs/>
          <w:color w:val="auto"/>
          <w:szCs w:val="22"/>
        </w:rPr>
        <w:t>。</w:t>
      </w:r>
    </w:p>
    <w:p>
      <w:pPr>
        <w:spacing w:line="360" w:lineRule="auto"/>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4.2、操作培训：安装后操作培训不少以2次。</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4.3、维修培训：投标人需在设备验收前和验收后半年内分别由原厂工程师提供维修培训，培训内容应包括系统原理，各部件功能及原理，拆机培训（如有样机），定期维护保养，消耗品更换，常见故障排除等，并承担所有费用。</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color w:val="auto"/>
          <w:sz w:val="22"/>
          <w:szCs w:val="22"/>
          <w:lang w:val="de-DE"/>
        </w:rPr>
        <w:t>4．4、</w:t>
      </w:r>
      <w:r>
        <w:rPr>
          <w:rFonts w:hint="eastAsia" w:ascii="新宋体" w:hAnsi="新宋体" w:eastAsia="新宋体" w:cs="新宋体"/>
          <w:bCs/>
          <w:color w:val="auto"/>
          <w:sz w:val="22"/>
          <w:szCs w:val="22"/>
        </w:rPr>
        <w:t>验收所需资料：操作培训签字，维修培训签字，定期维护保养流程，操作说明书，操作规程，保养模板，全套维修说明书及电子版（扫描件有效）。</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4.5、入院验收合格条件：设备、配件及耗材全新未拆封。投标文件中响应所有星号（如有）及实三角形条款（不接受任何后补文档及承诺），现场验收时实际响应投标文件中所响应的技术需求，提供投标文件中所响应的配置需求，响应售后服务承诺内容，其他应提供的配置，验收所需资料。</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4．6、验收不合格：因验收不合格需退货的，供应商需赔偿院方因此产生的损失，包括但不限于提供备用机直至院方采购到新设备并安装验收完成。</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4.7、列明质保期满后维修相关报价清单。</w:t>
      </w:r>
    </w:p>
    <w:p>
      <w:pPr>
        <w:spacing w:line="360" w:lineRule="auto"/>
        <w:rPr>
          <w:rFonts w:ascii="新宋体" w:hAnsi="新宋体" w:eastAsia="新宋体" w:cs="新宋体"/>
          <w:b/>
          <w:bCs/>
          <w:color w:val="auto"/>
        </w:rPr>
      </w:pPr>
      <w:r>
        <w:rPr>
          <w:rFonts w:hint="eastAsia" w:ascii="新宋体" w:hAnsi="新宋体" w:eastAsia="新宋体" w:cs="新宋体"/>
          <w:b/>
          <w:bCs/>
          <w:color w:val="auto"/>
        </w:rPr>
        <w:t>5、质量保证期：</w:t>
      </w:r>
    </w:p>
    <w:p>
      <w:pPr>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所有设备整机质保贰年，时间为设备验收合格并正常使用之日起。质保期结束后厂家技术免费巡检每年不少于1次。</w:t>
      </w:r>
    </w:p>
    <w:p>
      <w:pPr>
        <w:pStyle w:val="2"/>
        <w:ind w:firstLine="200"/>
        <w:rPr>
          <w:rFonts w:ascii="新宋体" w:hAnsi="新宋体" w:eastAsia="新宋体" w:cs="新宋体"/>
          <w:color w:val="auto"/>
        </w:rPr>
      </w:pPr>
    </w:p>
    <w:p>
      <w:pPr>
        <w:spacing w:line="360" w:lineRule="auto"/>
        <w:jc w:val="center"/>
        <w:rPr>
          <w:rStyle w:val="170"/>
          <w:rFonts w:ascii="新宋体" w:hAnsi="新宋体" w:eastAsia="新宋体" w:cs="新宋体"/>
          <w:color w:val="auto"/>
          <w:sz w:val="36"/>
          <w:szCs w:val="36"/>
        </w:rPr>
      </w:pPr>
      <w:bookmarkStart w:id="132" w:name="_Toc17731"/>
    </w:p>
    <w:p>
      <w:pPr>
        <w:spacing w:line="360" w:lineRule="auto"/>
        <w:jc w:val="center"/>
        <w:rPr>
          <w:rStyle w:val="170"/>
          <w:rFonts w:ascii="新宋体" w:hAnsi="新宋体" w:eastAsia="新宋体" w:cs="新宋体"/>
          <w:color w:val="auto"/>
          <w:sz w:val="36"/>
          <w:szCs w:val="36"/>
        </w:rPr>
      </w:pPr>
    </w:p>
    <w:p>
      <w:pPr>
        <w:spacing w:line="360" w:lineRule="auto"/>
        <w:jc w:val="center"/>
        <w:rPr>
          <w:rStyle w:val="170"/>
          <w:rFonts w:ascii="新宋体" w:hAnsi="新宋体" w:eastAsia="新宋体" w:cs="新宋体"/>
          <w:color w:val="auto"/>
          <w:sz w:val="36"/>
          <w:szCs w:val="36"/>
        </w:rPr>
      </w:pPr>
    </w:p>
    <w:p>
      <w:pPr>
        <w:spacing w:line="360" w:lineRule="auto"/>
        <w:jc w:val="center"/>
        <w:rPr>
          <w:rStyle w:val="170"/>
          <w:rFonts w:ascii="新宋体" w:hAnsi="新宋体" w:eastAsia="新宋体" w:cs="新宋体"/>
          <w:color w:val="auto"/>
          <w:sz w:val="36"/>
          <w:szCs w:val="36"/>
        </w:rPr>
      </w:pPr>
    </w:p>
    <w:p>
      <w:pPr>
        <w:rPr>
          <w:rStyle w:val="170"/>
          <w:rFonts w:ascii="新宋体" w:hAnsi="新宋体" w:eastAsia="新宋体" w:cs="新宋体"/>
          <w:color w:val="auto"/>
          <w:sz w:val="36"/>
          <w:szCs w:val="36"/>
        </w:rPr>
      </w:pPr>
      <w:r>
        <w:rPr>
          <w:rStyle w:val="170"/>
          <w:rFonts w:hint="eastAsia" w:ascii="新宋体" w:hAnsi="新宋体" w:eastAsia="新宋体" w:cs="新宋体"/>
          <w:color w:val="auto"/>
          <w:sz w:val="36"/>
          <w:szCs w:val="36"/>
        </w:rPr>
        <w:br w:type="page"/>
      </w:r>
    </w:p>
    <w:p>
      <w:pPr>
        <w:spacing w:line="360" w:lineRule="auto"/>
        <w:jc w:val="center"/>
        <w:rPr>
          <w:rStyle w:val="170"/>
          <w:rFonts w:ascii="新宋体" w:hAnsi="新宋体" w:eastAsia="新宋体" w:cs="新宋体"/>
          <w:color w:val="auto"/>
          <w:sz w:val="36"/>
          <w:szCs w:val="36"/>
        </w:rPr>
      </w:pPr>
      <w:r>
        <w:rPr>
          <w:rStyle w:val="170"/>
          <w:rFonts w:hint="eastAsia" w:ascii="新宋体" w:hAnsi="新宋体" w:eastAsia="新宋体" w:cs="新宋体"/>
          <w:color w:val="auto"/>
          <w:sz w:val="36"/>
          <w:szCs w:val="36"/>
        </w:rPr>
        <w:t>第六部分   评标原则及方法</w:t>
      </w:r>
      <w:bookmarkEnd w:id="123"/>
      <w:bookmarkEnd w:id="124"/>
      <w:bookmarkEnd w:id="125"/>
      <w:bookmarkEnd w:id="126"/>
      <w:bookmarkEnd w:id="127"/>
      <w:bookmarkEnd w:id="128"/>
      <w:bookmarkEnd w:id="129"/>
      <w:bookmarkEnd w:id="130"/>
      <w:bookmarkEnd w:id="131"/>
    </w:p>
    <w:bookmarkEnd w:id="132"/>
    <w:p>
      <w:pPr>
        <w:pStyle w:val="3"/>
        <w:spacing w:beforeLines="50" w:afterLines="50" w:line="360" w:lineRule="exact"/>
        <w:rPr>
          <w:rFonts w:ascii="新宋体" w:hAnsi="新宋体" w:eastAsia="新宋体" w:cs="新宋体"/>
          <w:b/>
          <w:color w:val="auto"/>
        </w:rPr>
      </w:pPr>
      <w:bookmarkStart w:id="133" w:name="_Toc221356961"/>
      <w:bookmarkStart w:id="134" w:name="_Toc221356898"/>
      <w:r>
        <w:rPr>
          <w:rFonts w:hint="eastAsia" w:ascii="新宋体" w:hAnsi="新宋体" w:eastAsia="新宋体" w:cs="新宋体"/>
          <w:b/>
          <w:color w:val="auto"/>
        </w:rPr>
        <w:t>一. 总  则</w:t>
      </w:r>
      <w:bookmarkEnd w:id="133"/>
      <w:bookmarkEnd w:id="134"/>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3"/>
        <w:spacing w:beforeLines="50" w:afterLines="50" w:line="360" w:lineRule="exact"/>
        <w:rPr>
          <w:rFonts w:ascii="新宋体" w:hAnsi="新宋体" w:eastAsia="新宋体" w:cs="新宋体"/>
          <w:b/>
          <w:color w:val="auto"/>
        </w:rPr>
      </w:pPr>
      <w:bookmarkStart w:id="135" w:name="_Toc221356899"/>
      <w:bookmarkStart w:id="136" w:name="_Toc221356962"/>
      <w:r>
        <w:rPr>
          <w:rFonts w:hint="eastAsia" w:ascii="新宋体" w:hAnsi="新宋体" w:eastAsia="新宋体" w:cs="新宋体"/>
          <w:b/>
          <w:color w:val="auto"/>
        </w:rPr>
        <w:t>二、评标组织</w:t>
      </w:r>
      <w:bookmarkEnd w:id="135"/>
      <w:bookmarkEnd w:id="136"/>
    </w:p>
    <w:p>
      <w:pPr>
        <w:spacing w:line="3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评标工作由采购人依法组建的评标委员会负责，评标全过程由有关部门指导监督。</w:t>
      </w:r>
    </w:p>
    <w:p>
      <w:pPr>
        <w:pStyle w:val="3"/>
        <w:spacing w:beforeLines="50" w:afterLines="50" w:line="360" w:lineRule="exact"/>
        <w:rPr>
          <w:rFonts w:ascii="新宋体" w:hAnsi="新宋体" w:eastAsia="新宋体" w:cs="新宋体"/>
          <w:b/>
          <w:color w:val="auto"/>
        </w:rPr>
      </w:pPr>
      <w:bookmarkStart w:id="137" w:name="_Toc221356900"/>
      <w:bookmarkStart w:id="138" w:name="_Toc221356963"/>
      <w:r>
        <w:rPr>
          <w:rFonts w:hint="eastAsia" w:ascii="新宋体" w:hAnsi="新宋体" w:eastAsia="新宋体" w:cs="新宋体"/>
          <w:b/>
          <w:color w:val="auto"/>
        </w:rPr>
        <w:t>三、评标程序</w:t>
      </w:r>
      <w:bookmarkEnd w:id="137"/>
      <w:bookmarkEnd w:id="138"/>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szCs w:val="22"/>
        </w:rPr>
        <w:t>1、采购人或采购代理机构对各投标人的投标资格进行审查；然后评标委员会对合格投标人的技术资信标进行评审；对商务（报价）标评审后，根据综合评审结果，提交评审报告。</w:t>
      </w:r>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szCs w:val="22"/>
        </w:rPr>
        <w:t>2、若投标人投标报价超出采购预算或最高限价，其投标文件作无效标处理。若所有投标人投标报价均超出采购预算或最高限价，采购人无法支付，本项目做流标处理。</w:t>
      </w:r>
    </w:p>
    <w:p>
      <w:pPr>
        <w:pStyle w:val="3"/>
        <w:spacing w:beforeLines="50" w:afterLines="50" w:line="360" w:lineRule="exact"/>
        <w:rPr>
          <w:rFonts w:ascii="新宋体" w:hAnsi="新宋体" w:eastAsia="新宋体" w:cs="新宋体"/>
          <w:b/>
          <w:color w:val="auto"/>
        </w:rPr>
      </w:pPr>
      <w:bookmarkStart w:id="139" w:name="_Toc221356964"/>
      <w:bookmarkStart w:id="140" w:name="_Toc221356901"/>
      <w:r>
        <w:rPr>
          <w:rFonts w:hint="eastAsia" w:ascii="新宋体" w:hAnsi="新宋体" w:eastAsia="新宋体" w:cs="新宋体"/>
          <w:b/>
          <w:color w:val="auto"/>
        </w:rPr>
        <w:t>四、评标办法</w:t>
      </w:r>
      <w:bookmarkEnd w:id="139"/>
      <w:bookmarkEnd w:id="140"/>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五、评分细则</w:t>
      </w:r>
    </w:p>
    <w:p>
      <w:pPr>
        <w:spacing w:line="360" w:lineRule="auto"/>
        <w:rPr>
          <w:rFonts w:ascii="新宋体" w:hAnsi="新宋体" w:eastAsia="新宋体" w:cs="新宋体"/>
          <w:color w:val="auto"/>
          <w:sz w:val="22"/>
          <w:szCs w:val="22"/>
        </w:rPr>
      </w:pPr>
      <w:bookmarkStart w:id="141" w:name="_Toc221356903"/>
      <w:bookmarkStart w:id="142" w:name="_Toc221356966"/>
      <w:r>
        <w:rPr>
          <w:rFonts w:hint="eastAsia" w:ascii="新宋体" w:hAnsi="新宋体" w:eastAsia="新宋体" w:cs="新宋体"/>
          <w:color w:val="auto"/>
          <w:sz w:val="22"/>
          <w:szCs w:val="22"/>
        </w:rPr>
        <w:t>一)、技术资信部分的评定（70分）</w:t>
      </w:r>
    </w:p>
    <w:p>
      <w:pPr>
        <w:spacing w:line="360" w:lineRule="auto"/>
        <w:ind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各评委成员按下列评分项目进行评定，每人一张评分计算表，由评标委员会成员各自评定打分并记实名。</w:t>
      </w:r>
      <w:r>
        <w:rPr>
          <w:rFonts w:hint="eastAsia" w:ascii="新宋体" w:hAnsi="新宋体" w:eastAsia="新宋体" w:cs="新宋体"/>
          <w:b/>
          <w:color w:val="auto"/>
          <w:sz w:val="22"/>
          <w:szCs w:val="22"/>
        </w:rPr>
        <w:t>如任何一张表的一项评分内容分值超过规定的范围，则该张表无效。</w:t>
      </w:r>
      <w:r>
        <w:rPr>
          <w:rFonts w:hint="eastAsia" w:ascii="新宋体" w:hAnsi="新宋体" w:eastAsia="新宋体" w:cs="新宋体"/>
          <w:color w:val="auto"/>
          <w:sz w:val="22"/>
          <w:szCs w:val="22"/>
        </w:rPr>
        <w:t>评标委员会成员对各投标人的各项评分内容评分合计值的算术平均值为该投标人技术资信部分的综合得分（四舍五入，保留小数点后二位）。</w:t>
      </w:r>
    </w:p>
    <w:p>
      <w:pPr>
        <w:spacing w:line="360" w:lineRule="auto"/>
        <w:jc w:val="left"/>
        <w:rPr>
          <w:rFonts w:ascii="新宋体" w:hAnsi="新宋体" w:eastAsia="新宋体" w:cs="新宋体"/>
          <w:b/>
          <w:color w:val="auto"/>
          <w:sz w:val="22"/>
          <w:szCs w:val="22"/>
        </w:rPr>
      </w:pPr>
      <w:r>
        <w:rPr>
          <w:rFonts w:hint="eastAsia" w:ascii="新宋体" w:hAnsi="新宋体" w:eastAsia="新宋体" w:cs="新宋体"/>
          <w:b/>
          <w:color w:val="auto"/>
          <w:sz w:val="22"/>
          <w:szCs w:val="22"/>
        </w:rPr>
        <w:t>1、技术资信评分表</w:t>
      </w:r>
    </w:p>
    <w:tbl>
      <w:tblPr>
        <w:tblStyle w:val="64"/>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126"/>
        <w:gridCol w:w="73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29"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5126"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评分内容</w:t>
            </w:r>
          </w:p>
        </w:tc>
        <w:tc>
          <w:tcPr>
            <w:tcW w:w="735"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分值</w:t>
            </w:r>
          </w:p>
        </w:tc>
        <w:tc>
          <w:tcPr>
            <w:tcW w:w="2940"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9630" w:type="dxa"/>
            <w:gridSpan w:val="4"/>
            <w:vAlign w:val="center"/>
          </w:tcPr>
          <w:p>
            <w:pPr>
              <w:spacing w:line="300" w:lineRule="exact"/>
              <w:ind w:left="-50"/>
              <w:rPr>
                <w:rFonts w:ascii="新宋体" w:hAnsi="新宋体" w:eastAsia="新宋体" w:cs="新宋体"/>
                <w:b/>
                <w:color w:val="auto"/>
                <w:sz w:val="22"/>
                <w:szCs w:val="22"/>
              </w:rPr>
            </w:pPr>
            <w:r>
              <w:rPr>
                <w:rFonts w:hint="eastAsia" w:ascii="新宋体" w:hAnsi="新宋体" w:eastAsia="新宋体" w:cs="新宋体"/>
                <w:b/>
                <w:color w:val="auto"/>
                <w:sz w:val="22"/>
                <w:szCs w:val="22"/>
              </w:rPr>
              <w:t>（一）技术部分（60分）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5126" w:type="dxa"/>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根据投标设备配套的合理性，技术指标的先进性。</w:t>
            </w:r>
          </w:p>
        </w:tc>
        <w:tc>
          <w:tcPr>
            <w:tcW w:w="735" w:type="dxa"/>
            <w:vAlign w:val="center"/>
          </w:tcPr>
          <w:p>
            <w:pPr>
              <w:spacing w:line="300" w:lineRule="exact"/>
              <w:jc w:val="center"/>
              <w:rPr>
                <w:rFonts w:ascii="新宋体" w:hAnsi="新宋体" w:eastAsia="新宋体" w:cs="新宋体"/>
                <w:color w:val="auto"/>
                <w:sz w:val="22"/>
              </w:rPr>
            </w:pPr>
            <w:r>
              <w:rPr>
                <w:rFonts w:hint="eastAsia" w:ascii="新宋体" w:hAnsi="新宋体" w:eastAsia="新宋体" w:cs="新宋体"/>
                <w:color w:val="auto"/>
                <w:sz w:val="22"/>
              </w:rPr>
              <w:t>11分</w:t>
            </w:r>
          </w:p>
        </w:tc>
        <w:tc>
          <w:tcPr>
            <w:tcW w:w="2940" w:type="dxa"/>
            <w:vAlign w:val="center"/>
          </w:tcPr>
          <w:p>
            <w:pPr>
              <w:spacing w:line="300" w:lineRule="exact"/>
              <w:jc w:val="center"/>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专家综合评审打分（0-1</w:t>
            </w:r>
            <w:r>
              <w:rPr>
                <w:rFonts w:hint="eastAsia" w:ascii="新宋体" w:hAnsi="新宋体" w:eastAsia="新宋体" w:cs="新宋体"/>
                <w:color w:val="auto"/>
                <w:sz w:val="22"/>
                <w:szCs w:val="22"/>
              </w:rPr>
              <w:t>1</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5126" w:type="dxa"/>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与招标文件第五部分招标内容及要求的设备技术规格</w:t>
            </w:r>
            <w:r>
              <w:rPr>
                <w:rFonts w:hint="eastAsia" w:ascii="新宋体" w:hAnsi="新宋体" w:eastAsia="新宋体" w:cs="新宋体"/>
                <w:color w:val="auto"/>
                <w:kern w:val="0"/>
                <w:sz w:val="22"/>
                <w:szCs w:val="22"/>
                <w:lang w:eastAsia="zh-CN"/>
              </w:rPr>
              <w:t>、</w:t>
            </w:r>
            <w:r>
              <w:rPr>
                <w:rFonts w:hint="eastAsia" w:ascii="新宋体" w:hAnsi="新宋体" w:eastAsia="新宋体" w:cs="新宋体"/>
                <w:color w:val="auto"/>
                <w:kern w:val="0"/>
                <w:sz w:val="22"/>
                <w:szCs w:val="22"/>
              </w:rPr>
              <w:t>配置</w:t>
            </w:r>
            <w:r>
              <w:rPr>
                <w:rFonts w:hint="eastAsia" w:ascii="新宋体" w:hAnsi="新宋体" w:eastAsia="新宋体" w:cs="新宋体"/>
                <w:color w:val="auto"/>
                <w:kern w:val="0"/>
                <w:sz w:val="22"/>
                <w:szCs w:val="22"/>
                <w:lang w:eastAsia="zh-CN"/>
              </w:rPr>
              <w:t>及商务条款</w:t>
            </w:r>
            <w:r>
              <w:rPr>
                <w:rFonts w:hint="eastAsia" w:ascii="新宋体" w:hAnsi="新宋体" w:eastAsia="新宋体" w:cs="新宋体"/>
                <w:color w:val="auto"/>
                <w:kern w:val="0"/>
                <w:sz w:val="22"/>
                <w:szCs w:val="22"/>
              </w:rPr>
              <w:t>对比，标注“★”项为重要参数，有一项负偏离扣4分，其他条款有一项负偏离扣2分，扣完为止。</w:t>
            </w:r>
          </w:p>
        </w:tc>
        <w:tc>
          <w:tcPr>
            <w:tcW w:w="735" w:type="dxa"/>
            <w:vAlign w:val="center"/>
          </w:tcPr>
          <w:p>
            <w:pPr>
              <w:spacing w:line="300" w:lineRule="exact"/>
              <w:jc w:val="center"/>
              <w:rPr>
                <w:rFonts w:ascii="新宋体" w:hAnsi="新宋体" w:eastAsia="新宋体" w:cs="新宋体"/>
                <w:color w:val="auto"/>
                <w:sz w:val="22"/>
              </w:rPr>
            </w:pPr>
            <w:r>
              <w:rPr>
                <w:rFonts w:hint="eastAsia" w:ascii="新宋体" w:hAnsi="新宋体" w:eastAsia="新宋体" w:cs="新宋体"/>
                <w:color w:val="auto"/>
                <w:sz w:val="22"/>
              </w:rPr>
              <w:t>29分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专家评审打分（0-</w:t>
            </w:r>
            <w:r>
              <w:rPr>
                <w:rFonts w:hint="eastAsia" w:ascii="新宋体" w:hAnsi="新宋体" w:eastAsia="新宋体" w:cs="新宋体"/>
                <w:color w:val="auto"/>
                <w:sz w:val="22"/>
                <w:szCs w:val="22"/>
              </w:rPr>
              <w:t>29</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5126" w:type="dxa"/>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sz w:val="22"/>
                <w:szCs w:val="22"/>
                <w:lang w:val="zh-CN"/>
              </w:rPr>
              <w:t>根据所投设备品牌在国内市场知名度、信誉度、用户认可度。</w:t>
            </w:r>
          </w:p>
        </w:tc>
        <w:tc>
          <w:tcPr>
            <w:tcW w:w="735"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rPr>
              <w:t>6分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6</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5126" w:type="dxa"/>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根据投标供应商的资信等级、市场商业信誉、行业认可度等情况横向比较打分。</w:t>
            </w:r>
          </w:p>
        </w:tc>
        <w:tc>
          <w:tcPr>
            <w:tcW w:w="735" w:type="dxa"/>
            <w:vAlign w:val="center"/>
          </w:tcPr>
          <w:p>
            <w:pPr>
              <w:spacing w:line="300" w:lineRule="exact"/>
              <w:jc w:val="center"/>
              <w:rPr>
                <w:rFonts w:ascii="新宋体" w:hAnsi="新宋体" w:eastAsia="新宋体" w:cs="新宋体"/>
                <w:color w:val="auto"/>
                <w:sz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24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5126" w:type="dxa"/>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snapToGrid w:val="0"/>
                <w:color w:val="auto"/>
                <w:sz w:val="22"/>
                <w:szCs w:val="22"/>
              </w:rPr>
              <w:t>投标供应商对质保期内和质保期后的维修和服务方案，</w:t>
            </w:r>
            <w:r>
              <w:rPr>
                <w:rFonts w:hint="eastAsia" w:ascii="新宋体" w:hAnsi="新宋体" w:eastAsia="新宋体" w:cs="新宋体"/>
                <w:color w:val="auto"/>
                <w:sz w:val="22"/>
                <w:szCs w:val="22"/>
              </w:rPr>
              <w:t>包括质保</w:t>
            </w:r>
            <w:r>
              <w:rPr>
                <w:rFonts w:hint="eastAsia" w:ascii="新宋体" w:hAnsi="新宋体" w:eastAsia="新宋体" w:cs="新宋体"/>
                <w:color w:val="auto"/>
                <w:sz w:val="22"/>
                <w:szCs w:val="22"/>
                <w:lang w:val="zh-CN"/>
              </w:rPr>
              <w:t>年限及保修部件范围、产品</w:t>
            </w:r>
            <w:r>
              <w:rPr>
                <w:rFonts w:hint="eastAsia" w:ascii="新宋体" w:hAnsi="新宋体" w:eastAsia="新宋体" w:cs="新宋体"/>
                <w:snapToGrid w:val="0"/>
                <w:color w:val="auto"/>
                <w:sz w:val="22"/>
                <w:szCs w:val="22"/>
              </w:rPr>
              <w:t>质保期内的</w:t>
            </w:r>
            <w:r>
              <w:rPr>
                <w:rFonts w:hint="eastAsia" w:ascii="新宋体" w:hAnsi="新宋体" w:eastAsia="新宋体" w:cs="新宋体"/>
                <w:color w:val="auto"/>
                <w:sz w:val="22"/>
                <w:szCs w:val="22"/>
                <w:lang w:val="zh-CN"/>
              </w:rPr>
              <w:t>维护方案、培训方案、故障响应时间、响应方式、修复时间，技术人员配置，零配件和维修备品备件的供应保障措施</w:t>
            </w:r>
            <w:r>
              <w:rPr>
                <w:rFonts w:hint="eastAsia" w:ascii="新宋体" w:hAnsi="新宋体" w:eastAsia="新宋体" w:cs="新宋体"/>
                <w:color w:val="auto"/>
                <w:sz w:val="22"/>
                <w:szCs w:val="22"/>
              </w:rPr>
              <w:t>。</w:t>
            </w:r>
          </w:p>
        </w:tc>
        <w:tc>
          <w:tcPr>
            <w:tcW w:w="735" w:type="dxa"/>
            <w:vAlign w:val="center"/>
          </w:tcPr>
          <w:p>
            <w:pPr>
              <w:spacing w:line="300" w:lineRule="exact"/>
              <w:ind w:left="-50"/>
              <w:jc w:val="center"/>
              <w:rPr>
                <w:rFonts w:ascii="新宋体" w:hAnsi="新宋体" w:eastAsia="新宋体" w:cs="新宋体"/>
                <w:color w:val="auto"/>
                <w:sz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6</w:t>
            </w:r>
          </w:p>
        </w:tc>
        <w:tc>
          <w:tcPr>
            <w:tcW w:w="5126" w:type="dxa"/>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制造商或代理商在华东地区的售后服务和维修能力综合评定打分</w:t>
            </w:r>
          </w:p>
        </w:tc>
        <w:tc>
          <w:tcPr>
            <w:tcW w:w="735"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24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5126" w:type="dxa"/>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免费提供的备品、备件清单及质保期后供采购人选购零配件和消耗品报价。</w:t>
            </w:r>
          </w:p>
        </w:tc>
        <w:tc>
          <w:tcPr>
            <w:tcW w:w="735"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5126" w:type="dxa"/>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投标供应商提供的超出招标文件要求的实质性优惠条件。</w:t>
            </w:r>
          </w:p>
        </w:tc>
        <w:tc>
          <w:tcPr>
            <w:tcW w:w="735"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rPr>
              <w:t>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630" w:type="dxa"/>
            <w:gridSpan w:val="4"/>
            <w:vAlign w:val="center"/>
          </w:tcPr>
          <w:p>
            <w:pPr>
              <w:spacing w:line="300" w:lineRule="exact"/>
              <w:ind w:left="-50"/>
              <w:rPr>
                <w:rFonts w:ascii="新宋体" w:hAnsi="新宋体" w:eastAsia="新宋体" w:cs="新宋体"/>
                <w:color w:val="auto"/>
                <w:sz w:val="22"/>
                <w:szCs w:val="22"/>
                <w:lang w:val="zh-CN"/>
              </w:rPr>
            </w:pPr>
            <w:r>
              <w:rPr>
                <w:rFonts w:hint="eastAsia" w:ascii="新宋体" w:hAnsi="新宋体" w:eastAsia="新宋体" w:cs="新宋体"/>
                <w:b/>
                <w:color w:val="auto"/>
                <w:sz w:val="22"/>
                <w:szCs w:val="22"/>
              </w:rPr>
              <w:t>（二）资信部分（10分）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5126" w:type="dxa"/>
            <w:vAlign w:val="center"/>
          </w:tcPr>
          <w:p>
            <w:pPr>
              <w:widowControl/>
              <w:spacing w:line="360" w:lineRule="auto"/>
              <w:jc w:val="center"/>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质量保证期情况</w:t>
            </w:r>
          </w:p>
        </w:tc>
        <w:tc>
          <w:tcPr>
            <w:tcW w:w="735"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rPr>
              <w:t>分</w:t>
            </w:r>
          </w:p>
        </w:tc>
        <w:tc>
          <w:tcPr>
            <w:tcW w:w="2940" w:type="dxa"/>
            <w:vAlign w:val="center"/>
          </w:tcPr>
          <w:p>
            <w:pPr>
              <w:spacing w:line="240" w:lineRule="exact"/>
              <w:jc w:val="center"/>
              <w:rPr>
                <w:rFonts w:ascii="新宋体" w:hAnsi="新宋体" w:eastAsia="新宋体" w:cs="新宋体"/>
                <w:color w:val="auto"/>
                <w:sz w:val="22"/>
                <w:szCs w:val="22"/>
                <w:lang w:val="zh-CN"/>
              </w:rPr>
            </w:pPr>
            <w:r>
              <w:rPr>
                <w:rFonts w:hint="eastAsia" w:ascii="新宋体" w:hAnsi="新宋体" w:eastAsia="新宋体" w:cs="新宋体"/>
                <w:snapToGrid w:val="0"/>
                <w:color w:val="auto"/>
                <w:sz w:val="22"/>
                <w:szCs w:val="22"/>
              </w:rPr>
              <w:t>免费质保期2年，再增加1年得1分，无增加不得分。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10</w:t>
            </w:r>
          </w:p>
        </w:tc>
        <w:tc>
          <w:tcPr>
            <w:tcW w:w="5126" w:type="dxa"/>
            <w:vAlign w:val="center"/>
          </w:tcPr>
          <w:p>
            <w:pPr>
              <w:widowControl/>
              <w:spacing w:line="360" w:lineRule="auto"/>
              <w:jc w:val="center"/>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所投同品牌同型号产品2015年以来销售业绩，提供合同文本复印件加盖公章，携带原件备查。</w:t>
            </w:r>
          </w:p>
        </w:tc>
        <w:tc>
          <w:tcPr>
            <w:tcW w:w="735" w:type="dxa"/>
            <w:vAlign w:val="center"/>
          </w:tcPr>
          <w:p>
            <w:pPr>
              <w:spacing w:line="300" w:lineRule="exact"/>
              <w:jc w:val="center"/>
              <w:rPr>
                <w:rFonts w:ascii="新宋体" w:hAnsi="新宋体" w:eastAsia="新宋体" w:cs="新宋体"/>
                <w:color w:val="auto"/>
                <w:sz w:val="22"/>
                <w:szCs w:val="22"/>
                <w:lang w:val="zh-CN"/>
              </w:rPr>
            </w:pPr>
            <w:r>
              <w:rPr>
                <w:rFonts w:hint="eastAsia" w:ascii="新宋体" w:hAnsi="新宋体" w:eastAsia="新宋体" w:cs="新宋体"/>
                <w:color w:val="auto"/>
                <w:sz w:val="22"/>
                <w:szCs w:val="22"/>
              </w:rPr>
              <w:t>7</w:t>
            </w:r>
            <w:r>
              <w:rPr>
                <w:rFonts w:hint="eastAsia" w:ascii="新宋体" w:hAnsi="新宋体" w:eastAsia="新宋体" w:cs="新宋体"/>
                <w:color w:val="auto"/>
                <w:sz w:val="22"/>
              </w:rPr>
              <w:t>分</w:t>
            </w:r>
          </w:p>
        </w:tc>
        <w:tc>
          <w:tcPr>
            <w:tcW w:w="2940" w:type="dxa"/>
            <w:vAlign w:val="center"/>
          </w:tcPr>
          <w:p>
            <w:pPr>
              <w:spacing w:line="3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每台1分,最多得7分。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5126" w:type="dxa"/>
            <w:vAlign w:val="center"/>
          </w:tcPr>
          <w:p>
            <w:pPr>
              <w:spacing w:line="30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环境标志产品、节能产品评审</w:t>
            </w:r>
          </w:p>
        </w:tc>
        <w:tc>
          <w:tcPr>
            <w:tcW w:w="735" w:type="dxa"/>
            <w:vAlign w:val="center"/>
          </w:tcPr>
          <w:p>
            <w:pPr>
              <w:spacing w:line="300" w:lineRule="exact"/>
              <w:jc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0</w:t>
            </w:r>
            <w:r>
              <w:rPr>
                <w:rFonts w:hint="eastAsia" w:ascii="新宋体" w:hAnsi="新宋体" w:eastAsia="新宋体" w:cs="新宋体"/>
                <w:color w:val="auto"/>
                <w:sz w:val="22"/>
              </w:rPr>
              <w:t>-1</w:t>
            </w:r>
          </w:p>
        </w:tc>
        <w:tc>
          <w:tcPr>
            <w:tcW w:w="2940" w:type="dxa"/>
            <w:vAlign w:val="center"/>
          </w:tcPr>
          <w:p>
            <w:pPr>
              <w:spacing w:line="300" w:lineRule="exact"/>
              <w:ind w:firstLine="110" w:firstLineChars="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1)投标产品列入财政部、发展改革委、生态环境部等部门发布的节能产品品目清单且提供国家确定的认证机构出具的、处于有效期之内的节能产品认证证书的，得0.5分。</w:t>
            </w:r>
          </w:p>
          <w:p>
            <w:pPr>
              <w:spacing w:line="300" w:lineRule="exact"/>
              <w:ind w:firstLine="110" w:firstLineChars="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2）投标产品列入财政部、发展改革委、生态环境部等部门发布的环境标志产品品目清单且提供国家确定的认证机构出具的、处于有效期之内的环境标志产品认证证书的，得0.5分。</w:t>
            </w:r>
          </w:p>
        </w:tc>
      </w:tr>
    </w:tbl>
    <w:p>
      <w:pPr>
        <w:spacing w:line="360" w:lineRule="auto"/>
        <w:jc w:val="left"/>
        <w:rPr>
          <w:rFonts w:ascii="新宋体" w:hAnsi="新宋体" w:eastAsia="新宋体" w:cs="新宋体"/>
          <w:b/>
          <w:color w:val="auto"/>
          <w:sz w:val="22"/>
          <w:szCs w:val="22"/>
        </w:rPr>
      </w:pPr>
      <w:r>
        <w:rPr>
          <w:rFonts w:hint="eastAsia" w:ascii="新宋体" w:hAnsi="新宋体" w:eastAsia="新宋体" w:cs="新宋体"/>
          <w:b/>
          <w:color w:val="auto"/>
          <w:sz w:val="22"/>
          <w:szCs w:val="22"/>
        </w:rPr>
        <w:t>2）价格评分</w:t>
      </w:r>
    </w:p>
    <w:p>
      <w:pPr>
        <w:spacing w:line="360" w:lineRule="auto"/>
        <w:ind w:firstLine="442" w:firstLineChars="200"/>
        <w:jc w:val="left"/>
        <w:rPr>
          <w:rFonts w:ascii="新宋体" w:hAnsi="新宋体" w:eastAsia="新宋体" w:cs="新宋体"/>
          <w:b/>
          <w:color w:val="auto"/>
          <w:sz w:val="22"/>
          <w:szCs w:val="22"/>
        </w:rPr>
      </w:pPr>
      <w:r>
        <w:rPr>
          <w:rFonts w:hint="eastAsia" w:ascii="新宋体" w:hAnsi="新宋体" w:eastAsia="新宋体" w:cs="新宋体"/>
          <w:b/>
          <w:color w:val="auto"/>
          <w:sz w:val="22"/>
          <w:szCs w:val="22"/>
        </w:rPr>
        <w:t>1、政策功能的评标价格扣除</w:t>
      </w:r>
    </w:p>
    <w:p>
      <w:pPr>
        <w:spacing w:line="360" w:lineRule="auto"/>
        <w:ind w:firstLine="440" w:firstLineChars="200"/>
        <w:jc w:val="left"/>
        <w:rPr>
          <w:rFonts w:ascii="新宋体" w:hAnsi="新宋体" w:eastAsia="新宋体" w:cs="新宋体"/>
          <w:color w:val="auto"/>
          <w:sz w:val="22"/>
          <w:szCs w:val="22"/>
        </w:rPr>
      </w:pPr>
      <w:r>
        <w:rPr>
          <w:rFonts w:hint="eastAsia" w:ascii="新宋体" w:hAnsi="新宋体" w:eastAsia="新宋体" w:cs="新宋体"/>
          <w:color w:val="auto"/>
          <w:sz w:val="22"/>
          <w:szCs w:val="22"/>
        </w:rPr>
        <w:t>（1）“评标价格”是指符合相关政策要求，按一定比例对投标报价进行政策功能的扣除后，仅用作价格分评分的价格（中标价及合同价仍以其投标报价为准）。</w:t>
      </w:r>
    </w:p>
    <w:p>
      <w:pPr>
        <w:spacing w:line="360" w:lineRule="auto"/>
        <w:ind w:firstLine="440" w:firstLineChars="200"/>
        <w:jc w:val="left"/>
        <w:rPr>
          <w:rFonts w:ascii="新宋体" w:hAnsi="新宋体" w:eastAsia="新宋体" w:cs="新宋体"/>
          <w:color w:val="auto"/>
          <w:sz w:val="22"/>
          <w:szCs w:val="22"/>
        </w:rPr>
      </w:pPr>
      <w:r>
        <w:rPr>
          <w:rFonts w:hint="eastAsia" w:ascii="新宋体" w:hAnsi="新宋体" w:eastAsia="新宋体" w:cs="新宋体"/>
          <w:color w:val="auto"/>
          <w:sz w:val="22"/>
          <w:szCs w:val="22"/>
        </w:rPr>
        <w:t>（2）投标人为小微（或监狱</w:t>
      </w:r>
      <w:r>
        <w:rPr>
          <w:rFonts w:hint="eastAsia" w:ascii="新宋体" w:hAnsi="新宋体" w:eastAsia="新宋体" w:cs="新宋体"/>
          <w:bCs/>
          <w:color w:val="auto"/>
          <w:kern w:val="0"/>
          <w:sz w:val="22"/>
          <w:szCs w:val="22"/>
        </w:rPr>
        <w:t>或残疾人福利性单位</w:t>
      </w:r>
      <w:r>
        <w:rPr>
          <w:rFonts w:hint="eastAsia" w:ascii="新宋体" w:hAnsi="新宋体" w:eastAsia="新宋体" w:cs="新宋体"/>
          <w:color w:val="auto"/>
          <w:sz w:val="22"/>
          <w:szCs w:val="22"/>
        </w:rPr>
        <w:t>）企业且提供的是本企业或其他小微（或监狱</w:t>
      </w:r>
      <w:r>
        <w:rPr>
          <w:rFonts w:hint="eastAsia" w:ascii="新宋体" w:hAnsi="新宋体" w:eastAsia="新宋体" w:cs="新宋体"/>
          <w:bCs/>
          <w:color w:val="auto"/>
          <w:kern w:val="0"/>
          <w:sz w:val="22"/>
          <w:szCs w:val="22"/>
        </w:rPr>
        <w:t>或残疾人福利性单位</w:t>
      </w:r>
      <w:r>
        <w:rPr>
          <w:rFonts w:hint="eastAsia" w:ascii="新宋体" w:hAnsi="新宋体" w:eastAsia="新宋体" w:cs="新宋体"/>
          <w:color w:val="auto"/>
          <w:sz w:val="22"/>
          <w:szCs w:val="22"/>
        </w:rPr>
        <w:t>）企业制造的货物、承担的工程或者服务，其评标价格为投标报价扣除6%，即投标报价×94%；</w:t>
      </w:r>
    </w:p>
    <w:p>
      <w:pPr>
        <w:spacing w:line="360" w:lineRule="auto"/>
        <w:ind w:firstLine="440" w:firstLineChars="200"/>
        <w:jc w:val="left"/>
        <w:rPr>
          <w:rFonts w:ascii="新宋体" w:hAnsi="新宋体" w:eastAsia="新宋体" w:cs="新宋体"/>
          <w:color w:val="auto"/>
          <w:sz w:val="22"/>
          <w:szCs w:val="22"/>
        </w:rPr>
      </w:pPr>
      <w:r>
        <w:rPr>
          <w:rFonts w:hint="eastAsia" w:ascii="新宋体" w:hAnsi="新宋体" w:eastAsia="新宋体" w:cs="新宋体"/>
          <w:color w:val="auto"/>
          <w:sz w:val="22"/>
          <w:szCs w:val="22"/>
        </w:rPr>
        <w:t>（3）证明材料提供不全或无法证明的视为不符合政策功能的评标价格扣除要求，将不予评标价格的扣除。</w:t>
      </w:r>
    </w:p>
    <w:p>
      <w:pPr>
        <w:spacing w:line="4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2、商务评分（30分）：</w:t>
      </w:r>
    </w:p>
    <w:p>
      <w:pPr>
        <w:spacing w:line="400" w:lineRule="exact"/>
        <w:ind w:firstLine="330" w:firstLineChars="150"/>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所有有效投标人中最低投标报价（或政策功能扣除后的评标价格）为基准价;</w:t>
      </w:r>
    </w:p>
    <w:p>
      <w:pPr>
        <w:spacing w:line="400" w:lineRule="exact"/>
        <w:ind w:firstLine="330" w:firstLineChars="150"/>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1）有效投标人的投标价等于评标基准价时，其商务报价评分值为满分30分；</w:t>
      </w:r>
    </w:p>
    <w:p>
      <w:pPr>
        <w:spacing w:line="400" w:lineRule="exact"/>
        <w:ind w:firstLine="330" w:firstLineChars="150"/>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2）其他有效投标人的价格分按以下公式计算：</w:t>
      </w:r>
    </w:p>
    <w:p>
      <w:pPr>
        <w:spacing w:line="400" w:lineRule="exact"/>
        <w:ind w:left="657" w:leftChars="313"/>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商务分得分=（评标基准价/投标人投标报价）×价格权值×100（四舍五入后保留小数2位）</w:t>
      </w:r>
    </w:p>
    <w:p>
      <w:pPr>
        <w:spacing w:line="400" w:lineRule="exact"/>
        <w:ind w:firstLine="330" w:firstLineChars="150"/>
        <w:rPr>
          <w:rFonts w:ascii="新宋体" w:hAnsi="新宋体" w:eastAsia="新宋体" w:cs="新宋体"/>
          <w:color w:val="auto"/>
          <w:sz w:val="22"/>
        </w:rPr>
      </w:pPr>
      <w:r>
        <w:rPr>
          <w:rFonts w:hint="eastAsia" w:ascii="新宋体" w:hAnsi="新宋体" w:eastAsia="新宋体" w:cs="新宋体"/>
          <w:color w:val="auto"/>
          <w:sz w:val="22"/>
          <w:szCs w:val="22"/>
          <w:lang w:bidi="he-IL"/>
        </w:rPr>
        <w:t>（价格权值为30%）</w:t>
      </w:r>
      <w:r>
        <w:rPr>
          <w:rFonts w:hint="eastAsia" w:ascii="新宋体" w:hAnsi="新宋体" w:eastAsia="新宋体" w:cs="新宋体"/>
          <w:color w:val="auto"/>
          <w:sz w:val="22"/>
        </w:rPr>
        <w:t>;</w:t>
      </w:r>
    </w:p>
    <w:p>
      <w:pPr>
        <w:spacing w:line="400" w:lineRule="exact"/>
        <w:ind w:firstLine="220" w:firstLineChars="100"/>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u w:val="single"/>
        </w:rPr>
        <w:t>▲</w:t>
      </w:r>
      <w:r>
        <w:rPr>
          <w:rFonts w:hint="eastAsia" w:ascii="新宋体" w:hAnsi="新宋体" w:eastAsia="新宋体" w:cs="新宋体"/>
          <w:b/>
          <w:color w:val="auto"/>
          <w:sz w:val="22"/>
          <w:szCs w:val="22"/>
          <w:u w:val="single"/>
        </w:rPr>
        <w:t>本项目采购预算为人民币15万元整，如投标人报价超过采购预算，其投标文件作无效标处理。</w:t>
      </w:r>
    </w:p>
    <w:p>
      <w:pPr>
        <w:topLinePunct/>
        <w:spacing w:line="400" w:lineRule="exact"/>
        <w:ind w:firstLine="330" w:firstLineChars="150"/>
        <w:rPr>
          <w:rFonts w:ascii="新宋体" w:hAnsi="新宋体" w:eastAsia="新宋体" w:cs="新宋体"/>
          <w:color w:val="auto"/>
          <w:kern w:val="0"/>
          <w:szCs w:val="21"/>
        </w:rPr>
      </w:pPr>
      <w:r>
        <w:rPr>
          <w:rFonts w:hint="eastAsia" w:ascii="新宋体" w:hAnsi="新宋体" w:eastAsia="新宋体" w:cs="新宋体"/>
          <w:color w:val="auto"/>
          <w:sz w:val="22"/>
          <w:szCs w:val="22"/>
        </w:rPr>
        <w:t>4）若所有投标人商务报价均超采购预算，则本项目重新组织招标。</w:t>
      </w:r>
    </w:p>
    <w:p>
      <w:pPr>
        <w:spacing w:line="4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3、 有效投标人的综合得分为技术资信分和商务（报价）分的总和。</w:t>
      </w:r>
    </w:p>
    <w:p>
      <w:pPr>
        <w:pStyle w:val="3"/>
        <w:spacing w:beforeLines="50" w:afterLines="50" w:line="400" w:lineRule="exact"/>
        <w:ind w:left="330" w:hanging="330" w:hangingChars="150"/>
        <w:rPr>
          <w:rFonts w:ascii="新宋体" w:hAnsi="新宋体" w:eastAsia="新宋体" w:cs="新宋体"/>
          <w:b/>
          <w:color w:val="auto"/>
        </w:rPr>
      </w:pPr>
      <w:r>
        <w:rPr>
          <w:rFonts w:hint="eastAsia" w:ascii="新宋体" w:hAnsi="新宋体" w:eastAsia="新宋体" w:cs="新宋体"/>
          <w:color w:val="auto"/>
          <w:sz w:val="22"/>
          <w:szCs w:val="22"/>
        </w:rPr>
        <w:t>4、评标委员会按综合得分高低顺序排列，综合得分前两名投标人依次作为第一中标候选人和第二中标候选人向采购人推荐，并提交评标报告。得分相同的，按投标报价由低到高顺序排列；得分且投标报价相同的，由评标委员会抽签决定。</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六、定标办法</w:t>
      </w:r>
      <w:bookmarkEnd w:id="141"/>
      <w:bookmarkEnd w:id="142"/>
    </w:p>
    <w:p>
      <w:pPr>
        <w:spacing w:line="460" w:lineRule="exact"/>
        <w:ind w:firstLine="440" w:firstLineChars="200"/>
        <w:rPr>
          <w:rFonts w:ascii="新宋体" w:hAnsi="新宋体" w:eastAsia="新宋体" w:cs="新宋体"/>
          <w:color w:val="auto"/>
          <w:sz w:val="22"/>
          <w:szCs w:val="22"/>
        </w:rPr>
      </w:pPr>
      <w:bookmarkStart w:id="143" w:name="_Toc221356904"/>
      <w:bookmarkStart w:id="144" w:name="_Toc221356967"/>
      <w:r>
        <w:rPr>
          <w:rFonts w:hint="eastAsia" w:ascii="新宋体" w:hAnsi="新宋体" w:eastAsia="新宋体" w:cs="新宋体"/>
          <w:color w:val="auto"/>
          <w:sz w:val="22"/>
          <w:szCs w:val="22"/>
        </w:rPr>
        <w:t>本次招标由评标委员会推荐中标候选人，采购人根据评标委员会的推荐结果进行最终确认。若出现以下情形之一，采购人可视具体情况确定是否由备选中标人为中标人或重新组织招标：</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1）中标人放弃中标资格；</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2）中标人因不可抗力提出不能履行合同；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3）中标人未能在规定时间内与采购单位签订合同；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4）经质疑，采购人审查后，中标候选人或中标人确实在本次采购活动中存在违法违规行为或其他原因使质疑成立的。</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八、确定中标人</w:t>
      </w:r>
      <w:bookmarkEnd w:id="143"/>
      <w:bookmarkEnd w:id="144"/>
    </w:p>
    <w:p>
      <w:pPr>
        <w:pStyle w:val="3"/>
        <w:spacing w:beforeLines="50" w:afterLines="50" w:line="400" w:lineRule="exact"/>
        <w:ind w:firstLine="440" w:firstLineChars="200"/>
        <w:rPr>
          <w:rFonts w:ascii="新宋体" w:hAnsi="新宋体" w:eastAsia="新宋体" w:cs="新宋体"/>
          <w:color w:val="auto"/>
          <w:sz w:val="22"/>
          <w:szCs w:val="22"/>
        </w:rPr>
      </w:pPr>
      <w:bookmarkStart w:id="145" w:name="_Toc221356968"/>
      <w:bookmarkStart w:id="146" w:name="_Toc221356905"/>
      <w:r>
        <w:rPr>
          <w:rFonts w:hint="eastAsia" w:ascii="新宋体" w:hAnsi="新宋体" w:eastAsia="新宋体" w:cs="新宋体"/>
          <w:color w:val="auto"/>
          <w:sz w:val="22"/>
          <w:szCs w:val="22"/>
        </w:rPr>
        <w:t>评标结束后，采购人将在浙江政府采购网上公示中标结果。公示期结束，且在规定期限内无异议则代理机构将向中标人发出中标通知书。</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九、投标人义务</w:t>
      </w:r>
      <w:bookmarkEnd w:id="145"/>
      <w:bookmarkEnd w:id="146"/>
    </w:p>
    <w:p>
      <w:pPr>
        <w:spacing w:line="40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投标人应随时接受评标委员会的询标，解答包括有关的商务、技术问题等。评标结束，所有评标资料存代理机构备查。</w:t>
      </w:r>
    </w:p>
    <w:sectPr>
      <w:type w:val="nextColumn"/>
      <w:pgSz w:w="11906" w:h="16838"/>
      <w:pgMar w:top="1134" w:right="1134" w:bottom="1246"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moder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Myriad Pro">
    <w:altName w:val="Corbel"/>
    <w:panose1 w:val="00000000000000000000"/>
    <w:charset w:val="00"/>
    <w:family w:val="auto"/>
    <w:pitch w:val="default"/>
    <w:sig w:usb0="00000000" w:usb1="00000000" w:usb2="00000000" w:usb3="00000000" w:csb0="2000019F" w:csb1="00000000"/>
  </w:font>
  <w:font w:name="Vijaya">
    <w:panose1 w:val="020B0604020202020204"/>
    <w:charset w:val="00"/>
    <w:family w:val="swiss"/>
    <w:pitch w:val="default"/>
    <w:sig w:usb0="00100003"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Segoe Print"/>
    <w:panose1 w:val="020B0502020202020204"/>
    <w:charset w:val="00"/>
    <w:family w:val="swiss"/>
    <w:pitch w:val="default"/>
    <w:sig w:usb0="00000000" w:usb1="00000000" w:usb2="00000000" w:usb3="00000000" w:csb0="0000009F" w:csb1="00000000"/>
  </w:font>
  <w:font w:name="新宋体">
    <w:panose1 w:val="02010609030101010101"/>
    <w:charset w:val="86"/>
    <w:family w:val="modern"/>
    <w:pitch w:val="default"/>
    <w:sig w:usb0="00000003" w:usb1="288F0000" w:usb2="0000000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separate"/>
    </w:r>
    <w:r>
      <w:rPr>
        <w:rStyle w:val="52"/>
      </w:rPr>
      <w:t>44</w:t>
    </w:r>
    <w:r>
      <w:fldChar w:fldCharType="end"/>
    </w:r>
  </w:p>
  <w:p>
    <w:pPr>
      <w:pStyle w:val="35"/>
      <w:pBdr>
        <w:top w:val="single" w:color="auto" w:sz="4" w:space="1"/>
      </w:pBdr>
      <w:ind w:right="-82" w:rightChars="-39" w:firstLine="4410" w:firstLineChars="2450"/>
      <w:jc w:val="right"/>
      <w:rPr>
        <w:rFonts w:ascii="楷体_GB2312" w:eastAsia="楷体_GB2312"/>
      </w:rPr>
    </w:pPr>
    <w:r>
      <w:rPr>
        <w:rFonts w:hint="eastAsia" w:eastAsia="新宋体"/>
        <w:bCs/>
        <w:kern w:val="0"/>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楷体_GB2312" w:eastAsia="楷体_GB2312"/>
      </w:rPr>
    </w:pPr>
    <w:r>
      <w:rPr>
        <w:rFonts w:hint="eastAsia" w:ascii="楷体_GB2312" w:eastAsia="楷体_GB2312"/>
      </w:rPr>
      <w:t xml:space="preserve">温州市政府分散采购招标文件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none"/>
      <w:lvlText w:val="2"/>
      <w:lvlJc w:val="left"/>
      <w:pPr>
        <w:tabs>
          <w:tab w:val="left" w:pos="425"/>
        </w:tabs>
        <w:ind w:left="425" w:hanging="425"/>
      </w:pPr>
      <w:rPr>
        <w:rFonts w:hint="eastAsia"/>
      </w:rPr>
    </w:lvl>
    <w:lvl w:ilvl="1" w:tentative="0">
      <w:start w:val="1"/>
      <w:numFmt w:val="decimal"/>
      <w:lvlText w:val="%19.%2"/>
      <w:lvlJc w:val="left"/>
      <w:pPr>
        <w:tabs>
          <w:tab w:val="left" w:pos="992"/>
        </w:tabs>
        <w:ind w:left="992" w:hanging="567"/>
      </w:pPr>
      <w:rPr>
        <w:rFonts w:hint="eastAsia" w:ascii="楷体_GB2312" w:eastAsia="楷体_GB231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A"/>
    <w:multiLevelType w:val="multilevel"/>
    <w:tmpl w:val="0000000A"/>
    <w:lvl w:ilvl="0" w:tentative="0">
      <w:start w:val="1"/>
      <w:numFmt w:val="decimal"/>
      <w:lvlText w:val="（%1）"/>
      <w:lvlJc w:val="left"/>
      <w:pPr>
        <w:tabs>
          <w:tab w:val="left" w:pos="420"/>
        </w:tabs>
        <w:ind w:left="420" w:hanging="420"/>
      </w:pPr>
      <w:rPr>
        <w:rFonts w:hint="eastAsia" w:ascii="楷体_GB2312" w:hAnsi="Tahoma" w:eastAsia="楷体_GB2312" w:cs="Courier New"/>
        <w:b w:val="0"/>
      </w:rPr>
    </w:lvl>
    <w:lvl w:ilvl="1" w:tentative="0">
      <w:start w:val="2"/>
      <w:numFmt w:val="decimal"/>
      <w:lvlText w:val="%2．"/>
      <w:lvlJc w:val="left"/>
      <w:pPr>
        <w:tabs>
          <w:tab w:val="left" w:pos="780"/>
        </w:tabs>
        <w:ind w:left="780" w:hanging="360"/>
      </w:pPr>
      <w:rPr>
        <w:rFonts w:hint="default"/>
        <w:color w:val="000000"/>
        <w:sz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3"/>
    <w:multiLevelType w:val="multilevel"/>
    <w:tmpl w:val="00000013"/>
    <w:lvl w:ilvl="0" w:tentative="0">
      <w:start w:val="1"/>
      <w:numFmt w:val="none"/>
      <w:lvlText w:val="2"/>
      <w:lvlJc w:val="left"/>
      <w:pPr>
        <w:tabs>
          <w:tab w:val="left" w:pos="425"/>
        </w:tabs>
        <w:ind w:left="425" w:hanging="425"/>
      </w:pPr>
      <w:rPr>
        <w:rFonts w:hint="eastAsia"/>
      </w:rPr>
    </w:lvl>
    <w:lvl w:ilvl="1" w:tentative="0">
      <w:start w:val="1"/>
      <w:numFmt w:val="decimal"/>
      <w:lvlText w:val="%122.%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0000014"/>
    <w:multiLevelType w:val="multilevel"/>
    <w:tmpl w:val="00000014"/>
    <w:lvl w:ilvl="0" w:tentative="0">
      <w:start w:val="1"/>
      <w:numFmt w:val="none"/>
      <w:lvlText w:val="2"/>
      <w:lvlJc w:val="left"/>
      <w:pPr>
        <w:tabs>
          <w:tab w:val="left" w:pos="425"/>
        </w:tabs>
        <w:ind w:left="425" w:hanging="425"/>
      </w:pPr>
      <w:rPr>
        <w:rFonts w:hint="eastAsia"/>
      </w:rPr>
    </w:lvl>
    <w:lvl w:ilvl="1" w:tentative="0">
      <w:start w:val="1"/>
      <w:numFmt w:val="decimal"/>
      <w:lvlText w:val="%123.%2"/>
      <w:lvlJc w:val="left"/>
      <w:pPr>
        <w:tabs>
          <w:tab w:val="left" w:pos="992"/>
        </w:tabs>
        <w:ind w:left="992" w:hanging="567"/>
      </w:pPr>
      <w:rPr>
        <w:rFonts w:hint="eastAsia" w:ascii="楷体_GB2312" w:hAnsi="Tahoma" w:eastAsia="楷体_GB2312" w:cs="Tahom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1C"/>
    <w:multiLevelType w:val="multilevel"/>
    <w:tmpl w:val="0000001C"/>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000001D"/>
    <w:multiLevelType w:val="multilevel"/>
    <w:tmpl w:val="0000001D"/>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000001E"/>
    <w:multiLevelType w:val="multilevel"/>
    <w:tmpl w:val="0000001E"/>
    <w:lvl w:ilvl="0" w:tentative="0">
      <w:start w:val="1"/>
      <w:numFmt w:val="decimal"/>
      <w:lvlText w:val="%1)"/>
      <w:lvlJc w:val="left"/>
      <w:pPr>
        <w:tabs>
          <w:tab w:val="left" w:pos="780"/>
        </w:tabs>
        <w:ind w:left="780" w:hanging="420"/>
      </w:pPr>
      <w:rPr>
        <w:rFonts w:hint="eastAsia" w:ascii="楷体_GB2312" w:hAnsi="Tahoma" w:eastAsia="楷体_GB2312" w:cs="Tahoma"/>
        <w:b w:val="0"/>
      </w:rPr>
    </w:lvl>
    <w:lvl w:ilvl="1" w:tentative="0">
      <w:start w:val="1"/>
      <w:numFmt w:val="japaneseCounting"/>
      <w:lvlText w:val="%2、"/>
      <w:lvlJc w:val="left"/>
      <w:pPr>
        <w:tabs>
          <w:tab w:val="left" w:pos="870"/>
        </w:tabs>
        <w:ind w:left="870" w:hanging="450"/>
      </w:pPr>
      <w:rPr>
        <w:rFonts w:hint="default" w:hAnsi="Helvetica" w:cs="黑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2"/>
    <w:multiLevelType w:val="multilevel"/>
    <w:tmpl w:val="00000022"/>
    <w:lvl w:ilvl="0" w:tentative="0">
      <w:start w:val="1"/>
      <w:numFmt w:val="decimal"/>
      <w:lvlText w:val="%1."/>
      <w:lvlJc w:val="left"/>
      <w:pPr>
        <w:tabs>
          <w:tab w:val="left" w:pos="420"/>
        </w:tabs>
        <w:ind w:left="420" w:hanging="420"/>
      </w:pPr>
      <w:rPr>
        <w:rFonts w:hint="eastAsia" w:ascii="楷体_GB2312" w:hAnsi="Tahoma" w:eastAsia="楷体_GB2312" w:cs="Courier New"/>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0000025"/>
    <w:multiLevelType w:val="multilevel"/>
    <w:tmpl w:val="00000025"/>
    <w:lvl w:ilvl="0" w:tentative="0">
      <w:start w:val="1"/>
      <w:numFmt w:val="upperLetter"/>
      <w:lvlText w:val="%1."/>
      <w:lvlJc w:val="left"/>
      <w:pPr>
        <w:tabs>
          <w:tab w:val="left" w:pos="2040"/>
        </w:tabs>
        <w:ind w:left="2040" w:hanging="420"/>
      </w:pPr>
    </w:lvl>
    <w:lvl w:ilvl="1" w:tentative="0">
      <w:start w:val="1"/>
      <w:numFmt w:val="lowerLetter"/>
      <w:lvlText w:val="%2)"/>
      <w:lvlJc w:val="left"/>
      <w:pPr>
        <w:tabs>
          <w:tab w:val="left" w:pos="2460"/>
        </w:tabs>
        <w:ind w:left="2460" w:hanging="420"/>
      </w:pPr>
    </w:lvl>
    <w:lvl w:ilvl="2" w:tentative="0">
      <w:start w:val="1"/>
      <w:numFmt w:val="lowerRoman"/>
      <w:lvlText w:val="%3."/>
      <w:lvlJc w:val="right"/>
      <w:pPr>
        <w:tabs>
          <w:tab w:val="left" w:pos="2880"/>
        </w:tabs>
        <w:ind w:left="2880" w:hanging="420"/>
      </w:pPr>
    </w:lvl>
    <w:lvl w:ilvl="3" w:tentative="0">
      <w:start w:val="1"/>
      <w:numFmt w:val="decimal"/>
      <w:lvlText w:val="%4."/>
      <w:lvlJc w:val="left"/>
      <w:pPr>
        <w:tabs>
          <w:tab w:val="left" w:pos="3300"/>
        </w:tabs>
        <w:ind w:left="3300" w:hanging="420"/>
      </w:pPr>
    </w:lvl>
    <w:lvl w:ilvl="4" w:tentative="0">
      <w:start w:val="1"/>
      <w:numFmt w:val="lowerLetter"/>
      <w:lvlText w:val="%5)"/>
      <w:lvlJc w:val="left"/>
      <w:pPr>
        <w:tabs>
          <w:tab w:val="left" w:pos="3720"/>
        </w:tabs>
        <w:ind w:left="3720" w:hanging="420"/>
      </w:pPr>
    </w:lvl>
    <w:lvl w:ilvl="5" w:tentative="0">
      <w:start w:val="1"/>
      <w:numFmt w:val="lowerRoman"/>
      <w:lvlText w:val="%6."/>
      <w:lvlJc w:val="right"/>
      <w:pPr>
        <w:tabs>
          <w:tab w:val="left" w:pos="4140"/>
        </w:tabs>
        <w:ind w:left="4140" w:hanging="420"/>
      </w:pPr>
    </w:lvl>
    <w:lvl w:ilvl="6" w:tentative="0">
      <w:start w:val="1"/>
      <w:numFmt w:val="decimal"/>
      <w:lvlText w:val="%7."/>
      <w:lvlJc w:val="left"/>
      <w:pPr>
        <w:tabs>
          <w:tab w:val="left" w:pos="4560"/>
        </w:tabs>
        <w:ind w:left="4560" w:hanging="420"/>
      </w:pPr>
    </w:lvl>
    <w:lvl w:ilvl="7" w:tentative="0">
      <w:start w:val="1"/>
      <w:numFmt w:val="lowerLetter"/>
      <w:lvlText w:val="%8)"/>
      <w:lvlJc w:val="left"/>
      <w:pPr>
        <w:tabs>
          <w:tab w:val="left" w:pos="4980"/>
        </w:tabs>
        <w:ind w:left="4980" w:hanging="420"/>
      </w:pPr>
    </w:lvl>
    <w:lvl w:ilvl="8" w:tentative="0">
      <w:start w:val="1"/>
      <w:numFmt w:val="lowerRoman"/>
      <w:lvlText w:val="%9."/>
      <w:lvlJc w:val="right"/>
      <w:pPr>
        <w:tabs>
          <w:tab w:val="left" w:pos="5400"/>
        </w:tabs>
        <w:ind w:left="5400" w:hanging="420"/>
      </w:pPr>
    </w:lvl>
  </w:abstractNum>
  <w:abstractNum w:abstractNumId="9">
    <w:nsid w:val="00000028"/>
    <w:multiLevelType w:val="multilevel"/>
    <w:tmpl w:val="00000028"/>
    <w:lvl w:ilvl="0" w:tentative="0">
      <w:start w:val="1"/>
      <w:numFmt w:val="none"/>
      <w:lvlText w:val="2"/>
      <w:lvlJc w:val="left"/>
      <w:pPr>
        <w:tabs>
          <w:tab w:val="left" w:pos="425"/>
        </w:tabs>
        <w:ind w:left="425" w:hanging="425"/>
      </w:pPr>
      <w:rPr>
        <w:rFonts w:hint="eastAsia"/>
      </w:rPr>
    </w:lvl>
    <w:lvl w:ilvl="1" w:tentative="0">
      <w:start w:val="1"/>
      <w:numFmt w:val="decimal"/>
      <w:lvlText w:val="%110.%2"/>
      <w:lvlJc w:val="left"/>
      <w:pPr>
        <w:tabs>
          <w:tab w:val="left" w:pos="992"/>
        </w:tabs>
        <w:ind w:left="992" w:hanging="567"/>
      </w:pPr>
      <w:rPr>
        <w:rFonts w:hint="eastAsia" w:ascii="楷体_GB2312" w:eastAsia="楷体_GB2312"/>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2F"/>
    <w:multiLevelType w:val="multilevel"/>
    <w:tmpl w:val="0000002F"/>
    <w:lvl w:ilvl="0" w:tentative="0">
      <w:start w:val="1"/>
      <w:numFmt w:val="decimal"/>
      <w:lvlText w:val="%1)"/>
      <w:lvlJc w:val="left"/>
      <w:pPr>
        <w:tabs>
          <w:tab w:val="left" w:pos="420"/>
        </w:tabs>
        <w:ind w:left="420" w:hanging="420"/>
      </w:pPr>
      <w:rPr>
        <w:rFonts w:hint="eastAsia"/>
      </w:rPr>
    </w:lvl>
    <w:lvl w:ilvl="1" w:tentative="0">
      <w:start w:val="1"/>
      <w:numFmt w:val="decimal"/>
      <w:lvlText w:val="7.%2"/>
      <w:lvlJc w:val="left"/>
      <w:pPr>
        <w:tabs>
          <w:tab w:val="left" w:pos="747"/>
        </w:tabs>
        <w:ind w:left="747" w:hanging="567"/>
      </w:pPr>
      <w:rPr>
        <w:rFonts w:hint="eastAsia" w:ascii="楷体_GB2312" w:eastAsia="楷体_GB231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00000031"/>
    <w:multiLevelType w:val="multilevel"/>
    <w:tmpl w:val="00000031"/>
    <w:lvl w:ilvl="0" w:tentative="0">
      <w:start w:val="1"/>
      <w:numFmt w:val="none"/>
      <w:lvlText w:val="2"/>
      <w:lvlJc w:val="left"/>
      <w:pPr>
        <w:tabs>
          <w:tab w:val="left" w:pos="425"/>
        </w:tabs>
        <w:ind w:left="425" w:hanging="425"/>
      </w:pPr>
      <w:rPr>
        <w:rFonts w:hint="eastAsia"/>
      </w:rPr>
    </w:lvl>
    <w:lvl w:ilvl="1" w:tentative="0">
      <w:start w:val="1"/>
      <w:numFmt w:val="decimal"/>
      <w:lvlText w:val="%114.%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32"/>
    <w:multiLevelType w:val="multilevel"/>
    <w:tmpl w:val="00000032"/>
    <w:lvl w:ilvl="0" w:tentative="0">
      <w:start w:val="19"/>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3">
    <w:nsid w:val="00000033"/>
    <w:multiLevelType w:val="multilevel"/>
    <w:tmpl w:val="00000033"/>
    <w:lvl w:ilvl="0" w:tentative="0">
      <w:start w:val="1"/>
      <w:numFmt w:val="none"/>
      <w:lvlText w:val="2"/>
      <w:lvlJc w:val="left"/>
      <w:pPr>
        <w:tabs>
          <w:tab w:val="left" w:pos="425"/>
        </w:tabs>
        <w:ind w:left="425" w:hanging="425"/>
      </w:pPr>
      <w:rPr>
        <w:rFonts w:hint="eastAsia"/>
      </w:rPr>
    </w:lvl>
    <w:lvl w:ilvl="1" w:tentative="0">
      <w:start w:val="1"/>
      <w:numFmt w:val="decimal"/>
      <w:lvlText w:val="%111.%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00000034"/>
    <w:multiLevelType w:val="multilevel"/>
    <w:tmpl w:val="00000034"/>
    <w:lvl w:ilvl="0" w:tentative="0">
      <w:start w:val="1"/>
      <w:numFmt w:val="none"/>
      <w:lvlText w:val="2"/>
      <w:lvlJc w:val="left"/>
      <w:pPr>
        <w:tabs>
          <w:tab w:val="left" w:pos="425"/>
        </w:tabs>
        <w:ind w:left="425" w:hanging="425"/>
      </w:pPr>
      <w:rPr>
        <w:rFonts w:hint="eastAsia"/>
      </w:rPr>
    </w:lvl>
    <w:lvl w:ilvl="1" w:tentative="0">
      <w:start w:val="1"/>
      <w:numFmt w:val="decimal"/>
      <w:lvlText w:val="%116.%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5">
    <w:nsid w:val="00000036"/>
    <w:multiLevelType w:val="multilevel"/>
    <w:tmpl w:val="00000036"/>
    <w:lvl w:ilvl="0" w:tentative="0">
      <w:start w:val="1"/>
      <w:numFmt w:val="none"/>
      <w:lvlText w:val="2"/>
      <w:lvlJc w:val="left"/>
      <w:pPr>
        <w:tabs>
          <w:tab w:val="left" w:pos="425"/>
        </w:tabs>
        <w:ind w:left="425" w:hanging="425"/>
      </w:pPr>
      <w:rPr>
        <w:rFonts w:hint="eastAsia"/>
      </w:rPr>
    </w:lvl>
    <w:lvl w:ilvl="1" w:tentative="0">
      <w:start w:val="1"/>
      <w:numFmt w:val="decimal"/>
      <w:lvlText w:val="%113.%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0000003A"/>
    <w:multiLevelType w:val="multilevel"/>
    <w:tmpl w:val="0000003A"/>
    <w:lvl w:ilvl="0" w:tentative="0">
      <w:start w:val="5"/>
      <w:numFmt w:val="decimal"/>
      <w:lvlText w:val="%1."/>
      <w:lvlJc w:val="left"/>
      <w:pPr>
        <w:tabs>
          <w:tab w:val="left" w:pos="420"/>
        </w:tabs>
        <w:ind w:left="420" w:hanging="420"/>
      </w:pPr>
      <w:rPr>
        <w:rFonts w:hint="eastAsia" w:ascii="楷体_GB2312" w:hAnsi="Tahoma" w:eastAsia="楷体_GB2312" w:cs="Courier New"/>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7">
    <w:nsid w:val="0000003D"/>
    <w:multiLevelType w:val="multilevel"/>
    <w:tmpl w:val="0000003D"/>
    <w:lvl w:ilvl="0" w:tentative="0">
      <w:start w:val="1"/>
      <w:numFmt w:val="none"/>
      <w:lvlText w:val="2"/>
      <w:lvlJc w:val="left"/>
      <w:pPr>
        <w:tabs>
          <w:tab w:val="left" w:pos="425"/>
        </w:tabs>
        <w:ind w:left="425" w:hanging="425"/>
      </w:pPr>
      <w:rPr>
        <w:rFonts w:hint="eastAsia"/>
      </w:rPr>
    </w:lvl>
    <w:lvl w:ilvl="1" w:tentative="0">
      <w:start w:val="1"/>
      <w:numFmt w:val="decimal"/>
      <w:lvlText w:val="%115.%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00000040"/>
    <w:multiLevelType w:val="multilevel"/>
    <w:tmpl w:val="00000040"/>
    <w:lvl w:ilvl="0" w:tentative="0">
      <w:start w:val="1"/>
      <w:numFmt w:val="none"/>
      <w:lvlText w:val="2"/>
      <w:lvlJc w:val="left"/>
      <w:pPr>
        <w:tabs>
          <w:tab w:val="left" w:pos="425"/>
        </w:tabs>
        <w:ind w:left="425" w:hanging="425"/>
      </w:pPr>
      <w:rPr>
        <w:rFonts w:hint="eastAsia"/>
      </w:rPr>
    </w:lvl>
    <w:lvl w:ilvl="1" w:tentative="0">
      <w:start w:val="1"/>
      <w:numFmt w:val="decimal"/>
      <w:lvlText w:val="%121.%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00000041"/>
    <w:multiLevelType w:val="multilevel"/>
    <w:tmpl w:val="00000041"/>
    <w:lvl w:ilvl="0" w:tentative="0">
      <w:start w:val="1"/>
      <w:numFmt w:val="decimal"/>
      <w:lvlText w:val="%1)"/>
      <w:lvlJc w:val="left"/>
      <w:pPr>
        <w:tabs>
          <w:tab w:val="left" w:pos="780"/>
        </w:tabs>
        <w:ind w:left="780" w:hanging="420"/>
      </w:pPr>
      <w:rPr>
        <w:rFonts w:hint="eastAsia" w:ascii="楷体_GB2312" w:hAnsi="Tahoma" w:eastAsia="楷体_GB2312" w:cs="Tahoma"/>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4A"/>
    <w:multiLevelType w:val="multilevel"/>
    <w:tmpl w:val="0000004A"/>
    <w:lvl w:ilvl="0" w:tentative="0">
      <w:start w:val="16"/>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21">
    <w:nsid w:val="0000004D"/>
    <w:multiLevelType w:val="multilevel"/>
    <w:tmpl w:val="0000004D"/>
    <w:lvl w:ilvl="0" w:tentative="0">
      <w:start w:val="8"/>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22">
    <w:nsid w:val="1BA6637A"/>
    <w:multiLevelType w:val="multilevel"/>
    <w:tmpl w:val="1BA6637A"/>
    <w:lvl w:ilvl="0" w:tentative="0">
      <w:start w:val="1"/>
      <w:numFmt w:val="decimal"/>
      <w:lvlText w:val="%1)"/>
      <w:lvlJc w:val="left"/>
      <w:pPr>
        <w:tabs>
          <w:tab w:val="left" w:pos="644"/>
        </w:tabs>
        <w:ind w:left="644" w:hanging="360"/>
      </w:pPr>
      <w:rPr>
        <w:rFonts w:hint="default"/>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9671BE9"/>
    <w:multiLevelType w:val="multilevel"/>
    <w:tmpl w:val="29671BE9"/>
    <w:lvl w:ilvl="0" w:tentative="0">
      <w:start w:val="1"/>
      <w:numFmt w:val="decimal"/>
      <w:lvlText w:val="%1."/>
      <w:lvlJc w:val="left"/>
      <w:pPr>
        <w:ind w:left="420" w:hanging="420"/>
      </w:pPr>
    </w:lvl>
    <w:lvl w:ilvl="1" w:tentative="0">
      <w:start w:val="1"/>
      <w:numFmt w:val="decimal"/>
      <w:pStyle w:val="485"/>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59E802BF"/>
    <w:multiLevelType w:val="singleLevel"/>
    <w:tmpl w:val="59E802BF"/>
    <w:lvl w:ilvl="0" w:tentative="0">
      <w:start w:val="1"/>
      <w:numFmt w:val="decimal"/>
      <w:lvlText w:val="%1)"/>
      <w:lvlJc w:val="left"/>
      <w:pPr>
        <w:ind w:left="425" w:hanging="425"/>
      </w:pPr>
      <w:rPr>
        <w:rFonts w:hint="default"/>
      </w:rPr>
    </w:lvl>
  </w:abstractNum>
  <w:abstractNum w:abstractNumId="25">
    <w:nsid w:val="59ED39A8"/>
    <w:multiLevelType w:val="multilevel"/>
    <w:tmpl w:val="59ED39A8"/>
    <w:lvl w:ilvl="0" w:tentative="0">
      <w:start w:val="1"/>
      <w:numFmt w:val="decimal"/>
      <w:lvlText w:val="%1."/>
      <w:lvlJc w:val="left"/>
      <w:pPr>
        <w:tabs>
          <w:tab w:val="left" w:pos="420"/>
        </w:tabs>
        <w:ind w:left="420" w:hanging="420"/>
      </w:pPr>
      <w:rPr>
        <w:rFonts w:hint="eastAsia"/>
      </w:rPr>
    </w:lvl>
    <w:lvl w:ilvl="1" w:tentative="0">
      <w:start w:val="1"/>
      <w:numFmt w:val="decimal"/>
      <w:lvlText w:val="25.%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59ED3C41"/>
    <w:multiLevelType w:val="multilevel"/>
    <w:tmpl w:val="59ED3C41"/>
    <w:lvl w:ilvl="0" w:tentative="0">
      <w:start w:val="1"/>
      <w:numFmt w:val="none"/>
      <w:lvlText w:val="2"/>
      <w:lvlJc w:val="left"/>
      <w:pPr>
        <w:tabs>
          <w:tab w:val="left" w:pos="425"/>
        </w:tabs>
        <w:ind w:left="425" w:hanging="425"/>
      </w:pPr>
      <w:rPr>
        <w:rFonts w:hint="eastAsia"/>
      </w:rPr>
    </w:lvl>
    <w:lvl w:ilvl="1" w:tentative="0">
      <w:start w:val="1"/>
      <w:numFmt w:val="decimal"/>
      <w:lvlText w:val="26.%2"/>
      <w:lvlJc w:val="left"/>
      <w:pPr>
        <w:tabs>
          <w:tab w:val="left" w:pos="992"/>
        </w:tabs>
        <w:ind w:left="992" w:hanging="567"/>
      </w:pPr>
      <w:rPr>
        <w:rFonts w:hint="default" w:ascii="宋体" w:hAnsi="宋体" w:eastAsia="宋体" w:cs="宋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5A1B5EA9"/>
    <w:multiLevelType w:val="singleLevel"/>
    <w:tmpl w:val="5A1B5EA9"/>
    <w:lvl w:ilvl="0" w:tentative="0">
      <w:start w:val="1"/>
      <w:numFmt w:val="decimal"/>
      <w:suff w:val="nothing"/>
      <w:lvlText w:val="%1．"/>
      <w:lvlJc w:val="left"/>
      <w:pPr>
        <w:ind w:left="0" w:firstLine="400"/>
      </w:pPr>
      <w:rPr>
        <w:rFonts w:hint="default"/>
      </w:rPr>
    </w:lvl>
  </w:abstractNum>
  <w:abstractNum w:abstractNumId="28">
    <w:nsid w:val="5BE307F3"/>
    <w:multiLevelType w:val="singleLevel"/>
    <w:tmpl w:val="5BE307F3"/>
    <w:lvl w:ilvl="0" w:tentative="0">
      <w:start w:val="3"/>
      <w:numFmt w:val="decimal"/>
      <w:suff w:val="nothing"/>
      <w:lvlText w:val="%1、"/>
      <w:lvlJc w:val="left"/>
    </w:lvl>
  </w:abstractNum>
  <w:abstractNum w:abstractNumId="29">
    <w:nsid w:val="60D771E1"/>
    <w:multiLevelType w:val="multilevel"/>
    <w:tmpl w:val="60D771E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22"/>
  </w:num>
  <w:num w:numId="3">
    <w:abstractNumId w:val="27"/>
  </w:num>
  <w:num w:numId="4">
    <w:abstractNumId w:val="28"/>
  </w:num>
  <w:num w:numId="5">
    <w:abstractNumId w:val="7"/>
  </w:num>
  <w:num w:numId="6">
    <w:abstractNumId w:val="5"/>
  </w:num>
  <w:num w:numId="7">
    <w:abstractNumId w:val="16"/>
  </w:num>
  <w:num w:numId="8">
    <w:abstractNumId w:val="10"/>
  </w:num>
  <w:num w:numId="9">
    <w:abstractNumId w:val="21"/>
  </w:num>
  <w:num w:numId="10">
    <w:abstractNumId w:val="0"/>
  </w:num>
  <w:num w:numId="11">
    <w:abstractNumId w:val="9"/>
  </w:num>
  <w:num w:numId="12">
    <w:abstractNumId w:val="29"/>
  </w:num>
  <w:num w:numId="13">
    <w:abstractNumId w:val="19"/>
  </w:num>
  <w:num w:numId="14">
    <w:abstractNumId w:val="8"/>
  </w:num>
  <w:num w:numId="15">
    <w:abstractNumId w:val="6"/>
  </w:num>
  <w:num w:numId="16">
    <w:abstractNumId w:val="13"/>
  </w:num>
  <w:num w:numId="17">
    <w:abstractNumId w:val="15"/>
  </w:num>
  <w:num w:numId="18">
    <w:abstractNumId w:val="11"/>
  </w:num>
  <w:num w:numId="19">
    <w:abstractNumId w:val="17"/>
  </w:num>
  <w:num w:numId="20">
    <w:abstractNumId w:val="20"/>
  </w:num>
  <w:num w:numId="21">
    <w:abstractNumId w:val="14"/>
  </w:num>
  <w:num w:numId="22">
    <w:abstractNumId w:val="24"/>
  </w:num>
  <w:num w:numId="23">
    <w:abstractNumId w:val="4"/>
  </w:num>
  <w:num w:numId="24">
    <w:abstractNumId w:val="12"/>
  </w:num>
  <w:num w:numId="25">
    <w:abstractNumId w:val="18"/>
  </w:num>
  <w:num w:numId="26">
    <w:abstractNumId w:val="1"/>
  </w:num>
  <w:num w:numId="27">
    <w:abstractNumId w:val="2"/>
  </w:num>
  <w:num w:numId="28">
    <w:abstractNumId w:val="3"/>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98"/>
    <w:rsid w:val="0000178D"/>
    <w:rsid w:val="00004A8E"/>
    <w:rsid w:val="00005264"/>
    <w:rsid w:val="00007558"/>
    <w:rsid w:val="00010D8E"/>
    <w:rsid w:val="00013716"/>
    <w:rsid w:val="00013EA1"/>
    <w:rsid w:val="000212FD"/>
    <w:rsid w:val="00022194"/>
    <w:rsid w:val="0002493E"/>
    <w:rsid w:val="00027531"/>
    <w:rsid w:val="00032CFB"/>
    <w:rsid w:val="00034F38"/>
    <w:rsid w:val="00035160"/>
    <w:rsid w:val="00036840"/>
    <w:rsid w:val="00036A04"/>
    <w:rsid w:val="00037185"/>
    <w:rsid w:val="0004281F"/>
    <w:rsid w:val="00042916"/>
    <w:rsid w:val="00044701"/>
    <w:rsid w:val="000532C4"/>
    <w:rsid w:val="00054DC2"/>
    <w:rsid w:val="000552DE"/>
    <w:rsid w:val="0005672E"/>
    <w:rsid w:val="0005693B"/>
    <w:rsid w:val="0006159C"/>
    <w:rsid w:val="000629A0"/>
    <w:rsid w:val="0007098A"/>
    <w:rsid w:val="00071314"/>
    <w:rsid w:val="0007175A"/>
    <w:rsid w:val="000727D3"/>
    <w:rsid w:val="00075995"/>
    <w:rsid w:val="00084717"/>
    <w:rsid w:val="00091B11"/>
    <w:rsid w:val="00092BF7"/>
    <w:rsid w:val="000944A8"/>
    <w:rsid w:val="0009624F"/>
    <w:rsid w:val="000A5DE2"/>
    <w:rsid w:val="000A760E"/>
    <w:rsid w:val="000B0B46"/>
    <w:rsid w:val="000B43CB"/>
    <w:rsid w:val="000B5934"/>
    <w:rsid w:val="000B6AA2"/>
    <w:rsid w:val="000B6D1A"/>
    <w:rsid w:val="000B7800"/>
    <w:rsid w:val="000C2BB6"/>
    <w:rsid w:val="000C546A"/>
    <w:rsid w:val="000D2D30"/>
    <w:rsid w:val="000D2E6B"/>
    <w:rsid w:val="000D356D"/>
    <w:rsid w:val="000D4A84"/>
    <w:rsid w:val="000D6CBA"/>
    <w:rsid w:val="000D6F31"/>
    <w:rsid w:val="000E2FE1"/>
    <w:rsid w:val="000E650B"/>
    <w:rsid w:val="000F13AF"/>
    <w:rsid w:val="000F1F45"/>
    <w:rsid w:val="000F6A81"/>
    <w:rsid w:val="001000E7"/>
    <w:rsid w:val="001048D3"/>
    <w:rsid w:val="001076B2"/>
    <w:rsid w:val="00107CAE"/>
    <w:rsid w:val="00110C86"/>
    <w:rsid w:val="001145EE"/>
    <w:rsid w:val="00117D20"/>
    <w:rsid w:val="00117EED"/>
    <w:rsid w:val="00122128"/>
    <w:rsid w:val="001235F2"/>
    <w:rsid w:val="001277AA"/>
    <w:rsid w:val="001354B8"/>
    <w:rsid w:val="00141B7E"/>
    <w:rsid w:val="00141ECB"/>
    <w:rsid w:val="00143BD2"/>
    <w:rsid w:val="00153284"/>
    <w:rsid w:val="0015652E"/>
    <w:rsid w:val="00156B93"/>
    <w:rsid w:val="00161700"/>
    <w:rsid w:val="001626B8"/>
    <w:rsid w:val="0016457B"/>
    <w:rsid w:val="0016538D"/>
    <w:rsid w:val="001653FF"/>
    <w:rsid w:val="00167CBF"/>
    <w:rsid w:val="0017191E"/>
    <w:rsid w:val="00172A27"/>
    <w:rsid w:val="001755F4"/>
    <w:rsid w:val="00176C40"/>
    <w:rsid w:val="0017758A"/>
    <w:rsid w:val="00177B57"/>
    <w:rsid w:val="00181FF6"/>
    <w:rsid w:val="001822A8"/>
    <w:rsid w:val="00183262"/>
    <w:rsid w:val="00187E88"/>
    <w:rsid w:val="00197AF2"/>
    <w:rsid w:val="001A5F4E"/>
    <w:rsid w:val="001A63A9"/>
    <w:rsid w:val="001B6743"/>
    <w:rsid w:val="001C062A"/>
    <w:rsid w:val="001C47B4"/>
    <w:rsid w:val="001D0088"/>
    <w:rsid w:val="001D1284"/>
    <w:rsid w:val="001D7B97"/>
    <w:rsid w:val="001E12B6"/>
    <w:rsid w:val="001E2160"/>
    <w:rsid w:val="001E30AC"/>
    <w:rsid w:val="001E73F2"/>
    <w:rsid w:val="001E797C"/>
    <w:rsid w:val="001F70D2"/>
    <w:rsid w:val="00210669"/>
    <w:rsid w:val="00213EDF"/>
    <w:rsid w:val="00216E47"/>
    <w:rsid w:val="00222E70"/>
    <w:rsid w:val="00223D05"/>
    <w:rsid w:val="00224C8D"/>
    <w:rsid w:val="00227B69"/>
    <w:rsid w:val="00227BB9"/>
    <w:rsid w:val="002322E2"/>
    <w:rsid w:val="00234220"/>
    <w:rsid w:val="00235548"/>
    <w:rsid w:val="00235893"/>
    <w:rsid w:val="00235E5E"/>
    <w:rsid w:val="00237CA5"/>
    <w:rsid w:val="00240900"/>
    <w:rsid w:val="002447F1"/>
    <w:rsid w:val="00244A7E"/>
    <w:rsid w:val="00252339"/>
    <w:rsid w:val="00252A14"/>
    <w:rsid w:val="002543EA"/>
    <w:rsid w:val="002554FD"/>
    <w:rsid w:val="0025729D"/>
    <w:rsid w:val="00262B64"/>
    <w:rsid w:val="00263092"/>
    <w:rsid w:val="00264856"/>
    <w:rsid w:val="00267389"/>
    <w:rsid w:val="00270BC4"/>
    <w:rsid w:val="0027191C"/>
    <w:rsid w:val="00271E1D"/>
    <w:rsid w:val="00275B11"/>
    <w:rsid w:val="00276773"/>
    <w:rsid w:val="002842B4"/>
    <w:rsid w:val="0028683E"/>
    <w:rsid w:val="00292322"/>
    <w:rsid w:val="002923CC"/>
    <w:rsid w:val="0029574B"/>
    <w:rsid w:val="002A0588"/>
    <w:rsid w:val="002A5F1C"/>
    <w:rsid w:val="002A7F5E"/>
    <w:rsid w:val="002B1205"/>
    <w:rsid w:val="002B1DDA"/>
    <w:rsid w:val="002B4D53"/>
    <w:rsid w:val="002B5474"/>
    <w:rsid w:val="002B766D"/>
    <w:rsid w:val="002C23A2"/>
    <w:rsid w:val="002C4AF9"/>
    <w:rsid w:val="002C5ED9"/>
    <w:rsid w:val="002C7ECD"/>
    <w:rsid w:val="002D150E"/>
    <w:rsid w:val="002D5426"/>
    <w:rsid w:val="002E009C"/>
    <w:rsid w:val="002E1B5F"/>
    <w:rsid w:val="002E27E6"/>
    <w:rsid w:val="002E2A7D"/>
    <w:rsid w:val="002E382D"/>
    <w:rsid w:val="002F04C9"/>
    <w:rsid w:val="002F1923"/>
    <w:rsid w:val="002F6518"/>
    <w:rsid w:val="00301900"/>
    <w:rsid w:val="00302789"/>
    <w:rsid w:val="0030747C"/>
    <w:rsid w:val="00307AF9"/>
    <w:rsid w:val="00313D01"/>
    <w:rsid w:val="00314255"/>
    <w:rsid w:val="00314379"/>
    <w:rsid w:val="00317EEB"/>
    <w:rsid w:val="00324FD5"/>
    <w:rsid w:val="003313E7"/>
    <w:rsid w:val="00331452"/>
    <w:rsid w:val="003406A2"/>
    <w:rsid w:val="0034134C"/>
    <w:rsid w:val="0034523A"/>
    <w:rsid w:val="00345D31"/>
    <w:rsid w:val="0036433B"/>
    <w:rsid w:val="00365213"/>
    <w:rsid w:val="00376137"/>
    <w:rsid w:val="00380771"/>
    <w:rsid w:val="00391B03"/>
    <w:rsid w:val="00393EF3"/>
    <w:rsid w:val="003947BD"/>
    <w:rsid w:val="00396A4B"/>
    <w:rsid w:val="00397532"/>
    <w:rsid w:val="003A5AFA"/>
    <w:rsid w:val="003A6EB9"/>
    <w:rsid w:val="003B168C"/>
    <w:rsid w:val="003B46E0"/>
    <w:rsid w:val="003B71D6"/>
    <w:rsid w:val="003C0DEE"/>
    <w:rsid w:val="003C2053"/>
    <w:rsid w:val="003C46AA"/>
    <w:rsid w:val="003C5AA7"/>
    <w:rsid w:val="003D105E"/>
    <w:rsid w:val="003D48F9"/>
    <w:rsid w:val="003D71F9"/>
    <w:rsid w:val="003D7E07"/>
    <w:rsid w:val="003F1100"/>
    <w:rsid w:val="003F12A0"/>
    <w:rsid w:val="003F5BE4"/>
    <w:rsid w:val="00410135"/>
    <w:rsid w:val="00412691"/>
    <w:rsid w:val="00421A07"/>
    <w:rsid w:val="004327CA"/>
    <w:rsid w:val="004339BD"/>
    <w:rsid w:val="004339FB"/>
    <w:rsid w:val="00435D78"/>
    <w:rsid w:val="00437169"/>
    <w:rsid w:val="004371AC"/>
    <w:rsid w:val="00442D47"/>
    <w:rsid w:val="00445529"/>
    <w:rsid w:val="004504FD"/>
    <w:rsid w:val="00452F75"/>
    <w:rsid w:val="004543EE"/>
    <w:rsid w:val="00461E2B"/>
    <w:rsid w:val="00463FAD"/>
    <w:rsid w:val="0046552A"/>
    <w:rsid w:val="00465626"/>
    <w:rsid w:val="00473B0E"/>
    <w:rsid w:val="00474F59"/>
    <w:rsid w:val="00480EBB"/>
    <w:rsid w:val="00482062"/>
    <w:rsid w:val="00486AD2"/>
    <w:rsid w:val="00495789"/>
    <w:rsid w:val="004A24DA"/>
    <w:rsid w:val="004A3990"/>
    <w:rsid w:val="004B1B10"/>
    <w:rsid w:val="004B2795"/>
    <w:rsid w:val="004B7767"/>
    <w:rsid w:val="004C0FFF"/>
    <w:rsid w:val="004C2A95"/>
    <w:rsid w:val="004C7A06"/>
    <w:rsid w:val="004D17FE"/>
    <w:rsid w:val="004D4613"/>
    <w:rsid w:val="004D6132"/>
    <w:rsid w:val="004E2BF7"/>
    <w:rsid w:val="004E7042"/>
    <w:rsid w:val="004F49A3"/>
    <w:rsid w:val="004F5793"/>
    <w:rsid w:val="00503D45"/>
    <w:rsid w:val="00504C8E"/>
    <w:rsid w:val="0050719B"/>
    <w:rsid w:val="005163C5"/>
    <w:rsid w:val="0051761A"/>
    <w:rsid w:val="005201C8"/>
    <w:rsid w:val="00520B4F"/>
    <w:rsid w:val="0052393E"/>
    <w:rsid w:val="0052454D"/>
    <w:rsid w:val="0053112D"/>
    <w:rsid w:val="005349E0"/>
    <w:rsid w:val="005516E4"/>
    <w:rsid w:val="00551AFE"/>
    <w:rsid w:val="0055617E"/>
    <w:rsid w:val="0055755E"/>
    <w:rsid w:val="00561FFD"/>
    <w:rsid w:val="005650C5"/>
    <w:rsid w:val="00565DA5"/>
    <w:rsid w:val="0056748D"/>
    <w:rsid w:val="00571E64"/>
    <w:rsid w:val="00574173"/>
    <w:rsid w:val="00580F59"/>
    <w:rsid w:val="00581325"/>
    <w:rsid w:val="00584A0C"/>
    <w:rsid w:val="00586328"/>
    <w:rsid w:val="0059386B"/>
    <w:rsid w:val="00594217"/>
    <w:rsid w:val="005973FA"/>
    <w:rsid w:val="005A1B3B"/>
    <w:rsid w:val="005A4FE1"/>
    <w:rsid w:val="005A668B"/>
    <w:rsid w:val="005B1AAB"/>
    <w:rsid w:val="005B344A"/>
    <w:rsid w:val="005B5224"/>
    <w:rsid w:val="005C013B"/>
    <w:rsid w:val="005C19D3"/>
    <w:rsid w:val="005C1DE6"/>
    <w:rsid w:val="005C2B5B"/>
    <w:rsid w:val="005C53FB"/>
    <w:rsid w:val="005C578F"/>
    <w:rsid w:val="005D13BA"/>
    <w:rsid w:val="005D1CC3"/>
    <w:rsid w:val="005D233A"/>
    <w:rsid w:val="005D30FC"/>
    <w:rsid w:val="005D7082"/>
    <w:rsid w:val="005D7A19"/>
    <w:rsid w:val="005E0F41"/>
    <w:rsid w:val="005E1B23"/>
    <w:rsid w:val="005E4F54"/>
    <w:rsid w:val="005E5EB0"/>
    <w:rsid w:val="005E6F48"/>
    <w:rsid w:val="005E7083"/>
    <w:rsid w:val="005F015E"/>
    <w:rsid w:val="005F043F"/>
    <w:rsid w:val="005F14C1"/>
    <w:rsid w:val="005F1A68"/>
    <w:rsid w:val="005F6BFE"/>
    <w:rsid w:val="005F6C1D"/>
    <w:rsid w:val="005F7982"/>
    <w:rsid w:val="005F7C99"/>
    <w:rsid w:val="006102F8"/>
    <w:rsid w:val="00623377"/>
    <w:rsid w:val="00627645"/>
    <w:rsid w:val="00633A28"/>
    <w:rsid w:val="00635B66"/>
    <w:rsid w:val="006363AD"/>
    <w:rsid w:val="00637FF5"/>
    <w:rsid w:val="00642D39"/>
    <w:rsid w:val="00650F4A"/>
    <w:rsid w:val="00651303"/>
    <w:rsid w:val="00654CC7"/>
    <w:rsid w:val="0066100C"/>
    <w:rsid w:val="00665A1D"/>
    <w:rsid w:val="00666D0E"/>
    <w:rsid w:val="0067175B"/>
    <w:rsid w:val="00672560"/>
    <w:rsid w:val="00674315"/>
    <w:rsid w:val="00674932"/>
    <w:rsid w:val="006776B1"/>
    <w:rsid w:val="00693194"/>
    <w:rsid w:val="00695CDA"/>
    <w:rsid w:val="0069739C"/>
    <w:rsid w:val="006A0658"/>
    <w:rsid w:val="006A1A91"/>
    <w:rsid w:val="006A1DCB"/>
    <w:rsid w:val="006A3340"/>
    <w:rsid w:val="006A52CC"/>
    <w:rsid w:val="006A62FC"/>
    <w:rsid w:val="006B29A0"/>
    <w:rsid w:val="006B29D1"/>
    <w:rsid w:val="006B6071"/>
    <w:rsid w:val="006C2DAB"/>
    <w:rsid w:val="006C4E58"/>
    <w:rsid w:val="006D2735"/>
    <w:rsid w:val="006D4427"/>
    <w:rsid w:val="006D7502"/>
    <w:rsid w:val="006E1D8F"/>
    <w:rsid w:val="006E4546"/>
    <w:rsid w:val="006E4DA2"/>
    <w:rsid w:val="006E67DA"/>
    <w:rsid w:val="006E7238"/>
    <w:rsid w:val="006F108E"/>
    <w:rsid w:val="006F47A5"/>
    <w:rsid w:val="006F4E4F"/>
    <w:rsid w:val="006F6517"/>
    <w:rsid w:val="007011F7"/>
    <w:rsid w:val="00716801"/>
    <w:rsid w:val="0072265E"/>
    <w:rsid w:val="00724854"/>
    <w:rsid w:val="00732382"/>
    <w:rsid w:val="007335AF"/>
    <w:rsid w:val="00734460"/>
    <w:rsid w:val="0073744D"/>
    <w:rsid w:val="007374D6"/>
    <w:rsid w:val="00740600"/>
    <w:rsid w:val="007420CA"/>
    <w:rsid w:val="007622D2"/>
    <w:rsid w:val="00765264"/>
    <w:rsid w:val="00772F32"/>
    <w:rsid w:val="00772FDA"/>
    <w:rsid w:val="00776572"/>
    <w:rsid w:val="007800E4"/>
    <w:rsid w:val="00780477"/>
    <w:rsid w:val="00780E9C"/>
    <w:rsid w:val="00782E8D"/>
    <w:rsid w:val="00786350"/>
    <w:rsid w:val="00792F88"/>
    <w:rsid w:val="007944C7"/>
    <w:rsid w:val="00794538"/>
    <w:rsid w:val="007A191C"/>
    <w:rsid w:val="007A2332"/>
    <w:rsid w:val="007A7FA6"/>
    <w:rsid w:val="007B0F66"/>
    <w:rsid w:val="007B605D"/>
    <w:rsid w:val="007C172D"/>
    <w:rsid w:val="007D1387"/>
    <w:rsid w:val="007D2CB1"/>
    <w:rsid w:val="007D2ED5"/>
    <w:rsid w:val="007D7C2B"/>
    <w:rsid w:val="007E0055"/>
    <w:rsid w:val="007E12ED"/>
    <w:rsid w:val="007E15A8"/>
    <w:rsid w:val="007F114F"/>
    <w:rsid w:val="007F4DE8"/>
    <w:rsid w:val="007F520E"/>
    <w:rsid w:val="007F58AF"/>
    <w:rsid w:val="007F675B"/>
    <w:rsid w:val="007F7D59"/>
    <w:rsid w:val="008026C1"/>
    <w:rsid w:val="00802A39"/>
    <w:rsid w:val="00804E9C"/>
    <w:rsid w:val="008123FB"/>
    <w:rsid w:val="00813DE3"/>
    <w:rsid w:val="00816D54"/>
    <w:rsid w:val="00821286"/>
    <w:rsid w:val="00824BBB"/>
    <w:rsid w:val="008260CE"/>
    <w:rsid w:val="008310A3"/>
    <w:rsid w:val="00835F9F"/>
    <w:rsid w:val="008368F6"/>
    <w:rsid w:val="00843ED4"/>
    <w:rsid w:val="00845B88"/>
    <w:rsid w:val="0085005E"/>
    <w:rsid w:val="00853953"/>
    <w:rsid w:val="00853B2F"/>
    <w:rsid w:val="00854A5B"/>
    <w:rsid w:val="0085766D"/>
    <w:rsid w:val="0086325C"/>
    <w:rsid w:val="00863599"/>
    <w:rsid w:val="008635BA"/>
    <w:rsid w:val="00863E49"/>
    <w:rsid w:val="00865614"/>
    <w:rsid w:val="008679FB"/>
    <w:rsid w:val="00871231"/>
    <w:rsid w:val="00872195"/>
    <w:rsid w:val="00874600"/>
    <w:rsid w:val="0087546F"/>
    <w:rsid w:val="008805CF"/>
    <w:rsid w:val="008863BB"/>
    <w:rsid w:val="0088649D"/>
    <w:rsid w:val="0088746A"/>
    <w:rsid w:val="00887645"/>
    <w:rsid w:val="00891071"/>
    <w:rsid w:val="00896DA8"/>
    <w:rsid w:val="008A5497"/>
    <w:rsid w:val="008A61B7"/>
    <w:rsid w:val="008B2EAE"/>
    <w:rsid w:val="008B554C"/>
    <w:rsid w:val="008B6D8B"/>
    <w:rsid w:val="008C0923"/>
    <w:rsid w:val="008C42A4"/>
    <w:rsid w:val="008D1ADC"/>
    <w:rsid w:val="008D2F19"/>
    <w:rsid w:val="008D5FEB"/>
    <w:rsid w:val="008D639C"/>
    <w:rsid w:val="008D6B04"/>
    <w:rsid w:val="008E33D1"/>
    <w:rsid w:val="008E34F6"/>
    <w:rsid w:val="008E604C"/>
    <w:rsid w:val="008F18D1"/>
    <w:rsid w:val="008F2566"/>
    <w:rsid w:val="008F2ADC"/>
    <w:rsid w:val="008F5BEC"/>
    <w:rsid w:val="008F6C20"/>
    <w:rsid w:val="008F7656"/>
    <w:rsid w:val="008F7838"/>
    <w:rsid w:val="009017C2"/>
    <w:rsid w:val="00901967"/>
    <w:rsid w:val="00902DB9"/>
    <w:rsid w:val="00910164"/>
    <w:rsid w:val="009102FA"/>
    <w:rsid w:val="00916E92"/>
    <w:rsid w:val="00917304"/>
    <w:rsid w:val="00920DC1"/>
    <w:rsid w:val="00924F62"/>
    <w:rsid w:val="0092542D"/>
    <w:rsid w:val="009363C8"/>
    <w:rsid w:val="00937DF4"/>
    <w:rsid w:val="0094008E"/>
    <w:rsid w:val="0094553A"/>
    <w:rsid w:val="00946012"/>
    <w:rsid w:val="00947893"/>
    <w:rsid w:val="00950986"/>
    <w:rsid w:val="009564E0"/>
    <w:rsid w:val="009565AA"/>
    <w:rsid w:val="00966724"/>
    <w:rsid w:val="0096736D"/>
    <w:rsid w:val="00971C17"/>
    <w:rsid w:val="00972C6C"/>
    <w:rsid w:val="009739EE"/>
    <w:rsid w:val="00973E90"/>
    <w:rsid w:val="009778D0"/>
    <w:rsid w:val="00981420"/>
    <w:rsid w:val="00990E17"/>
    <w:rsid w:val="009927F2"/>
    <w:rsid w:val="00992F58"/>
    <w:rsid w:val="0099504C"/>
    <w:rsid w:val="009970CD"/>
    <w:rsid w:val="009A05AA"/>
    <w:rsid w:val="009A2FCA"/>
    <w:rsid w:val="009B01E1"/>
    <w:rsid w:val="009B0CE9"/>
    <w:rsid w:val="009B6A46"/>
    <w:rsid w:val="009C0530"/>
    <w:rsid w:val="009C1C34"/>
    <w:rsid w:val="009C4A12"/>
    <w:rsid w:val="009C4C02"/>
    <w:rsid w:val="009C77C0"/>
    <w:rsid w:val="009D6B38"/>
    <w:rsid w:val="009E1456"/>
    <w:rsid w:val="009E2AA5"/>
    <w:rsid w:val="009E4AA8"/>
    <w:rsid w:val="009F24E1"/>
    <w:rsid w:val="009F2936"/>
    <w:rsid w:val="009F35D5"/>
    <w:rsid w:val="00A0120C"/>
    <w:rsid w:val="00A019E1"/>
    <w:rsid w:val="00A0375C"/>
    <w:rsid w:val="00A045DD"/>
    <w:rsid w:val="00A2438D"/>
    <w:rsid w:val="00A250F8"/>
    <w:rsid w:val="00A26848"/>
    <w:rsid w:val="00A403C5"/>
    <w:rsid w:val="00A41900"/>
    <w:rsid w:val="00A4299E"/>
    <w:rsid w:val="00A46FEA"/>
    <w:rsid w:val="00A524F9"/>
    <w:rsid w:val="00A54F95"/>
    <w:rsid w:val="00A55B1F"/>
    <w:rsid w:val="00A57D34"/>
    <w:rsid w:val="00A61F0E"/>
    <w:rsid w:val="00A6316E"/>
    <w:rsid w:val="00A65D27"/>
    <w:rsid w:val="00A703A2"/>
    <w:rsid w:val="00A73494"/>
    <w:rsid w:val="00A80AC4"/>
    <w:rsid w:val="00A82D34"/>
    <w:rsid w:val="00A8405A"/>
    <w:rsid w:val="00A9017B"/>
    <w:rsid w:val="00A974F1"/>
    <w:rsid w:val="00AA6FAC"/>
    <w:rsid w:val="00AB31B7"/>
    <w:rsid w:val="00AB512F"/>
    <w:rsid w:val="00AB7696"/>
    <w:rsid w:val="00AC0469"/>
    <w:rsid w:val="00AC0B1E"/>
    <w:rsid w:val="00AC5920"/>
    <w:rsid w:val="00AC64D3"/>
    <w:rsid w:val="00AC6730"/>
    <w:rsid w:val="00AD3CB4"/>
    <w:rsid w:val="00AD4B40"/>
    <w:rsid w:val="00AD613A"/>
    <w:rsid w:val="00AE0343"/>
    <w:rsid w:val="00AE0834"/>
    <w:rsid w:val="00AE1FB7"/>
    <w:rsid w:val="00AE263F"/>
    <w:rsid w:val="00AE4008"/>
    <w:rsid w:val="00AE51A6"/>
    <w:rsid w:val="00AE680A"/>
    <w:rsid w:val="00AF11DA"/>
    <w:rsid w:val="00AF78F5"/>
    <w:rsid w:val="00B00201"/>
    <w:rsid w:val="00B02929"/>
    <w:rsid w:val="00B03BCC"/>
    <w:rsid w:val="00B04AA0"/>
    <w:rsid w:val="00B05452"/>
    <w:rsid w:val="00B11651"/>
    <w:rsid w:val="00B12E16"/>
    <w:rsid w:val="00B16E0F"/>
    <w:rsid w:val="00B20D4D"/>
    <w:rsid w:val="00B23CF0"/>
    <w:rsid w:val="00B2676F"/>
    <w:rsid w:val="00B30B9B"/>
    <w:rsid w:val="00B45189"/>
    <w:rsid w:val="00B46686"/>
    <w:rsid w:val="00B467BA"/>
    <w:rsid w:val="00B513F7"/>
    <w:rsid w:val="00B51820"/>
    <w:rsid w:val="00B52319"/>
    <w:rsid w:val="00B53130"/>
    <w:rsid w:val="00B55C39"/>
    <w:rsid w:val="00B57BED"/>
    <w:rsid w:val="00B66BFF"/>
    <w:rsid w:val="00B71D2C"/>
    <w:rsid w:val="00B75841"/>
    <w:rsid w:val="00B812A4"/>
    <w:rsid w:val="00B91597"/>
    <w:rsid w:val="00B91840"/>
    <w:rsid w:val="00B91CA2"/>
    <w:rsid w:val="00BA298B"/>
    <w:rsid w:val="00BB1488"/>
    <w:rsid w:val="00BB2B94"/>
    <w:rsid w:val="00BB358F"/>
    <w:rsid w:val="00BB4B5F"/>
    <w:rsid w:val="00BB5E38"/>
    <w:rsid w:val="00BC423E"/>
    <w:rsid w:val="00BC4829"/>
    <w:rsid w:val="00BC57BD"/>
    <w:rsid w:val="00BC62D6"/>
    <w:rsid w:val="00BD12F6"/>
    <w:rsid w:val="00BD2A0C"/>
    <w:rsid w:val="00BD3EC6"/>
    <w:rsid w:val="00BD41E9"/>
    <w:rsid w:val="00BD70CE"/>
    <w:rsid w:val="00BD7C89"/>
    <w:rsid w:val="00BE11C2"/>
    <w:rsid w:val="00BF1D43"/>
    <w:rsid w:val="00BF7BCC"/>
    <w:rsid w:val="00C01AD7"/>
    <w:rsid w:val="00C05F03"/>
    <w:rsid w:val="00C17723"/>
    <w:rsid w:val="00C20282"/>
    <w:rsid w:val="00C20DC2"/>
    <w:rsid w:val="00C24FE6"/>
    <w:rsid w:val="00C3328F"/>
    <w:rsid w:val="00C33E35"/>
    <w:rsid w:val="00C35519"/>
    <w:rsid w:val="00C36AEC"/>
    <w:rsid w:val="00C411A8"/>
    <w:rsid w:val="00C43C91"/>
    <w:rsid w:val="00C45756"/>
    <w:rsid w:val="00C457DF"/>
    <w:rsid w:val="00C46C37"/>
    <w:rsid w:val="00C54413"/>
    <w:rsid w:val="00C60B8C"/>
    <w:rsid w:val="00C65BD4"/>
    <w:rsid w:val="00C81D1B"/>
    <w:rsid w:val="00C826AE"/>
    <w:rsid w:val="00C83D45"/>
    <w:rsid w:val="00C85BE0"/>
    <w:rsid w:val="00C91B7B"/>
    <w:rsid w:val="00CA15CD"/>
    <w:rsid w:val="00CA5DBA"/>
    <w:rsid w:val="00CB2283"/>
    <w:rsid w:val="00CB39CE"/>
    <w:rsid w:val="00CB43DA"/>
    <w:rsid w:val="00CB5692"/>
    <w:rsid w:val="00CB6085"/>
    <w:rsid w:val="00CC151F"/>
    <w:rsid w:val="00CC4DED"/>
    <w:rsid w:val="00CC5FAA"/>
    <w:rsid w:val="00CD1090"/>
    <w:rsid w:val="00CD390F"/>
    <w:rsid w:val="00CD55FF"/>
    <w:rsid w:val="00CD5C95"/>
    <w:rsid w:val="00CE1402"/>
    <w:rsid w:val="00CE3178"/>
    <w:rsid w:val="00CE46F9"/>
    <w:rsid w:val="00CE627C"/>
    <w:rsid w:val="00CE6915"/>
    <w:rsid w:val="00CF44F9"/>
    <w:rsid w:val="00CF4A02"/>
    <w:rsid w:val="00CF6225"/>
    <w:rsid w:val="00D04A65"/>
    <w:rsid w:val="00D101A1"/>
    <w:rsid w:val="00D17F50"/>
    <w:rsid w:val="00D21C1B"/>
    <w:rsid w:val="00D243B3"/>
    <w:rsid w:val="00D25388"/>
    <w:rsid w:val="00D25E1F"/>
    <w:rsid w:val="00D317AF"/>
    <w:rsid w:val="00D31B1A"/>
    <w:rsid w:val="00D35907"/>
    <w:rsid w:val="00D37487"/>
    <w:rsid w:val="00D44B78"/>
    <w:rsid w:val="00D44D63"/>
    <w:rsid w:val="00D51AB9"/>
    <w:rsid w:val="00D55BB2"/>
    <w:rsid w:val="00D670B9"/>
    <w:rsid w:val="00D72049"/>
    <w:rsid w:val="00D72761"/>
    <w:rsid w:val="00D72D24"/>
    <w:rsid w:val="00D77933"/>
    <w:rsid w:val="00D77FB0"/>
    <w:rsid w:val="00D827D1"/>
    <w:rsid w:val="00D82D4C"/>
    <w:rsid w:val="00D84DE0"/>
    <w:rsid w:val="00D90F3D"/>
    <w:rsid w:val="00D968B1"/>
    <w:rsid w:val="00D96BCC"/>
    <w:rsid w:val="00DA2FBC"/>
    <w:rsid w:val="00DA44F3"/>
    <w:rsid w:val="00DA4B6C"/>
    <w:rsid w:val="00DA4BF5"/>
    <w:rsid w:val="00DB3278"/>
    <w:rsid w:val="00DB5C02"/>
    <w:rsid w:val="00DC347A"/>
    <w:rsid w:val="00DC3F26"/>
    <w:rsid w:val="00DC62EB"/>
    <w:rsid w:val="00DD0BEC"/>
    <w:rsid w:val="00DD4898"/>
    <w:rsid w:val="00DE0AC9"/>
    <w:rsid w:val="00DE6CD6"/>
    <w:rsid w:val="00DE6D07"/>
    <w:rsid w:val="00DE7944"/>
    <w:rsid w:val="00DF197A"/>
    <w:rsid w:val="00DF1CF3"/>
    <w:rsid w:val="00DF3D15"/>
    <w:rsid w:val="00DF45E6"/>
    <w:rsid w:val="00DF59D9"/>
    <w:rsid w:val="00DF679C"/>
    <w:rsid w:val="00E006FF"/>
    <w:rsid w:val="00E06C5B"/>
    <w:rsid w:val="00E07233"/>
    <w:rsid w:val="00E12F06"/>
    <w:rsid w:val="00E170D0"/>
    <w:rsid w:val="00E24FDA"/>
    <w:rsid w:val="00E26B4E"/>
    <w:rsid w:val="00E30150"/>
    <w:rsid w:val="00E3417B"/>
    <w:rsid w:val="00E43680"/>
    <w:rsid w:val="00E438B9"/>
    <w:rsid w:val="00E46409"/>
    <w:rsid w:val="00E525DF"/>
    <w:rsid w:val="00E52F8B"/>
    <w:rsid w:val="00E56CD9"/>
    <w:rsid w:val="00E577CF"/>
    <w:rsid w:val="00E6182A"/>
    <w:rsid w:val="00E81721"/>
    <w:rsid w:val="00E829C3"/>
    <w:rsid w:val="00E851E1"/>
    <w:rsid w:val="00E8632E"/>
    <w:rsid w:val="00E87750"/>
    <w:rsid w:val="00E90CCF"/>
    <w:rsid w:val="00E9622E"/>
    <w:rsid w:val="00EA3191"/>
    <w:rsid w:val="00EA4EEB"/>
    <w:rsid w:val="00EB02A9"/>
    <w:rsid w:val="00EB5F4A"/>
    <w:rsid w:val="00EC2560"/>
    <w:rsid w:val="00EC3335"/>
    <w:rsid w:val="00EC3A5E"/>
    <w:rsid w:val="00ED0C8E"/>
    <w:rsid w:val="00ED1372"/>
    <w:rsid w:val="00ED79EB"/>
    <w:rsid w:val="00EE0701"/>
    <w:rsid w:val="00EE0E6D"/>
    <w:rsid w:val="00EF08CB"/>
    <w:rsid w:val="00EF193D"/>
    <w:rsid w:val="00EF47B2"/>
    <w:rsid w:val="00EF4AD3"/>
    <w:rsid w:val="00EF5474"/>
    <w:rsid w:val="00EF7F61"/>
    <w:rsid w:val="00F022C5"/>
    <w:rsid w:val="00F055AA"/>
    <w:rsid w:val="00F06715"/>
    <w:rsid w:val="00F11A04"/>
    <w:rsid w:val="00F12C2F"/>
    <w:rsid w:val="00F14E5B"/>
    <w:rsid w:val="00F16BA4"/>
    <w:rsid w:val="00F17395"/>
    <w:rsid w:val="00F24360"/>
    <w:rsid w:val="00F33E94"/>
    <w:rsid w:val="00F42BF8"/>
    <w:rsid w:val="00F43916"/>
    <w:rsid w:val="00F45BF1"/>
    <w:rsid w:val="00F47EB3"/>
    <w:rsid w:val="00F50393"/>
    <w:rsid w:val="00F52DAD"/>
    <w:rsid w:val="00F53AD8"/>
    <w:rsid w:val="00F55D5F"/>
    <w:rsid w:val="00F57F70"/>
    <w:rsid w:val="00F7051E"/>
    <w:rsid w:val="00F7293B"/>
    <w:rsid w:val="00F74763"/>
    <w:rsid w:val="00F769C0"/>
    <w:rsid w:val="00F76FD1"/>
    <w:rsid w:val="00F77D5D"/>
    <w:rsid w:val="00F80B1B"/>
    <w:rsid w:val="00F81C49"/>
    <w:rsid w:val="00F90CE7"/>
    <w:rsid w:val="00FA449C"/>
    <w:rsid w:val="00FA46FE"/>
    <w:rsid w:val="00FA4809"/>
    <w:rsid w:val="00FB259C"/>
    <w:rsid w:val="00FB4EB8"/>
    <w:rsid w:val="00FB659C"/>
    <w:rsid w:val="00FB688B"/>
    <w:rsid w:val="00FC664F"/>
    <w:rsid w:val="00FD063D"/>
    <w:rsid w:val="00FD50A2"/>
    <w:rsid w:val="00FE1BCE"/>
    <w:rsid w:val="00FE2D99"/>
    <w:rsid w:val="00FE3E3D"/>
    <w:rsid w:val="00FE4D4B"/>
    <w:rsid w:val="00FE59B7"/>
    <w:rsid w:val="00FE5F59"/>
    <w:rsid w:val="00FE6789"/>
    <w:rsid w:val="00FF7882"/>
    <w:rsid w:val="00FF7C82"/>
    <w:rsid w:val="012D1B72"/>
    <w:rsid w:val="01840F42"/>
    <w:rsid w:val="01854110"/>
    <w:rsid w:val="02046B72"/>
    <w:rsid w:val="02644611"/>
    <w:rsid w:val="03010D95"/>
    <w:rsid w:val="0303714A"/>
    <w:rsid w:val="0350134A"/>
    <w:rsid w:val="0360151C"/>
    <w:rsid w:val="038D353D"/>
    <w:rsid w:val="04520535"/>
    <w:rsid w:val="04C14096"/>
    <w:rsid w:val="05012B9D"/>
    <w:rsid w:val="052D4F50"/>
    <w:rsid w:val="05692DCD"/>
    <w:rsid w:val="05784C30"/>
    <w:rsid w:val="060523EC"/>
    <w:rsid w:val="061D788A"/>
    <w:rsid w:val="061E1F78"/>
    <w:rsid w:val="068F5EBF"/>
    <w:rsid w:val="07626320"/>
    <w:rsid w:val="077E7D9D"/>
    <w:rsid w:val="07D70E33"/>
    <w:rsid w:val="07D96A21"/>
    <w:rsid w:val="07E35402"/>
    <w:rsid w:val="07E66234"/>
    <w:rsid w:val="07F207A1"/>
    <w:rsid w:val="081E4488"/>
    <w:rsid w:val="084760E8"/>
    <w:rsid w:val="088E0696"/>
    <w:rsid w:val="08C82ECC"/>
    <w:rsid w:val="090B6105"/>
    <w:rsid w:val="090D1CFF"/>
    <w:rsid w:val="09407052"/>
    <w:rsid w:val="099877DB"/>
    <w:rsid w:val="09AE7DE4"/>
    <w:rsid w:val="0A475633"/>
    <w:rsid w:val="0AC5279B"/>
    <w:rsid w:val="0ACD5640"/>
    <w:rsid w:val="0AD47E6A"/>
    <w:rsid w:val="0AE31DD9"/>
    <w:rsid w:val="0AEC5A59"/>
    <w:rsid w:val="0B590BBE"/>
    <w:rsid w:val="0B8E7773"/>
    <w:rsid w:val="0DC554F6"/>
    <w:rsid w:val="0E785943"/>
    <w:rsid w:val="0E996EF2"/>
    <w:rsid w:val="0EF71D53"/>
    <w:rsid w:val="0EFB36F1"/>
    <w:rsid w:val="0FCD487B"/>
    <w:rsid w:val="0FF031FF"/>
    <w:rsid w:val="110373A1"/>
    <w:rsid w:val="1103770F"/>
    <w:rsid w:val="11C96C14"/>
    <w:rsid w:val="11F05092"/>
    <w:rsid w:val="11F51826"/>
    <w:rsid w:val="1221421A"/>
    <w:rsid w:val="122271C3"/>
    <w:rsid w:val="12926FF5"/>
    <w:rsid w:val="129B55B9"/>
    <w:rsid w:val="13012D8B"/>
    <w:rsid w:val="133F4FA7"/>
    <w:rsid w:val="13523C5D"/>
    <w:rsid w:val="136D5995"/>
    <w:rsid w:val="14180BD8"/>
    <w:rsid w:val="14390A6F"/>
    <w:rsid w:val="14AD7362"/>
    <w:rsid w:val="15723CBC"/>
    <w:rsid w:val="157814AC"/>
    <w:rsid w:val="15DE6CCE"/>
    <w:rsid w:val="16466E4D"/>
    <w:rsid w:val="16B941EC"/>
    <w:rsid w:val="16E72D2D"/>
    <w:rsid w:val="170474C5"/>
    <w:rsid w:val="17AB3E3C"/>
    <w:rsid w:val="188D34E2"/>
    <w:rsid w:val="18BB78B2"/>
    <w:rsid w:val="19F64447"/>
    <w:rsid w:val="1A9F18E7"/>
    <w:rsid w:val="1AA95F83"/>
    <w:rsid w:val="1B035258"/>
    <w:rsid w:val="1BD95337"/>
    <w:rsid w:val="1C646CC9"/>
    <w:rsid w:val="1C995A43"/>
    <w:rsid w:val="1CAB3D58"/>
    <w:rsid w:val="1CB52DD8"/>
    <w:rsid w:val="1CC90210"/>
    <w:rsid w:val="1CF65F7E"/>
    <w:rsid w:val="1D7A13AA"/>
    <w:rsid w:val="1DCC0FEA"/>
    <w:rsid w:val="1DFD7A81"/>
    <w:rsid w:val="1E1A57A7"/>
    <w:rsid w:val="1E491C85"/>
    <w:rsid w:val="1E5C3558"/>
    <w:rsid w:val="1E777430"/>
    <w:rsid w:val="1EE06367"/>
    <w:rsid w:val="1F3D13F8"/>
    <w:rsid w:val="1F445AA8"/>
    <w:rsid w:val="1F925DE7"/>
    <w:rsid w:val="1F98313C"/>
    <w:rsid w:val="1FE0557E"/>
    <w:rsid w:val="1FE0798F"/>
    <w:rsid w:val="1FE879B6"/>
    <w:rsid w:val="20317AC5"/>
    <w:rsid w:val="212F6D9E"/>
    <w:rsid w:val="219F3FCE"/>
    <w:rsid w:val="21D87D1E"/>
    <w:rsid w:val="224F67E1"/>
    <w:rsid w:val="244A156F"/>
    <w:rsid w:val="244C0260"/>
    <w:rsid w:val="24566F4C"/>
    <w:rsid w:val="245A496A"/>
    <w:rsid w:val="24B56E30"/>
    <w:rsid w:val="25A434EC"/>
    <w:rsid w:val="271E1EEF"/>
    <w:rsid w:val="27FC63B3"/>
    <w:rsid w:val="28101AE0"/>
    <w:rsid w:val="286A40C7"/>
    <w:rsid w:val="28CD2F68"/>
    <w:rsid w:val="29676E67"/>
    <w:rsid w:val="29BC7FF0"/>
    <w:rsid w:val="2A0B69A0"/>
    <w:rsid w:val="2A4016F5"/>
    <w:rsid w:val="2A6174A2"/>
    <w:rsid w:val="2AB95076"/>
    <w:rsid w:val="2AC24332"/>
    <w:rsid w:val="2AC5291C"/>
    <w:rsid w:val="2B207D60"/>
    <w:rsid w:val="2B5B7EFA"/>
    <w:rsid w:val="2BB90842"/>
    <w:rsid w:val="2BC7609A"/>
    <w:rsid w:val="2BC80958"/>
    <w:rsid w:val="2C0105BD"/>
    <w:rsid w:val="2C0E0D24"/>
    <w:rsid w:val="2CFB4187"/>
    <w:rsid w:val="2D3E014B"/>
    <w:rsid w:val="2E1F2371"/>
    <w:rsid w:val="2EBE137D"/>
    <w:rsid w:val="2F3965F2"/>
    <w:rsid w:val="2F6C10EE"/>
    <w:rsid w:val="2FC47D42"/>
    <w:rsid w:val="302C2A81"/>
    <w:rsid w:val="30791EA5"/>
    <w:rsid w:val="312A7DC4"/>
    <w:rsid w:val="314B6987"/>
    <w:rsid w:val="317534EB"/>
    <w:rsid w:val="31D03FFE"/>
    <w:rsid w:val="32007410"/>
    <w:rsid w:val="324F4103"/>
    <w:rsid w:val="3270712B"/>
    <w:rsid w:val="32842974"/>
    <w:rsid w:val="32904FFC"/>
    <w:rsid w:val="32E367EC"/>
    <w:rsid w:val="32F71CAA"/>
    <w:rsid w:val="334341A7"/>
    <w:rsid w:val="33947569"/>
    <w:rsid w:val="33D71105"/>
    <w:rsid w:val="34FA0D5A"/>
    <w:rsid w:val="35533CA1"/>
    <w:rsid w:val="35AC4CFF"/>
    <w:rsid w:val="35FB0C50"/>
    <w:rsid w:val="373C1782"/>
    <w:rsid w:val="3780436F"/>
    <w:rsid w:val="38FD5CBA"/>
    <w:rsid w:val="394C5F77"/>
    <w:rsid w:val="3964226F"/>
    <w:rsid w:val="3A361F7B"/>
    <w:rsid w:val="3AE14CEC"/>
    <w:rsid w:val="3B540EB4"/>
    <w:rsid w:val="3B890F8C"/>
    <w:rsid w:val="3BCA346B"/>
    <w:rsid w:val="3BEA545B"/>
    <w:rsid w:val="3C110316"/>
    <w:rsid w:val="3C6F33EA"/>
    <w:rsid w:val="3CE15695"/>
    <w:rsid w:val="3D23169C"/>
    <w:rsid w:val="3D277077"/>
    <w:rsid w:val="3D9B0FDA"/>
    <w:rsid w:val="3DB47C67"/>
    <w:rsid w:val="3F557078"/>
    <w:rsid w:val="3F591656"/>
    <w:rsid w:val="402D7BDC"/>
    <w:rsid w:val="404D06F2"/>
    <w:rsid w:val="40583235"/>
    <w:rsid w:val="408506D1"/>
    <w:rsid w:val="40986276"/>
    <w:rsid w:val="40F728B6"/>
    <w:rsid w:val="40F90670"/>
    <w:rsid w:val="42561B0E"/>
    <w:rsid w:val="42736B86"/>
    <w:rsid w:val="427B5875"/>
    <w:rsid w:val="429E083D"/>
    <w:rsid w:val="42D410CB"/>
    <w:rsid w:val="43916D7B"/>
    <w:rsid w:val="43C97715"/>
    <w:rsid w:val="43D00224"/>
    <w:rsid w:val="43D558DF"/>
    <w:rsid w:val="445A24AC"/>
    <w:rsid w:val="458C0703"/>
    <w:rsid w:val="464A2B4C"/>
    <w:rsid w:val="46876EFC"/>
    <w:rsid w:val="46C16634"/>
    <w:rsid w:val="471267FC"/>
    <w:rsid w:val="4775264E"/>
    <w:rsid w:val="47C51CC4"/>
    <w:rsid w:val="47CD58BB"/>
    <w:rsid w:val="47FA089E"/>
    <w:rsid w:val="48ED208D"/>
    <w:rsid w:val="48FA0C99"/>
    <w:rsid w:val="49841213"/>
    <w:rsid w:val="49BE0C60"/>
    <w:rsid w:val="49C042A7"/>
    <w:rsid w:val="49CA0AB3"/>
    <w:rsid w:val="4A2A3EF2"/>
    <w:rsid w:val="4A4B30C1"/>
    <w:rsid w:val="4A6F4760"/>
    <w:rsid w:val="4AC3471C"/>
    <w:rsid w:val="4B4A7EA8"/>
    <w:rsid w:val="4B9C173E"/>
    <w:rsid w:val="4BE33D1E"/>
    <w:rsid w:val="4C1027D8"/>
    <w:rsid w:val="4CCB191C"/>
    <w:rsid w:val="4CCE64B9"/>
    <w:rsid w:val="4D8448BB"/>
    <w:rsid w:val="4F833A2E"/>
    <w:rsid w:val="50382951"/>
    <w:rsid w:val="505716AE"/>
    <w:rsid w:val="51007B8F"/>
    <w:rsid w:val="513350D3"/>
    <w:rsid w:val="514074A1"/>
    <w:rsid w:val="514449ED"/>
    <w:rsid w:val="51B706F3"/>
    <w:rsid w:val="52A66434"/>
    <w:rsid w:val="53AE3149"/>
    <w:rsid w:val="54FF2C76"/>
    <w:rsid w:val="553933E7"/>
    <w:rsid w:val="559F0FC5"/>
    <w:rsid w:val="55C6682C"/>
    <w:rsid w:val="55FE7476"/>
    <w:rsid w:val="56ED25F4"/>
    <w:rsid w:val="570F54F2"/>
    <w:rsid w:val="57523DF4"/>
    <w:rsid w:val="575F7CEC"/>
    <w:rsid w:val="578255FD"/>
    <w:rsid w:val="5786554B"/>
    <w:rsid w:val="58784AA8"/>
    <w:rsid w:val="58860549"/>
    <w:rsid w:val="59131579"/>
    <w:rsid w:val="592811B1"/>
    <w:rsid w:val="59285498"/>
    <w:rsid w:val="597178CF"/>
    <w:rsid w:val="59C046C9"/>
    <w:rsid w:val="5BB15328"/>
    <w:rsid w:val="5BD66B30"/>
    <w:rsid w:val="5C105AC0"/>
    <w:rsid w:val="5DAE2459"/>
    <w:rsid w:val="5E357248"/>
    <w:rsid w:val="5E517EA7"/>
    <w:rsid w:val="5EA81150"/>
    <w:rsid w:val="5EE20A08"/>
    <w:rsid w:val="5FB764FE"/>
    <w:rsid w:val="5FE51FE0"/>
    <w:rsid w:val="600C139F"/>
    <w:rsid w:val="60B40149"/>
    <w:rsid w:val="60E446C2"/>
    <w:rsid w:val="62150E25"/>
    <w:rsid w:val="62FA65BC"/>
    <w:rsid w:val="63755E43"/>
    <w:rsid w:val="64BE010E"/>
    <w:rsid w:val="65287FBB"/>
    <w:rsid w:val="65521564"/>
    <w:rsid w:val="656402EA"/>
    <w:rsid w:val="65946E6D"/>
    <w:rsid w:val="65AF4514"/>
    <w:rsid w:val="65B17CFA"/>
    <w:rsid w:val="65F4141C"/>
    <w:rsid w:val="660E24A9"/>
    <w:rsid w:val="663546D0"/>
    <w:rsid w:val="66A4245B"/>
    <w:rsid w:val="6724293E"/>
    <w:rsid w:val="679F036F"/>
    <w:rsid w:val="681A07BE"/>
    <w:rsid w:val="687C6FA4"/>
    <w:rsid w:val="69857FF1"/>
    <w:rsid w:val="699748FB"/>
    <w:rsid w:val="6A12769F"/>
    <w:rsid w:val="6A6021ED"/>
    <w:rsid w:val="6A65376A"/>
    <w:rsid w:val="6A7F5408"/>
    <w:rsid w:val="6ACB5917"/>
    <w:rsid w:val="6B092761"/>
    <w:rsid w:val="6B492EC2"/>
    <w:rsid w:val="6BAB71AA"/>
    <w:rsid w:val="6BE740C9"/>
    <w:rsid w:val="6C427235"/>
    <w:rsid w:val="6C8C2F85"/>
    <w:rsid w:val="6D0D6A53"/>
    <w:rsid w:val="6D1F348B"/>
    <w:rsid w:val="6DEE6881"/>
    <w:rsid w:val="6E36777E"/>
    <w:rsid w:val="6ED640B1"/>
    <w:rsid w:val="6F274F9C"/>
    <w:rsid w:val="70024FA7"/>
    <w:rsid w:val="70EC372B"/>
    <w:rsid w:val="718F5DD8"/>
    <w:rsid w:val="71FD137D"/>
    <w:rsid w:val="72570540"/>
    <w:rsid w:val="72F5314A"/>
    <w:rsid w:val="73486EBD"/>
    <w:rsid w:val="73E87B54"/>
    <w:rsid w:val="7472611E"/>
    <w:rsid w:val="74CC59A8"/>
    <w:rsid w:val="74DB087F"/>
    <w:rsid w:val="74E3134B"/>
    <w:rsid w:val="75D761DE"/>
    <w:rsid w:val="761706A1"/>
    <w:rsid w:val="76901FEE"/>
    <w:rsid w:val="770B6B94"/>
    <w:rsid w:val="77646B87"/>
    <w:rsid w:val="77770FBC"/>
    <w:rsid w:val="77954346"/>
    <w:rsid w:val="784C75DE"/>
    <w:rsid w:val="78523A62"/>
    <w:rsid w:val="78E04578"/>
    <w:rsid w:val="79AC4729"/>
    <w:rsid w:val="7A4B20FB"/>
    <w:rsid w:val="7A8F6A61"/>
    <w:rsid w:val="7A9032C7"/>
    <w:rsid w:val="7BE76F55"/>
    <w:rsid w:val="7C2476B3"/>
    <w:rsid w:val="7C3D27DC"/>
    <w:rsid w:val="7C8100BC"/>
    <w:rsid w:val="7D365EC8"/>
    <w:rsid w:val="7D986A32"/>
    <w:rsid w:val="7DD77375"/>
    <w:rsid w:val="7DDC0A6F"/>
    <w:rsid w:val="7E445248"/>
    <w:rsid w:val="7E7F5F2A"/>
    <w:rsid w:val="7F002A8E"/>
    <w:rsid w:val="7F0E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0"/>
    <w:qFormat/>
    <w:uiPriority w:val="0"/>
    <w:pPr>
      <w:keepNext/>
      <w:jc w:val="center"/>
      <w:outlineLvl w:val="0"/>
    </w:pPr>
    <w:rPr>
      <w:rFonts w:eastAsia="Calibri"/>
      <w:b/>
      <w:bCs/>
    </w:rPr>
  </w:style>
  <w:style w:type="paragraph" w:styleId="5">
    <w:name w:val="heading 2"/>
    <w:basedOn w:val="1"/>
    <w:next w:val="1"/>
    <w:link w:val="124"/>
    <w:qFormat/>
    <w:uiPriority w:val="0"/>
    <w:pPr>
      <w:keepNext/>
      <w:keepLines/>
      <w:spacing w:before="260" w:after="260" w:line="415" w:lineRule="auto"/>
      <w:outlineLvl w:val="1"/>
    </w:pPr>
    <w:rPr>
      <w:rFonts w:ascii="宋体,Verdana,Arial" w:hAnsi="宋体,Verdana,Arial" w:eastAsia="Cambria"/>
      <w:b/>
      <w:bCs/>
      <w:sz w:val="32"/>
      <w:szCs w:val="32"/>
    </w:rPr>
  </w:style>
  <w:style w:type="paragraph" w:styleId="6">
    <w:name w:val="heading 3"/>
    <w:basedOn w:val="1"/>
    <w:next w:val="1"/>
    <w:link w:val="134"/>
    <w:qFormat/>
    <w:uiPriority w:val="0"/>
    <w:pPr>
      <w:keepNext/>
      <w:keepLines/>
      <w:spacing w:before="260" w:after="260" w:line="415" w:lineRule="auto"/>
      <w:outlineLvl w:val="2"/>
    </w:pPr>
    <w:rPr>
      <w:rFonts w:eastAsia="Cambria"/>
      <w:b/>
      <w:bCs/>
      <w:sz w:val="32"/>
      <w:szCs w:val="32"/>
    </w:rPr>
  </w:style>
  <w:style w:type="paragraph" w:styleId="7">
    <w:name w:val="heading 4"/>
    <w:basedOn w:val="1"/>
    <w:next w:val="1"/>
    <w:link w:val="157"/>
    <w:qFormat/>
    <w:uiPriority w:val="0"/>
    <w:pPr>
      <w:keepNext/>
      <w:keepLines/>
      <w:spacing w:before="280" w:after="290" w:line="374" w:lineRule="auto"/>
      <w:outlineLvl w:val="3"/>
    </w:pPr>
    <w:rPr>
      <w:rFonts w:ascii="宋体,Verdana,Arial" w:hAnsi="宋体,Verdana,Arial" w:eastAsia="Cambria"/>
      <w:b/>
      <w:bCs/>
      <w:sz w:val="28"/>
      <w:szCs w:val="28"/>
    </w:rPr>
  </w:style>
  <w:style w:type="paragraph" w:styleId="8">
    <w:name w:val="heading 5"/>
    <w:basedOn w:val="1"/>
    <w:next w:val="1"/>
    <w:link w:val="175"/>
    <w:qFormat/>
    <w:uiPriority w:val="0"/>
    <w:pPr>
      <w:keepNext/>
      <w:keepLines/>
      <w:spacing w:before="280" w:after="290" w:line="374" w:lineRule="auto"/>
      <w:outlineLvl w:val="4"/>
    </w:pPr>
    <w:rPr>
      <w:rFonts w:eastAsia="Cambria"/>
      <w:b/>
      <w:bCs/>
      <w:sz w:val="28"/>
      <w:szCs w:val="28"/>
    </w:rPr>
  </w:style>
  <w:style w:type="paragraph" w:styleId="9">
    <w:name w:val="heading 6"/>
    <w:basedOn w:val="1"/>
    <w:next w:val="1"/>
    <w:link w:val="86"/>
    <w:qFormat/>
    <w:uiPriority w:val="0"/>
    <w:pPr>
      <w:widowControl/>
      <w:tabs>
        <w:tab w:val="left" w:pos="765"/>
      </w:tabs>
      <w:autoSpaceDE w:val="0"/>
      <w:autoSpaceDN w:val="0"/>
      <w:adjustRightInd w:val="0"/>
      <w:spacing w:line="360" w:lineRule="auto"/>
      <w:ind w:left="1134" w:hanging="680"/>
      <w:jc w:val="left"/>
      <w:outlineLvl w:val="5"/>
    </w:pPr>
    <w:rPr>
      <w:rFonts w:ascii="Courier New" w:hAnsi="Courier New" w:eastAsia="ˎ̥"/>
      <w:kern w:val="0"/>
      <w:szCs w:val="21"/>
    </w:rPr>
  </w:style>
  <w:style w:type="paragraph" w:styleId="10">
    <w:name w:val="heading 7"/>
    <w:basedOn w:val="1"/>
    <w:next w:val="1"/>
    <w:link w:val="180"/>
    <w:qFormat/>
    <w:uiPriority w:val="0"/>
    <w:pPr>
      <w:widowControl/>
      <w:tabs>
        <w:tab w:val="left" w:pos="765"/>
      </w:tabs>
      <w:autoSpaceDE w:val="0"/>
      <w:autoSpaceDN w:val="0"/>
      <w:adjustRightInd w:val="0"/>
      <w:spacing w:line="360" w:lineRule="auto"/>
      <w:ind w:left="1134" w:hanging="680"/>
      <w:jc w:val="left"/>
      <w:outlineLvl w:val="6"/>
    </w:pPr>
    <w:rPr>
      <w:rFonts w:ascii="Courier New" w:hAnsi="Courier New" w:eastAsia="ˎ̥"/>
      <w:kern w:val="0"/>
      <w:szCs w:val="21"/>
    </w:rPr>
  </w:style>
  <w:style w:type="paragraph" w:styleId="11">
    <w:name w:val="heading 8"/>
    <w:basedOn w:val="1"/>
    <w:next w:val="1"/>
    <w:link w:val="209"/>
    <w:qFormat/>
    <w:uiPriority w:val="0"/>
    <w:pPr>
      <w:keepLines/>
      <w:tabs>
        <w:tab w:val="left" w:pos="1638"/>
      </w:tabs>
      <w:autoSpaceDE w:val="0"/>
      <w:autoSpaceDN w:val="0"/>
      <w:adjustRightInd w:val="0"/>
      <w:spacing w:before="240" w:after="64" w:line="319" w:lineRule="auto"/>
      <w:ind w:left="1638" w:hanging="1440"/>
      <w:jc w:val="left"/>
      <w:outlineLvl w:val="7"/>
    </w:pPr>
    <w:rPr>
      <w:rFonts w:ascii="Courier New" w:hAnsi="Courier New" w:eastAsia="ˎ̥"/>
      <w:kern w:val="0"/>
      <w:sz w:val="24"/>
      <w:szCs w:val="20"/>
    </w:rPr>
  </w:style>
  <w:style w:type="paragraph" w:styleId="12">
    <w:name w:val="heading 9"/>
    <w:basedOn w:val="1"/>
    <w:next w:val="1"/>
    <w:link w:val="168"/>
    <w:qFormat/>
    <w:uiPriority w:val="0"/>
    <w:pPr>
      <w:keepLines/>
      <w:tabs>
        <w:tab w:val="left" w:pos="1782"/>
      </w:tabs>
      <w:autoSpaceDE w:val="0"/>
      <w:autoSpaceDN w:val="0"/>
      <w:adjustRightInd w:val="0"/>
      <w:spacing w:before="240" w:after="64" w:line="319" w:lineRule="auto"/>
      <w:ind w:left="1782" w:hanging="1584"/>
      <w:jc w:val="left"/>
      <w:outlineLvl w:val="8"/>
    </w:pPr>
    <w:rPr>
      <w:rFonts w:ascii="Courier New" w:hAnsi="Courier New" w:eastAsia="ˎ̥"/>
      <w:kern w:val="0"/>
      <w:szCs w:val="20"/>
    </w:rPr>
  </w:style>
  <w:style w:type="character" w:default="1" w:styleId="50">
    <w:name w:val="Default Paragraph Font"/>
    <w:semiHidden/>
    <w:unhideWhenUsed/>
    <w:qFormat/>
    <w:uiPriority w:val="1"/>
  </w:style>
  <w:style w:type="table" w:default="1" w:styleId="6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4"/>
    <w:qFormat/>
    <w:uiPriority w:val="0"/>
    <w:pPr>
      <w:autoSpaceDE w:val="0"/>
      <w:autoSpaceDN w:val="0"/>
      <w:adjustRightInd w:val="0"/>
      <w:ind w:firstLine="420" w:firstLineChars="100"/>
      <w:jc w:val="left"/>
    </w:pPr>
    <w:rPr>
      <w:kern w:val="0"/>
      <w:sz w:val="20"/>
      <w:szCs w:val="20"/>
    </w:rPr>
  </w:style>
  <w:style w:type="paragraph" w:styleId="3">
    <w:name w:val="Body Text"/>
    <w:basedOn w:val="1"/>
    <w:next w:val="2"/>
    <w:link w:val="212"/>
    <w:qFormat/>
    <w:uiPriority w:val="0"/>
    <w:pPr>
      <w:spacing w:after="120"/>
    </w:pPr>
    <w:rPr>
      <w:rFonts w:eastAsia="Cambria"/>
    </w:rPr>
  </w:style>
  <w:style w:type="paragraph" w:styleId="13">
    <w:name w:val="annotation subject"/>
    <w:basedOn w:val="14"/>
    <w:next w:val="14"/>
    <w:link w:val="103"/>
    <w:qFormat/>
    <w:uiPriority w:val="0"/>
    <w:rPr>
      <w:b/>
      <w:bCs/>
    </w:rPr>
  </w:style>
  <w:style w:type="paragraph" w:styleId="14">
    <w:name w:val="annotation text"/>
    <w:basedOn w:val="1"/>
    <w:link w:val="221"/>
    <w:qFormat/>
    <w:uiPriority w:val="0"/>
    <w:pPr>
      <w:jc w:val="left"/>
    </w:pPr>
    <w:rPr>
      <w:rFonts w:eastAsia="Cambria"/>
    </w:rPr>
  </w:style>
  <w:style w:type="paragraph" w:styleId="15">
    <w:name w:val="toc 7"/>
    <w:basedOn w:val="1"/>
    <w:next w:val="1"/>
    <w:qFormat/>
    <w:uiPriority w:val="0"/>
    <w:pPr>
      <w:autoSpaceDE w:val="0"/>
      <w:autoSpaceDN w:val="0"/>
      <w:adjustRightInd w:val="0"/>
      <w:ind w:left="2520" w:leftChars="1200"/>
      <w:jc w:val="left"/>
    </w:pPr>
    <w:rPr>
      <w:kern w:val="0"/>
      <w:sz w:val="20"/>
      <w:szCs w:val="20"/>
    </w:rPr>
  </w:style>
  <w:style w:type="paragraph" w:styleId="16">
    <w:name w:val="macro"/>
    <w:link w:val="14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隶书" w:hAnsi="隶书" w:eastAsia="宋体" w:cs="Times New Roman"/>
      <w:kern w:val="2"/>
      <w:sz w:val="24"/>
      <w:szCs w:val="24"/>
      <w:lang w:val="en-US" w:eastAsia="zh-CN" w:bidi="ar-SA"/>
    </w:rPr>
  </w:style>
  <w:style w:type="paragraph" w:styleId="17">
    <w:name w:val="List Number"/>
    <w:basedOn w:val="1"/>
    <w:qFormat/>
    <w:uiPriority w:val="0"/>
    <w:pPr>
      <w:tabs>
        <w:tab w:val="left" w:pos="360"/>
      </w:tabs>
      <w:ind w:left="360" w:hanging="360" w:hangingChars="200"/>
    </w:pPr>
  </w:style>
  <w:style w:type="paragraph" w:styleId="18">
    <w:name w:val="Normal Indent"/>
    <w:basedOn w:val="1"/>
    <w:link w:val="126"/>
    <w:qFormat/>
    <w:uiPriority w:val="0"/>
    <w:pPr>
      <w:adjustRightInd w:val="0"/>
      <w:spacing w:line="312" w:lineRule="atLeast"/>
      <w:ind w:firstLine="420"/>
      <w:textAlignment w:val="baseline"/>
    </w:pPr>
    <w:rPr>
      <w:rFonts w:eastAsia="Cambria"/>
      <w:kern w:val="0"/>
      <w:szCs w:val="20"/>
    </w:rPr>
  </w:style>
  <w:style w:type="paragraph" w:styleId="19">
    <w:name w:val="caption"/>
    <w:basedOn w:val="1"/>
    <w:next w:val="1"/>
    <w:qFormat/>
    <w:uiPriority w:val="0"/>
    <w:pPr>
      <w:autoSpaceDE w:val="0"/>
      <w:autoSpaceDN w:val="0"/>
      <w:adjustRightInd w:val="0"/>
      <w:jc w:val="left"/>
    </w:pPr>
    <w:rPr>
      <w:rFonts w:ascii="Courier New" w:hAnsi="Courier New" w:eastAsia="ˎ̥" w:cs="Courier New"/>
      <w:kern w:val="0"/>
      <w:sz w:val="20"/>
      <w:szCs w:val="20"/>
    </w:rPr>
  </w:style>
  <w:style w:type="paragraph" w:styleId="20">
    <w:name w:val="List Bullet"/>
    <w:basedOn w:val="1"/>
    <w:qFormat/>
    <w:uiPriority w:val="0"/>
    <w:pPr>
      <w:tabs>
        <w:tab w:val="left" w:pos="360"/>
      </w:tabs>
      <w:ind w:left="360" w:hanging="360"/>
    </w:pPr>
    <w:rPr>
      <w:rFonts w:ascii="Helvetica" w:hAnsi="Helvetica"/>
      <w:szCs w:val="22"/>
    </w:rPr>
  </w:style>
  <w:style w:type="paragraph" w:styleId="21">
    <w:name w:val="Document Map"/>
    <w:basedOn w:val="1"/>
    <w:link w:val="125"/>
    <w:qFormat/>
    <w:uiPriority w:val="0"/>
    <w:pPr>
      <w:shd w:val="clear" w:color="auto" w:fill="000080"/>
    </w:pPr>
    <w:rPr>
      <w:rFonts w:eastAsia="Cambria"/>
    </w:rPr>
  </w:style>
  <w:style w:type="paragraph" w:styleId="22">
    <w:name w:val="Salutation"/>
    <w:basedOn w:val="1"/>
    <w:next w:val="1"/>
    <w:qFormat/>
    <w:uiPriority w:val="0"/>
    <w:pPr>
      <w:tabs>
        <w:tab w:val="left" w:pos="840"/>
      </w:tabs>
      <w:autoSpaceDE w:val="0"/>
      <w:autoSpaceDN w:val="0"/>
      <w:adjustRightInd w:val="0"/>
      <w:jc w:val="left"/>
    </w:pPr>
    <w:rPr>
      <w:kern w:val="0"/>
      <w:sz w:val="24"/>
      <w:szCs w:val="20"/>
    </w:rPr>
  </w:style>
  <w:style w:type="paragraph" w:styleId="23">
    <w:name w:val="Body Text 3"/>
    <w:basedOn w:val="1"/>
    <w:qFormat/>
    <w:uiPriority w:val="0"/>
    <w:pPr>
      <w:autoSpaceDE w:val="0"/>
      <w:autoSpaceDN w:val="0"/>
      <w:adjustRightInd w:val="0"/>
      <w:jc w:val="center"/>
    </w:pPr>
    <w:rPr>
      <w:kern w:val="0"/>
      <w:sz w:val="20"/>
      <w:szCs w:val="20"/>
    </w:rPr>
  </w:style>
  <w:style w:type="paragraph" w:styleId="24">
    <w:name w:val="Body Text Indent"/>
    <w:basedOn w:val="1"/>
    <w:link w:val="98"/>
    <w:qFormat/>
    <w:uiPriority w:val="0"/>
    <w:pPr>
      <w:ind w:left="480" w:hanging="480" w:hangingChars="200"/>
    </w:pPr>
    <w:rPr>
      <w:rFonts w:eastAsia="Cambria"/>
      <w:sz w:val="24"/>
    </w:rPr>
  </w:style>
  <w:style w:type="paragraph" w:styleId="25">
    <w:name w:val="List Number 3"/>
    <w:basedOn w:val="1"/>
    <w:qFormat/>
    <w:uiPriority w:val="0"/>
    <w:pPr>
      <w:tabs>
        <w:tab w:val="left" w:pos="1200"/>
      </w:tabs>
      <w:ind w:left="1200" w:leftChars="400" w:hanging="360" w:hangingChars="200"/>
    </w:pPr>
  </w:style>
  <w:style w:type="paragraph" w:styleId="26">
    <w:name w:val="List Bullet 2"/>
    <w:basedOn w:val="1"/>
    <w:qFormat/>
    <w:uiPriority w:val="0"/>
    <w:pPr>
      <w:tabs>
        <w:tab w:val="left" w:pos="780"/>
      </w:tabs>
      <w:spacing w:line="360" w:lineRule="auto"/>
      <w:ind w:left="780" w:leftChars="200" w:hanging="360" w:hangingChars="200"/>
    </w:pPr>
  </w:style>
  <w:style w:type="paragraph" w:styleId="27">
    <w:name w:val="toc 5"/>
    <w:basedOn w:val="1"/>
    <w:next w:val="1"/>
    <w:qFormat/>
    <w:uiPriority w:val="0"/>
    <w:pPr>
      <w:autoSpaceDE w:val="0"/>
      <w:autoSpaceDN w:val="0"/>
      <w:adjustRightInd w:val="0"/>
      <w:ind w:left="1680" w:leftChars="800"/>
      <w:jc w:val="left"/>
    </w:pPr>
    <w:rPr>
      <w:kern w:val="0"/>
      <w:sz w:val="20"/>
      <w:szCs w:val="20"/>
    </w:rPr>
  </w:style>
  <w:style w:type="paragraph" w:styleId="28">
    <w:name w:val="toc 3"/>
    <w:basedOn w:val="1"/>
    <w:next w:val="1"/>
    <w:qFormat/>
    <w:uiPriority w:val="0"/>
    <w:pPr>
      <w:ind w:left="840" w:leftChars="400"/>
    </w:pPr>
  </w:style>
  <w:style w:type="paragraph" w:styleId="29">
    <w:name w:val="Plain Text"/>
    <w:basedOn w:val="1"/>
    <w:link w:val="108"/>
    <w:qFormat/>
    <w:uiPriority w:val="0"/>
    <w:pPr>
      <w:widowControl/>
      <w:overflowPunct w:val="0"/>
      <w:autoSpaceDE w:val="0"/>
      <w:autoSpaceDN w:val="0"/>
      <w:adjustRightInd w:val="0"/>
      <w:jc w:val="left"/>
      <w:textAlignment w:val="baseline"/>
    </w:pPr>
    <w:rPr>
      <w:rFonts w:ascii="Cambria" w:hAnsi="隶书" w:eastAsia="Cambria"/>
      <w:kern w:val="0"/>
      <w:szCs w:val="21"/>
    </w:rPr>
  </w:style>
  <w:style w:type="paragraph" w:styleId="30">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qFormat/>
    <w:uiPriority w:val="0"/>
    <w:pPr>
      <w:autoSpaceDE w:val="0"/>
      <w:autoSpaceDN w:val="0"/>
      <w:adjustRightInd w:val="0"/>
      <w:ind w:left="2940" w:leftChars="1400"/>
      <w:jc w:val="left"/>
    </w:pPr>
    <w:rPr>
      <w:kern w:val="0"/>
      <w:sz w:val="20"/>
      <w:szCs w:val="20"/>
    </w:rPr>
  </w:style>
  <w:style w:type="paragraph" w:styleId="32">
    <w:name w:val="Date"/>
    <w:basedOn w:val="1"/>
    <w:next w:val="1"/>
    <w:link w:val="171"/>
    <w:qFormat/>
    <w:uiPriority w:val="0"/>
    <w:pPr>
      <w:ind w:left="100" w:leftChars="2500"/>
    </w:pPr>
    <w:rPr>
      <w:rFonts w:eastAsia="Cambria"/>
    </w:rPr>
  </w:style>
  <w:style w:type="paragraph" w:styleId="33">
    <w:name w:val="Body Text Indent 2"/>
    <w:basedOn w:val="1"/>
    <w:link w:val="100"/>
    <w:qFormat/>
    <w:uiPriority w:val="0"/>
    <w:pPr>
      <w:spacing w:line="500" w:lineRule="exact"/>
      <w:ind w:firstLine="511" w:firstLineChars="213"/>
    </w:pPr>
    <w:rPr>
      <w:rFonts w:eastAsia="Cambria"/>
      <w:sz w:val="24"/>
    </w:rPr>
  </w:style>
  <w:style w:type="paragraph" w:styleId="34">
    <w:name w:val="Balloon Text"/>
    <w:basedOn w:val="1"/>
    <w:link w:val="111"/>
    <w:qFormat/>
    <w:uiPriority w:val="0"/>
    <w:rPr>
      <w:rFonts w:eastAsia="Cambria"/>
      <w:sz w:val="18"/>
      <w:szCs w:val="18"/>
    </w:rPr>
  </w:style>
  <w:style w:type="paragraph" w:styleId="35">
    <w:name w:val="footer"/>
    <w:basedOn w:val="1"/>
    <w:link w:val="199"/>
    <w:qFormat/>
    <w:uiPriority w:val="0"/>
    <w:pPr>
      <w:tabs>
        <w:tab w:val="center" w:pos="4153"/>
        <w:tab w:val="right" w:pos="8306"/>
      </w:tabs>
      <w:snapToGrid w:val="0"/>
      <w:jc w:val="left"/>
    </w:pPr>
    <w:rPr>
      <w:rFonts w:eastAsia="Cambria"/>
      <w:sz w:val="18"/>
      <w:szCs w:val="18"/>
    </w:rPr>
  </w:style>
  <w:style w:type="paragraph" w:styleId="36">
    <w:name w:val="Body Text First Indent 2"/>
    <w:basedOn w:val="24"/>
    <w:qFormat/>
    <w:uiPriority w:val="0"/>
    <w:pPr>
      <w:spacing w:after="120"/>
      <w:ind w:left="420" w:leftChars="200" w:firstLine="420" w:firstLineChars="200"/>
    </w:pPr>
    <w:rPr>
      <w:rFonts w:ascii="Tahoma" w:hAnsi="Tahoma" w:eastAsia="仿宋_GB2312" w:cs="Tahoma"/>
      <w:sz w:val="21"/>
    </w:rPr>
  </w:style>
  <w:style w:type="paragraph" w:styleId="37">
    <w:name w:val="header"/>
    <w:basedOn w:val="1"/>
    <w:link w:val="194"/>
    <w:qFormat/>
    <w:uiPriority w:val="0"/>
    <w:pPr>
      <w:pBdr>
        <w:bottom w:val="single" w:color="auto" w:sz="6" w:space="1"/>
      </w:pBdr>
      <w:tabs>
        <w:tab w:val="center" w:pos="4153"/>
        <w:tab w:val="right" w:pos="8306"/>
      </w:tabs>
      <w:snapToGrid w:val="0"/>
      <w:jc w:val="center"/>
    </w:pPr>
    <w:rPr>
      <w:rFonts w:eastAsia="Cambria"/>
      <w:sz w:val="18"/>
      <w:szCs w:val="18"/>
    </w:rPr>
  </w:style>
  <w:style w:type="paragraph" w:styleId="38">
    <w:name w:val="Signature"/>
    <w:basedOn w:val="1"/>
    <w:qFormat/>
    <w:uiPriority w:val="0"/>
    <w:pPr>
      <w:autoSpaceDE w:val="0"/>
      <w:autoSpaceDN w:val="0"/>
      <w:adjustRightInd w:val="0"/>
      <w:spacing w:after="600" w:line="312" w:lineRule="atLeast"/>
      <w:jc w:val="center"/>
      <w:textAlignment w:val="baseline"/>
    </w:pPr>
    <w:rPr>
      <w:rFonts w:eastAsia="Verdana"/>
      <w:kern w:val="0"/>
      <w:sz w:val="24"/>
      <w:szCs w:val="20"/>
    </w:rPr>
  </w:style>
  <w:style w:type="paragraph" w:styleId="39">
    <w:name w:val="toc 1"/>
    <w:basedOn w:val="1"/>
    <w:next w:val="1"/>
    <w:qFormat/>
    <w:uiPriority w:val="39"/>
    <w:pPr>
      <w:tabs>
        <w:tab w:val="right" w:leader="dot" w:pos="9628"/>
      </w:tabs>
      <w:spacing w:line="480" w:lineRule="auto"/>
    </w:pPr>
    <w:rPr>
      <w:rFonts w:ascii="Courier New" w:hAnsi="Courier New" w:eastAsia="仿宋_GB2312" w:cs="Courier New"/>
      <w:bCs/>
      <w:sz w:val="24"/>
    </w:rPr>
  </w:style>
  <w:style w:type="paragraph" w:styleId="40">
    <w:name w:val="toc 4"/>
    <w:basedOn w:val="1"/>
    <w:next w:val="1"/>
    <w:qFormat/>
    <w:uiPriority w:val="0"/>
    <w:pPr>
      <w:autoSpaceDE w:val="0"/>
      <w:autoSpaceDN w:val="0"/>
      <w:adjustRightInd w:val="0"/>
      <w:ind w:left="1260" w:leftChars="600"/>
      <w:jc w:val="left"/>
    </w:pPr>
    <w:rPr>
      <w:kern w:val="0"/>
      <w:sz w:val="20"/>
      <w:szCs w:val="20"/>
    </w:rPr>
  </w:style>
  <w:style w:type="paragraph" w:styleId="41">
    <w:name w:val="Subtitle"/>
    <w:basedOn w:val="1"/>
    <w:next w:val="1"/>
    <w:link w:val="109"/>
    <w:qFormat/>
    <w:uiPriority w:val="0"/>
    <w:pPr>
      <w:spacing w:before="240" w:after="60" w:line="312" w:lineRule="auto"/>
      <w:jc w:val="center"/>
      <w:outlineLvl w:val="1"/>
    </w:pPr>
    <w:rPr>
      <w:rFonts w:ascii="宋体,Verdana,Arial" w:hAnsi="宋体,Verdana,Arial" w:eastAsia="Cambria"/>
      <w:b/>
      <w:bCs/>
      <w:kern w:val="28"/>
      <w:sz w:val="32"/>
      <w:szCs w:val="32"/>
    </w:rPr>
  </w:style>
  <w:style w:type="paragraph" w:styleId="42">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toc 6"/>
    <w:basedOn w:val="1"/>
    <w:next w:val="1"/>
    <w:qFormat/>
    <w:uiPriority w:val="0"/>
    <w:pPr>
      <w:autoSpaceDE w:val="0"/>
      <w:autoSpaceDN w:val="0"/>
      <w:adjustRightInd w:val="0"/>
      <w:ind w:left="2100" w:leftChars="1000"/>
      <w:jc w:val="left"/>
    </w:pPr>
    <w:rPr>
      <w:kern w:val="0"/>
      <w:sz w:val="20"/>
      <w:szCs w:val="20"/>
    </w:rPr>
  </w:style>
  <w:style w:type="paragraph" w:styleId="44">
    <w:name w:val="Body Text Indent 3"/>
    <w:basedOn w:val="1"/>
    <w:link w:val="151"/>
    <w:qFormat/>
    <w:uiPriority w:val="0"/>
    <w:pPr>
      <w:spacing w:line="500" w:lineRule="exact"/>
      <w:ind w:left="511" w:hanging="511" w:hangingChars="213"/>
    </w:pPr>
    <w:rPr>
      <w:rFonts w:eastAsia="Cambria"/>
      <w:sz w:val="24"/>
    </w:rPr>
  </w:style>
  <w:style w:type="paragraph" w:styleId="45">
    <w:name w:val="toc 2"/>
    <w:basedOn w:val="1"/>
    <w:next w:val="1"/>
    <w:qFormat/>
    <w:uiPriority w:val="0"/>
    <w:pPr>
      <w:ind w:left="420" w:leftChars="200"/>
    </w:pPr>
  </w:style>
  <w:style w:type="paragraph" w:styleId="46">
    <w:name w:val="toc 9"/>
    <w:basedOn w:val="1"/>
    <w:next w:val="1"/>
    <w:qFormat/>
    <w:uiPriority w:val="0"/>
    <w:pPr>
      <w:autoSpaceDE w:val="0"/>
      <w:autoSpaceDN w:val="0"/>
      <w:adjustRightInd w:val="0"/>
      <w:ind w:left="3360" w:leftChars="1600"/>
      <w:jc w:val="left"/>
    </w:pPr>
    <w:rPr>
      <w:kern w:val="0"/>
      <w:sz w:val="20"/>
      <w:szCs w:val="20"/>
    </w:rPr>
  </w:style>
  <w:style w:type="paragraph" w:styleId="47">
    <w:name w:val="Body Text 2"/>
    <w:basedOn w:val="1"/>
    <w:qFormat/>
    <w:uiPriority w:val="0"/>
    <w:pPr>
      <w:autoSpaceDE w:val="0"/>
      <w:autoSpaceDN w:val="0"/>
      <w:adjustRightInd w:val="0"/>
      <w:spacing w:after="120" w:line="480" w:lineRule="auto"/>
      <w:jc w:val="left"/>
    </w:pPr>
    <w:rPr>
      <w:kern w:val="0"/>
      <w:sz w:val="20"/>
      <w:szCs w:val="20"/>
    </w:rPr>
  </w:style>
  <w:style w:type="paragraph" w:styleId="48">
    <w:name w:val="Normal (Web)"/>
    <w:basedOn w:val="1"/>
    <w:qFormat/>
    <w:uiPriority w:val="0"/>
    <w:pPr>
      <w:widowControl/>
      <w:spacing w:before="100" w:beforeAutospacing="1" w:after="100" w:afterAutospacing="1"/>
      <w:jc w:val="left"/>
    </w:pPr>
    <w:rPr>
      <w:rFonts w:ascii="Cambria" w:hAnsi="Cambria" w:cs="Cambria"/>
      <w:kern w:val="0"/>
      <w:sz w:val="24"/>
    </w:rPr>
  </w:style>
  <w:style w:type="paragraph" w:styleId="49">
    <w:name w:val="Title"/>
    <w:basedOn w:val="1"/>
    <w:link w:val="150"/>
    <w:qFormat/>
    <w:uiPriority w:val="0"/>
    <w:pPr>
      <w:autoSpaceDE w:val="0"/>
      <w:autoSpaceDN w:val="0"/>
      <w:adjustRightInd w:val="0"/>
      <w:spacing w:before="240" w:after="60"/>
      <w:jc w:val="center"/>
      <w:outlineLvl w:val="0"/>
    </w:pPr>
    <w:rPr>
      <w:rFonts w:ascii="宋体,Verdana,Arial" w:hAnsi="宋体,Verdana,Arial" w:eastAsia="Cambria"/>
      <w:b/>
      <w:bCs/>
      <w:kern w:val="0"/>
      <w:sz w:val="32"/>
      <w:szCs w:val="32"/>
    </w:r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338DE6"/>
      <w:u w:val="none"/>
    </w:rPr>
  </w:style>
  <w:style w:type="character" w:styleId="54">
    <w:name w:val="Emphasis"/>
    <w:qFormat/>
    <w:uiPriority w:val="0"/>
    <w:rPr>
      <w:i/>
      <w:iCs/>
    </w:rPr>
  </w:style>
  <w:style w:type="character" w:styleId="55">
    <w:name w:val="line number"/>
    <w:basedOn w:val="50"/>
    <w:qFormat/>
    <w:uiPriority w:val="0"/>
  </w:style>
  <w:style w:type="character" w:styleId="56">
    <w:name w:val="HTML Definition"/>
    <w:qFormat/>
    <w:uiPriority w:val="0"/>
  </w:style>
  <w:style w:type="character" w:styleId="57">
    <w:name w:val="HTML Variable"/>
    <w:qFormat/>
    <w:uiPriority w:val="0"/>
  </w:style>
  <w:style w:type="character" w:styleId="58">
    <w:name w:val="Hyperlink"/>
    <w:basedOn w:val="50"/>
    <w:qFormat/>
    <w:uiPriority w:val="99"/>
    <w:rPr>
      <w:color w:val="000000"/>
      <w:sz w:val="20"/>
      <w:szCs w:val="20"/>
      <w:u w:val="none"/>
    </w:rPr>
  </w:style>
  <w:style w:type="character" w:styleId="59">
    <w:name w:val="HTML Code"/>
    <w:qFormat/>
    <w:uiPriority w:val="0"/>
    <w:rPr>
      <w:rFonts w:hint="default" w:ascii="monospace" w:hAnsi="monospace" w:eastAsia="monospace" w:cs="monospace"/>
      <w:sz w:val="21"/>
      <w:szCs w:val="21"/>
    </w:rPr>
  </w:style>
  <w:style w:type="character" w:styleId="60">
    <w:name w:val="annotation reference"/>
    <w:qFormat/>
    <w:uiPriority w:val="0"/>
    <w:rPr>
      <w:sz w:val="21"/>
      <w:szCs w:val="21"/>
    </w:rPr>
  </w:style>
  <w:style w:type="character" w:styleId="61">
    <w:name w:val="HTML Cite"/>
    <w:qFormat/>
    <w:uiPriority w:val="0"/>
    <w:rPr>
      <w:color w:val="008000"/>
    </w:rPr>
  </w:style>
  <w:style w:type="character" w:styleId="62">
    <w:name w:val="HTML Keyboard"/>
    <w:qFormat/>
    <w:uiPriority w:val="0"/>
    <w:rPr>
      <w:rFonts w:hint="default" w:ascii="monospace" w:hAnsi="monospace" w:eastAsia="monospace" w:cs="monospace"/>
      <w:sz w:val="21"/>
      <w:szCs w:val="21"/>
    </w:rPr>
  </w:style>
  <w:style w:type="character" w:styleId="63">
    <w:name w:val="HTML Sample"/>
    <w:qFormat/>
    <w:uiPriority w:val="0"/>
    <w:rPr>
      <w:rFonts w:ascii="monospace" w:hAnsi="monospace" w:eastAsia="monospace" w:cs="monospace"/>
      <w:sz w:val="21"/>
      <w:szCs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表正文 Char2"/>
    <w:qFormat/>
    <w:uiPriority w:val="0"/>
    <w:rPr>
      <w:rFonts w:ascii="黑体" w:hAnsi="黑体" w:eastAsia="Cambria" w:cs="黑体"/>
      <w:szCs w:val="24"/>
    </w:rPr>
  </w:style>
  <w:style w:type="character" w:customStyle="1" w:styleId="67">
    <w:name w:val="Ò³Ã¼ Char Char"/>
    <w:qFormat/>
    <w:uiPriority w:val="0"/>
    <w:rPr>
      <w:sz w:val="18"/>
      <w:szCs w:val="18"/>
    </w:rPr>
  </w:style>
  <w:style w:type="character" w:customStyle="1" w:styleId="68">
    <w:name w:val="小标题 Char Char"/>
    <w:link w:val="69"/>
    <w:qFormat/>
    <w:uiPriority w:val="0"/>
    <w:rPr>
      <w:rFonts w:ascii="黑体" w:hAnsi="黑体" w:eastAsia="ˎ̥" w:cs="黑体"/>
      <w:lang w:val="en-US" w:eastAsia="zh-CN" w:bidi="ar-SA"/>
    </w:rPr>
  </w:style>
  <w:style w:type="paragraph" w:customStyle="1" w:styleId="69">
    <w:name w:val="小标题"/>
    <w:basedOn w:val="1"/>
    <w:link w:val="68"/>
    <w:qFormat/>
    <w:uiPriority w:val="0"/>
    <w:pPr>
      <w:autoSpaceDE w:val="0"/>
      <w:autoSpaceDN w:val="0"/>
      <w:adjustRightInd w:val="0"/>
      <w:spacing w:before="120" w:line="360" w:lineRule="atLeast"/>
      <w:ind w:left="1134"/>
      <w:jc w:val="left"/>
      <w:textAlignment w:val="baseline"/>
    </w:pPr>
    <w:rPr>
      <w:rFonts w:ascii="黑体" w:hAnsi="黑体" w:eastAsia="ˎ̥" w:cs="黑体"/>
      <w:kern w:val="0"/>
      <w:sz w:val="20"/>
      <w:szCs w:val="20"/>
    </w:rPr>
  </w:style>
  <w:style w:type="character" w:customStyle="1" w:styleId="70">
    <w:name w:val="Char Char"/>
    <w:qFormat/>
    <w:uiPriority w:val="0"/>
    <w:rPr>
      <w:rFonts w:ascii="宋体" w:hAnsi="Courier New" w:eastAsia="宋体"/>
      <w:sz w:val="21"/>
      <w:szCs w:val="21"/>
      <w:lang w:val="en-US" w:eastAsia="zh-CN" w:bidi="ar-SA"/>
    </w:rPr>
  </w:style>
  <w:style w:type="character" w:customStyle="1" w:styleId="71">
    <w:name w:val="Style2"/>
    <w:qFormat/>
    <w:uiPriority w:val="0"/>
    <w:rPr>
      <w:rFonts w:ascii="Helvetica" w:hAnsi="Cambria" w:eastAsia="Cambria" w:cs="黑体"/>
      <w:sz w:val="22"/>
      <w:szCs w:val="22"/>
      <w:lang w:eastAsia="zh-CN"/>
    </w:rPr>
  </w:style>
  <w:style w:type="character" w:customStyle="1" w:styleId="72">
    <w:name w:val="Char Char Char Char Char Char Char Char Char Char Char Char Char Char Char"/>
    <w:qFormat/>
    <w:uiPriority w:val="0"/>
    <w:rPr>
      <w:rFonts w:ascii="Cambria" w:hAnsi="隶书" w:eastAsia="Cambria"/>
      <w:sz w:val="21"/>
      <w:szCs w:val="21"/>
      <w:lang w:val="en-US" w:eastAsia="zh-CN" w:bidi="ar-SA"/>
    </w:rPr>
  </w:style>
  <w:style w:type="character" w:customStyle="1" w:styleId="73">
    <w:name w:val="pt141"/>
    <w:qFormat/>
    <w:uiPriority w:val="0"/>
    <w:rPr>
      <w:color w:val="330066"/>
      <w:spacing w:val="450"/>
      <w:sz w:val="22"/>
      <w:szCs w:val="22"/>
    </w:rPr>
  </w:style>
  <w:style w:type="character" w:customStyle="1" w:styleId="74">
    <w:name w:val="正文首行缩进 Char"/>
    <w:link w:val="2"/>
    <w:qFormat/>
    <w:uiPriority w:val="0"/>
    <w:rPr>
      <w:rFonts w:eastAsia="Cambria"/>
      <w:lang w:val="en-US" w:eastAsia="zh-CN" w:bidi="ar-SA"/>
    </w:rPr>
  </w:style>
  <w:style w:type="character" w:customStyle="1" w:styleId="75">
    <w:name w:val="样式 宋体"/>
    <w:qFormat/>
    <w:uiPriority w:val="0"/>
    <w:rPr>
      <w:rFonts w:ascii="Cambria" w:hAnsi="Cambria" w:eastAsia="Cambria"/>
      <w:sz w:val="24"/>
      <w:szCs w:val="24"/>
    </w:rPr>
  </w:style>
  <w:style w:type="character" w:customStyle="1" w:styleId="76">
    <w:name w:val="明显强调1"/>
    <w:qFormat/>
    <w:uiPriority w:val="0"/>
    <w:rPr>
      <w:b/>
      <w:bCs/>
      <w:i/>
      <w:iCs/>
      <w:color w:val="4F81BD"/>
    </w:rPr>
  </w:style>
  <w:style w:type="character" w:customStyle="1" w:styleId="77">
    <w:name w:val="Char Char16"/>
    <w:qFormat/>
    <w:uiPriority w:val="0"/>
    <w:rPr>
      <w:b/>
      <w:bCs/>
      <w:kern w:val="2"/>
      <w:sz w:val="28"/>
      <w:szCs w:val="28"/>
    </w:rPr>
  </w:style>
  <w:style w:type="character" w:customStyle="1" w:styleId="78">
    <w:name w:val="列出段落 Char"/>
    <w:link w:val="79"/>
    <w:qFormat/>
    <w:uiPriority w:val="0"/>
    <w:rPr>
      <w:rFonts w:ascii="Helvetica" w:hAnsi="Helvetica" w:eastAsia="Cambria" w:cs="黑体"/>
      <w:kern w:val="2"/>
      <w:sz w:val="21"/>
      <w:szCs w:val="22"/>
      <w:lang w:val="en-US" w:eastAsia="zh-CN" w:bidi="ar-SA"/>
    </w:rPr>
  </w:style>
  <w:style w:type="paragraph" w:customStyle="1" w:styleId="79">
    <w:name w:val="列出段落1"/>
    <w:basedOn w:val="1"/>
    <w:link w:val="78"/>
    <w:qFormat/>
    <w:uiPriority w:val="0"/>
    <w:pPr>
      <w:ind w:firstLine="420" w:firstLineChars="200"/>
    </w:pPr>
    <w:rPr>
      <w:rFonts w:ascii="Helvetica" w:hAnsi="Helvetica" w:eastAsia="Cambria" w:cs="黑体"/>
      <w:szCs w:val="22"/>
    </w:rPr>
  </w:style>
  <w:style w:type="character" w:customStyle="1" w:styleId="80">
    <w:name w:val="Footer-Even Char1"/>
    <w:qFormat/>
    <w:uiPriority w:val="0"/>
    <w:rPr>
      <w:rFonts w:eastAsia="Cambria"/>
      <w:kern w:val="2"/>
      <w:sz w:val="18"/>
      <w:szCs w:val="18"/>
      <w:lang w:val="en-US" w:eastAsia="zh-CN" w:bidi="ar-SA"/>
    </w:rPr>
  </w:style>
  <w:style w:type="character" w:customStyle="1" w:styleId="81">
    <w:name w:val="Char Char Char1"/>
    <w:qFormat/>
    <w:uiPriority w:val="0"/>
    <w:rPr>
      <w:rFonts w:ascii="Cambria" w:hAnsi="隶书"/>
      <w:sz w:val="21"/>
      <w:szCs w:val="21"/>
    </w:rPr>
  </w:style>
  <w:style w:type="character" w:customStyle="1" w:styleId="82">
    <w:name w:val="fontstrikethrough"/>
    <w:qFormat/>
    <w:uiPriority w:val="0"/>
    <w:rPr>
      <w:strike/>
    </w:rPr>
  </w:style>
  <w:style w:type="character" w:customStyle="1" w:styleId="83">
    <w:name w:val="Char Char19"/>
    <w:qFormat/>
    <w:uiPriority w:val="0"/>
    <w:rPr>
      <w:rFonts w:ascii="宋体,Verdana,Arial" w:hAnsi="宋体,Verdana,Arial"/>
      <w:b/>
      <w:bCs/>
      <w:kern w:val="2"/>
      <w:sz w:val="32"/>
      <w:szCs w:val="32"/>
    </w:rPr>
  </w:style>
  <w:style w:type="character" w:customStyle="1" w:styleId="84">
    <w:name w:val="Char Char6"/>
    <w:qFormat/>
    <w:uiPriority w:val="0"/>
    <w:rPr>
      <w:rFonts w:ascii="黑体" w:hAnsi="黑体" w:eastAsia="Cambria" w:cs="黑体"/>
      <w:szCs w:val="24"/>
    </w:rPr>
  </w:style>
  <w:style w:type="character" w:customStyle="1" w:styleId="85">
    <w:name w:val="heading 9 Char1"/>
    <w:qFormat/>
    <w:uiPriority w:val="0"/>
    <w:rPr>
      <w:rFonts w:ascii="Courier New" w:hAnsi="Courier New" w:eastAsia="ˎ̥"/>
      <w:sz w:val="21"/>
      <w:lang w:val="en-US" w:eastAsia="zh-CN" w:bidi="ar-SA"/>
    </w:rPr>
  </w:style>
  <w:style w:type="character" w:customStyle="1" w:styleId="86">
    <w:name w:val="标题 6 Char"/>
    <w:link w:val="9"/>
    <w:qFormat/>
    <w:uiPriority w:val="0"/>
    <w:rPr>
      <w:rFonts w:ascii="Courier New" w:hAnsi="Courier New" w:eastAsia="ˎ̥"/>
      <w:sz w:val="21"/>
      <w:szCs w:val="21"/>
      <w:lang w:val="en-US" w:eastAsia="zh-CN" w:bidi="ar-SA"/>
    </w:rPr>
  </w:style>
  <w:style w:type="character" w:customStyle="1" w:styleId="87">
    <w:name w:val="目录标题 Char Char"/>
    <w:link w:val="88"/>
    <w:qFormat/>
    <w:uiPriority w:val="0"/>
    <w:rPr>
      <w:rFonts w:eastAsia="Verdana"/>
      <w:b/>
      <w:bCs/>
      <w:kern w:val="2"/>
      <w:sz w:val="44"/>
      <w:szCs w:val="44"/>
      <w:lang w:bidi="ar-SA"/>
    </w:rPr>
  </w:style>
  <w:style w:type="paragraph" w:customStyle="1" w:styleId="88">
    <w:name w:val="目录标题"/>
    <w:basedOn w:val="1"/>
    <w:link w:val="87"/>
    <w:qFormat/>
    <w:uiPriority w:val="0"/>
    <w:pPr>
      <w:jc w:val="center"/>
    </w:pPr>
    <w:rPr>
      <w:rFonts w:eastAsia="Verdana"/>
      <w:b/>
      <w:bCs/>
      <w:sz w:val="44"/>
      <w:szCs w:val="44"/>
    </w:rPr>
  </w:style>
  <w:style w:type="character" w:customStyle="1" w:styleId="89">
    <w:name w:val="Table Text Char Char"/>
    <w:link w:val="90"/>
    <w:qFormat/>
    <w:uiPriority w:val="0"/>
    <w:rPr>
      <w:rFonts w:eastAsia="Cambria"/>
      <w:sz w:val="24"/>
      <w:lang w:bidi="ar-SA"/>
    </w:rPr>
  </w:style>
  <w:style w:type="paragraph" w:customStyle="1" w:styleId="90">
    <w:name w:val="Table Text"/>
    <w:basedOn w:val="1"/>
    <w:link w:val="89"/>
    <w:qFormat/>
    <w:uiPriority w:val="0"/>
    <w:pPr>
      <w:widowControl/>
      <w:autoSpaceDE w:val="0"/>
      <w:autoSpaceDN w:val="0"/>
      <w:adjustRightInd w:val="0"/>
      <w:spacing w:before="60" w:after="60"/>
      <w:jc w:val="left"/>
    </w:pPr>
    <w:rPr>
      <w:rFonts w:eastAsia="Cambria"/>
      <w:kern w:val="0"/>
      <w:sz w:val="24"/>
      <w:szCs w:val="20"/>
    </w:rPr>
  </w:style>
  <w:style w:type="character" w:customStyle="1" w:styleId="91">
    <w:name w:val="Footer-Even Char2"/>
    <w:qFormat/>
    <w:uiPriority w:val="0"/>
    <w:rPr>
      <w:kern w:val="2"/>
      <w:sz w:val="18"/>
      <w:szCs w:val="18"/>
    </w:rPr>
  </w:style>
  <w:style w:type="character" w:customStyle="1" w:styleId="92">
    <w:name w:val="Ò³Ã¼ Char Char1"/>
    <w:qFormat/>
    <w:uiPriority w:val="0"/>
    <w:rPr>
      <w:rFonts w:eastAsia="Cambria"/>
      <w:kern w:val="2"/>
      <w:sz w:val="18"/>
      <w:szCs w:val="18"/>
      <w:lang w:val="en-US" w:eastAsia="zh-CN" w:bidi="ar-SA"/>
    </w:rPr>
  </w:style>
  <w:style w:type="character" w:customStyle="1" w:styleId="93">
    <w:name w:val="哈哈正文 Char Char"/>
    <w:link w:val="94"/>
    <w:qFormat/>
    <w:uiPriority w:val="0"/>
    <w:rPr>
      <w:rFonts w:ascii="仿宋_GB2312" w:hAnsi="仿宋_GB2312"/>
      <w:kern w:val="2"/>
      <w:sz w:val="24"/>
      <w:lang w:bidi="ar-SA"/>
    </w:rPr>
  </w:style>
  <w:style w:type="paragraph" w:customStyle="1" w:styleId="94">
    <w:name w:val="哈哈正文"/>
    <w:basedOn w:val="1"/>
    <w:link w:val="93"/>
    <w:qFormat/>
    <w:uiPriority w:val="0"/>
    <w:pPr>
      <w:spacing w:line="360" w:lineRule="auto"/>
      <w:ind w:firstLine="200" w:firstLineChars="200"/>
    </w:pPr>
    <w:rPr>
      <w:rFonts w:ascii="仿宋_GB2312" w:hAnsi="仿宋_GB2312"/>
      <w:sz w:val="24"/>
      <w:szCs w:val="20"/>
    </w:rPr>
  </w:style>
  <w:style w:type="character" w:customStyle="1" w:styleId="95">
    <w:name w:val="heading 4 Char"/>
    <w:qFormat/>
    <w:uiPriority w:val="0"/>
    <w:rPr>
      <w:rFonts w:ascii="Courier New" w:hAnsi="Courier New" w:eastAsia="ˎ̥" w:cs="黑体"/>
      <w:sz w:val="21"/>
      <w:szCs w:val="21"/>
    </w:rPr>
  </w:style>
  <w:style w:type="character" w:customStyle="1" w:styleId="96">
    <w:name w:val="编号正文缩进 Char Char"/>
    <w:link w:val="97"/>
    <w:qFormat/>
    <w:uiPriority w:val="0"/>
    <w:rPr>
      <w:sz w:val="24"/>
    </w:rPr>
  </w:style>
  <w:style w:type="paragraph" w:customStyle="1" w:styleId="97">
    <w:name w:val="编号正文缩进"/>
    <w:basedOn w:val="18"/>
    <w:link w:val="96"/>
    <w:qFormat/>
    <w:uiPriority w:val="0"/>
    <w:pPr>
      <w:tabs>
        <w:tab w:val="left" w:pos="1497"/>
      </w:tabs>
      <w:spacing w:line="400" w:lineRule="atLeast"/>
      <w:ind w:left="360" w:hanging="360"/>
    </w:pPr>
    <w:rPr>
      <w:rFonts w:eastAsia="宋体"/>
      <w:sz w:val="24"/>
    </w:rPr>
  </w:style>
  <w:style w:type="character" w:customStyle="1" w:styleId="98">
    <w:name w:val="正文文本缩进 Char"/>
    <w:link w:val="24"/>
    <w:qFormat/>
    <w:uiPriority w:val="0"/>
    <w:rPr>
      <w:rFonts w:eastAsia="Cambria"/>
      <w:kern w:val="2"/>
      <w:sz w:val="24"/>
      <w:szCs w:val="24"/>
      <w:lang w:val="en-US" w:eastAsia="zh-CN" w:bidi="ar-SA"/>
    </w:rPr>
  </w:style>
  <w:style w:type="character" w:customStyle="1" w:styleId="99">
    <w:name w:val="dandyren_title1"/>
    <w:qFormat/>
    <w:uiPriority w:val="0"/>
    <w:rPr>
      <w:b/>
      <w:bCs/>
      <w:color w:val="FF6633"/>
      <w:sz w:val="18"/>
      <w:szCs w:val="18"/>
    </w:rPr>
  </w:style>
  <w:style w:type="character" w:customStyle="1" w:styleId="100">
    <w:name w:val="正文文本缩进 2 Char"/>
    <w:link w:val="33"/>
    <w:qFormat/>
    <w:uiPriority w:val="0"/>
    <w:rPr>
      <w:rFonts w:eastAsia="Cambria"/>
      <w:kern w:val="2"/>
      <w:sz w:val="24"/>
      <w:szCs w:val="24"/>
      <w:lang w:val="en-US" w:eastAsia="zh-CN" w:bidi="ar-SA"/>
    </w:rPr>
  </w:style>
  <w:style w:type="character" w:customStyle="1" w:styleId="101">
    <w:name w:val="不明显强调1"/>
    <w:qFormat/>
    <w:uiPriority w:val="0"/>
    <w:rPr>
      <w:i/>
      <w:iCs/>
      <w:color w:val="808080"/>
    </w:rPr>
  </w:style>
  <w:style w:type="character" w:customStyle="1" w:styleId="102">
    <w:name w:val="明显参考1"/>
    <w:qFormat/>
    <w:uiPriority w:val="0"/>
    <w:rPr>
      <w:b/>
      <w:bCs/>
      <w:smallCaps/>
      <w:color w:val="C0504D"/>
      <w:spacing w:val="5"/>
      <w:u w:val="single"/>
    </w:rPr>
  </w:style>
  <w:style w:type="character" w:customStyle="1" w:styleId="103">
    <w:name w:val="批注主题 Char"/>
    <w:link w:val="13"/>
    <w:qFormat/>
    <w:uiPriority w:val="0"/>
    <w:rPr>
      <w:rFonts w:eastAsia="Cambria"/>
      <w:b/>
      <w:bCs/>
      <w:kern w:val="2"/>
      <w:sz w:val="21"/>
      <w:szCs w:val="24"/>
      <w:lang w:val="en-US" w:eastAsia="zh-CN" w:bidi="ar-SA"/>
    </w:rPr>
  </w:style>
  <w:style w:type="character" w:customStyle="1" w:styleId="104">
    <w:name w:val="PI Char2"/>
    <w:qFormat/>
    <w:uiPriority w:val="0"/>
    <w:rPr>
      <w:kern w:val="2"/>
      <w:sz w:val="24"/>
      <w:szCs w:val="24"/>
    </w:rPr>
  </w:style>
  <w:style w:type="character" w:customStyle="1" w:styleId="105">
    <w:name w:val="Style1"/>
    <w:qFormat/>
    <w:uiPriority w:val="0"/>
    <w:rPr>
      <w:rFonts w:ascii="Helvetica" w:hAnsi="Cambria" w:eastAsia="Cambria" w:cs="黑体"/>
      <w:sz w:val="22"/>
      <w:szCs w:val="22"/>
      <w:lang w:eastAsia="zh-CN"/>
    </w:rPr>
  </w:style>
  <w:style w:type="character" w:customStyle="1" w:styleId="106">
    <w:name w:val="Style5"/>
    <w:qFormat/>
    <w:uiPriority w:val="0"/>
    <w:rPr>
      <w:rFonts w:ascii="Helvetica" w:hAnsi="Cambria" w:eastAsia="Cambria" w:cs="黑体"/>
      <w:sz w:val="22"/>
      <w:szCs w:val="22"/>
      <w:lang w:eastAsia="zh-CN"/>
    </w:rPr>
  </w:style>
  <w:style w:type="character" w:customStyle="1" w:styleId="107">
    <w:name w:val="heading 1 Char"/>
    <w:qFormat/>
    <w:uiPriority w:val="0"/>
    <w:rPr>
      <w:rFonts w:ascii="Courier New" w:hAnsi="Courier New" w:eastAsia="ˎ̥"/>
      <w:b/>
      <w:sz w:val="36"/>
      <w:szCs w:val="36"/>
    </w:rPr>
  </w:style>
  <w:style w:type="character" w:customStyle="1" w:styleId="108">
    <w:name w:val="纯文本 Char"/>
    <w:link w:val="29"/>
    <w:qFormat/>
    <w:uiPriority w:val="0"/>
    <w:rPr>
      <w:rFonts w:ascii="Cambria" w:hAnsi="隶书" w:eastAsia="Cambria"/>
      <w:sz w:val="21"/>
      <w:szCs w:val="21"/>
      <w:lang w:val="en-US" w:eastAsia="zh-CN" w:bidi="ar-SA"/>
    </w:rPr>
  </w:style>
  <w:style w:type="character" w:customStyle="1" w:styleId="109">
    <w:name w:val="副标题 Char"/>
    <w:link w:val="41"/>
    <w:qFormat/>
    <w:uiPriority w:val="0"/>
    <w:rPr>
      <w:rFonts w:ascii="宋体,Verdana,Arial" w:hAnsi="宋体,Verdana,Arial" w:eastAsia="Cambria"/>
      <w:b/>
      <w:bCs/>
      <w:kern w:val="28"/>
      <w:sz w:val="32"/>
      <w:szCs w:val="32"/>
      <w:lang w:val="en-US" w:eastAsia="zh-CN" w:bidi="ar-SA"/>
    </w:rPr>
  </w:style>
  <w:style w:type="character" w:customStyle="1" w:styleId="110">
    <w:name w:val="Char Char20"/>
    <w:qFormat/>
    <w:uiPriority w:val="0"/>
    <w:rPr>
      <w:b/>
      <w:bCs/>
      <w:kern w:val="44"/>
      <w:sz w:val="44"/>
      <w:szCs w:val="44"/>
    </w:rPr>
  </w:style>
  <w:style w:type="character" w:customStyle="1" w:styleId="111">
    <w:name w:val="批注框文本 Char"/>
    <w:link w:val="34"/>
    <w:qFormat/>
    <w:uiPriority w:val="0"/>
    <w:rPr>
      <w:rFonts w:eastAsia="Cambria"/>
      <w:kern w:val="2"/>
      <w:sz w:val="18"/>
      <w:szCs w:val="18"/>
      <w:lang w:val="en-US" w:eastAsia="zh-CN" w:bidi="ar-SA"/>
    </w:rPr>
  </w:style>
  <w:style w:type="character" w:customStyle="1" w:styleId="112">
    <w:name w:val="样式 标题 3 + 黑体 小四 Char Char"/>
    <w:link w:val="113"/>
    <w:qFormat/>
    <w:uiPriority w:val="0"/>
    <w:rPr>
      <w:rFonts w:ascii="ˎ̥" w:hAnsi="Courier New" w:eastAsia="ˎ̥"/>
      <w:bCs/>
      <w:sz w:val="24"/>
      <w:szCs w:val="24"/>
      <w:lang w:bidi="ar-SA"/>
    </w:rPr>
  </w:style>
  <w:style w:type="paragraph" w:customStyle="1" w:styleId="113">
    <w:name w:val="样式 标题 3 + 黑体 小四"/>
    <w:basedOn w:val="6"/>
    <w:link w:val="112"/>
    <w:qFormat/>
    <w:uiPriority w:val="0"/>
    <w:rPr>
      <w:rFonts w:ascii="ˎ̥" w:hAnsi="Courier New" w:eastAsia="ˎ̥"/>
      <w:b w:val="0"/>
      <w:kern w:val="0"/>
      <w:sz w:val="24"/>
      <w:szCs w:val="24"/>
    </w:rPr>
  </w:style>
  <w:style w:type="character" w:customStyle="1" w:styleId="114">
    <w:name w:val="linkgray"/>
    <w:basedOn w:val="50"/>
    <w:qFormat/>
    <w:uiPriority w:val="0"/>
  </w:style>
  <w:style w:type="character" w:customStyle="1" w:styleId="115">
    <w:name w:val="Char Char11"/>
    <w:qFormat/>
    <w:uiPriority w:val="0"/>
    <w:rPr>
      <w:rFonts w:ascii="黑体" w:hAnsi="黑体" w:eastAsia="Cambria" w:cs="黑体"/>
      <w:sz w:val="18"/>
      <w:szCs w:val="18"/>
    </w:rPr>
  </w:style>
  <w:style w:type="character" w:customStyle="1" w:styleId="116">
    <w:name w:val="heading 2 Char"/>
    <w:qFormat/>
    <w:uiPriority w:val="0"/>
    <w:rPr>
      <w:rFonts w:ascii="Courier New" w:hAnsi="Courier New" w:eastAsia="ˎ̥" w:cs="黑体"/>
      <w:sz w:val="30"/>
      <w:szCs w:val="24"/>
    </w:rPr>
  </w:style>
  <w:style w:type="character" w:customStyle="1" w:styleId="117">
    <w:name w:val="书籍标题1"/>
    <w:qFormat/>
    <w:uiPriority w:val="0"/>
    <w:rPr>
      <w:b/>
      <w:bCs/>
      <w:smallCaps/>
      <w:spacing w:val="5"/>
    </w:rPr>
  </w:style>
  <w:style w:type="character" w:customStyle="1" w:styleId="118">
    <w:name w:val="栏目标题 Char Char"/>
    <w:link w:val="119"/>
    <w:qFormat/>
    <w:uiPriority w:val="0"/>
    <w:rPr>
      <w:rFonts w:ascii="Verdana" w:hAnsi="Verdana" w:eastAsia="Verdana"/>
      <w:b/>
      <w:kern w:val="2"/>
      <w:sz w:val="21"/>
      <w:szCs w:val="24"/>
      <w:lang w:bidi="ar-SA"/>
    </w:rPr>
  </w:style>
  <w:style w:type="paragraph" w:customStyle="1" w:styleId="119">
    <w:name w:val="栏目标题"/>
    <w:basedOn w:val="1"/>
    <w:link w:val="118"/>
    <w:qFormat/>
    <w:uiPriority w:val="0"/>
    <w:pPr>
      <w:jc w:val="center"/>
    </w:pPr>
    <w:rPr>
      <w:rFonts w:ascii="Verdana" w:hAnsi="Verdana" w:eastAsia="Verdana"/>
      <w:b/>
    </w:rPr>
  </w:style>
  <w:style w:type="character" w:customStyle="1" w:styleId="120">
    <w:name w:val="No Spacing Char Char"/>
    <w:link w:val="121"/>
    <w:qFormat/>
    <w:uiPriority w:val="0"/>
    <w:rPr>
      <w:rFonts w:ascii="仿宋_GB2312" w:hAnsi="仿宋_GB2312" w:eastAsia="仿宋_GB2312"/>
      <w:sz w:val="22"/>
      <w:szCs w:val="22"/>
      <w:lang w:val="en-US" w:eastAsia="en-US" w:bidi="ar-SA"/>
    </w:rPr>
  </w:style>
  <w:style w:type="paragraph" w:customStyle="1" w:styleId="121">
    <w:name w:val="无间隔1"/>
    <w:link w:val="120"/>
    <w:qFormat/>
    <w:uiPriority w:val="0"/>
    <w:rPr>
      <w:rFonts w:ascii="仿宋_GB2312" w:hAnsi="仿宋_GB2312" w:eastAsia="仿宋_GB2312" w:cs="Times New Roman"/>
      <w:sz w:val="22"/>
      <w:szCs w:val="22"/>
      <w:lang w:val="en-US" w:eastAsia="en-US" w:bidi="ar-SA"/>
    </w:rPr>
  </w:style>
  <w:style w:type="character" w:customStyle="1" w:styleId="122">
    <w:name w:val="heading 4 Char2"/>
    <w:qFormat/>
    <w:uiPriority w:val="0"/>
    <w:rPr>
      <w:rFonts w:ascii="宋体,Verdana,Arial" w:hAnsi="宋体,Verdana,Arial"/>
      <w:b/>
      <w:bCs/>
      <w:kern w:val="2"/>
      <w:sz w:val="28"/>
      <w:szCs w:val="28"/>
    </w:rPr>
  </w:style>
  <w:style w:type="character" w:customStyle="1" w:styleId="123">
    <w:name w:val="heading 1 Char2"/>
    <w:qFormat/>
    <w:uiPriority w:val="0"/>
    <w:rPr>
      <w:b/>
      <w:bCs/>
      <w:kern w:val="44"/>
      <w:sz w:val="44"/>
      <w:szCs w:val="44"/>
    </w:rPr>
  </w:style>
  <w:style w:type="character" w:customStyle="1" w:styleId="124">
    <w:name w:val="标题 2 Char"/>
    <w:link w:val="5"/>
    <w:qFormat/>
    <w:uiPriority w:val="0"/>
    <w:rPr>
      <w:rFonts w:ascii="宋体,Verdana,Arial" w:hAnsi="宋体,Verdana,Arial" w:eastAsia="Cambria"/>
      <w:b/>
      <w:bCs/>
      <w:kern w:val="2"/>
      <w:sz w:val="32"/>
      <w:szCs w:val="32"/>
      <w:lang w:val="en-US" w:eastAsia="zh-CN" w:bidi="ar-SA"/>
    </w:rPr>
  </w:style>
  <w:style w:type="character" w:customStyle="1" w:styleId="125">
    <w:name w:val="文档结构图 Char"/>
    <w:link w:val="21"/>
    <w:qFormat/>
    <w:uiPriority w:val="0"/>
    <w:rPr>
      <w:rFonts w:eastAsia="Cambria"/>
      <w:kern w:val="2"/>
      <w:sz w:val="21"/>
      <w:szCs w:val="24"/>
      <w:lang w:val="en-US" w:eastAsia="zh-CN" w:bidi="ar-SA"/>
    </w:rPr>
  </w:style>
  <w:style w:type="character" w:customStyle="1" w:styleId="126">
    <w:name w:val="正文缩进 Char"/>
    <w:link w:val="18"/>
    <w:qFormat/>
    <w:uiPriority w:val="0"/>
    <w:rPr>
      <w:rFonts w:eastAsia="Cambria"/>
      <w:sz w:val="21"/>
      <w:lang w:val="en-US" w:eastAsia="zh-CN" w:bidi="ar-SA"/>
    </w:rPr>
  </w:style>
  <w:style w:type="character" w:customStyle="1" w:styleId="127">
    <w:name w:val="heading 3 Char"/>
    <w:qFormat/>
    <w:uiPriority w:val="0"/>
    <w:rPr>
      <w:rFonts w:ascii="Courier New" w:hAnsi="Courier New" w:eastAsia="ˎ̥"/>
      <w:sz w:val="28"/>
      <w:szCs w:val="24"/>
    </w:rPr>
  </w:style>
  <w:style w:type="character" w:customStyle="1" w:styleId="128">
    <w:name w:val="A3 Char Char"/>
    <w:link w:val="129"/>
    <w:qFormat/>
    <w:uiPriority w:val="0"/>
    <w:rPr>
      <w:rFonts w:eastAsia="仿宋_GB2312"/>
      <w:b/>
      <w:bCs/>
      <w:sz w:val="32"/>
      <w:szCs w:val="32"/>
      <w:lang w:bidi="ar-SA"/>
    </w:rPr>
  </w:style>
  <w:style w:type="paragraph" w:customStyle="1" w:styleId="129">
    <w:name w:val="A3"/>
    <w:basedOn w:val="6"/>
    <w:link w:val="128"/>
    <w:qFormat/>
    <w:uiPriority w:val="0"/>
    <w:pPr>
      <w:ind w:left="720" w:hanging="720"/>
      <w:jc w:val="left"/>
    </w:pPr>
    <w:rPr>
      <w:rFonts w:eastAsia="仿宋_GB2312"/>
      <w:kern w:val="0"/>
    </w:rPr>
  </w:style>
  <w:style w:type="character" w:customStyle="1" w:styleId="130">
    <w:name w:val="style41"/>
    <w:qFormat/>
    <w:uiPriority w:val="0"/>
    <w:rPr>
      <w:color w:val="auto"/>
    </w:rPr>
  </w:style>
  <w:style w:type="character" w:customStyle="1" w:styleId="131">
    <w:name w:val="引用 Char"/>
    <w:link w:val="132"/>
    <w:qFormat/>
    <w:uiPriority w:val="0"/>
    <w:rPr>
      <w:rFonts w:ascii="Helvetica" w:hAnsi="Helvetica" w:eastAsia="Cambria"/>
      <w:i/>
      <w:iCs/>
      <w:color w:val="000000"/>
      <w:lang w:val="en-US" w:eastAsia="zh-CN" w:bidi="ar-SA"/>
    </w:rPr>
  </w:style>
  <w:style w:type="paragraph" w:customStyle="1" w:styleId="132">
    <w:name w:val="引用1"/>
    <w:basedOn w:val="1"/>
    <w:next w:val="1"/>
    <w:link w:val="131"/>
    <w:qFormat/>
    <w:uiPriority w:val="0"/>
    <w:rPr>
      <w:rFonts w:ascii="Helvetica" w:hAnsi="Helvetica" w:eastAsia="Cambria"/>
      <w:i/>
      <w:iCs/>
      <w:color w:val="000000"/>
      <w:kern w:val="0"/>
      <w:sz w:val="20"/>
      <w:szCs w:val="20"/>
    </w:rPr>
  </w:style>
  <w:style w:type="character" w:customStyle="1" w:styleId="133">
    <w:name w:val="heading 2 Char1"/>
    <w:qFormat/>
    <w:uiPriority w:val="0"/>
    <w:rPr>
      <w:rFonts w:ascii="宋体,Verdana,Arial" w:hAnsi="宋体,Verdana,Arial" w:eastAsia="Cambria"/>
      <w:b/>
      <w:bCs/>
      <w:kern w:val="2"/>
      <w:sz w:val="32"/>
      <w:szCs w:val="32"/>
      <w:lang w:val="en-US" w:eastAsia="zh-CN" w:bidi="ar-SA"/>
    </w:rPr>
  </w:style>
  <w:style w:type="character" w:customStyle="1" w:styleId="134">
    <w:name w:val="标题 3 Char"/>
    <w:link w:val="6"/>
    <w:qFormat/>
    <w:uiPriority w:val="0"/>
    <w:rPr>
      <w:rFonts w:eastAsia="Cambria"/>
      <w:b/>
      <w:bCs/>
      <w:kern w:val="2"/>
      <w:sz w:val="32"/>
      <w:szCs w:val="32"/>
      <w:lang w:val="en-US" w:eastAsia="zh-CN" w:bidi="ar-SA"/>
    </w:rPr>
  </w:style>
  <w:style w:type="character" w:customStyle="1" w:styleId="135">
    <w:name w:val="Char Char15"/>
    <w:qFormat/>
    <w:uiPriority w:val="0"/>
    <w:rPr>
      <w:rFonts w:ascii="Courier New" w:hAnsi="Courier New" w:eastAsia="ˎ̥"/>
      <w:sz w:val="24"/>
      <w:szCs w:val="24"/>
    </w:rPr>
  </w:style>
  <w:style w:type="character" w:customStyle="1" w:styleId="136">
    <w:name w:val="Footer-Even Char"/>
    <w:qFormat/>
    <w:uiPriority w:val="0"/>
    <w:rPr>
      <w:sz w:val="18"/>
      <w:szCs w:val="18"/>
    </w:rPr>
  </w:style>
  <w:style w:type="character" w:customStyle="1" w:styleId="137">
    <w:name w:val="Char Char211"/>
    <w:qFormat/>
    <w:uiPriority w:val="0"/>
    <w:rPr>
      <w:rFonts w:ascii="黑体" w:hAnsi="黑体" w:eastAsia="Cambria" w:cs="黑体"/>
      <w:b/>
      <w:bCs/>
      <w:kern w:val="44"/>
      <w:sz w:val="44"/>
      <w:szCs w:val="44"/>
    </w:rPr>
  </w:style>
  <w:style w:type="character" w:customStyle="1" w:styleId="138">
    <w:name w:val="表格 Char Char"/>
    <w:link w:val="139"/>
    <w:qFormat/>
    <w:uiPriority w:val="0"/>
    <w:rPr>
      <w:rFonts w:ascii="Cambria" w:hAnsi="Cambria" w:eastAsia="Cambria"/>
      <w:lang w:val="en-US" w:eastAsia="zh-CN" w:bidi="ar-SA"/>
    </w:rPr>
  </w:style>
  <w:style w:type="paragraph" w:customStyle="1" w:styleId="139">
    <w:name w:val="表格"/>
    <w:basedOn w:val="1"/>
    <w:link w:val="138"/>
    <w:qFormat/>
    <w:uiPriority w:val="0"/>
    <w:pPr>
      <w:autoSpaceDE w:val="0"/>
      <w:autoSpaceDN w:val="0"/>
      <w:adjustRightInd w:val="0"/>
      <w:snapToGrid w:val="0"/>
      <w:ind w:firstLine="42" w:firstLineChars="21"/>
      <w:jc w:val="left"/>
    </w:pPr>
    <w:rPr>
      <w:rFonts w:ascii="Cambria" w:hAnsi="Cambria" w:eastAsia="Cambria"/>
      <w:kern w:val="0"/>
      <w:sz w:val="20"/>
      <w:szCs w:val="20"/>
    </w:rPr>
  </w:style>
  <w:style w:type="character" w:customStyle="1" w:styleId="140">
    <w:name w:val="宏文本 Char"/>
    <w:link w:val="16"/>
    <w:qFormat/>
    <w:uiPriority w:val="0"/>
    <w:rPr>
      <w:rFonts w:ascii="隶书" w:hAnsi="隶书"/>
      <w:kern w:val="2"/>
      <w:sz w:val="24"/>
      <w:szCs w:val="24"/>
      <w:lang w:val="en-US" w:eastAsia="zh-CN" w:bidi="ar-SA"/>
    </w:rPr>
  </w:style>
  <w:style w:type="character" w:customStyle="1" w:styleId="141">
    <w:name w:val="style111"/>
    <w:qFormat/>
    <w:uiPriority w:val="0"/>
    <w:rPr>
      <w:sz w:val="27"/>
      <w:szCs w:val="27"/>
    </w:rPr>
  </w:style>
  <w:style w:type="character" w:customStyle="1" w:styleId="142">
    <w:name w:val="font31"/>
    <w:qFormat/>
    <w:uiPriority w:val="0"/>
    <w:rPr>
      <w:rFonts w:hint="eastAsia" w:ascii="宋体" w:hAnsi="宋体" w:eastAsia="宋体" w:cs="宋体"/>
      <w:color w:val="000000"/>
      <w:sz w:val="24"/>
      <w:szCs w:val="24"/>
      <w:u w:val="none"/>
    </w:rPr>
  </w:style>
  <w:style w:type="character" w:customStyle="1" w:styleId="143">
    <w:name w:val="1Text Char Char"/>
    <w:link w:val="144"/>
    <w:qFormat/>
    <w:uiPriority w:val="0"/>
    <w:rPr>
      <w:rFonts w:ascii="仿宋_GB2312" w:hAnsi="仿宋_GB2312" w:eastAsia="仿宋_GB2312"/>
      <w:sz w:val="24"/>
      <w:szCs w:val="24"/>
      <w:lang w:bidi="ar-SA"/>
    </w:rPr>
  </w:style>
  <w:style w:type="paragraph" w:customStyle="1" w:styleId="144">
    <w:name w:val="1Text"/>
    <w:basedOn w:val="1"/>
    <w:link w:val="143"/>
    <w:qFormat/>
    <w:uiPriority w:val="0"/>
    <w:pPr>
      <w:spacing w:beforeLines="50" w:afterLines="50" w:line="360" w:lineRule="auto"/>
      <w:ind w:firstLine="480" w:firstLineChars="200"/>
      <w:jc w:val="left"/>
    </w:pPr>
    <w:rPr>
      <w:rFonts w:ascii="仿宋_GB2312" w:hAnsi="仿宋_GB2312" w:eastAsia="仿宋_GB2312"/>
      <w:kern w:val="0"/>
      <w:sz w:val="24"/>
    </w:rPr>
  </w:style>
  <w:style w:type="character" w:customStyle="1" w:styleId="145">
    <w:name w:val="样式2 Char Char"/>
    <w:link w:val="146"/>
    <w:qFormat/>
    <w:uiPriority w:val="0"/>
    <w:rPr>
      <w:rFonts w:ascii="Cambria" w:hAnsi="Cambria" w:eastAsia="Cambria"/>
      <w:bCs/>
      <w:kern w:val="2"/>
      <w:sz w:val="28"/>
      <w:szCs w:val="28"/>
      <w:lang w:val="en-US" w:eastAsia="zh-CN" w:bidi="ar-SA"/>
    </w:rPr>
  </w:style>
  <w:style w:type="paragraph" w:customStyle="1" w:styleId="146">
    <w:name w:val="样式2"/>
    <w:basedOn w:val="5"/>
    <w:link w:val="145"/>
    <w:qFormat/>
    <w:uiPriority w:val="0"/>
    <w:pPr>
      <w:snapToGrid w:val="0"/>
      <w:spacing w:afterLines="50" w:line="480" w:lineRule="exact"/>
      <w:ind w:firstLine="556"/>
    </w:pPr>
    <w:rPr>
      <w:rFonts w:ascii="Cambria" w:hAnsi="Cambria"/>
      <w:b w:val="0"/>
      <w:sz w:val="28"/>
      <w:szCs w:val="28"/>
    </w:rPr>
  </w:style>
  <w:style w:type="character" w:customStyle="1" w:styleId="147">
    <w:name w:val="Char Char2"/>
    <w:qFormat/>
    <w:uiPriority w:val="0"/>
    <w:rPr>
      <w:rFonts w:ascii="Courier New" w:hAnsi="Courier New" w:eastAsia="ˎ̥"/>
      <w:b/>
      <w:bCs/>
      <w:kern w:val="44"/>
      <w:sz w:val="30"/>
      <w:szCs w:val="44"/>
      <w:lang w:val="en-US" w:eastAsia="zh-CN" w:bidi="ar-SA"/>
    </w:rPr>
  </w:style>
  <w:style w:type="character" w:customStyle="1" w:styleId="148">
    <w:name w:val="Char Char17"/>
    <w:qFormat/>
    <w:uiPriority w:val="0"/>
    <w:rPr>
      <w:rFonts w:ascii="宋体,Verdana,Arial" w:hAnsi="宋体,Verdana,Arial"/>
      <w:b/>
      <w:bCs/>
      <w:kern w:val="2"/>
      <w:sz w:val="28"/>
      <w:szCs w:val="28"/>
    </w:rPr>
  </w:style>
  <w:style w:type="character" w:customStyle="1" w:styleId="149">
    <w:name w:val="强调划线"/>
    <w:qFormat/>
    <w:uiPriority w:val="0"/>
    <w:rPr>
      <w:u w:val="single"/>
    </w:rPr>
  </w:style>
  <w:style w:type="character" w:customStyle="1" w:styleId="150">
    <w:name w:val="标题 Char"/>
    <w:link w:val="49"/>
    <w:qFormat/>
    <w:uiPriority w:val="0"/>
    <w:rPr>
      <w:rFonts w:ascii="宋体,Verdana,Arial" w:hAnsi="宋体,Verdana,Arial" w:eastAsia="Cambria"/>
      <w:b/>
      <w:bCs/>
      <w:sz w:val="32"/>
      <w:szCs w:val="32"/>
      <w:lang w:bidi="ar-SA"/>
    </w:rPr>
  </w:style>
  <w:style w:type="character" w:customStyle="1" w:styleId="151">
    <w:name w:val="正文文本缩进 3 Char"/>
    <w:link w:val="44"/>
    <w:qFormat/>
    <w:uiPriority w:val="0"/>
    <w:rPr>
      <w:rFonts w:eastAsia="Cambria"/>
      <w:kern w:val="2"/>
      <w:sz w:val="24"/>
      <w:szCs w:val="24"/>
      <w:lang w:val="en-US" w:eastAsia="zh-CN" w:bidi="ar-SA"/>
    </w:rPr>
  </w:style>
  <w:style w:type="character" w:customStyle="1" w:styleId="152">
    <w:name w:val="heading 2 Char2"/>
    <w:qFormat/>
    <w:uiPriority w:val="0"/>
    <w:rPr>
      <w:rFonts w:ascii="宋体,Verdana,Arial" w:hAnsi="宋体,Verdana,Arial"/>
      <w:b/>
      <w:bCs/>
      <w:kern w:val="2"/>
      <w:sz w:val="32"/>
      <w:szCs w:val="32"/>
    </w:rPr>
  </w:style>
  <w:style w:type="character" w:customStyle="1" w:styleId="153">
    <w:name w:val="Char Char61"/>
    <w:qFormat/>
    <w:uiPriority w:val="0"/>
    <w:rPr>
      <w:rFonts w:ascii="黑体" w:hAnsi="黑体" w:eastAsia="Cambria" w:cs="黑体"/>
      <w:szCs w:val="24"/>
    </w:rPr>
  </w:style>
  <w:style w:type="character" w:customStyle="1" w:styleId="154">
    <w:name w:val="Style4"/>
    <w:qFormat/>
    <w:uiPriority w:val="0"/>
    <w:rPr>
      <w:rFonts w:ascii="Helvetica" w:hAnsi="Cambria" w:eastAsia="Cambria" w:cs="黑体"/>
      <w:szCs w:val="22"/>
      <w:lang w:eastAsia="zh-CN"/>
    </w:rPr>
  </w:style>
  <w:style w:type="character" w:customStyle="1" w:styleId="155">
    <w:name w:val="apple-converted-space"/>
    <w:basedOn w:val="50"/>
    <w:qFormat/>
    <w:uiPriority w:val="0"/>
  </w:style>
  <w:style w:type="character" w:customStyle="1" w:styleId="156">
    <w:name w:val="Style3"/>
    <w:qFormat/>
    <w:uiPriority w:val="0"/>
    <w:rPr>
      <w:rFonts w:ascii="Helvetica" w:hAnsi="Cambria" w:eastAsia="Cambria" w:cs="黑体"/>
      <w:szCs w:val="22"/>
      <w:lang w:eastAsia="zh-CN"/>
    </w:rPr>
  </w:style>
  <w:style w:type="character" w:customStyle="1" w:styleId="157">
    <w:name w:val="标题 4 Char"/>
    <w:link w:val="7"/>
    <w:qFormat/>
    <w:uiPriority w:val="0"/>
    <w:rPr>
      <w:rFonts w:ascii="宋体,Verdana,Arial" w:hAnsi="宋体,Verdana,Arial" w:eastAsia="Cambria"/>
      <w:b/>
      <w:bCs/>
      <w:kern w:val="2"/>
      <w:sz w:val="28"/>
      <w:szCs w:val="28"/>
      <w:lang w:val="en-US" w:eastAsia="zh-CN" w:bidi="ar-SA"/>
    </w:rPr>
  </w:style>
  <w:style w:type="character" w:customStyle="1" w:styleId="158">
    <w:name w:val="正文1 Char Char"/>
    <w:link w:val="159"/>
    <w:qFormat/>
    <w:uiPriority w:val="0"/>
    <w:rPr>
      <w:rFonts w:ascii="Cambria" w:hAnsi="Cambria" w:eastAsia="Cambria" w:cs="Cambria"/>
      <w:sz w:val="21"/>
      <w:lang w:val="en-US" w:eastAsia="zh-CN" w:bidi="ar-SA"/>
    </w:rPr>
  </w:style>
  <w:style w:type="paragraph" w:customStyle="1" w:styleId="159">
    <w:name w:val="正文1"/>
    <w:basedOn w:val="1"/>
    <w:link w:val="158"/>
    <w:qFormat/>
    <w:uiPriority w:val="0"/>
    <w:pPr>
      <w:widowControl/>
      <w:spacing w:line="360" w:lineRule="auto"/>
      <w:ind w:left="360" w:firstLine="420"/>
      <w:jc w:val="left"/>
    </w:pPr>
    <w:rPr>
      <w:rFonts w:ascii="Cambria" w:hAnsi="Cambria" w:eastAsia="Cambria" w:cs="Cambria"/>
      <w:kern w:val="0"/>
      <w:szCs w:val="20"/>
    </w:rPr>
  </w:style>
  <w:style w:type="character" w:customStyle="1" w:styleId="160">
    <w:name w:val="注释正文"/>
    <w:qFormat/>
    <w:uiPriority w:val="0"/>
    <w:rPr>
      <w:rFonts w:eastAsia="仿宋_GB2312"/>
      <w:sz w:val="28"/>
      <w:u w:val="single"/>
    </w:rPr>
  </w:style>
  <w:style w:type="character" w:customStyle="1" w:styleId="161">
    <w:name w:val="heading 4 Char1"/>
    <w:qFormat/>
    <w:uiPriority w:val="0"/>
    <w:rPr>
      <w:rFonts w:ascii="宋体,Verdana,Arial" w:hAnsi="宋体,Verdana,Arial" w:eastAsia="Cambria"/>
      <w:b/>
      <w:bCs/>
      <w:kern w:val="2"/>
      <w:sz w:val="28"/>
      <w:szCs w:val="28"/>
      <w:lang w:val="en-US" w:eastAsia="zh-CN" w:bidi="ar-SA"/>
    </w:rPr>
  </w:style>
  <w:style w:type="character" w:customStyle="1" w:styleId="162">
    <w:name w:val="heading 7 Char1"/>
    <w:qFormat/>
    <w:uiPriority w:val="0"/>
    <w:rPr>
      <w:rFonts w:ascii="Courier New" w:hAnsi="Courier New" w:eastAsia="ˎ̥"/>
      <w:sz w:val="21"/>
      <w:szCs w:val="21"/>
      <w:lang w:val="en-US" w:eastAsia="zh-CN" w:bidi="ar-SA"/>
    </w:rPr>
  </w:style>
  <w:style w:type="character" w:customStyle="1" w:styleId="163">
    <w:name w:val="PI Char1"/>
    <w:qFormat/>
    <w:uiPriority w:val="0"/>
    <w:rPr>
      <w:rFonts w:eastAsia="Cambria"/>
      <w:kern w:val="2"/>
      <w:sz w:val="24"/>
      <w:szCs w:val="24"/>
      <w:lang w:val="en-US" w:eastAsia="zh-CN" w:bidi="ar-SA"/>
    </w:rPr>
  </w:style>
  <w:style w:type="character" w:customStyle="1" w:styleId="164">
    <w:name w:val="A6"/>
    <w:qFormat/>
    <w:uiPriority w:val="0"/>
    <w:rPr>
      <w:rFonts w:cs="Myriad Pro"/>
      <w:color w:val="000000"/>
      <w:sz w:val="16"/>
      <w:szCs w:val="16"/>
    </w:rPr>
  </w:style>
  <w:style w:type="character" w:customStyle="1" w:styleId="165">
    <w:name w:val="A4 Char Char"/>
    <w:link w:val="166"/>
    <w:qFormat/>
    <w:uiPriority w:val="0"/>
    <w:rPr>
      <w:rFonts w:ascii="Vijaya" w:hAnsi="Vijaya" w:eastAsia="仿宋_GB2312"/>
      <w:b/>
      <w:bCs/>
      <w:sz w:val="28"/>
      <w:szCs w:val="28"/>
    </w:rPr>
  </w:style>
  <w:style w:type="paragraph" w:customStyle="1" w:styleId="166">
    <w:name w:val="A4"/>
    <w:basedOn w:val="7"/>
    <w:link w:val="165"/>
    <w:qFormat/>
    <w:uiPriority w:val="0"/>
    <w:pPr>
      <w:spacing w:line="377" w:lineRule="auto"/>
      <w:jc w:val="left"/>
    </w:pPr>
    <w:rPr>
      <w:rFonts w:ascii="Vijaya" w:hAnsi="Vijaya" w:eastAsia="仿宋_GB2312"/>
      <w:kern w:val="0"/>
    </w:rPr>
  </w:style>
  <w:style w:type="character" w:customStyle="1" w:styleId="167">
    <w:name w:val="heading 5 Char"/>
    <w:qFormat/>
    <w:uiPriority w:val="0"/>
    <w:rPr>
      <w:rFonts w:ascii="Courier New" w:hAnsi="Courier New" w:eastAsia="ˎ̥"/>
      <w:sz w:val="21"/>
      <w:szCs w:val="21"/>
    </w:rPr>
  </w:style>
  <w:style w:type="character" w:customStyle="1" w:styleId="168">
    <w:name w:val="标题 9 Char"/>
    <w:link w:val="12"/>
    <w:qFormat/>
    <w:uiPriority w:val="0"/>
    <w:rPr>
      <w:rFonts w:ascii="Courier New" w:hAnsi="Courier New" w:eastAsia="ˎ̥"/>
      <w:sz w:val="21"/>
      <w:lang w:val="en-US" w:eastAsia="zh-CN" w:bidi="ar-SA"/>
    </w:rPr>
  </w:style>
  <w:style w:type="character" w:customStyle="1" w:styleId="169">
    <w:name w:val="heading 6 Char1"/>
    <w:qFormat/>
    <w:uiPriority w:val="0"/>
    <w:rPr>
      <w:rFonts w:ascii="Courier New" w:hAnsi="Courier New" w:eastAsia="ˎ̥"/>
      <w:kern w:val="2"/>
      <w:sz w:val="24"/>
      <w:szCs w:val="24"/>
      <w:lang w:val="en-US" w:eastAsia="zh-CN" w:bidi="ar-SA"/>
    </w:rPr>
  </w:style>
  <w:style w:type="character" w:customStyle="1" w:styleId="170">
    <w:name w:val="标题 1 Char"/>
    <w:link w:val="4"/>
    <w:qFormat/>
    <w:uiPriority w:val="0"/>
    <w:rPr>
      <w:rFonts w:ascii="Calibri" w:eastAsia="Calibri"/>
      <w:b/>
      <w:bCs/>
      <w:kern w:val="2"/>
      <w:sz w:val="21"/>
      <w:szCs w:val="24"/>
      <w:lang w:val="en-US" w:eastAsia="zh-CN" w:bidi="ar-SA"/>
    </w:rPr>
  </w:style>
  <w:style w:type="character" w:customStyle="1" w:styleId="171">
    <w:name w:val="日期 Char"/>
    <w:link w:val="32"/>
    <w:qFormat/>
    <w:uiPriority w:val="0"/>
    <w:rPr>
      <w:rFonts w:eastAsia="Cambria"/>
      <w:kern w:val="2"/>
      <w:sz w:val="21"/>
      <w:szCs w:val="24"/>
      <w:lang w:val="en-US" w:eastAsia="zh-CN" w:bidi="ar-SA"/>
    </w:rPr>
  </w:style>
  <w:style w:type="character" w:customStyle="1" w:styleId="172">
    <w:name w:val="页眉注释 Char Char"/>
    <w:link w:val="173"/>
    <w:qFormat/>
    <w:uiPriority w:val="0"/>
    <w:rPr>
      <w:rFonts w:ascii="Arial Unicode MS" w:hAnsi="Arial Unicode MS" w:eastAsia="Arial Unicode MS"/>
      <w:b/>
      <w:color w:val="FFFFFF"/>
      <w:kern w:val="2"/>
      <w:sz w:val="18"/>
      <w:szCs w:val="18"/>
      <w:lang w:bidi="ar-SA"/>
    </w:rPr>
  </w:style>
  <w:style w:type="paragraph" w:customStyle="1" w:styleId="173">
    <w:name w:val="页眉注释"/>
    <w:basedOn w:val="1"/>
    <w:link w:val="172"/>
    <w:qFormat/>
    <w:uiPriority w:val="0"/>
    <w:pPr>
      <w:spacing w:line="0" w:lineRule="atLeast"/>
      <w:jc w:val="center"/>
    </w:pPr>
    <w:rPr>
      <w:rFonts w:ascii="Arial Unicode MS" w:hAnsi="Arial Unicode MS" w:eastAsia="Arial Unicode MS"/>
      <w:b/>
      <w:color w:val="FFFFFF"/>
      <w:sz w:val="18"/>
      <w:szCs w:val="18"/>
    </w:rPr>
  </w:style>
  <w:style w:type="character" w:customStyle="1" w:styleId="174">
    <w:name w:val="PI Char"/>
    <w:qFormat/>
    <w:uiPriority w:val="0"/>
    <w:rPr>
      <w:rFonts w:ascii="Cambria" w:hAnsi="Cambria"/>
      <w:sz w:val="24"/>
    </w:rPr>
  </w:style>
  <w:style w:type="character" w:customStyle="1" w:styleId="175">
    <w:name w:val="标题 5 Char"/>
    <w:link w:val="8"/>
    <w:qFormat/>
    <w:uiPriority w:val="0"/>
    <w:rPr>
      <w:rFonts w:eastAsia="Cambria"/>
      <w:b/>
      <w:bCs/>
      <w:kern w:val="2"/>
      <w:sz w:val="28"/>
      <w:szCs w:val="28"/>
      <w:lang w:val="en-US" w:eastAsia="zh-CN" w:bidi="ar-SA"/>
    </w:rPr>
  </w:style>
  <w:style w:type="character" w:customStyle="1" w:styleId="176">
    <w:name w:val="Char Char201"/>
    <w:qFormat/>
    <w:uiPriority w:val="0"/>
    <w:rPr>
      <w:rFonts w:ascii="宋体,Verdana,Arial" w:hAnsi="宋体,Verdana,Arial" w:eastAsia="Cambria" w:cs="黑体"/>
      <w:b/>
      <w:bCs/>
      <w:sz w:val="32"/>
      <w:szCs w:val="32"/>
    </w:rPr>
  </w:style>
  <w:style w:type="character" w:customStyle="1" w:styleId="177">
    <w:name w:val="Char Char111"/>
    <w:qFormat/>
    <w:uiPriority w:val="0"/>
    <w:rPr>
      <w:rFonts w:ascii="黑体" w:hAnsi="黑体" w:eastAsia="Cambria" w:cs="黑体"/>
      <w:sz w:val="18"/>
      <w:szCs w:val="18"/>
    </w:rPr>
  </w:style>
  <w:style w:type="character" w:customStyle="1" w:styleId="178">
    <w:name w:val="正文4 Char Char"/>
    <w:link w:val="179"/>
    <w:qFormat/>
    <w:uiPriority w:val="0"/>
    <w:rPr>
      <w:rFonts w:eastAsia="仿宋_GB2312"/>
      <w:kern w:val="2"/>
      <w:sz w:val="24"/>
      <w:szCs w:val="24"/>
    </w:rPr>
  </w:style>
  <w:style w:type="paragraph" w:customStyle="1" w:styleId="179">
    <w:name w:val="正文4"/>
    <w:basedOn w:val="1"/>
    <w:link w:val="178"/>
    <w:qFormat/>
    <w:uiPriority w:val="0"/>
    <w:pPr>
      <w:tabs>
        <w:tab w:val="left" w:pos="425"/>
      </w:tabs>
      <w:spacing w:before="60" w:after="60" w:line="360" w:lineRule="auto"/>
      <w:ind w:left="425"/>
    </w:pPr>
    <w:rPr>
      <w:rFonts w:eastAsia="仿宋_GB2312"/>
      <w:sz w:val="24"/>
    </w:rPr>
  </w:style>
  <w:style w:type="character" w:customStyle="1" w:styleId="180">
    <w:name w:val="标题 7 Char"/>
    <w:link w:val="10"/>
    <w:qFormat/>
    <w:uiPriority w:val="0"/>
    <w:rPr>
      <w:rFonts w:ascii="Courier New" w:hAnsi="Courier New" w:eastAsia="ˎ̥"/>
      <w:sz w:val="21"/>
      <w:szCs w:val="21"/>
      <w:lang w:val="en-US" w:eastAsia="zh-CN" w:bidi="ar-SA"/>
    </w:rPr>
  </w:style>
  <w:style w:type="character" w:customStyle="1" w:styleId="181">
    <w:name w:val="smalltxt1"/>
    <w:qFormat/>
    <w:uiPriority w:val="0"/>
    <w:rPr>
      <w:rFonts w:hint="default" w:ascii="Century Gothic" w:hAnsi="Century Gothic"/>
      <w:sz w:val="24"/>
      <w:szCs w:val="24"/>
    </w:rPr>
  </w:style>
  <w:style w:type="character" w:customStyle="1" w:styleId="182">
    <w:name w:val="明显引用 Char"/>
    <w:link w:val="183"/>
    <w:qFormat/>
    <w:uiPriority w:val="0"/>
    <w:rPr>
      <w:rFonts w:ascii="Helvetica" w:hAnsi="Helvetica" w:eastAsia="Cambria"/>
      <w:b/>
      <w:bCs/>
      <w:i/>
      <w:iCs/>
      <w:color w:val="4F81BD"/>
      <w:lang w:val="en-US" w:eastAsia="zh-CN" w:bidi="ar-SA"/>
    </w:rPr>
  </w:style>
  <w:style w:type="paragraph" w:customStyle="1" w:styleId="183">
    <w:name w:val="明显引用1"/>
    <w:basedOn w:val="1"/>
    <w:next w:val="1"/>
    <w:link w:val="182"/>
    <w:qFormat/>
    <w:uiPriority w:val="0"/>
    <w:pPr>
      <w:pBdr>
        <w:bottom w:val="single" w:color="4F81BD" w:sz="4" w:space="4"/>
      </w:pBdr>
      <w:spacing w:before="200" w:after="280"/>
      <w:ind w:left="936" w:right="936"/>
    </w:pPr>
    <w:rPr>
      <w:rFonts w:ascii="Helvetica" w:hAnsi="Helvetica" w:eastAsia="Cambria"/>
      <w:b/>
      <w:bCs/>
      <w:i/>
      <w:iCs/>
      <w:color w:val="4F81BD"/>
      <w:kern w:val="0"/>
      <w:sz w:val="20"/>
      <w:szCs w:val="20"/>
    </w:rPr>
  </w:style>
  <w:style w:type="character" w:customStyle="1" w:styleId="184">
    <w:name w:val="正文靠右 Char Char"/>
    <w:link w:val="185"/>
    <w:qFormat/>
    <w:uiPriority w:val="0"/>
    <w:rPr>
      <w:kern w:val="2"/>
      <w:sz w:val="21"/>
      <w:szCs w:val="24"/>
      <w:lang w:bidi="ar-SA"/>
    </w:rPr>
  </w:style>
  <w:style w:type="paragraph" w:customStyle="1" w:styleId="185">
    <w:name w:val="正文靠右"/>
    <w:basedOn w:val="1"/>
    <w:link w:val="184"/>
    <w:qFormat/>
    <w:uiPriority w:val="0"/>
    <w:pPr>
      <w:jc w:val="right"/>
    </w:pPr>
  </w:style>
  <w:style w:type="character" w:customStyle="1" w:styleId="186">
    <w:name w:val="heading 5 Char1"/>
    <w:qFormat/>
    <w:uiPriority w:val="0"/>
    <w:rPr>
      <w:rFonts w:eastAsia="Cambria"/>
      <w:b/>
      <w:bCs/>
      <w:kern w:val="2"/>
      <w:sz w:val="28"/>
      <w:szCs w:val="28"/>
      <w:lang w:val="en-US" w:eastAsia="zh-CN" w:bidi="ar-SA"/>
    </w:rPr>
  </w:style>
  <w:style w:type="character" w:customStyle="1" w:styleId="187">
    <w:name w:val="font41"/>
    <w:qFormat/>
    <w:uiPriority w:val="0"/>
    <w:rPr>
      <w:rFonts w:hint="default" w:ascii="Times New Roman" w:hAnsi="Times New Roman" w:cs="Times New Roman"/>
      <w:color w:val="000000"/>
      <w:sz w:val="24"/>
      <w:szCs w:val="24"/>
      <w:u w:val="none"/>
    </w:rPr>
  </w:style>
  <w:style w:type="character" w:customStyle="1" w:styleId="188">
    <w:name w:val="style21"/>
    <w:qFormat/>
    <w:uiPriority w:val="0"/>
    <w:rPr>
      <w:sz w:val="15"/>
      <w:szCs w:val="15"/>
    </w:rPr>
  </w:style>
  <w:style w:type="character" w:customStyle="1" w:styleId="189">
    <w:name w:val="ändrad Char"/>
    <w:qFormat/>
    <w:uiPriority w:val="0"/>
    <w:rPr>
      <w:rFonts w:eastAsia="Cambria"/>
      <w:kern w:val="2"/>
      <w:sz w:val="21"/>
      <w:szCs w:val="24"/>
      <w:lang w:val="en-US" w:eastAsia="zh-CN" w:bidi="ar-SA"/>
    </w:rPr>
  </w:style>
  <w:style w:type="character" w:customStyle="1" w:styleId="190">
    <w:name w:val="注释题目"/>
    <w:qFormat/>
    <w:uiPriority w:val="0"/>
    <w:rPr>
      <w:rFonts w:eastAsia="Verdana"/>
      <w:sz w:val="28"/>
      <w:u w:val="none"/>
    </w:rPr>
  </w:style>
  <w:style w:type="character" w:customStyle="1" w:styleId="191">
    <w:name w:val="不明显参考1"/>
    <w:qFormat/>
    <w:uiPriority w:val="0"/>
    <w:rPr>
      <w:smallCaps/>
      <w:color w:val="C0504D"/>
      <w:u w:val="single"/>
    </w:rPr>
  </w:style>
  <w:style w:type="character" w:customStyle="1" w:styleId="192">
    <w:name w:val="heading 3 Char2"/>
    <w:qFormat/>
    <w:uiPriority w:val="0"/>
    <w:rPr>
      <w:b/>
      <w:bCs/>
      <w:kern w:val="2"/>
      <w:sz w:val="32"/>
      <w:szCs w:val="32"/>
    </w:rPr>
  </w:style>
  <w:style w:type="character" w:customStyle="1" w:styleId="193">
    <w:name w:val="heading 1 Char1"/>
    <w:qFormat/>
    <w:uiPriority w:val="0"/>
    <w:rPr>
      <w:rFonts w:eastAsia="Cambria"/>
      <w:b/>
      <w:bCs/>
      <w:kern w:val="44"/>
      <w:sz w:val="44"/>
      <w:szCs w:val="44"/>
      <w:lang w:val="en-US" w:eastAsia="zh-CN" w:bidi="ar-SA"/>
    </w:rPr>
  </w:style>
  <w:style w:type="character" w:customStyle="1" w:styleId="194">
    <w:name w:val="页眉 Char"/>
    <w:link w:val="37"/>
    <w:qFormat/>
    <w:uiPriority w:val="0"/>
    <w:rPr>
      <w:rFonts w:eastAsia="Cambria"/>
      <w:kern w:val="2"/>
      <w:sz w:val="18"/>
      <w:szCs w:val="18"/>
      <w:lang w:val="en-US" w:eastAsia="zh-CN" w:bidi="ar-SA"/>
    </w:rPr>
  </w:style>
  <w:style w:type="character" w:customStyle="1" w:styleId="195">
    <w:name w:val="Char Char22"/>
    <w:qFormat/>
    <w:uiPriority w:val="0"/>
    <w:rPr>
      <w:rFonts w:ascii="Courier New" w:hAnsi="Courier New" w:eastAsia="ˎ̥"/>
      <w:b/>
      <w:bCs/>
      <w:kern w:val="44"/>
      <w:sz w:val="30"/>
      <w:szCs w:val="44"/>
      <w:lang w:val="en-US" w:eastAsia="zh-CN" w:bidi="ar-SA"/>
    </w:rPr>
  </w:style>
  <w:style w:type="character" w:customStyle="1" w:styleId="196">
    <w:name w:val="符号正文缩进 Char Char"/>
    <w:link w:val="197"/>
    <w:qFormat/>
    <w:uiPriority w:val="0"/>
    <w:rPr>
      <w:sz w:val="24"/>
    </w:rPr>
  </w:style>
  <w:style w:type="paragraph" w:customStyle="1" w:styleId="197">
    <w:name w:val="符号正文缩进"/>
    <w:basedOn w:val="18"/>
    <w:link w:val="196"/>
    <w:qFormat/>
    <w:uiPriority w:val="0"/>
    <w:pPr>
      <w:tabs>
        <w:tab w:val="left" w:pos="1497"/>
      </w:tabs>
      <w:spacing w:line="400" w:lineRule="atLeast"/>
      <w:ind w:left="420" w:hanging="420"/>
    </w:pPr>
    <w:rPr>
      <w:rFonts w:eastAsia="宋体"/>
      <w:sz w:val="24"/>
    </w:rPr>
  </w:style>
  <w:style w:type="character" w:customStyle="1" w:styleId="198">
    <w:name w:val="heading 3 Char1"/>
    <w:qFormat/>
    <w:uiPriority w:val="0"/>
    <w:rPr>
      <w:rFonts w:eastAsia="Cambria"/>
      <w:b/>
      <w:bCs/>
      <w:kern w:val="2"/>
      <w:sz w:val="32"/>
      <w:szCs w:val="32"/>
      <w:lang w:val="en-US" w:eastAsia="zh-CN" w:bidi="ar-SA"/>
    </w:rPr>
  </w:style>
  <w:style w:type="character" w:customStyle="1" w:styleId="199">
    <w:name w:val="页脚 Char"/>
    <w:link w:val="35"/>
    <w:qFormat/>
    <w:uiPriority w:val="0"/>
    <w:rPr>
      <w:rFonts w:eastAsia="Cambria"/>
      <w:kern w:val="2"/>
      <w:sz w:val="18"/>
      <w:szCs w:val="18"/>
      <w:lang w:val="en-US" w:eastAsia="zh-CN" w:bidi="ar-SA"/>
    </w:rPr>
  </w:style>
  <w:style w:type="character" w:customStyle="1" w:styleId="200">
    <w:name w:val="表格标题 Char Char"/>
    <w:link w:val="201"/>
    <w:qFormat/>
    <w:uiPriority w:val="0"/>
    <w:rPr>
      <w:rFonts w:ascii="Verdana" w:hAnsi="Verdana" w:eastAsia="Verdana"/>
      <w:b/>
      <w:color w:val="FFFFFF"/>
      <w:kern w:val="2"/>
      <w:sz w:val="21"/>
      <w:szCs w:val="24"/>
      <w:lang w:bidi="ar-SA"/>
    </w:rPr>
  </w:style>
  <w:style w:type="paragraph" w:customStyle="1" w:styleId="201">
    <w:name w:val="表格标题"/>
    <w:basedOn w:val="1"/>
    <w:link w:val="200"/>
    <w:qFormat/>
    <w:uiPriority w:val="0"/>
    <w:rPr>
      <w:rFonts w:ascii="Verdana" w:hAnsi="Verdana" w:eastAsia="Verdana"/>
      <w:b/>
      <w:color w:val="FFFFFF"/>
    </w:rPr>
  </w:style>
  <w:style w:type="character" w:customStyle="1" w:styleId="202">
    <w:name w:val="blue1"/>
    <w:basedOn w:val="50"/>
    <w:qFormat/>
    <w:uiPriority w:val="0"/>
  </w:style>
  <w:style w:type="character" w:customStyle="1" w:styleId="203">
    <w:name w:val="heading 5 Char2"/>
    <w:qFormat/>
    <w:uiPriority w:val="0"/>
    <w:rPr>
      <w:b/>
      <w:bCs/>
      <w:kern w:val="2"/>
      <w:sz w:val="28"/>
      <w:szCs w:val="28"/>
    </w:rPr>
  </w:style>
  <w:style w:type="character" w:customStyle="1" w:styleId="204">
    <w:name w:val="Plain Text Char"/>
    <w:qFormat/>
    <w:uiPriority w:val="0"/>
    <w:rPr>
      <w:rFonts w:ascii="Cambria" w:hAnsi="隶书" w:eastAsia="Cambria" w:cs="黑体"/>
      <w:sz w:val="21"/>
      <w:szCs w:val="21"/>
    </w:rPr>
  </w:style>
  <w:style w:type="character" w:customStyle="1" w:styleId="205">
    <w:name w:val="Char Char21"/>
    <w:qFormat/>
    <w:uiPriority w:val="0"/>
    <w:rPr>
      <w:rFonts w:ascii="黑体" w:hAnsi="黑体" w:eastAsia="Cambria" w:cs="黑体"/>
      <w:b/>
      <w:bCs/>
      <w:kern w:val="44"/>
      <w:sz w:val="44"/>
      <w:szCs w:val="44"/>
    </w:rPr>
  </w:style>
  <w:style w:type="character" w:customStyle="1" w:styleId="206">
    <w:name w:val="!我的正文 Ctr+Q Char Char"/>
    <w:link w:val="207"/>
    <w:qFormat/>
    <w:uiPriority w:val="0"/>
    <w:rPr>
      <w:rFonts w:ascii="新宋体" w:hAnsi="新宋体"/>
      <w:kern w:val="2"/>
      <w:sz w:val="24"/>
      <w:szCs w:val="21"/>
      <w:lang w:bidi="ar-SA"/>
    </w:rPr>
  </w:style>
  <w:style w:type="paragraph" w:customStyle="1" w:styleId="207">
    <w:name w:val="!我的正文 Ctr+Q"/>
    <w:basedOn w:val="1"/>
    <w:link w:val="206"/>
    <w:qFormat/>
    <w:uiPriority w:val="0"/>
    <w:pPr>
      <w:adjustRightInd w:val="0"/>
      <w:snapToGrid w:val="0"/>
      <w:spacing w:beforeLines="50" w:afterLines="50" w:line="360" w:lineRule="auto"/>
      <w:ind w:firstLine="480" w:firstLineChars="200"/>
      <w:jc w:val="left"/>
    </w:pPr>
    <w:rPr>
      <w:rFonts w:ascii="新宋体" w:hAnsi="新宋体"/>
      <w:sz w:val="24"/>
      <w:szCs w:val="21"/>
    </w:rPr>
  </w:style>
  <w:style w:type="character" w:customStyle="1" w:styleId="208">
    <w:name w:val="Char Char18"/>
    <w:qFormat/>
    <w:uiPriority w:val="0"/>
    <w:rPr>
      <w:b/>
      <w:bCs/>
      <w:kern w:val="2"/>
      <w:sz w:val="32"/>
      <w:szCs w:val="32"/>
    </w:rPr>
  </w:style>
  <w:style w:type="character" w:customStyle="1" w:styleId="209">
    <w:name w:val="标题 8 Char"/>
    <w:link w:val="11"/>
    <w:qFormat/>
    <w:uiPriority w:val="0"/>
    <w:rPr>
      <w:rFonts w:ascii="Courier New" w:hAnsi="Courier New" w:eastAsia="ˎ̥"/>
      <w:sz w:val="24"/>
      <w:lang w:val="en-US" w:eastAsia="zh-CN" w:bidi="ar-SA"/>
    </w:rPr>
  </w:style>
  <w:style w:type="character" w:customStyle="1" w:styleId="210">
    <w:name w:val="无间隔 Char"/>
    <w:link w:val="211"/>
    <w:qFormat/>
    <w:uiPriority w:val="0"/>
    <w:rPr>
      <w:rFonts w:ascii="Helvetica" w:hAnsi="Helvetica"/>
      <w:sz w:val="22"/>
      <w:szCs w:val="22"/>
      <w:lang w:val="en-US" w:eastAsia="zh-CN" w:bidi="ar-SA"/>
    </w:rPr>
  </w:style>
  <w:style w:type="paragraph" w:customStyle="1" w:styleId="211">
    <w:name w:val="无间隔2"/>
    <w:link w:val="210"/>
    <w:qFormat/>
    <w:uiPriority w:val="0"/>
    <w:rPr>
      <w:rFonts w:ascii="Helvetica" w:hAnsi="Helvetica" w:eastAsia="宋体" w:cs="Times New Roman"/>
      <w:sz w:val="22"/>
      <w:szCs w:val="22"/>
      <w:lang w:val="en-US" w:eastAsia="zh-CN" w:bidi="ar-SA"/>
    </w:rPr>
  </w:style>
  <w:style w:type="character" w:customStyle="1" w:styleId="212">
    <w:name w:val="正文文本 Char"/>
    <w:link w:val="3"/>
    <w:qFormat/>
    <w:uiPriority w:val="0"/>
    <w:rPr>
      <w:rFonts w:eastAsia="Cambria"/>
      <w:kern w:val="2"/>
      <w:sz w:val="21"/>
      <w:szCs w:val="24"/>
      <w:lang w:val="en-US" w:eastAsia="zh-CN" w:bidi="ar-SA"/>
    </w:rPr>
  </w:style>
  <w:style w:type="character" w:customStyle="1" w:styleId="213">
    <w:name w:val="大标题 Char Char"/>
    <w:link w:val="214"/>
    <w:qFormat/>
    <w:uiPriority w:val="0"/>
    <w:rPr>
      <w:rFonts w:ascii="Verdana" w:hAnsi="Verdana" w:eastAsia="Verdana"/>
      <w:b/>
      <w:bCs/>
      <w:kern w:val="2"/>
      <w:sz w:val="72"/>
      <w:szCs w:val="72"/>
      <w:lang w:bidi="ar-SA"/>
    </w:rPr>
  </w:style>
  <w:style w:type="paragraph" w:customStyle="1" w:styleId="214">
    <w:name w:val="大标题"/>
    <w:basedOn w:val="1"/>
    <w:link w:val="213"/>
    <w:qFormat/>
    <w:uiPriority w:val="0"/>
    <w:pPr>
      <w:spacing w:line="40" w:lineRule="atLeast"/>
    </w:pPr>
    <w:rPr>
      <w:rFonts w:ascii="Verdana" w:hAnsi="Verdana" w:eastAsia="Verdana"/>
      <w:b/>
      <w:bCs/>
      <w:sz w:val="72"/>
      <w:szCs w:val="72"/>
    </w:rPr>
  </w:style>
  <w:style w:type="character" w:customStyle="1" w:styleId="215">
    <w:name w:val="Ò³Ã¼ Char Char2"/>
    <w:qFormat/>
    <w:uiPriority w:val="0"/>
    <w:rPr>
      <w:kern w:val="2"/>
      <w:sz w:val="18"/>
      <w:szCs w:val="18"/>
    </w:rPr>
  </w:style>
  <w:style w:type="character" w:customStyle="1" w:styleId="216">
    <w:name w:val="fontborder"/>
    <w:qFormat/>
    <w:uiPriority w:val="0"/>
    <w:rPr>
      <w:bdr w:val="single" w:color="000000" w:sz="6" w:space="0"/>
    </w:rPr>
  </w:style>
  <w:style w:type="character" w:customStyle="1" w:styleId="217">
    <w:name w:val="Texte Char Char"/>
    <w:qFormat/>
    <w:uiPriority w:val="0"/>
    <w:rPr>
      <w:rFonts w:ascii="Cambria" w:hAnsi="隶书" w:eastAsia="Cambria"/>
      <w:sz w:val="21"/>
      <w:szCs w:val="21"/>
      <w:lang w:val="en-US" w:eastAsia="zh-CN" w:bidi="ar-SA"/>
    </w:rPr>
  </w:style>
  <w:style w:type="character" w:customStyle="1" w:styleId="218">
    <w:name w:val="正文居中 Char Char"/>
    <w:link w:val="219"/>
    <w:qFormat/>
    <w:uiPriority w:val="0"/>
    <w:rPr>
      <w:kern w:val="2"/>
      <w:sz w:val="21"/>
      <w:szCs w:val="24"/>
      <w:lang w:bidi="ar-SA"/>
    </w:rPr>
  </w:style>
  <w:style w:type="paragraph" w:customStyle="1" w:styleId="219">
    <w:name w:val="正文居中"/>
    <w:basedOn w:val="1"/>
    <w:link w:val="218"/>
    <w:qFormat/>
    <w:uiPriority w:val="0"/>
    <w:pPr>
      <w:jc w:val="center"/>
    </w:pPr>
  </w:style>
  <w:style w:type="character" w:customStyle="1" w:styleId="220">
    <w:name w:val="gray6"/>
    <w:basedOn w:val="50"/>
    <w:qFormat/>
    <w:uiPriority w:val="0"/>
  </w:style>
  <w:style w:type="character" w:customStyle="1" w:styleId="221">
    <w:name w:val="批注文字 Char"/>
    <w:link w:val="14"/>
    <w:qFormat/>
    <w:uiPriority w:val="0"/>
    <w:rPr>
      <w:rFonts w:eastAsia="Cambria"/>
      <w:kern w:val="2"/>
      <w:sz w:val="21"/>
      <w:szCs w:val="24"/>
      <w:lang w:val="en-US" w:eastAsia="zh-CN" w:bidi="ar-SA"/>
    </w:rPr>
  </w:style>
  <w:style w:type="character" w:customStyle="1" w:styleId="222">
    <w:name w:val="heading 8 Char1"/>
    <w:qFormat/>
    <w:uiPriority w:val="0"/>
    <w:rPr>
      <w:rFonts w:ascii="Courier New" w:hAnsi="Courier New" w:eastAsia="ˎ̥"/>
      <w:sz w:val="24"/>
      <w:lang w:val="en-US" w:eastAsia="zh-CN" w:bidi="ar-SA"/>
    </w:rPr>
  </w:style>
  <w:style w:type="paragraph" w:customStyle="1" w:styleId="223">
    <w:name w:val="正文 New New"/>
    <w:qFormat/>
    <w:uiPriority w:val="0"/>
    <w:pPr>
      <w:widowControl w:val="0"/>
      <w:jc w:val="both"/>
    </w:pPr>
    <w:rPr>
      <w:rFonts w:ascii="Tahoma" w:hAnsi="Tahoma" w:eastAsia="仿宋_GB2312" w:cs="Tahoma"/>
      <w:kern w:val="2"/>
      <w:sz w:val="21"/>
      <w:szCs w:val="24"/>
      <w:lang w:val="en-US" w:eastAsia="zh-CN" w:bidi="ar-SA"/>
    </w:rPr>
  </w:style>
  <w:style w:type="paragraph" w:customStyle="1" w:styleId="224">
    <w:name w:val="xl32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25">
    <w:name w:val="font15"/>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226">
    <w:name w:val="Char"/>
    <w:basedOn w:val="1"/>
    <w:qFormat/>
    <w:uiPriority w:val="0"/>
    <w:pPr>
      <w:widowControl/>
      <w:spacing w:line="400" w:lineRule="exact"/>
      <w:jc w:val="center"/>
    </w:pPr>
    <w:rPr>
      <w:rFonts w:ascii="新宋体" w:hAnsi="新宋体"/>
      <w:kern w:val="0"/>
      <w:szCs w:val="20"/>
      <w:lang w:eastAsia="en-US"/>
    </w:rPr>
  </w:style>
  <w:style w:type="paragraph" w:customStyle="1" w:styleId="227">
    <w:name w:val="xl318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28">
    <w:name w:val="数字级连标题1"/>
    <w:basedOn w:val="4"/>
    <w:next w:val="1"/>
    <w:qFormat/>
    <w:uiPriority w:val="0"/>
    <w:pPr>
      <w:keepLines/>
      <w:tabs>
        <w:tab w:val="left" w:pos="390"/>
      </w:tabs>
      <w:spacing w:line="360" w:lineRule="auto"/>
      <w:ind w:left="390" w:hanging="390"/>
      <w:jc w:val="both"/>
    </w:pPr>
    <w:rPr>
      <w:rFonts w:ascii="Tahoma" w:hAnsi="Tahoma" w:eastAsia="仿宋_GB2312" w:cs="Tahoma"/>
      <w:bCs w:val="0"/>
      <w:sz w:val="28"/>
      <w:szCs w:val="20"/>
      <w:lang w:eastAsia="ar-SA"/>
    </w:rPr>
  </w:style>
  <w:style w:type="paragraph" w:customStyle="1" w:styleId="229">
    <w:name w:val="保留正文"/>
    <w:basedOn w:val="3"/>
    <w:qFormat/>
    <w:uiPriority w:val="0"/>
    <w:pPr>
      <w:keepNext/>
      <w:spacing w:after="160"/>
    </w:pPr>
  </w:style>
  <w:style w:type="paragraph" w:customStyle="1" w:styleId="230">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231">
    <w:name w:val="xl318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32">
    <w:name w:val="xl319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3">
    <w:name w:val="xl319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35">
    <w:name w:val="xl318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6">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37">
    <w:name w:val="1 Char"/>
    <w:basedOn w:val="18"/>
    <w:qFormat/>
    <w:uiPriority w:val="0"/>
    <w:pPr>
      <w:adjustRightInd/>
      <w:spacing w:line="360" w:lineRule="auto"/>
      <w:ind w:firstLine="200" w:firstLineChars="200"/>
      <w:textAlignment w:val="auto"/>
    </w:pPr>
    <w:rPr>
      <w:kern w:val="2"/>
    </w:rPr>
  </w:style>
  <w:style w:type="paragraph" w:customStyle="1" w:styleId="238">
    <w:name w:val="xl319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9">
    <w:name w:val="样式 标题 1"/>
    <w:basedOn w:val="4"/>
    <w:next w:val="1"/>
    <w:qFormat/>
    <w:uiPriority w:val="0"/>
    <w:pPr>
      <w:keepNext w:val="0"/>
      <w:pageBreakBefore/>
      <w:tabs>
        <w:tab w:val="left" w:pos="584"/>
      </w:tabs>
      <w:adjustRightInd w:val="0"/>
      <w:snapToGrid w:val="0"/>
      <w:spacing w:beforeLines="100" w:after="120" w:line="480" w:lineRule="exact"/>
      <w:ind w:left="360"/>
    </w:pPr>
    <w:rPr>
      <w:rFonts w:ascii="Verdana" w:hAnsi="仿宋_GB2312" w:eastAsia="Verdana" w:cs="仿宋_GB2312"/>
      <w:color w:val="000000"/>
      <w:sz w:val="36"/>
      <w:szCs w:val="36"/>
    </w:rPr>
  </w:style>
  <w:style w:type="paragraph" w:customStyle="1" w:styleId="240">
    <w:name w:val="xl319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1">
    <w:name w:val="xl320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242">
    <w:name w:val="p0"/>
    <w:basedOn w:val="1"/>
    <w:qFormat/>
    <w:uiPriority w:val="0"/>
    <w:pPr>
      <w:widowControl/>
      <w:jc w:val="left"/>
    </w:pPr>
    <w:rPr>
      <w:kern w:val="0"/>
      <w:sz w:val="20"/>
      <w:szCs w:val="20"/>
    </w:rPr>
  </w:style>
  <w:style w:type="paragraph" w:customStyle="1" w:styleId="243">
    <w:name w:val="Char Char Char Char Char Char Char2"/>
    <w:basedOn w:val="1"/>
    <w:qFormat/>
    <w:uiPriority w:val="0"/>
    <w:pPr>
      <w:widowControl/>
      <w:spacing w:after="160" w:line="240" w:lineRule="exact"/>
      <w:ind w:firstLine="200" w:firstLineChars="200"/>
      <w:jc w:val="left"/>
    </w:pPr>
    <w:rPr>
      <w:rFonts w:ascii="Courier New" w:hAnsi="Courier New" w:eastAsia="仿宋_GB2312" w:cs="Tahoma"/>
      <w:sz w:val="24"/>
      <w:szCs w:val="20"/>
    </w:rPr>
  </w:style>
  <w:style w:type="paragraph" w:customStyle="1" w:styleId="244">
    <w:name w:val="xl319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45">
    <w:name w:val="xl320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仿宋_GB2312" w:eastAsia="仿宋_GB2312" w:cs="Cambria"/>
      <w:color w:val="000000"/>
      <w:kern w:val="0"/>
      <w:sz w:val="24"/>
    </w:rPr>
  </w:style>
  <w:style w:type="paragraph" w:customStyle="1" w:styleId="247">
    <w:name w:val="Char Char Char Char Char Char Char Char Char Char Char Char Char Char Char Char Char Char Char1"/>
    <w:basedOn w:val="1"/>
    <w:qFormat/>
    <w:uiPriority w:val="0"/>
    <w:rPr>
      <w:rFonts w:ascii="Verdana" w:eastAsia="Verdana"/>
      <w:b/>
      <w:sz w:val="32"/>
      <w:szCs w:val="32"/>
    </w:rPr>
  </w:style>
  <w:style w:type="paragraph" w:customStyle="1" w:styleId="248">
    <w:name w:val="xl320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49">
    <w:name w:val="xl31865"/>
    <w:basedOn w:val="1"/>
    <w:qFormat/>
    <w:uiPriority w:val="0"/>
    <w:pPr>
      <w:widowControl/>
      <w:spacing w:before="100" w:beforeAutospacing="1" w:after="100" w:afterAutospacing="1"/>
      <w:jc w:val="left"/>
    </w:pPr>
    <w:rPr>
      <w:rFonts w:ascii="Arial" w:hAnsi="Arial" w:cs="Arial"/>
      <w:kern w:val="0"/>
      <w:sz w:val="24"/>
    </w:rPr>
  </w:style>
  <w:style w:type="paragraph" w:customStyle="1" w:styleId="2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51">
    <w:name w:val="xl31962"/>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252">
    <w:name w:val="xl319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53">
    <w:name w:val="Char Char1"/>
    <w:basedOn w:val="1"/>
    <w:qFormat/>
    <w:uiPriority w:val="0"/>
    <w:pPr>
      <w:widowControl/>
      <w:spacing w:after="160" w:line="240" w:lineRule="exact"/>
      <w:jc w:val="left"/>
    </w:pPr>
    <w:rPr>
      <w:rFonts w:ascii="新宋体" w:hAnsi="新宋体" w:eastAsia="Calibri"/>
      <w:b/>
      <w:i/>
      <w:iCs/>
      <w:color w:val="000000"/>
      <w:kern w:val="0"/>
      <w:sz w:val="20"/>
      <w:szCs w:val="20"/>
      <w:lang w:eastAsia="en-US"/>
    </w:rPr>
  </w:style>
  <w:style w:type="paragraph" w:customStyle="1" w:styleId="2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255">
    <w:name w:val="xl31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256">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57">
    <w:name w:val="段"/>
    <w:qFormat/>
    <w:uiPriority w:val="0"/>
    <w:pPr>
      <w:autoSpaceDE w:val="0"/>
      <w:autoSpaceDN w:val="0"/>
      <w:ind w:firstLine="200" w:firstLineChars="200"/>
      <w:jc w:val="both"/>
    </w:pPr>
    <w:rPr>
      <w:rFonts w:ascii="Cambria" w:hAnsi="Times New Roman" w:eastAsia="宋体" w:cs="Times New Roman"/>
      <w:sz w:val="21"/>
      <w:lang w:val="en-US" w:eastAsia="zh-CN" w:bidi="ar-SA"/>
    </w:rPr>
  </w:style>
  <w:style w:type="paragraph" w:customStyle="1" w:styleId="258">
    <w:name w:val="xl319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59">
    <w:name w:val="table_lines"/>
    <w:basedOn w:val="1"/>
    <w:qFormat/>
    <w:uiPriority w:val="99"/>
  </w:style>
  <w:style w:type="paragraph" w:customStyle="1" w:styleId="260">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61">
    <w:name w:val="Char13"/>
    <w:basedOn w:val="1"/>
    <w:qFormat/>
    <w:uiPriority w:val="0"/>
    <w:pPr>
      <w:widowControl/>
      <w:spacing w:after="160" w:line="240" w:lineRule="exact"/>
      <w:jc w:val="left"/>
    </w:pPr>
    <w:rPr>
      <w:rFonts w:ascii="新宋体" w:hAnsi="新宋体"/>
      <w:kern w:val="0"/>
      <w:sz w:val="20"/>
      <w:szCs w:val="20"/>
      <w:lang w:eastAsia="en-US"/>
    </w:rPr>
  </w:style>
  <w:style w:type="paragraph" w:customStyle="1" w:styleId="262">
    <w:name w:val="正文 New"/>
    <w:qFormat/>
    <w:uiPriority w:val="0"/>
    <w:pPr>
      <w:widowControl w:val="0"/>
      <w:jc w:val="both"/>
    </w:pPr>
    <w:rPr>
      <w:rFonts w:ascii="Tahoma" w:hAnsi="Tahoma" w:eastAsia="仿宋_GB2312" w:cs="Tahoma"/>
      <w:kern w:val="2"/>
      <w:sz w:val="21"/>
      <w:szCs w:val="24"/>
      <w:lang w:val="en-US" w:eastAsia="zh-CN" w:bidi="ar-SA"/>
    </w:rPr>
  </w:style>
  <w:style w:type="paragraph" w:customStyle="1" w:styleId="263">
    <w:name w:val="xl319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64">
    <w:name w:val="xl319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xl319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66">
    <w:name w:val="xl319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67">
    <w:name w:val="TOC 标题1"/>
    <w:basedOn w:val="4"/>
    <w:next w:val="1"/>
    <w:qFormat/>
    <w:uiPriority w:val="0"/>
    <w:pPr>
      <w:keepLines/>
      <w:widowControl/>
      <w:spacing w:before="480" w:line="276" w:lineRule="auto"/>
      <w:jc w:val="left"/>
      <w:outlineLvl w:val="9"/>
    </w:pPr>
    <w:rPr>
      <w:rFonts w:ascii="宋体,Verdana,Arial" w:hAnsi="宋体,Verdana,Arial" w:eastAsia="Cambria"/>
      <w:color w:val="365F91"/>
      <w:kern w:val="0"/>
      <w:sz w:val="28"/>
      <w:szCs w:val="28"/>
    </w:rPr>
  </w:style>
  <w:style w:type="paragraph" w:customStyle="1" w:styleId="268">
    <w:name w:val="xl320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269">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70">
    <w:name w:val="xl320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1">
    <w:name w:val="Char2"/>
    <w:basedOn w:val="1"/>
    <w:qFormat/>
    <w:uiPriority w:val="0"/>
    <w:pPr>
      <w:autoSpaceDE w:val="0"/>
      <w:autoSpaceDN w:val="0"/>
      <w:adjustRightInd w:val="0"/>
      <w:jc w:val="left"/>
    </w:pPr>
    <w:rPr>
      <w:rFonts w:ascii="Verdana" w:eastAsia="Verdana"/>
      <w:b/>
      <w:kern w:val="0"/>
      <w:sz w:val="32"/>
      <w:szCs w:val="32"/>
    </w:rPr>
  </w:style>
  <w:style w:type="paragraph" w:customStyle="1" w:styleId="272">
    <w:name w:val="xl318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3">
    <w:name w:val="xl319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4">
    <w:name w:val="样式 左侧:  0.85 厘米 首行缩进:  0.85 厘米"/>
    <w:basedOn w:val="1"/>
    <w:qFormat/>
    <w:uiPriority w:val="0"/>
    <w:pPr>
      <w:autoSpaceDE w:val="0"/>
      <w:autoSpaceDN w:val="0"/>
      <w:adjustRightInd w:val="0"/>
      <w:spacing w:line="360" w:lineRule="auto"/>
      <w:ind w:firstLine="482"/>
      <w:jc w:val="left"/>
    </w:pPr>
    <w:rPr>
      <w:rFonts w:cs="Cambria"/>
      <w:kern w:val="0"/>
      <w:sz w:val="24"/>
      <w:szCs w:val="20"/>
    </w:rPr>
  </w:style>
  <w:style w:type="paragraph" w:customStyle="1" w:styleId="275">
    <w:name w:val="xl319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276">
    <w:name w:val="默认段落字体 Para Char Char Char Char Char Char Char"/>
    <w:basedOn w:val="1"/>
    <w:qFormat/>
    <w:uiPriority w:val="0"/>
    <w:rPr>
      <w:rFonts w:eastAsia="Verdana"/>
      <w:sz w:val="28"/>
    </w:rPr>
  </w:style>
  <w:style w:type="paragraph" w:customStyle="1" w:styleId="277">
    <w:name w:val="xl319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8">
    <w:name w:val="xl31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9">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80">
    <w:name w:val="xl319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81">
    <w:name w:val="正文－恩普"/>
    <w:basedOn w:val="18"/>
    <w:qFormat/>
    <w:uiPriority w:val="0"/>
    <w:pPr>
      <w:adjustRightInd/>
      <w:spacing w:line="360" w:lineRule="auto"/>
      <w:ind w:firstLine="200" w:firstLineChars="200"/>
      <w:textAlignment w:val="auto"/>
    </w:pPr>
    <w:rPr>
      <w:kern w:val="2"/>
      <w:sz w:val="24"/>
      <w:szCs w:val="24"/>
    </w:rPr>
  </w:style>
  <w:style w:type="paragraph" w:customStyle="1" w:styleId="282">
    <w:name w:val="xl320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83">
    <w:name w:val="xl320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85">
    <w:name w:val="xl320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6">
    <w:name w:val="Table Heading"/>
    <w:qFormat/>
    <w:uiPriority w:val="0"/>
    <w:pPr>
      <w:keepNext/>
      <w:snapToGrid w:val="0"/>
      <w:spacing w:before="80" w:after="80"/>
      <w:jc w:val="center"/>
    </w:pPr>
    <w:rPr>
      <w:rFonts w:ascii="Helvetica" w:hAnsi="Helvetica" w:eastAsia="ˎ̥" w:cs="Courier New"/>
      <w:kern w:val="2"/>
      <w:sz w:val="18"/>
      <w:szCs w:val="18"/>
      <w:lang w:val="en-US" w:eastAsia="zh-CN" w:bidi="ar-SA"/>
    </w:rPr>
  </w:style>
  <w:style w:type="paragraph" w:customStyle="1" w:styleId="287">
    <w:name w:val="Table Contents"/>
    <w:basedOn w:val="1"/>
    <w:qFormat/>
    <w:uiPriority w:val="0"/>
    <w:pPr>
      <w:suppressAutoHyphens/>
      <w:autoSpaceDE w:val="0"/>
      <w:autoSpaceDN w:val="0"/>
      <w:adjustRightInd w:val="0"/>
      <w:spacing w:after="120"/>
      <w:jc w:val="left"/>
    </w:pPr>
    <w:rPr>
      <w:rFonts w:ascii="Arial Unicode MS" w:hAnsi="Arial Unicode MS"/>
      <w:kern w:val="1"/>
      <w:sz w:val="20"/>
      <w:szCs w:val="20"/>
    </w:rPr>
  </w:style>
  <w:style w:type="paragraph" w:customStyle="1" w:styleId="288">
    <w:name w:val="xl320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89">
    <w:name w:val="xl319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0">
    <w:name w:val="xl319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xl320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2">
    <w:name w:val="xl319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3">
    <w:name w:val="xl319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4">
    <w:name w:val="默认段落字体 Para Char Char Char Char Char Char Char Char Char Char"/>
    <w:basedOn w:val="1"/>
    <w:qFormat/>
    <w:uiPriority w:val="0"/>
    <w:pPr>
      <w:widowControl/>
      <w:spacing w:after="200"/>
      <w:jc w:val="left"/>
    </w:pPr>
    <w:rPr>
      <w:rFonts w:ascii="Courier New" w:hAnsi="Courier New" w:eastAsia="仿宋_GB2312" w:cs="Tahoma"/>
      <w:kern w:val="0"/>
      <w:sz w:val="22"/>
      <w:szCs w:val="20"/>
      <w:lang w:eastAsia="en-US" w:bidi="en-US"/>
    </w:rPr>
  </w:style>
  <w:style w:type="paragraph" w:customStyle="1" w:styleId="295">
    <w:name w:val="xl319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296">
    <w:name w:val="xl320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7">
    <w:name w:val="xl320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98">
    <w:name w:val="xl319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9">
    <w:name w:val="xl32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0">
    <w:name w:val="xl320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01">
    <w:name w:val="xl31872"/>
    <w:basedOn w:val="1"/>
    <w:qFormat/>
    <w:uiPriority w:val="0"/>
    <w:pPr>
      <w:widowControl/>
      <w:spacing w:before="100" w:beforeAutospacing="1" w:after="100" w:afterAutospacing="1"/>
      <w:jc w:val="left"/>
    </w:pPr>
    <w:rPr>
      <w:rFonts w:ascii="Arial" w:hAnsi="Arial" w:cs="Arial"/>
      <w:kern w:val="0"/>
      <w:sz w:val="24"/>
    </w:rPr>
  </w:style>
  <w:style w:type="paragraph" w:customStyle="1" w:styleId="302">
    <w:name w:val="2级"/>
    <w:basedOn w:val="5"/>
    <w:next w:val="36"/>
    <w:qFormat/>
    <w:uiPriority w:val="0"/>
    <w:pPr>
      <w:ind w:left="420"/>
    </w:pPr>
    <w:rPr>
      <w:rFonts w:ascii="Vijaya" w:hAnsi="Vijaya" w:eastAsia="Verdana" w:cs="Tahoma"/>
      <w:kern w:val="0"/>
      <w:sz w:val="30"/>
    </w:rPr>
  </w:style>
  <w:style w:type="paragraph" w:customStyle="1" w:styleId="303">
    <w:name w:val="xl319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4">
    <w:name w:val="默认段落字体 Para Char"/>
    <w:basedOn w:val="1"/>
    <w:qFormat/>
    <w:uiPriority w:val="0"/>
    <w:pPr>
      <w:adjustRightInd w:val="0"/>
      <w:spacing w:line="360" w:lineRule="auto"/>
    </w:pPr>
    <w:rPr>
      <w:rFonts w:ascii="Tahoma" w:hAnsi="Tahoma" w:eastAsia="仿宋_GB2312" w:cs="Tahoma"/>
      <w:kern w:val="0"/>
      <w:sz w:val="24"/>
      <w:szCs w:val="20"/>
    </w:rPr>
  </w:style>
  <w:style w:type="paragraph" w:customStyle="1" w:styleId="305">
    <w:name w:val="xl320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6">
    <w:name w:val="xl318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7">
    <w:name w:val="Char Char Char Char Char Char Char Char Char Char Char Char Char Char Char Char Char Char Char"/>
    <w:basedOn w:val="1"/>
    <w:qFormat/>
    <w:uiPriority w:val="0"/>
    <w:rPr>
      <w:rFonts w:ascii="Verdana" w:eastAsia="Verdana"/>
      <w:b/>
      <w:sz w:val="32"/>
      <w:szCs w:val="32"/>
    </w:rPr>
  </w:style>
  <w:style w:type="paragraph" w:customStyle="1" w:styleId="308">
    <w:name w:val="xl318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9">
    <w:name w:val="font1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10">
    <w:name w:val="font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11">
    <w:name w:val="xl320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2">
    <w:name w:val="xl319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3">
    <w:name w:val="xl319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314">
    <w:name w:val="xl319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5">
    <w:name w:val="Char Char Char Char Char Char Char Char Char Char Char Char Char"/>
    <w:basedOn w:val="1"/>
    <w:qFormat/>
    <w:uiPriority w:val="0"/>
  </w:style>
  <w:style w:type="paragraph" w:customStyle="1" w:styleId="31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color w:val="000000"/>
      <w:kern w:val="0"/>
      <w:sz w:val="24"/>
    </w:rPr>
  </w:style>
  <w:style w:type="paragraph" w:customStyle="1" w:styleId="318">
    <w:name w:val="xl319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9">
    <w:name w:val="xl319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color w:val="FF0000"/>
      <w:kern w:val="0"/>
      <w:sz w:val="24"/>
    </w:rPr>
  </w:style>
  <w:style w:type="paragraph" w:customStyle="1" w:styleId="320">
    <w:name w:val="xl319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1">
    <w:name w:val="xl320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2">
    <w:name w:val="xl319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23">
    <w:name w:val="xl319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4">
    <w:name w:val="button"/>
    <w:basedOn w:val="1"/>
    <w:qFormat/>
    <w:uiPriority w:val="0"/>
    <w:pPr>
      <w:widowControl/>
      <w:autoSpaceDE w:val="0"/>
      <w:autoSpaceDN w:val="0"/>
      <w:adjustRightInd w:val="0"/>
      <w:spacing w:before="100" w:beforeAutospacing="1" w:after="100" w:afterAutospacing="1"/>
      <w:jc w:val="left"/>
    </w:pPr>
    <w:rPr>
      <w:rFonts w:ascii="Tahoma" w:hAnsi="Tahoma"/>
      <w:color w:val="000000"/>
      <w:kern w:val="0"/>
      <w:sz w:val="24"/>
      <w:szCs w:val="20"/>
    </w:rPr>
  </w:style>
  <w:style w:type="paragraph" w:customStyle="1" w:styleId="325">
    <w:name w:val="font1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26">
    <w:name w:val="xl320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7">
    <w:name w:val="xl29"/>
    <w:basedOn w:val="1"/>
    <w:qFormat/>
    <w:uiPriority w:val="0"/>
    <w:pPr>
      <w:widowControl/>
      <w:autoSpaceDE w:val="0"/>
      <w:autoSpaceDN w:val="0"/>
      <w:adjustRightInd w:val="0"/>
      <w:spacing w:before="100" w:beforeAutospacing="1" w:after="100" w:afterAutospacing="1"/>
      <w:jc w:val="center"/>
    </w:pPr>
    <w:rPr>
      <w:rFonts w:ascii="Tahoma" w:hAnsi="Tahoma" w:eastAsia="Tahoma"/>
      <w:kern w:val="0"/>
      <w:sz w:val="24"/>
      <w:szCs w:val="20"/>
    </w:rPr>
  </w:style>
  <w:style w:type="paragraph" w:customStyle="1" w:styleId="328">
    <w:name w:val="xl319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29">
    <w:name w:val="xl319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0">
    <w:name w:val="xl320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31">
    <w:name w:val="Char1 Char Char Char Char"/>
    <w:basedOn w:val="21"/>
    <w:qFormat/>
    <w:uiPriority w:val="0"/>
    <w:rPr>
      <w:rFonts w:ascii="Courier New" w:hAnsi="Courier New" w:eastAsia="仿宋_GB2312" w:cs="Courier New"/>
      <w:kern w:val="0"/>
      <w:sz w:val="18"/>
    </w:rPr>
  </w:style>
  <w:style w:type="paragraph" w:customStyle="1" w:styleId="332">
    <w:name w:val="xl319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3">
    <w:name w:val="文档正文"/>
    <w:basedOn w:val="1"/>
    <w:qFormat/>
    <w:uiPriority w:val="0"/>
    <w:pPr>
      <w:adjustRightInd w:val="0"/>
      <w:spacing w:line="300" w:lineRule="auto"/>
      <w:ind w:firstLine="567"/>
      <w:textAlignment w:val="baseline"/>
    </w:pPr>
    <w:rPr>
      <w:kern w:val="0"/>
      <w:sz w:val="24"/>
      <w:szCs w:val="20"/>
    </w:rPr>
  </w:style>
  <w:style w:type="paragraph" w:customStyle="1" w:styleId="334">
    <w:name w:val="xl318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35">
    <w:name w:val="xl319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6">
    <w:name w:val="xl319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7">
    <w:name w:val="font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8">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Verdana" w:eastAsia="仿宋_GB2312"/>
      <w:kern w:val="0"/>
      <w:sz w:val="24"/>
      <w:szCs w:val="20"/>
    </w:rPr>
  </w:style>
  <w:style w:type="paragraph" w:customStyle="1" w:styleId="339">
    <w:name w:val="xl320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40">
    <w:name w:val="xl320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41">
    <w:name w:val="xl319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2">
    <w:name w:val="xl319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3">
    <w:name w:val="xl319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4">
    <w:name w:val="xl320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45">
    <w:name w:val="xl319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6">
    <w:name w:val="标题小四"/>
    <w:basedOn w:val="5"/>
    <w:qFormat/>
    <w:uiPriority w:val="0"/>
    <w:pPr>
      <w:keepNext w:val="0"/>
      <w:keepLines w:val="0"/>
      <w:spacing w:before="0" w:after="0" w:line="360" w:lineRule="auto"/>
      <w:ind w:right="90"/>
      <w:outlineLvl w:val="9"/>
    </w:pPr>
    <w:rPr>
      <w:rFonts w:ascii="Cambria" w:hAnsi="仿宋_GB2312" w:cs="Calibri"/>
      <w:b w:val="0"/>
      <w:bCs w:val="0"/>
      <w:color w:val="000000"/>
      <w:sz w:val="21"/>
      <w:szCs w:val="21"/>
    </w:rPr>
  </w:style>
  <w:style w:type="paragraph" w:customStyle="1" w:styleId="347">
    <w:name w:val="列出段落11"/>
    <w:basedOn w:val="1"/>
    <w:qFormat/>
    <w:uiPriority w:val="0"/>
    <w:pPr>
      <w:ind w:firstLine="420" w:firstLineChars="200"/>
    </w:pPr>
    <w:rPr>
      <w:szCs w:val="20"/>
    </w:rPr>
  </w:style>
  <w:style w:type="paragraph" w:customStyle="1" w:styleId="348">
    <w:name w:val="6"/>
    <w:basedOn w:val="1"/>
    <w:qFormat/>
    <w:uiPriority w:val="0"/>
    <w:pPr>
      <w:tabs>
        <w:tab w:val="left" w:pos="360"/>
      </w:tabs>
    </w:pPr>
    <w:rPr>
      <w:rFonts w:ascii="Tahoma" w:hAnsi="Tahoma" w:eastAsia="仿宋_GB2312" w:cs="Tahoma"/>
      <w:szCs w:val="20"/>
    </w:rPr>
  </w:style>
  <w:style w:type="paragraph" w:customStyle="1" w:styleId="34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50">
    <w:name w:val="Char Char Char Char Char Char Char"/>
    <w:basedOn w:val="1"/>
    <w:qFormat/>
    <w:uiPriority w:val="0"/>
    <w:rPr>
      <w:rFonts w:ascii="Verdana" w:eastAsia="Verdana"/>
      <w:b/>
      <w:sz w:val="32"/>
      <w:szCs w:val="32"/>
    </w:rPr>
  </w:style>
  <w:style w:type="paragraph" w:customStyle="1" w:styleId="351">
    <w:name w:val="列出段落2"/>
    <w:basedOn w:val="1"/>
    <w:qFormat/>
    <w:uiPriority w:val="0"/>
    <w:pPr>
      <w:ind w:firstLine="420" w:firstLineChars="200"/>
    </w:pPr>
    <w:rPr>
      <w:rFonts w:ascii="仿宋_GB2312" w:hAnsi="仿宋_GB2312" w:eastAsia="仿宋_GB2312" w:cs="Tahoma"/>
      <w:szCs w:val="22"/>
    </w:rPr>
  </w:style>
  <w:style w:type="paragraph" w:customStyle="1" w:styleId="35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3">
    <w:name w:val="xl319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54">
    <w:name w:val="xl319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55">
    <w:name w:val="xl319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356">
    <w:name w:val="xl319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7">
    <w:name w:val="xl320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58">
    <w:name w:val="xl319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59">
    <w:name w:val="xl320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0">
    <w:name w:val="xl319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1">
    <w:name w:val="Char Char Char Char Char Char Char Char Char Char Char Char Char1"/>
    <w:basedOn w:val="1"/>
    <w:qFormat/>
    <w:uiPriority w:val="0"/>
    <w:rPr>
      <w:rFonts w:ascii="Vijaya" w:hAnsi="Vijaya"/>
      <w:sz w:val="24"/>
      <w:szCs w:val="20"/>
    </w:rPr>
  </w:style>
  <w:style w:type="paragraph" w:customStyle="1" w:styleId="362">
    <w:name w:val="正文字缩2字"/>
    <w:basedOn w:val="1"/>
    <w:qFormat/>
    <w:uiPriority w:val="0"/>
    <w:pPr>
      <w:spacing w:before="60" w:after="60" w:line="360" w:lineRule="auto"/>
      <w:ind w:left="200" w:leftChars="200" w:firstLine="200" w:firstLineChars="200"/>
    </w:pPr>
    <w:rPr>
      <w:sz w:val="24"/>
    </w:rPr>
  </w:style>
  <w:style w:type="paragraph" w:customStyle="1" w:styleId="363">
    <w:name w:val="表正文黑体"/>
    <w:basedOn w:val="1"/>
    <w:qFormat/>
    <w:uiPriority w:val="0"/>
    <w:pPr>
      <w:jc w:val="left"/>
    </w:pPr>
    <w:rPr>
      <w:rFonts w:ascii="Calibri" w:hAnsi="Calibri" w:eastAsia="黑体"/>
    </w:rPr>
  </w:style>
  <w:style w:type="paragraph" w:customStyle="1" w:styleId="364">
    <w:name w:val="xl320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65">
    <w:name w:val="xl320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6">
    <w:name w:val="表头文本"/>
    <w:basedOn w:val="1"/>
    <w:qFormat/>
    <w:uiPriority w:val="0"/>
    <w:pPr>
      <w:autoSpaceDE w:val="0"/>
      <w:autoSpaceDN w:val="0"/>
      <w:adjustRightInd w:val="0"/>
      <w:jc w:val="center"/>
    </w:pPr>
    <w:rPr>
      <w:rFonts w:ascii="新宋体" w:hAnsi="新宋体" w:cs="新宋体"/>
      <w:b/>
      <w:kern w:val="0"/>
      <w:sz w:val="24"/>
      <w:szCs w:val="20"/>
    </w:rPr>
  </w:style>
  <w:style w:type="paragraph" w:customStyle="1" w:styleId="36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b/>
      <w:bCs/>
      <w:kern w:val="0"/>
      <w:sz w:val="28"/>
      <w:szCs w:val="28"/>
    </w:rPr>
  </w:style>
  <w:style w:type="paragraph" w:customStyle="1" w:styleId="368">
    <w:name w:val="xl320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9">
    <w:name w:val="Char Char Char Char Char Char Char1"/>
    <w:basedOn w:val="1"/>
    <w:qFormat/>
    <w:uiPriority w:val="0"/>
    <w:rPr>
      <w:rFonts w:ascii="Verdana" w:eastAsia="Verdana"/>
      <w:b/>
      <w:sz w:val="32"/>
      <w:szCs w:val="32"/>
    </w:rPr>
  </w:style>
  <w:style w:type="paragraph" w:customStyle="1" w:styleId="370">
    <w:name w:val="xl320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371">
    <w:name w:val="表格文字（大）"/>
    <w:basedOn w:val="1"/>
    <w:qFormat/>
    <w:uiPriority w:val="0"/>
    <w:pPr>
      <w:autoSpaceDE w:val="0"/>
      <w:autoSpaceDN w:val="0"/>
      <w:adjustRightInd w:val="0"/>
      <w:spacing w:before="20" w:after="20"/>
      <w:jc w:val="left"/>
    </w:pPr>
    <w:rPr>
      <w:rFonts w:ascii="Calibri" w:hAnsi="Calibri" w:cs="Calibri"/>
      <w:kern w:val="0"/>
      <w:sz w:val="24"/>
      <w:szCs w:val="20"/>
    </w:rPr>
  </w:style>
  <w:style w:type="paragraph" w:customStyle="1" w:styleId="372">
    <w:name w:val="前言、引言标题"/>
    <w:next w:val="1"/>
    <w:qFormat/>
    <w:uiPriority w:val="0"/>
    <w:pPr>
      <w:shd w:val="clear" w:color="FFFFFF" w:fill="FFFFFF"/>
      <w:spacing w:before="640" w:after="560"/>
      <w:jc w:val="center"/>
      <w:outlineLvl w:val="0"/>
    </w:pPr>
    <w:rPr>
      <w:rFonts w:ascii="ˎ̥" w:hAnsi="Times New Roman" w:eastAsia="ˎ̥" w:cs="Times New Roman"/>
      <w:sz w:val="32"/>
      <w:lang w:val="en-US" w:eastAsia="zh-CN" w:bidi="ar-SA"/>
    </w:rPr>
  </w:style>
  <w:style w:type="paragraph" w:customStyle="1" w:styleId="373">
    <w:name w:val="xl320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74">
    <w:name w:val="xl83"/>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75">
    <w:name w:val="xl320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6">
    <w:name w:val="xl320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377">
    <w:name w:val="xl31866"/>
    <w:basedOn w:val="1"/>
    <w:qFormat/>
    <w:uiPriority w:val="0"/>
    <w:pPr>
      <w:widowControl/>
      <w:spacing w:before="100" w:beforeAutospacing="1" w:after="100" w:afterAutospacing="1"/>
      <w:jc w:val="center"/>
    </w:pPr>
    <w:rPr>
      <w:rFonts w:ascii="Arial" w:hAnsi="Arial" w:cs="Arial"/>
      <w:kern w:val="0"/>
      <w:sz w:val="24"/>
    </w:rPr>
  </w:style>
  <w:style w:type="paragraph" w:customStyle="1" w:styleId="378">
    <w:name w:val="NICMAN Body Text"/>
    <w:basedOn w:val="1"/>
    <w:next w:val="3"/>
    <w:qFormat/>
    <w:uiPriority w:val="0"/>
    <w:pPr>
      <w:autoSpaceDE w:val="0"/>
      <w:autoSpaceDN w:val="0"/>
      <w:adjustRightInd w:val="0"/>
      <w:spacing w:after="120"/>
      <w:jc w:val="left"/>
    </w:pPr>
    <w:rPr>
      <w:kern w:val="0"/>
      <w:sz w:val="20"/>
      <w:szCs w:val="20"/>
    </w:rPr>
  </w:style>
  <w:style w:type="paragraph" w:customStyle="1" w:styleId="379">
    <w:name w:val="xl318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0">
    <w:name w:val="xl319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1">
    <w:name w:val="xl318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82">
    <w:name w:val="样式5"/>
    <w:basedOn w:val="18"/>
    <w:qFormat/>
    <w:uiPriority w:val="0"/>
    <w:pPr>
      <w:adjustRightInd/>
      <w:spacing w:line="360" w:lineRule="auto"/>
      <w:ind w:firstLine="200" w:firstLineChars="200"/>
      <w:textAlignment w:val="auto"/>
    </w:pPr>
    <w:rPr>
      <w:kern w:val="2"/>
      <w:sz w:val="28"/>
      <w:szCs w:val="21"/>
    </w:rPr>
  </w:style>
  <w:style w:type="paragraph" w:customStyle="1" w:styleId="383">
    <w:name w:val="xl320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384">
    <w:name w:val="font20"/>
    <w:basedOn w:val="1"/>
    <w:qFormat/>
    <w:uiPriority w:val="0"/>
    <w:pPr>
      <w:widowControl/>
      <w:spacing w:before="100" w:beforeAutospacing="1" w:after="100" w:afterAutospacing="1"/>
      <w:jc w:val="left"/>
    </w:pPr>
    <w:rPr>
      <w:kern w:val="0"/>
      <w:sz w:val="18"/>
      <w:szCs w:val="18"/>
    </w:rPr>
  </w:style>
  <w:style w:type="paragraph" w:customStyle="1" w:styleId="38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86">
    <w:name w:val="font2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
    <w:name w:val="xl319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8">
    <w:name w:val="xl320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89">
    <w:name w:val="xl89"/>
    <w:basedOn w:val="1"/>
    <w:qFormat/>
    <w:uiPriority w:val="0"/>
    <w:pPr>
      <w:widowControl/>
      <w:spacing w:before="100" w:beforeAutospacing="1" w:after="100" w:afterAutospacing="1"/>
      <w:jc w:val="left"/>
    </w:pPr>
    <w:rPr>
      <w:rFonts w:ascii="Cambria" w:hAnsi="Cambria" w:cs="Cambria"/>
      <w:kern w:val="0"/>
      <w:sz w:val="24"/>
    </w:rPr>
  </w:style>
  <w:style w:type="paragraph" w:customStyle="1" w:styleId="390">
    <w:name w:val="xl319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1">
    <w:name w:val="xl319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93">
    <w:name w:val="xl319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4">
    <w:name w:val="二级条标题"/>
    <w:basedOn w:val="395"/>
    <w:next w:val="1"/>
    <w:qFormat/>
    <w:uiPriority w:val="0"/>
    <w:pPr>
      <w:outlineLvl w:val="3"/>
    </w:pPr>
  </w:style>
  <w:style w:type="paragraph" w:customStyle="1" w:styleId="395">
    <w:name w:val="一级条标题"/>
    <w:next w:val="1"/>
    <w:qFormat/>
    <w:uiPriority w:val="0"/>
    <w:pPr>
      <w:outlineLvl w:val="2"/>
    </w:pPr>
    <w:rPr>
      <w:rFonts w:ascii="Times New Roman" w:hAnsi="Times New Roman" w:eastAsia="ˎ̥" w:cs="Times New Roman"/>
      <w:sz w:val="21"/>
      <w:lang w:val="en-US" w:eastAsia="zh-CN" w:bidi="ar-SA"/>
    </w:rPr>
  </w:style>
  <w:style w:type="paragraph" w:customStyle="1" w:styleId="396">
    <w:name w:val="xl320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97">
    <w:name w:val="font1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98">
    <w:name w:val="font14"/>
    <w:basedOn w:val="1"/>
    <w:qFormat/>
    <w:uiPriority w:val="0"/>
    <w:pPr>
      <w:widowControl/>
      <w:spacing w:before="100" w:beforeAutospacing="1" w:after="100" w:afterAutospacing="1"/>
      <w:jc w:val="left"/>
    </w:pPr>
    <w:rPr>
      <w:rFonts w:ascii="Arial" w:hAnsi="Arial" w:cs="Arial"/>
      <w:b/>
      <w:bCs/>
      <w:color w:val="000000"/>
      <w:kern w:val="0"/>
      <w:sz w:val="24"/>
    </w:rPr>
  </w:style>
  <w:style w:type="paragraph" w:customStyle="1" w:styleId="399">
    <w:name w:val="标准小四"/>
    <w:basedOn w:val="1"/>
    <w:qFormat/>
    <w:uiPriority w:val="0"/>
    <w:pPr>
      <w:autoSpaceDE w:val="0"/>
      <w:autoSpaceDN w:val="0"/>
      <w:adjustRightInd w:val="0"/>
      <w:spacing w:line="360" w:lineRule="auto"/>
      <w:ind w:firstLine="480" w:firstLineChars="200"/>
      <w:jc w:val="left"/>
    </w:pPr>
    <w:rPr>
      <w:rFonts w:ascii="Courier New" w:hAnsi="Courier New"/>
      <w:kern w:val="0"/>
      <w:sz w:val="24"/>
      <w:szCs w:val="21"/>
    </w:rPr>
  </w:style>
  <w:style w:type="paragraph" w:customStyle="1" w:styleId="400">
    <w:name w:val="简单回函地址"/>
    <w:basedOn w:val="1"/>
    <w:qFormat/>
    <w:uiPriority w:val="0"/>
  </w:style>
  <w:style w:type="paragraph" w:customStyle="1" w:styleId="401">
    <w:name w:val="样式 标题 1Level 1Level 11h1II+IHeading1H1-Heading 1Header 1..."/>
    <w:basedOn w:val="4"/>
    <w:qFormat/>
    <w:uiPriority w:val="0"/>
    <w:pPr>
      <w:keepLines/>
      <w:pageBreakBefore/>
      <w:spacing w:before="100" w:after="100" w:line="360" w:lineRule="auto"/>
      <w:ind w:left="1680" w:hanging="420"/>
      <w:jc w:val="left"/>
    </w:pPr>
    <w:rPr>
      <w:rFonts w:ascii="Courier New" w:hAnsi="Courier New" w:eastAsia="ˎ̥" w:cs="Cambria"/>
      <w:kern w:val="44"/>
      <w:sz w:val="44"/>
      <w:szCs w:val="20"/>
    </w:rPr>
  </w:style>
  <w:style w:type="paragraph" w:customStyle="1" w:styleId="402">
    <w:name w:val="xl319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0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404">
    <w:name w:val="xl319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05">
    <w:name w:val="14"/>
    <w:basedOn w:val="1"/>
    <w:qFormat/>
    <w:uiPriority w:val="0"/>
    <w:pPr>
      <w:snapToGrid w:val="0"/>
      <w:spacing w:beforeLines="30" w:line="288" w:lineRule="auto"/>
      <w:ind w:left="852" w:leftChars="355" w:firstLine="420" w:firstLineChars="175"/>
    </w:pPr>
    <w:rPr>
      <w:rFonts w:ascii="仿宋_GB2312" w:hAnsi="仿宋_GB2312"/>
      <w:sz w:val="24"/>
      <w:szCs w:val="20"/>
    </w:rPr>
  </w:style>
  <w:style w:type="paragraph" w:customStyle="1" w:styleId="406">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407">
    <w:name w:val="font25"/>
    <w:basedOn w:val="1"/>
    <w:qFormat/>
    <w:uiPriority w:val="0"/>
    <w:pPr>
      <w:widowControl/>
      <w:spacing w:before="100" w:beforeAutospacing="1" w:after="100" w:afterAutospacing="1"/>
      <w:jc w:val="left"/>
    </w:pPr>
    <w:rPr>
      <w:kern w:val="0"/>
      <w:sz w:val="18"/>
      <w:szCs w:val="18"/>
    </w:rPr>
  </w:style>
  <w:style w:type="paragraph" w:customStyle="1" w:styleId="408">
    <w:name w:val="xl32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9">
    <w:name w:val="xl320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10">
    <w:name w:val="font6"/>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411">
    <w:name w:val="xl320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1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13">
    <w:name w:val="xl319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4">
    <w:name w:val="样式7"/>
    <w:basedOn w:val="7"/>
    <w:qFormat/>
    <w:uiPriority w:val="0"/>
    <w:pPr>
      <w:spacing w:line="376" w:lineRule="auto"/>
    </w:pPr>
    <w:rPr>
      <w:rFonts w:ascii="Vijaya" w:hAnsi="Vijaya" w:eastAsia="仿宋_GB2312" w:cs="Tahoma"/>
    </w:rPr>
  </w:style>
  <w:style w:type="paragraph" w:customStyle="1" w:styleId="415">
    <w:name w:val="正文样式 首行缩进:  0.74 厘米"/>
    <w:basedOn w:val="1"/>
    <w:qFormat/>
    <w:uiPriority w:val="0"/>
    <w:pPr>
      <w:autoSpaceDE w:val="0"/>
      <w:autoSpaceDN w:val="0"/>
      <w:adjustRightInd w:val="0"/>
      <w:spacing w:beforeLines="50" w:line="360" w:lineRule="auto"/>
      <w:ind w:firstLine="420"/>
      <w:jc w:val="left"/>
    </w:pPr>
    <w:rPr>
      <w:rFonts w:cs="Cambria"/>
      <w:kern w:val="0"/>
      <w:sz w:val="24"/>
      <w:szCs w:val="20"/>
    </w:rPr>
  </w:style>
  <w:style w:type="paragraph" w:customStyle="1" w:styleId="416">
    <w:name w:val="xl320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7">
    <w:name w:val="缩进正文"/>
    <w:basedOn w:val="1"/>
    <w:qFormat/>
    <w:uiPriority w:val="0"/>
    <w:pPr>
      <w:wordWrap w:val="0"/>
      <w:adjustRightInd w:val="0"/>
      <w:spacing w:line="360" w:lineRule="auto"/>
      <w:ind w:firstLine="200" w:firstLineChars="200"/>
      <w:jc w:val="left"/>
    </w:pPr>
    <w:rPr>
      <w:kern w:val="0"/>
      <w:sz w:val="24"/>
    </w:rPr>
  </w:style>
  <w:style w:type="paragraph" w:customStyle="1" w:styleId="418">
    <w:name w:val="xl319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19">
    <w:name w:val="xl319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20">
    <w:name w:val="Char Char Char Char"/>
    <w:basedOn w:val="21"/>
    <w:qFormat/>
    <w:uiPriority w:val="0"/>
    <w:rPr>
      <w:rFonts w:ascii="Tahoma" w:hAnsi="Tahoma" w:eastAsia="宋体"/>
      <w:sz w:val="24"/>
    </w:rPr>
  </w:style>
  <w:style w:type="paragraph" w:customStyle="1" w:styleId="421">
    <w:name w:val="xl55"/>
    <w:basedOn w:val="1"/>
    <w:qFormat/>
    <w:uiPriority w:val="0"/>
    <w:pPr>
      <w:widowControl/>
      <w:spacing w:before="100" w:beforeAutospacing="1" w:after="100" w:afterAutospacing="1"/>
      <w:jc w:val="center"/>
      <w:textAlignment w:val="center"/>
    </w:pPr>
    <w:rPr>
      <w:rFonts w:ascii="Arial Unicode MS" w:hAnsi="Arial Unicode MS" w:eastAsia="仿宋_GB2312" w:cs="隶书"/>
      <w:kern w:val="0"/>
      <w:sz w:val="24"/>
    </w:rPr>
  </w:style>
  <w:style w:type="paragraph" w:customStyle="1" w:styleId="422">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3">
    <w:name w:val="xl319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24">
    <w:name w:val="xl319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5">
    <w:name w:val="五级条标题"/>
    <w:basedOn w:val="426"/>
    <w:next w:val="1"/>
    <w:qFormat/>
    <w:uiPriority w:val="0"/>
    <w:pPr>
      <w:outlineLvl w:val="6"/>
    </w:pPr>
  </w:style>
  <w:style w:type="paragraph" w:customStyle="1" w:styleId="426">
    <w:name w:val="四级条标题"/>
    <w:basedOn w:val="427"/>
    <w:next w:val="1"/>
    <w:qFormat/>
    <w:uiPriority w:val="0"/>
    <w:pPr>
      <w:outlineLvl w:val="5"/>
    </w:pPr>
  </w:style>
  <w:style w:type="paragraph" w:customStyle="1" w:styleId="427">
    <w:name w:val="三级条标题"/>
    <w:basedOn w:val="394"/>
    <w:next w:val="1"/>
    <w:qFormat/>
    <w:uiPriority w:val="0"/>
    <w:pPr>
      <w:outlineLvl w:val="4"/>
    </w:pPr>
  </w:style>
  <w:style w:type="paragraph" w:customStyle="1" w:styleId="428">
    <w:name w:val="xl319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29">
    <w:name w:val="xl318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0">
    <w:name w:val="xl319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1">
    <w:name w:val="xl318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2">
    <w:name w:val="xl319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3">
    <w:name w:val="xl320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4">
    <w:name w:val="xl319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5">
    <w:name w:val="xl319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436">
    <w:name w:val="xl320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37">
    <w:name w:val="xl319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8">
    <w:name w:val="xl319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39">
    <w:name w:val="xl319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440">
    <w:name w:val="xl319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42">
    <w:name w:val="xl318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43">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45">
    <w:name w:val="xl318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46">
    <w:name w:val="正文首行缩进1"/>
    <w:basedOn w:val="3"/>
    <w:qFormat/>
    <w:uiPriority w:val="0"/>
    <w:pPr>
      <w:suppressAutoHyphens/>
      <w:ind w:firstLine="420"/>
      <w:jc w:val="left"/>
    </w:pPr>
    <w:rPr>
      <w:rFonts w:ascii="Tahoma" w:hAnsi="Tahoma" w:eastAsia="仿宋_GB2312" w:cs="Tahoma"/>
      <w:kern w:val="1"/>
      <w:sz w:val="28"/>
      <w:lang w:eastAsia="ar-SA"/>
    </w:rPr>
  </w:style>
  <w:style w:type="paragraph" w:customStyle="1" w:styleId="447">
    <w:name w:val="标准段落"/>
    <w:basedOn w:val="1"/>
    <w:qFormat/>
    <w:uiPriority w:val="0"/>
    <w:pPr>
      <w:spacing w:after="120" w:line="360" w:lineRule="auto"/>
      <w:ind w:firstLine="420"/>
    </w:pPr>
    <w:rPr>
      <w:rFonts w:ascii="ˎ̥" w:hAnsi="Cambria" w:eastAsia="ˎ̥"/>
      <w:b/>
      <w:spacing w:val="6"/>
      <w:szCs w:val="22"/>
    </w:rPr>
  </w:style>
  <w:style w:type="paragraph" w:customStyle="1" w:styleId="448">
    <w:name w:val="纯文本1"/>
    <w:basedOn w:val="1"/>
    <w:qFormat/>
    <w:uiPriority w:val="0"/>
    <w:pPr>
      <w:spacing w:beforeLines="50" w:afterLines="50" w:line="400" w:lineRule="atLeast"/>
    </w:pPr>
    <w:rPr>
      <w:rFonts w:ascii="宋体" w:hAnsi="Courier New"/>
      <w:sz w:val="24"/>
      <w:szCs w:val="20"/>
    </w:rPr>
  </w:style>
  <w:style w:type="paragraph" w:customStyle="1" w:styleId="449">
    <w:name w:val="xl319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0">
    <w:name w:val="xl319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1">
    <w:name w:val="xl318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5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3">
    <w:name w:val="xl320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4">
    <w:name w:val="xl32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5">
    <w:name w:val="正文 首行缩进:  2 字符 Char"/>
    <w:basedOn w:val="1"/>
    <w:qFormat/>
    <w:uiPriority w:val="0"/>
    <w:pPr>
      <w:spacing w:line="360" w:lineRule="auto"/>
      <w:ind w:firstLine="480"/>
    </w:pPr>
    <w:rPr>
      <w:rFonts w:cs="Cambria"/>
      <w:sz w:val="24"/>
      <w:szCs w:val="20"/>
    </w:rPr>
  </w:style>
  <w:style w:type="paragraph" w:customStyle="1" w:styleId="456">
    <w:name w:val="xl319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7">
    <w:name w:val="style31"/>
    <w:basedOn w:val="1"/>
    <w:qFormat/>
    <w:uiPriority w:val="0"/>
    <w:pPr>
      <w:widowControl/>
      <w:spacing w:before="100" w:beforeAutospacing="1" w:after="100" w:afterAutospacing="1"/>
      <w:jc w:val="left"/>
    </w:pPr>
    <w:rPr>
      <w:rFonts w:ascii="仿宋_GB2312" w:hAnsi="仿宋_GB2312" w:eastAsia="仿宋_GB2312" w:cs="仿宋_GB2312"/>
      <w:kern w:val="0"/>
      <w:sz w:val="24"/>
    </w:rPr>
  </w:style>
  <w:style w:type="paragraph" w:customStyle="1" w:styleId="458">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仿宋_GB2312" w:eastAsia="仿宋_GB2312" w:cs="Cambria"/>
      <w:b/>
      <w:bCs/>
      <w:color w:val="FF0000"/>
      <w:kern w:val="0"/>
      <w:sz w:val="24"/>
    </w:rPr>
  </w:style>
  <w:style w:type="paragraph" w:customStyle="1" w:styleId="45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Tahoma" w:hAnsi="Tahoma" w:eastAsia="Tahoma"/>
      <w:kern w:val="0"/>
      <w:szCs w:val="22"/>
    </w:rPr>
  </w:style>
  <w:style w:type="paragraph" w:customStyle="1" w:styleId="460">
    <w:name w:val="xl318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61">
    <w:name w:val="xl318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62">
    <w:name w:val="xl319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63">
    <w:name w:val="Test2"/>
    <w:basedOn w:val="5"/>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Cambria" w:hAnsi="Courier New"/>
      <w:b w:val="0"/>
      <w:bCs w:val="0"/>
      <w:snapToGrid w:val="0"/>
      <w:kern w:val="0"/>
      <w:sz w:val="28"/>
    </w:rPr>
  </w:style>
  <w:style w:type="paragraph" w:customStyle="1" w:styleId="464">
    <w:name w:val="xl319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kern w:val="0"/>
      <w:sz w:val="24"/>
    </w:rPr>
  </w:style>
  <w:style w:type="paragraph" w:customStyle="1" w:styleId="46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66">
    <w:name w:val="_Style 1"/>
    <w:basedOn w:val="1"/>
    <w:qFormat/>
    <w:uiPriority w:val="0"/>
    <w:pPr>
      <w:ind w:firstLine="420" w:firstLineChars="200"/>
    </w:pPr>
    <w:rPr>
      <w:rFonts w:ascii="Calibri" w:hAnsi="Calibri"/>
      <w:kern w:val="0"/>
      <w:sz w:val="20"/>
      <w:szCs w:val="20"/>
    </w:rPr>
  </w:style>
  <w:style w:type="paragraph" w:customStyle="1" w:styleId="46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68">
    <w:name w:val="xl319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9">
    <w:name w:val="数字级连标题2"/>
    <w:basedOn w:val="5"/>
    <w:next w:val="1"/>
    <w:qFormat/>
    <w:uiPriority w:val="0"/>
    <w:pPr>
      <w:tabs>
        <w:tab w:val="left" w:pos="0"/>
      </w:tabs>
      <w:spacing w:before="0" w:after="0" w:line="360" w:lineRule="auto"/>
      <w:ind w:left="567" w:hanging="567"/>
    </w:pPr>
    <w:rPr>
      <w:rFonts w:ascii="Tahoma" w:hAnsi="Tahoma" w:eastAsia="仿宋_GB2312" w:cs="Tahoma"/>
      <w:bCs w:val="0"/>
      <w:sz w:val="28"/>
      <w:szCs w:val="20"/>
      <w:lang w:eastAsia="ar-SA"/>
    </w:rPr>
  </w:style>
  <w:style w:type="paragraph" w:customStyle="1" w:styleId="470">
    <w:name w:val="_Style 5"/>
    <w:basedOn w:val="21"/>
    <w:qFormat/>
    <w:uiPriority w:val="0"/>
    <w:rPr>
      <w:rFonts w:eastAsia="宋体"/>
    </w:rPr>
  </w:style>
  <w:style w:type="paragraph" w:customStyle="1" w:styleId="471">
    <w:name w:val="正文缩进HS-正文1"/>
    <w:basedOn w:val="1"/>
    <w:qFormat/>
    <w:uiPriority w:val="0"/>
    <w:pPr>
      <w:jc w:val="center"/>
    </w:pPr>
    <w:rPr>
      <w:rFonts w:ascii="仿宋_GB2312" w:hAnsi="仿宋_GB2312" w:eastAsia="仿宋_GB2312" w:cs="Tahoma"/>
      <w:color w:val="000000"/>
      <w:szCs w:val="21"/>
    </w:rPr>
  </w:style>
  <w:style w:type="paragraph" w:customStyle="1" w:styleId="472">
    <w:name w:val="xl319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73">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474">
    <w:name w:val="xl31868"/>
    <w:basedOn w:val="1"/>
    <w:qFormat/>
    <w:uiPriority w:val="0"/>
    <w:pPr>
      <w:widowControl/>
      <w:spacing w:before="100" w:beforeAutospacing="1" w:after="100" w:afterAutospacing="1"/>
      <w:jc w:val="left"/>
    </w:pPr>
    <w:rPr>
      <w:rFonts w:ascii="Arial" w:hAnsi="Arial" w:cs="Arial"/>
      <w:kern w:val="0"/>
      <w:sz w:val="24"/>
    </w:rPr>
  </w:style>
  <w:style w:type="paragraph" w:customStyle="1" w:styleId="475">
    <w:name w:val="内文正文"/>
    <w:basedOn w:val="29"/>
    <w:qFormat/>
    <w:uiPriority w:val="0"/>
    <w:pPr>
      <w:widowControl w:val="0"/>
      <w:overflowPunct/>
      <w:autoSpaceDE/>
      <w:autoSpaceDN/>
      <w:snapToGrid w:val="0"/>
      <w:spacing w:line="400" w:lineRule="exact"/>
      <w:ind w:firstLine="200" w:firstLineChars="200"/>
      <w:jc w:val="both"/>
      <w:textAlignment w:val="auto"/>
    </w:pPr>
    <w:rPr>
      <w:rFonts w:ascii="Arial" w:hAnsi="Arial" w:cs="Courier New"/>
      <w:color w:val="000000"/>
      <w:kern w:val="2"/>
    </w:rPr>
  </w:style>
  <w:style w:type="paragraph" w:customStyle="1" w:styleId="476">
    <w:name w:val="xl318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77">
    <w:name w:val="xl319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78">
    <w:name w:val="features1"/>
    <w:basedOn w:val="1"/>
    <w:qFormat/>
    <w:uiPriority w:val="0"/>
    <w:pPr>
      <w:widowControl/>
      <w:spacing w:before="100" w:beforeAutospacing="1" w:after="100" w:afterAutospacing="1"/>
      <w:jc w:val="left"/>
    </w:pPr>
    <w:rPr>
      <w:rFonts w:ascii="Cambria" w:hAnsi="Cambria" w:cs="Cambria"/>
      <w:b/>
      <w:bCs/>
      <w:kern w:val="0"/>
      <w:sz w:val="18"/>
      <w:szCs w:val="18"/>
    </w:rPr>
  </w:style>
  <w:style w:type="paragraph" w:customStyle="1" w:styleId="479">
    <w:name w:val="样式3"/>
    <w:basedOn w:val="29"/>
    <w:qFormat/>
    <w:uiPriority w:val="0"/>
    <w:pPr>
      <w:spacing w:line="0" w:lineRule="atLeast"/>
      <w:outlineLvl w:val="0"/>
    </w:pPr>
    <w:rPr>
      <w:rFonts w:ascii="宋体" w:hAnsi="Courier New" w:eastAsia="宋体"/>
      <w:sz w:val="28"/>
      <w:szCs w:val="20"/>
    </w:rPr>
  </w:style>
  <w:style w:type="paragraph" w:customStyle="1" w:styleId="480">
    <w:name w:val="xl319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81">
    <w:name w:val="font2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483">
    <w:name w:val="样式 标题 3 + 黑色 段前: 5 磅 段后: 5 磅 行距: 1.5 倍行距"/>
    <w:basedOn w:val="1"/>
    <w:qFormat/>
    <w:uiPriority w:val="0"/>
    <w:pPr>
      <w:ind w:left="855" w:hanging="855"/>
    </w:pPr>
    <w:rPr>
      <w:sz w:val="24"/>
      <w:szCs w:val="20"/>
    </w:rPr>
  </w:style>
  <w:style w:type="paragraph" w:customStyle="1" w:styleId="484">
    <w:name w:val="排列"/>
    <w:basedOn w:val="1"/>
    <w:qFormat/>
    <w:uiPriority w:val="0"/>
    <w:pPr>
      <w:widowControl/>
      <w:autoSpaceDE w:val="0"/>
      <w:autoSpaceDN w:val="0"/>
      <w:adjustRightInd w:val="0"/>
      <w:spacing w:line="360" w:lineRule="auto"/>
      <w:jc w:val="left"/>
    </w:pPr>
    <w:rPr>
      <w:rFonts w:ascii="Cambria" w:hAnsi="Cambria"/>
      <w:kern w:val="0"/>
      <w:sz w:val="20"/>
      <w:szCs w:val="20"/>
      <w:lang w:val="zh-CN"/>
    </w:rPr>
  </w:style>
  <w:style w:type="paragraph" w:customStyle="1" w:styleId="485">
    <w:name w:val="Mao 标题2"/>
    <w:basedOn w:val="1"/>
    <w:qFormat/>
    <w:uiPriority w:val="0"/>
    <w:pPr>
      <w:keepNext/>
      <w:keepLines/>
      <w:numPr>
        <w:ilvl w:val="1"/>
        <w:numId w:val="1"/>
      </w:numPr>
      <w:tabs>
        <w:tab w:val="left" w:pos="567"/>
        <w:tab w:val="left" w:pos="840"/>
      </w:tabs>
      <w:spacing w:before="260" w:after="260" w:line="360" w:lineRule="auto"/>
      <w:ind w:left="840" w:hanging="420"/>
      <w:outlineLvl w:val="1"/>
    </w:pPr>
    <w:rPr>
      <w:b/>
      <w:bCs/>
      <w:sz w:val="30"/>
      <w:szCs w:val="28"/>
    </w:rPr>
  </w:style>
  <w:style w:type="paragraph" w:customStyle="1" w:styleId="48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87">
    <w:name w:val="xl319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88">
    <w:name w:val="Char1"/>
    <w:basedOn w:val="1"/>
    <w:qFormat/>
    <w:uiPriority w:val="0"/>
    <w:pPr>
      <w:autoSpaceDE w:val="0"/>
      <w:autoSpaceDN w:val="0"/>
      <w:adjustRightInd w:val="0"/>
      <w:jc w:val="left"/>
    </w:pPr>
    <w:rPr>
      <w:rFonts w:ascii="Verdana" w:eastAsia="Verdana"/>
      <w:b/>
      <w:kern w:val="0"/>
      <w:sz w:val="32"/>
      <w:szCs w:val="32"/>
    </w:rPr>
  </w:style>
  <w:style w:type="paragraph" w:customStyle="1" w:styleId="489">
    <w:name w:val="xl319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90">
    <w:name w:val="xl320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1">
    <w:name w:val="表内文字"/>
    <w:basedOn w:val="1"/>
    <w:qFormat/>
    <w:uiPriority w:val="0"/>
    <w:pPr>
      <w:spacing w:line="240" w:lineRule="atLeast"/>
      <w:jc w:val="center"/>
    </w:pPr>
    <w:rPr>
      <w:rFonts w:ascii="宋体,Verdana,Arial" w:hAnsi="宋体,Verdana,Arial" w:eastAsia="仿宋_GB2312" w:cs="宋体,Verdana,Arial"/>
      <w:b/>
      <w:bCs/>
    </w:rPr>
  </w:style>
  <w:style w:type="paragraph" w:customStyle="1" w:styleId="492">
    <w:name w:val="xl319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93">
    <w:name w:val="xl319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9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95">
    <w:name w:val="样式 四号 首行缩进:  1 厘米"/>
    <w:basedOn w:val="1"/>
    <w:qFormat/>
    <w:uiPriority w:val="0"/>
    <w:pPr>
      <w:spacing w:line="440" w:lineRule="exact"/>
      <w:ind w:firstLine="567"/>
    </w:pPr>
    <w:rPr>
      <w:rFonts w:ascii="Tahoma" w:hAnsi="Tahoma" w:eastAsia="仿宋_GB2312" w:cs="仿宋_GB2312"/>
      <w:sz w:val="28"/>
      <w:szCs w:val="20"/>
    </w:rPr>
  </w:style>
  <w:style w:type="paragraph" w:customStyle="1" w:styleId="496">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黑体"/>
      <w:kern w:val="0"/>
      <w:sz w:val="20"/>
      <w:szCs w:val="20"/>
    </w:rPr>
  </w:style>
  <w:style w:type="paragraph" w:customStyle="1" w:styleId="497">
    <w:name w:val="标书正文带编号"/>
    <w:basedOn w:val="1"/>
    <w:qFormat/>
    <w:uiPriority w:val="0"/>
    <w:pPr>
      <w:tabs>
        <w:tab w:val="left" w:pos="397"/>
      </w:tabs>
      <w:autoSpaceDE w:val="0"/>
      <w:autoSpaceDN w:val="0"/>
      <w:adjustRightInd w:val="0"/>
      <w:ind w:firstLine="397"/>
      <w:jc w:val="left"/>
    </w:pPr>
    <w:rPr>
      <w:rFonts w:cs="Cambria"/>
      <w:kern w:val="0"/>
      <w:sz w:val="20"/>
      <w:szCs w:val="21"/>
    </w:rPr>
  </w:style>
  <w:style w:type="paragraph" w:customStyle="1" w:styleId="498">
    <w:name w:val="xl319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499">
    <w:name w:val="xl31873"/>
    <w:basedOn w:val="1"/>
    <w:qFormat/>
    <w:uiPriority w:val="0"/>
    <w:pPr>
      <w:widowControl/>
      <w:spacing w:before="100" w:beforeAutospacing="1" w:after="100" w:afterAutospacing="1"/>
      <w:jc w:val="left"/>
    </w:pPr>
    <w:rPr>
      <w:rFonts w:ascii="Arial" w:hAnsi="Arial" w:cs="Arial"/>
      <w:b/>
      <w:bCs/>
      <w:kern w:val="0"/>
      <w:sz w:val="24"/>
    </w:rPr>
  </w:style>
  <w:style w:type="paragraph" w:customStyle="1" w:styleId="500">
    <w:name w:val="标书正文格式"/>
    <w:qFormat/>
    <w:uiPriority w:val="0"/>
    <w:pPr>
      <w:spacing w:line="360" w:lineRule="auto"/>
      <w:ind w:firstLine="200" w:firstLineChars="200"/>
    </w:pPr>
    <w:rPr>
      <w:rFonts w:ascii="Times New Roman" w:hAnsi="Times New Roman" w:eastAsia="Calibri" w:cs="Times New Roman"/>
      <w:kern w:val="2"/>
      <w:sz w:val="24"/>
      <w:szCs w:val="24"/>
      <w:lang w:val="en-US" w:eastAsia="zh-CN" w:bidi="ar-SA"/>
    </w:rPr>
  </w:style>
  <w:style w:type="paragraph" w:customStyle="1" w:styleId="50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02">
    <w:name w:val="xl320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03">
    <w:name w:val="Default"/>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paragraph" w:customStyle="1" w:styleId="504">
    <w:name w:val="xl318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50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ˎ̥"/>
      <w:b/>
      <w:kern w:val="44"/>
      <w:sz w:val="36"/>
      <w:szCs w:val="20"/>
    </w:rPr>
  </w:style>
  <w:style w:type="paragraph" w:customStyle="1" w:styleId="506">
    <w:name w:val="table_1stline"/>
    <w:basedOn w:val="1"/>
    <w:qFormat/>
    <w:uiPriority w:val="99"/>
    <w:pPr>
      <w:spacing w:before="120"/>
    </w:pPr>
    <w:rPr>
      <w:bCs/>
    </w:rPr>
  </w:style>
  <w:style w:type="paragraph" w:customStyle="1" w:styleId="507">
    <w:name w:val="xl319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08">
    <w:name w:val="font18"/>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09">
    <w:name w:val="xl31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10">
    <w:name w:val="xl320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11">
    <w:name w:val="xl319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12">
    <w:name w:val="xl319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13">
    <w:name w:val="xl31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14">
    <w:name w:val="数字级连标题3"/>
    <w:basedOn w:val="6"/>
    <w:next w:val="1"/>
    <w:qFormat/>
    <w:uiPriority w:val="0"/>
    <w:pPr>
      <w:suppressAutoHyphens/>
      <w:spacing w:before="0" w:after="0" w:line="360" w:lineRule="auto"/>
    </w:pPr>
    <w:rPr>
      <w:rFonts w:ascii="Tahoma" w:hAnsi="Tahoma" w:eastAsia="仿宋_GB2312" w:cs="Tahoma"/>
      <w:bCs w:val="0"/>
      <w:sz w:val="28"/>
      <w:szCs w:val="20"/>
      <w:lang w:eastAsia="ar-SA"/>
    </w:rPr>
  </w:style>
  <w:style w:type="paragraph" w:customStyle="1" w:styleId="515">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516">
    <w:name w:val="font7"/>
    <w:basedOn w:val="1"/>
    <w:qFormat/>
    <w:uiPriority w:val="0"/>
    <w:pPr>
      <w:widowControl/>
      <w:spacing w:before="100" w:beforeAutospacing="1" w:after="100" w:afterAutospacing="1"/>
      <w:jc w:val="left"/>
    </w:pPr>
    <w:rPr>
      <w:rFonts w:ascii="Arial" w:hAnsi="Arial" w:cs="Arial"/>
      <w:kern w:val="0"/>
      <w:sz w:val="24"/>
    </w:rPr>
  </w:style>
  <w:style w:type="paragraph" w:customStyle="1" w:styleId="517">
    <w:name w:val="xl319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4"/>
    </w:rPr>
  </w:style>
  <w:style w:type="paragraph" w:customStyle="1" w:styleId="51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19">
    <w:name w:val="font21"/>
    <w:basedOn w:val="1"/>
    <w:qFormat/>
    <w:uiPriority w:val="0"/>
    <w:pPr>
      <w:widowControl/>
      <w:spacing w:before="100" w:beforeAutospacing="1" w:after="100" w:afterAutospacing="1"/>
      <w:jc w:val="left"/>
    </w:pPr>
    <w:rPr>
      <w:rFonts w:ascii="Verdana" w:hAnsi="Verdana" w:cs="宋体"/>
      <w:kern w:val="0"/>
      <w:sz w:val="24"/>
    </w:rPr>
  </w:style>
  <w:style w:type="paragraph" w:customStyle="1" w:styleId="520">
    <w:name w:val="正文段"/>
    <w:basedOn w:val="1"/>
    <w:qFormat/>
    <w:uiPriority w:val="0"/>
    <w:pPr>
      <w:widowControl/>
      <w:snapToGrid w:val="0"/>
      <w:spacing w:afterLines="50"/>
      <w:ind w:firstLine="200" w:firstLineChars="200"/>
    </w:pPr>
    <w:rPr>
      <w:kern w:val="0"/>
      <w:sz w:val="24"/>
      <w:szCs w:val="20"/>
    </w:rPr>
  </w:style>
  <w:style w:type="paragraph" w:customStyle="1" w:styleId="521">
    <w:name w:val="列项——（一级）"/>
    <w:qFormat/>
    <w:uiPriority w:val="0"/>
    <w:pPr>
      <w:widowControl w:val="0"/>
      <w:tabs>
        <w:tab w:val="left" w:pos="854"/>
        <w:tab w:val="left" w:pos="1260"/>
      </w:tabs>
      <w:ind w:left="1260" w:hanging="420"/>
      <w:jc w:val="both"/>
    </w:pPr>
    <w:rPr>
      <w:rFonts w:ascii="Cambria" w:hAnsi="Times New Roman" w:eastAsia="宋体" w:cs="Times New Roman"/>
      <w:sz w:val="21"/>
      <w:lang w:val="en-US" w:eastAsia="zh-CN" w:bidi="ar-SA"/>
    </w:rPr>
  </w:style>
  <w:style w:type="paragraph" w:customStyle="1" w:styleId="522">
    <w:name w:val="Char Char Char Char Char Char Char Char Char"/>
    <w:basedOn w:val="1"/>
    <w:qFormat/>
    <w:uiPriority w:val="0"/>
    <w:pPr>
      <w:widowControl/>
      <w:spacing w:before="100" w:beforeAutospacing="1" w:after="100" w:afterAutospacing="1" w:line="360" w:lineRule="auto"/>
      <w:ind w:left="357"/>
      <w:jc w:val="left"/>
    </w:pPr>
    <w:rPr>
      <w:rFonts w:ascii="Arial Unicode MS" w:hAnsi="Arial Unicode MS" w:eastAsia="仿宋_GB2312" w:cs="仿宋_GB2312"/>
      <w:color w:val="51585D"/>
      <w:kern w:val="0"/>
      <w:sz w:val="24"/>
      <w:szCs w:val="18"/>
    </w:rPr>
  </w:style>
  <w:style w:type="paragraph" w:customStyle="1" w:styleId="523">
    <w:name w:val="xl319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5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525">
    <w:name w:val="xl319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26">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527">
    <w:name w:val="Pa0"/>
    <w:basedOn w:val="1"/>
    <w:next w:val="1"/>
    <w:qFormat/>
    <w:uiPriority w:val="0"/>
    <w:pPr>
      <w:autoSpaceDE w:val="0"/>
      <w:autoSpaceDN w:val="0"/>
      <w:adjustRightInd w:val="0"/>
      <w:spacing w:line="241" w:lineRule="atLeast"/>
      <w:jc w:val="left"/>
    </w:pPr>
    <w:rPr>
      <w:rFonts w:ascii="Myriad Pro" w:hAnsi="Myriad Pro"/>
      <w:kern w:val="0"/>
      <w:sz w:val="24"/>
    </w:rPr>
  </w:style>
  <w:style w:type="paragraph" w:customStyle="1" w:styleId="528">
    <w:name w:val="xl319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29">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530">
    <w:name w:val="xl319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31">
    <w:name w:val="文字"/>
    <w:basedOn w:val="1"/>
    <w:qFormat/>
    <w:uiPriority w:val="0"/>
    <w:pPr>
      <w:tabs>
        <w:tab w:val="left" w:pos="8520"/>
      </w:tabs>
      <w:spacing w:line="312" w:lineRule="auto"/>
      <w:ind w:right="-210" w:firstLine="556"/>
    </w:pPr>
    <w:rPr>
      <w:rFonts w:ascii="Cambria"/>
      <w:sz w:val="28"/>
      <w:szCs w:val="20"/>
    </w:rPr>
  </w:style>
  <w:style w:type="paragraph" w:customStyle="1" w:styleId="532">
    <w:name w:val="xl31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3">
    <w:name w:val="xl319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4">
    <w:name w:val="xl32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5">
    <w:name w:val="xl320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6">
    <w:name w:val="xl320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37">
    <w:name w:val="xl318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8">
    <w:name w:val="xl31867"/>
    <w:basedOn w:val="1"/>
    <w:qFormat/>
    <w:uiPriority w:val="0"/>
    <w:pPr>
      <w:widowControl/>
      <w:spacing w:before="100" w:beforeAutospacing="1" w:after="100" w:afterAutospacing="1"/>
      <w:jc w:val="left"/>
    </w:pPr>
    <w:rPr>
      <w:rFonts w:ascii="Arial" w:hAnsi="Arial" w:cs="Arial"/>
      <w:kern w:val="0"/>
      <w:sz w:val="24"/>
    </w:rPr>
  </w:style>
  <w:style w:type="paragraph" w:customStyle="1" w:styleId="539">
    <w:name w:val="章标题"/>
    <w:next w:val="1"/>
    <w:qFormat/>
    <w:uiPriority w:val="0"/>
    <w:pPr>
      <w:spacing w:beforeLines="50" w:afterLines="50"/>
      <w:jc w:val="both"/>
      <w:outlineLvl w:val="1"/>
    </w:pPr>
    <w:rPr>
      <w:rFonts w:ascii="ˎ̥" w:hAnsi="Times New Roman" w:eastAsia="ˎ̥" w:cs="Times New Roman"/>
      <w:sz w:val="21"/>
      <w:lang w:val="en-US" w:eastAsia="zh-CN" w:bidi="ar-SA"/>
    </w:rPr>
  </w:style>
  <w:style w:type="paragraph" w:customStyle="1" w:styleId="540">
    <w:name w:val="xl318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1">
    <w:name w:val="xl319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2">
    <w:name w:val="xl318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3">
    <w:name w:val="xl319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45">
    <w:name w:val="样式 标题 3 + 黑体 小四 非加粗"/>
    <w:basedOn w:val="6"/>
    <w:qFormat/>
    <w:uiPriority w:val="0"/>
    <w:rPr>
      <w:rFonts w:ascii="ˎ̥" w:hAnsi="ˎ̥" w:eastAsia="ˎ̥"/>
      <w:b w:val="0"/>
      <w:bCs w:val="0"/>
      <w:kern w:val="0"/>
      <w:sz w:val="24"/>
    </w:rPr>
  </w:style>
  <w:style w:type="paragraph" w:customStyle="1" w:styleId="546">
    <w:name w:val="xl319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7">
    <w:name w:val="技术报告正文"/>
    <w:basedOn w:val="1"/>
    <w:qFormat/>
    <w:uiPriority w:val="0"/>
    <w:pPr>
      <w:autoSpaceDE w:val="0"/>
      <w:autoSpaceDN w:val="0"/>
      <w:adjustRightInd w:val="0"/>
      <w:spacing w:beforeLines="50" w:line="440" w:lineRule="exact"/>
      <w:ind w:firstLine="538" w:firstLineChars="192"/>
      <w:jc w:val="left"/>
    </w:pPr>
    <w:rPr>
      <w:rFonts w:cs="Courier New"/>
      <w:bCs/>
      <w:kern w:val="0"/>
      <w:sz w:val="28"/>
      <w:szCs w:val="20"/>
    </w:rPr>
  </w:style>
  <w:style w:type="paragraph" w:customStyle="1" w:styleId="548">
    <w:name w:val="xl320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49">
    <w:name w:val="xl32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50">
    <w:name w:val="xl31870"/>
    <w:basedOn w:val="1"/>
    <w:qFormat/>
    <w:uiPriority w:val="0"/>
    <w:pPr>
      <w:widowControl/>
      <w:spacing w:before="100" w:beforeAutospacing="1" w:after="100" w:afterAutospacing="1"/>
      <w:jc w:val="left"/>
    </w:pPr>
    <w:rPr>
      <w:rFonts w:ascii="Arial" w:hAnsi="Arial" w:cs="Arial"/>
      <w:color w:val="FF0000"/>
      <w:kern w:val="0"/>
      <w:sz w:val="24"/>
    </w:rPr>
  </w:style>
  <w:style w:type="paragraph" w:customStyle="1" w:styleId="551">
    <w:name w:val="xl319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2">
    <w:name w:val="xl318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553">
    <w:name w:val="Item List in Table"/>
    <w:qFormat/>
    <w:uiPriority w:val="0"/>
    <w:pPr>
      <w:tabs>
        <w:tab w:val="left" w:pos="284"/>
        <w:tab w:val="left" w:pos="720"/>
      </w:tabs>
      <w:spacing w:before="40" w:after="40"/>
      <w:ind w:left="720" w:hanging="720"/>
      <w:jc w:val="both"/>
    </w:pPr>
    <w:rPr>
      <w:rFonts w:ascii="Helvetica" w:hAnsi="Helvetica" w:eastAsia="宋体" w:cs="Courier New"/>
      <w:kern w:val="2"/>
      <w:sz w:val="18"/>
      <w:szCs w:val="18"/>
      <w:lang w:val="en-US" w:eastAsia="zh-CN" w:bidi="ar-SA"/>
    </w:rPr>
  </w:style>
  <w:style w:type="paragraph" w:customStyle="1" w:styleId="55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5">
    <w:name w:val="font11"/>
    <w:basedOn w:val="1"/>
    <w:qFormat/>
    <w:uiPriority w:val="0"/>
    <w:pPr>
      <w:widowControl/>
      <w:spacing w:before="100" w:beforeAutospacing="1" w:after="100" w:afterAutospacing="1"/>
      <w:jc w:val="left"/>
    </w:pPr>
    <w:rPr>
      <w:rFonts w:ascii="Arial" w:hAnsi="Arial" w:cs="Arial"/>
      <w:color w:val="000000"/>
      <w:kern w:val="0"/>
      <w:sz w:val="24"/>
    </w:rPr>
  </w:style>
  <w:style w:type="paragraph" w:customStyle="1" w:styleId="556">
    <w:name w:val="xl320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57">
    <w:name w:val="Char Char Char"/>
    <w:basedOn w:val="1"/>
    <w:qFormat/>
    <w:uiPriority w:val="0"/>
    <w:rPr>
      <w:rFonts w:ascii="Courier New" w:hAnsi="Courier New" w:eastAsia="仿宋_GB2312" w:cs="Tahoma"/>
      <w:sz w:val="24"/>
      <w:szCs w:val="20"/>
    </w:rPr>
  </w:style>
  <w:style w:type="paragraph" w:customStyle="1" w:styleId="558">
    <w:name w:val="xl319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559">
    <w:name w:val="font1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0">
    <w:name w:val="xl320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61">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Calibri" w:hAnsi="Cambria" w:eastAsia="Calibri"/>
      <w:kern w:val="0"/>
      <w:sz w:val="24"/>
      <w:szCs w:val="20"/>
    </w:rPr>
  </w:style>
  <w:style w:type="paragraph" w:customStyle="1" w:styleId="562">
    <w:name w:val="xl319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63">
    <w:name w:val="font5"/>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564">
    <w:name w:val="xl318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65">
    <w:name w:val="_Style 10"/>
    <w:basedOn w:val="1"/>
    <w:qFormat/>
    <w:uiPriority w:val="0"/>
  </w:style>
  <w:style w:type="paragraph" w:customStyle="1" w:styleId="56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567">
    <w:name w:val="xl319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68">
    <w:name w:val="xl320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69">
    <w:name w:val="xl76"/>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570">
    <w:name w:val="xl319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71">
    <w:name w:val="样式 正文缩进正文（首行缩进两字）表正文正文非缩进特点段1正文不缩进标题4水上软件ALT+Z四号正文文字3..."/>
    <w:basedOn w:val="18"/>
    <w:qFormat/>
    <w:uiPriority w:val="0"/>
    <w:pPr>
      <w:adjustRightInd/>
      <w:spacing w:line="360" w:lineRule="auto"/>
      <w:ind w:firstLine="480" w:firstLineChars="200"/>
      <w:textAlignment w:val="auto"/>
    </w:pPr>
    <w:rPr>
      <w:rFonts w:ascii="仿宋_GB2312" w:hAnsi="仿宋_GB2312" w:eastAsia="仿宋_GB2312" w:cs="仿宋_GB2312"/>
      <w:sz w:val="24"/>
    </w:rPr>
  </w:style>
  <w:style w:type="paragraph" w:customStyle="1" w:styleId="572">
    <w:name w:val="正文文字表格居中"/>
    <w:basedOn w:val="1"/>
    <w:next w:val="47"/>
    <w:qFormat/>
    <w:uiPriority w:val="0"/>
    <w:pPr>
      <w:autoSpaceDE w:val="0"/>
      <w:autoSpaceDN w:val="0"/>
      <w:adjustRightInd w:val="0"/>
      <w:snapToGrid w:val="0"/>
      <w:spacing w:line="360" w:lineRule="auto"/>
      <w:jc w:val="left"/>
    </w:pPr>
    <w:rPr>
      <w:rFonts w:ascii="Cambria"/>
      <w:b/>
      <w:kern w:val="0"/>
      <w:sz w:val="24"/>
      <w:szCs w:val="20"/>
    </w:rPr>
  </w:style>
  <w:style w:type="paragraph" w:customStyle="1" w:styleId="573">
    <w:name w:val="xl320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74">
    <w:name w:val="样式"/>
    <w:basedOn w:val="1"/>
    <w:qFormat/>
    <w:uiPriority w:val="0"/>
    <w:pPr>
      <w:autoSpaceDE w:val="0"/>
      <w:autoSpaceDN w:val="0"/>
      <w:adjustRightInd w:val="0"/>
      <w:snapToGrid w:val="0"/>
      <w:spacing w:before="120" w:after="120" w:line="360" w:lineRule="auto"/>
      <w:jc w:val="left"/>
    </w:pPr>
    <w:rPr>
      <w:rFonts w:ascii="Cambria"/>
      <w:kern w:val="0"/>
      <w:sz w:val="24"/>
      <w:szCs w:val="20"/>
    </w:rPr>
  </w:style>
  <w:style w:type="paragraph" w:customStyle="1" w:styleId="575">
    <w:name w:val="xl319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76">
    <w:name w:val="xl319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styleId="577">
    <w:name w:val="List Paragraph"/>
    <w:basedOn w:val="1"/>
    <w:qFormat/>
    <w:uiPriority w:val="99"/>
    <w:pPr>
      <w:ind w:firstLine="420" w:firstLineChars="200"/>
    </w:pPr>
  </w:style>
  <w:style w:type="character" w:customStyle="1" w:styleId="578">
    <w:name w:val="标题 1 Char Char"/>
    <w:basedOn w:val="50"/>
    <w:qFormat/>
    <w:uiPriority w:val="0"/>
    <w:rPr>
      <w:rFonts w:hint="eastAsia" w:ascii="宋体" w:hAnsi="宋体" w:eastAsia="宋体"/>
      <w:b/>
      <w:spacing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CQSD</Company>
  <Pages>50</Pages>
  <Words>4942</Words>
  <Characters>28170</Characters>
  <Lines>234</Lines>
  <Paragraphs>66</Paragraphs>
  <TotalTime>70</TotalTime>
  <ScaleCrop>false</ScaleCrop>
  <LinksUpToDate>false</LinksUpToDate>
  <CharactersWithSpaces>33046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2018-12-14T04:39:00Z</dcterms:created>
  <dc:creator>LCMZX</dc:creator>
  <cp:lastModifiedBy>温州</cp:lastModifiedBy>
  <cp:lastPrinted>2019-10-18T01:24:00Z</cp:lastPrinted>
  <dcterms:modified xsi:type="dcterms:W3CDTF">2019-12-30T05:24:59Z</dcterms:modified>
  <dc:title>温州市政府采购</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