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00" w:lineRule="auto"/>
        <w:rPr>
          <w:rFonts w:ascii="宋体" w:hAnsi="宋体" w:cs="Arial"/>
          <w:b/>
          <w:color w:val="000000"/>
          <w:szCs w:val="21"/>
          <w:highlight w:val="none"/>
        </w:rPr>
      </w:pPr>
    </w:p>
    <w:p>
      <w:pPr>
        <w:snapToGrid w:val="0"/>
        <w:spacing w:line="300" w:lineRule="auto"/>
        <w:rPr>
          <w:rFonts w:ascii="宋体" w:hAnsi="宋体" w:cs="Arial"/>
          <w:b/>
          <w:color w:val="000000"/>
          <w:szCs w:val="21"/>
          <w:highlight w:val="none"/>
        </w:rPr>
      </w:pPr>
    </w:p>
    <w:p>
      <w:pPr>
        <w:snapToGrid w:val="0"/>
        <w:spacing w:line="300" w:lineRule="auto"/>
        <w:rPr>
          <w:rFonts w:ascii="宋体" w:hAnsi="宋体" w:cs="Arial"/>
          <w:b/>
          <w:color w:val="000000"/>
          <w:szCs w:val="21"/>
          <w:highlight w:val="none"/>
        </w:rPr>
      </w:pPr>
    </w:p>
    <w:p>
      <w:pPr>
        <w:snapToGrid w:val="0"/>
        <w:spacing w:line="300" w:lineRule="auto"/>
        <w:jc w:val="center"/>
        <w:rPr>
          <w:rFonts w:ascii="宋体" w:hAnsi="宋体" w:cs="Arial"/>
          <w:b/>
          <w:color w:val="000000"/>
          <w:w w:val="90"/>
          <w:sz w:val="48"/>
          <w:szCs w:val="48"/>
          <w:highlight w:val="none"/>
        </w:rPr>
      </w:pPr>
      <w:r>
        <w:rPr>
          <w:rFonts w:hint="eastAsia" w:ascii="宋体" w:hAnsi="宋体" w:cs="Arial"/>
          <w:b/>
          <w:color w:val="000000"/>
          <w:w w:val="90"/>
          <w:sz w:val="48"/>
          <w:szCs w:val="48"/>
          <w:highlight w:val="none"/>
        </w:rPr>
        <w:t>台州市第一人民医院迁建工程（一期）</w:t>
      </w:r>
    </w:p>
    <w:p>
      <w:pPr>
        <w:snapToGrid w:val="0"/>
        <w:spacing w:line="300" w:lineRule="auto"/>
        <w:jc w:val="center"/>
        <w:rPr>
          <w:rFonts w:ascii="宋体" w:hAnsi="宋体" w:cs="Arial"/>
          <w:b/>
          <w:color w:val="000000"/>
          <w:w w:val="90"/>
          <w:sz w:val="48"/>
          <w:szCs w:val="48"/>
          <w:highlight w:val="none"/>
        </w:rPr>
      </w:pPr>
      <w:r>
        <w:rPr>
          <w:rFonts w:hint="eastAsia" w:ascii="宋体" w:hAnsi="宋体" w:cs="Arial"/>
          <w:b/>
          <w:color w:val="000000"/>
          <w:w w:val="90"/>
          <w:sz w:val="48"/>
          <w:szCs w:val="48"/>
          <w:highlight w:val="none"/>
        </w:rPr>
        <w:t>医用智能化轨道小车物流传输设备系统</w:t>
      </w:r>
    </w:p>
    <w:p>
      <w:pPr>
        <w:snapToGrid w:val="0"/>
        <w:spacing w:line="300" w:lineRule="auto"/>
        <w:jc w:val="center"/>
        <w:rPr>
          <w:rFonts w:ascii="宋体" w:hAnsi="宋体" w:cs="Arial"/>
          <w:b/>
          <w:color w:val="000000"/>
          <w:sz w:val="48"/>
          <w:szCs w:val="48"/>
          <w:highlight w:val="none"/>
        </w:rPr>
      </w:pPr>
    </w:p>
    <w:p>
      <w:pPr>
        <w:snapToGrid w:val="0"/>
        <w:spacing w:line="300" w:lineRule="auto"/>
        <w:jc w:val="center"/>
        <w:rPr>
          <w:rFonts w:ascii="宋体" w:hAnsi="宋体" w:cs="Arial"/>
          <w:b/>
          <w:color w:val="000000"/>
          <w:sz w:val="100"/>
          <w:szCs w:val="100"/>
          <w:highlight w:val="none"/>
        </w:rPr>
      </w:pPr>
      <w:r>
        <w:rPr>
          <w:rFonts w:ascii="宋体" w:hAnsi="宋体" w:cs="Arial"/>
          <w:b/>
          <w:color w:val="000000"/>
          <w:sz w:val="100"/>
          <w:szCs w:val="100"/>
          <w:highlight w:val="none"/>
        </w:rPr>
        <w:t>招标文件</w:t>
      </w:r>
    </w:p>
    <w:p>
      <w:pPr>
        <w:widowControl/>
        <w:spacing w:line="360" w:lineRule="auto"/>
        <w:ind w:right="-2"/>
        <w:jc w:val="center"/>
        <w:rPr>
          <w:rFonts w:ascii="宋体" w:hAnsi="宋体" w:cs="Arial"/>
          <w:b/>
          <w:color w:val="000000"/>
          <w:sz w:val="100"/>
          <w:szCs w:val="100"/>
          <w:highlight w:val="none"/>
        </w:rPr>
      </w:pPr>
      <w:r>
        <w:rPr>
          <w:rFonts w:hint="eastAsia" w:ascii="宋体" w:hAnsi="宋体" w:cs="宋体"/>
          <w:b/>
          <w:color w:val="000000"/>
          <w:sz w:val="36"/>
          <w:highlight w:val="none"/>
          <w:lang w:bidi="ar"/>
        </w:rPr>
        <w:t>（线上电子招投标）</w:t>
      </w:r>
    </w:p>
    <w:p>
      <w:pPr>
        <w:snapToGrid w:val="0"/>
        <w:spacing w:line="300" w:lineRule="auto"/>
        <w:rPr>
          <w:rFonts w:ascii="宋体" w:hAnsi="宋体" w:cs="Arial"/>
          <w:b/>
          <w:color w:val="000000"/>
          <w:szCs w:val="21"/>
          <w:highlight w:val="none"/>
        </w:rPr>
      </w:pPr>
      <w:r>
        <w:rPr>
          <w:rFonts w:hint="eastAsia" w:ascii="宋体" w:hAnsi="宋体" w:cs="Arial"/>
          <w:b/>
          <w:color w:val="000000"/>
          <w:szCs w:val="21"/>
          <w:highlight w:val="none"/>
        </w:rPr>
        <w:drawing>
          <wp:anchor distT="0" distB="0" distL="114300" distR="114300" simplePos="0" relativeHeight="251658240" behindDoc="0" locked="0" layoutInCell="1" allowOverlap="1">
            <wp:simplePos x="0" y="0"/>
            <wp:positionH relativeFrom="column">
              <wp:posOffset>2496820</wp:posOffset>
            </wp:positionH>
            <wp:positionV relativeFrom="paragraph">
              <wp:posOffset>75565</wp:posOffset>
            </wp:positionV>
            <wp:extent cx="864870" cy="850900"/>
            <wp:effectExtent l="0" t="0" r="0" b="6350"/>
            <wp:wrapSquare wrapText="bothSides"/>
            <wp:docPr id="1" name="图片 2" descr="5bfaec067d17209d58e55b7591ad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5bfaec067d17209d58e55b7591adad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64870" cy="850900"/>
                    </a:xfrm>
                    <a:prstGeom prst="rect">
                      <a:avLst/>
                    </a:prstGeom>
                    <a:noFill/>
                    <a:ln>
                      <a:noFill/>
                    </a:ln>
                  </pic:spPr>
                </pic:pic>
              </a:graphicData>
            </a:graphic>
          </wp:anchor>
        </w:drawing>
      </w:r>
    </w:p>
    <w:p>
      <w:pPr>
        <w:snapToGrid w:val="0"/>
        <w:spacing w:line="300" w:lineRule="auto"/>
        <w:jc w:val="left"/>
        <w:rPr>
          <w:rFonts w:ascii="宋体" w:hAnsi="宋体" w:cs="Arial"/>
          <w:b/>
          <w:color w:val="000000"/>
          <w:szCs w:val="21"/>
          <w:highlight w:val="none"/>
        </w:rPr>
      </w:pPr>
      <w:r>
        <w:rPr>
          <w:rFonts w:ascii="宋体" w:hAnsi="宋体" w:cs="Arial"/>
          <w:b/>
          <w:color w:val="000000"/>
          <w:szCs w:val="21"/>
          <w:highlight w:val="none"/>
        </w:rPr>
        <w:br w:type="textWrapping" w:clear="all"/>
      </w:r>
    </w:p>
    <w:p>
      <w:pPr>
        <w:snapToGrid w:val="0"/>
        <w:spacing w:line="300" w:lineRule="auto"/>
        <w:rPr>
          <w:rFonts w:ascii="宋体" w:hAnsi="宋体" w:cs="Arial"/>
          <w:b/>
          <w:color w:val="000000"/>
          <w:szCs w:val="21"/>
          <w:highlight w:val="none"/>
        </w:rPr>
      </w:pPr>
    </w:p>
    <w:p>
      <w:pPr>
        <w:snapToGrid w:val="0"/>
        <w:spacing w:line="300" w:lineRule="auto"/>
        <w:rPr>
          <w:rFonts w:ascii="宋体" w:hAnsi="宋体" w:cs="Arial"/>
          <w:b/>
          <w:color w:val="000000"/>
          <w:szCs w:val="21"/>
          <w:highlight w:val="none"/>
        </w:rPr>
      </w:pPr>
    </w:p>
    <w:p>
      <w:pPr>
        <w:snapToGrid w:val="0"/>
        <w:spacing w:line="300" w:lineRule="auto"/>
        <w:rPr>
          <w:rFonts w:ascii="宋体" w:hAnsi="宋体" w:cs="Arial"/>
          <w:b/>
          <w:color w:val="000000"/>
          <w:szCs w:val="21"/>
          <w:highlight w:val="none"/>
        </w:rPr>
      </w:pPr>
    </w:p>
    <w:p>
      <w:pPr>
        <w:snapToGrid w:val="0"/>
        <w:spacing w:line="360" w:lineRule="auto"/>
        <w:ind w:firstLine="1494" w:firstLineChars="496"/>
        <w:rPr>
          <w:rFonts w:ascii="宋体" w:hAnsi="宋体" w:cs="Arial"/>
          <w:b/>
          <w:color w:val="000000"/>
          <w:sz w:val="30"/>
          <w:szCs w:val="30"/>
          <w:highlight w:val="none"/>
        </w:rPr>
      </w:pPr>
      <w:r>
        <w:rPr>
          <w:rFonts w:ascii="宋体" w:hAnsi="宋体" w:cs="Arial"/>
          <w:b/>
          <w:color w:val="000000"/>
          <w:sz w:val="30"/>
          <w:szCs w:val="30"/>
          <w:highlight w:val="none"/>
        </w:rPr>
        <w:t>采购方式：公开招标</w:t>
      </w:r>
    </w:p>
    <w:p>
      <w:pPr>
        <w:snapToGrid w:val="0"/>
        <w:spacing w:line="360" w:lineRule="auto"/>
        <w:ind w:firstLine="1494" w:firstLineChars="496"/>
        <w:rPr>
          <w:rFonts w:ascii="宋体" w:hAnsi="宋体" w:cs="Arial"/>
          <w:b/>
          <w:color w:val="000000"/>
          <w:sz w:val="30"/>
          <w:szCs w:val="30"/>
          <w:highlight w:val="none"/>
        </w:rPr>
      </w:pPr>
      <w:r>
        <w:rPr>
          <w:rFonts w:ascii="宋体" w:hAnsi="宋体" w:cs="Arial"/>
          <w:b/>
          <w:color w:val="000000"/>
          <w:sz w:val="30"/>
          <w:szCs w:val="30"/>
          <w:highlight w:val="none"/>
        </w:rPr>
        <w:t xml:space="preserve">项目编号：CTZB-H191117AWZ  </w:t>
      </w:r>
    </w:p>
    <w:p>
      <w:pPr>
        <w:snapToGrid w:val="0"/>
        <w:spacing w:line="360" w:lineRule="auto"/>
        <w:ind w:firstLine="1046" w:firstLineChars="496"/>
        <w:rPr>
          <w:rFonts w:ascii="宋体" w:hAnsi="宋体" w:cs="Arial"/>
          <w:b/>
          <w:color w:val="000000"/>
          <w:szCs w:val="21"/>
          <w:highlight w:val="none"/>
        </w:rPr>
      </w:pPr>
    </w:p>
    <w:p>
      <w:pPr>
        <w:snapToGrid w:val="0"/>
        <w:spacing w:line="360" w:lineRule="auto"/>
        <w:ind w:firstLine="1046" w:firstLineChars="496"/>
        <w:rPr>
          <w:rFonts w:ascii="宋体" w:hAnsi="宋体" w:cs="Arial"/>
          <w:b/>
          <w:color w:val="000000"/>
          <w:szCs w:val="21"/>
          <w:highlight w:val="none"/>
        </w:rPr>
      </w:pPr>
    </w:p>
    <w:p>
      <w:pPr>
        <w:snapToGrid w:val="0"/>
        <w:spacing w:line="360" w:lineRule="auto"/>
        <w:ind w:firstLine="1046" w:firstLineChars="496"/>
        <w:rPr>
          <w:rFonts w:ascii="宋体" w:hAnsi="宋体" w:cs="Arial"/>
          <w:b/>
          <w:color w:val="000000"/>
          <w:szCs w:val="21"/>
          <w:highlight w:val="none"/>
        </w:rPr>
      </w:pPr>
    </w:p>
    <w:p>
      <w:pPr>
        <w:snapToGrid w:val="0"/>
        <w:spacing w:line="360" w:lineRule="auto"/>
        <w:ind w:firstLine="1046" w:firstLineChars="496"/>
        <w:rPr>
          <w:rFonts w:ascii="宋体" w:hAnsi="宋体" w:cs="Arial"/>
          <w:b/>
          <w:color w:val="000000"/>
          <w:szCs w:val="21"/>
          <w:highlight w:val="none"/>
        </w:rPr>
      </w:pPr>
    </w:p>
    <w:p>
      <w:pPr>
        <w:snapToGrid w:val="0"/>
        <w:spacing w:line="360" w:lineRule="auto"/>
        <w:rPr>
          <w:rFonts w:ascii="宋体" w:hAnsi="宋体" w:cs="Arial"/>
          <w:b/>
          <w:color w:val="000000"/>
          <w:szCs w:val="21"/>
          <w:highlight w:val="none"/>
        </w:rPr>
      </w:pPr>
    </w:p>
    <w:p>
      <w:pPr>
        <w:snapToGrid w:val="0"/>
        <w:spacing w:line="360" w:lineRule="auto"/>
        <w:ind w:firstLine="1046" w:firstLineChars="496"/>
        <w:rPr>
          <w:rFonts w:ascii="宋体" w:hAnsi="宋体" w:cs="Arial"/>
          <w:b/>
          <w:color w:val="000000"/>
          <w:szCs w:val="21"/>
          <w:highlight w:val="none"/>
        </w:rPr>
      </w:pPr>
    </w:p>
    <w:p>
      <w:pPr>
        <w:snapToGrid w:val="0"/>
        <w:spacing w:line="360" w:lineRule="auto"/>
        <w:ind w:firstLine="1355" w:firstLineChars="450"/>
        <w:rPr>
          <w:rFonts w:ascii="宋体" w:hAnsi="宋体" w:cs="Arial"/>
          <w:b/>
          <w:color w:val="000000"/>
          <w:sz w:val="30"/>
          <w:szCs w:val="30"/>
          <w:highlight w:val="none"/>
        </w:rPr>
      </w:pPr>
      <w:r>
        <w:rPr>
          <w:rFonts w:ascii="宋体" w:hAnsi="宋体" w:cs="Arial"/>
          <w:b/>
          <w:color w:val="000000"/>
          <w:sz w:val="30"/>
          <w:szCs w:val="30"/>
          <w:highlight w:val="none"/>
        </w:rPr>
        <w:t>采</w:t>
      </w:r>
      <w:r>
        <w:rPr>
          <w:rFonts w:hint="eastAsia" w:ascii="宋体" w:hAnsi="宋体" w:cs="Arial"/>
          <w:b/>
          <w:color w:val="000000"/>
          <w:sz w:val="30"/>
          <w:szCs w:val="30"/>
          <w:highlight w:val="none"/>
        </w:rPr>
        <w:t xml:space="preserve">   </w:t>
      </w:r>
      <w:r>
        <w:rPr>
          <w:rFonts w:ascii="宋体" w:hAnsi="宋体" w:cs="Arial"/>
          <w:b/>
          <w:color w:val="000000"/>
          <w:sz w:val="30"/>
          <w:szCs w:val="30"/>
          <w:highlight w:val="none"/>
        </w:rPr>
        <w:t>购</w:t>
      </w:r>
      <w:r>
        <w:rPr>
          <w:rFonts w:hint="eastAsia" w:ascii="宋体" w:hAnsi="宋体" w:cs="Arial"/>
          <w:b/>
          <w:color w:val="000000"/>
          <w:sz w:val="30"/>
          <w:szCs w:val="30"/>
          <w:highlight w:val="none"/>
        </w:rPr>
        <w:t xml:space="preserve">   </w:t>
      </w:r>
      <w:r>
        <w:rPr>
          <w:rFonts w:ascii="宋体" w:hAnsi="宋体" w:cs="Arial"/>
          <w:b/>
          <w:color w:val="000000"/>
          <w:sz w:val="30"/>
          <w:szCs w:val="30"/>
          <w:highlight w:val="none"/>
        </w:rPr>
        <w:t>人：</w:t>
      </w:r>
      <w:r>
        <w:rPr>
          <w:rFonts w:hint="eastAsia" w:ascii="宋体" w:hAnsi="宋体" w:cs="Arial"/>
          <w:b/>
          <w:color w:val="000000"/>
          <w:sz w:val="30"/>
          <w:szCs w:val="30"/>
          <w:highlight w:val="none"/>
        </w:rPr>
        <w:t>台州市第一人民医院</w:t>
      </w:r>
      <w:r>
        <w:rPr>
          <w:rFonts w:ascii="宋体" w:hAnsi="宋体" w:cs="Arial"/>
          <w:b/>
          <w:color w:val="000000"/>
          <w:sz w:val="30"/>
          <w:szCs w:val="30"/>
          <w:highlight w:val="none"/>
        </w:rPr>
        <w:t>（盖章）</w:t>
      </w:r>
    </w:p>
    <w:p>
      <w:pPr>
        <w:snapToGrid w:val="0"/>
        <w:spacing w:line="360" w:lineRule="auto"/>
        <w:ind w:firstLine="1355" w:firstLineChars="450"/>
        <w:rPr>
          <w:rFonts w:ascii="宋体" w:hAnsi="宋体" w:cs="Arial"/>
          <w:b/>
          <w:color w:val="000000"/>
          <w:sz w:val="30"/>
          <w:szCs w:val="30"/>
          <w:highlight w:val="none"/>
        </w:rPr>
      </w:pPr>
      <w:r>
        <w:rPr>
          <w:rFonts w:ascii="宋体" w:hAnsi="宋体" w:cs="Arial"/>
          <w:b/>
          <w:color w:val="000000"/>
          <w:sz w:val="30"/>
          <w:szCs w:val="30"/>
          <w:highlight w:val="none"/>
        </w:rPr>
        <w:t>采购代理机构：浙江省成套招标代理有限公司（盖章）</w:t>
      </w:r>
    </w:p>
    <w:p>
      <w:pPr>
        <w:snapToGrid w:val="0"/>
        <w:spacing w:line="360" w:lineRule="auto"/>
        <w:jc w:val="center"/>
        <w:rPr>
          <w:rFonts w:ascii="宋体" w:hAnsi="宋体" w:cs="Arial"/>
          <w:color w:val="000000"/>
          <w:sz w:val="36"/>
          <w:szCs w:val="36"/>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1077" w:footer="1077" w:gutter="0"/>
          <w:pgNumType w:start="1"/>
          <w:cols w:space="720" w:num="1"/>
          <w:titlePg/>
          <w:docGrid w:linePitch="312" w:charSpace="0"/>
        </w:sectPr>
      </w:pPr>
      <w:r>
        <w:rPr>
          <w:rFonts w:ascii="宋体" w:hAnsi="宋体" w:cs="Arial"/>
          <w:b/>
          <w:color w:val="000000"/>
          <w:sz w:val="30"/>
          <w:szCs w:val="30"/>
          <w:highlight w:val="none"/>
        </w:rPr>
        <w:t>二〇</w:t>
      </w:r>
      <w:r>
        <w:rPr>
          <w:rFonts w:hint="eastAsia" w:ascii="宋体" w:hAnsi="宋体" w:cs="Arial"/>
          <w:b/>
          <w:color w:val="000000"/>
          <w:sz w:val="30"/>
          <w:szCs w:val="30"/>
          <w:highlight w:val="none"/>
        </w:rPr>
        <w:t>二</w:t>
      </w:r>
      <w:r>
        <w:rPr>
          <w:rFonts w:ascii="宋体" w:hAnsi="宋体" w:cs="Arial"/>
          <w:b/>
          <w:color w:val="000000"/>
          <w:sz w:val="30"/>
          <w:szCs w:val="30"/>
          <w:highlight w:val="none"/>
        </w:rPr>
        <w:t>〇年</w:t>
      </w:r>
      <w:r>
        <w:rPr>
          <w:rFonts w:hint="eastAsia" w:ascii="宋体" w:hAnsi="宋体" w:cs="Arial"/>
          <w:b/>
          <w:color w:val="000000"/>
          <w:sz w:val="30"/>
          <w:szCs w:val="30"/>
          <w:highlight w:val="none"/>
        </w:rPr>
        <w:t>四</w:t>
      </w:r>
      <w:r>
        <w:rPr>
          <w:rFonts w:ascii="宋体" w:hAnsi="宋体" w:cs="Arial"/>
          <w:b/>
          <w:color w:val="000000"/>
          <w:sz w:val="30"/>
          <w:szCs w:val="30"/>
          <w:highlight w:val="none"/>
        </w:rPr>
        <w:t>月</w:t>
      </w:r>
      <w:bookmarkStart w:id="0" w:name="_Toc15274351"/>
      <w:bookmarkStart w:id="1" w:name="_Toc25000041"/>
      <w:bookmarkStart w:id="2" w:name="_Toc16501218"/>
    </w:p>
    <w:bookmarkEnd w:id="0"/>
    <w:bookmarkEnd w:id="1"/>
    <w:bookmarkEnd w:id="2"/>
    <w:sdt>
      <w:sdtPr>
        <w:rPr>
          <w:rFonts w:ascii="宋体" w:hAnsi="宋体"/>
          <w:kern w:val="0"/>
          <w:sz w:val="20"/>
          <w:szCs w:val="20"/>
          <w:highlight w:val="none"/>
        </w:rPr>
        <w:id w:val="-542594363"/>
        <w:docPartObj>
          <w:docPartGallery w:val="Table of Contents"/>
          <w:docPartUnique/>
        </w:docPartObj>
      </w:sdtPr>
      <w:sdtEndPr>
        <w:rPr>
          <w:rFonts w:ascii="宋体" w:hAnsi="宋体"/>
          <w:kern w:val="0"/>
          <w:sz w:val="24"/>
          <w:szCs w:val="20"/>
          <w:highlight w:val="none"/>
        </w:rPr>
      </w:sdtEndPr>
      <w:sdtContent>
        <w:p>
          <w:pPr>
            <w:jc w:val="center"/>
            <w:rPr>
              <w:b/>
              <w:bCs/>
              <w:sz w:val="36"/>
              <w:szCs w:val="44"/>
              <w:highlight w:val="none"/>
            </w:rPr>
          </w:pPr>
          <w:bookmarkStart w:id="3" w:name="_Toc19996_WPSOffice_Type1"/>
          <w:r>
            <w:rPr>
              <w:rFonts w:ascii="宋体" w:hAnsi="宋体"/>
              <w:b/>
              <w:bCs/>
              <w:sz w:val="36"/>
              <w:szCs w:val="44"/>
              <w:highlight w:val="none"/>
            </w:rPr>
            <w:t>目录</w:t>
          </w:r>
        </w:p>
        <w:p>
          <w:pPr>
            <w:pStyle w:val="199"/>
            <w:tabs>
              <w:tab w:val="right" w:leader="dot" w:pos="9412"/>
            </w:tabs>
            <w:spacing w:line="360" w:lineRule="auto"/>
            <w:rPr>
              <w:sz w:val="24"/>
              <w:szCs w:val="24"/>
              <w:highlight w:val="none"/>
            </w:rPr>
          </w:pPr>
          <w:r>
            <w:rPr>
              <w:highlight w:val="none"/>
            </w:rPr>
            <w:fldChar w:fldCharType="begin"/>
          </w:r>
          <w:r>
            <w:rPr>
              <w:highlight w:val="none"/>
            </w:rPr>
            <w:instrText xml:space="preserve"> HYPERLINK \l "_Toc22931_WPSOffice_Level1" </w:instrText>
          </w:r>
          <w:r>
            <w:rPr>
              <w:highlight w:val="none"/>
            </w:rPr>
            <w:fldChar w:fldCharType="separate"/>
          </w:r>
          <w:sdt>
            <w:sdtPr>
              <w:rPr>
                <w:kern w:val="2"/>
                <w:sz w:val="28"/>
                <w:szCs w:val="36"/>
                <w:highlight w:val="none"/>
              </w:rPr>
              <w:id w:val="147452201"/>
              <w:placeholder>
                <w:docPart w:val="{402022fa-d844-413c-ac3b-89c0be01747c}"/>
              </w:placeholder>
            </w:sdtPr>
            <w:sdtEndPr>
              <w:rPr>
                <w:kern w:val="2"/>
                <w:sz w:val="28"/>
                <w:szCs w:val="36"/>
                <w:highlight w:val="none"/>
              </w:rPr>
            </w:sdtEndPr>
            <w:sdtContent>
              <w:r>
                <w:rPr>
                  <w:rFonts w:ascii="宋体" w:hAnsi="宋体" w:cs="Arial"/>
                  <w:sz w:val="24"/>
                  <w:szCs w:val="24"/>
                  <w:highlight w:val="none"/>
                </w:rPr>
                <w:t>第一章  招标公告</w:t>
              </w:r>
            </w:sdtContent>
          </w:sdt>
          <w:r>
            <w:rPr>
              <w:sz w:val="24"/>
              <w:szCs w:val="24"/>
              <w:highlight w:val="none"/>
            </w:rPr>
            <w:tab/>
          </w:r>
          <w:bookmarkStart w:id="4" w:name="_Toc22931_WPSOffice_Level1Page"/>
          <w:r>
            <w:rPr>
              <w:sz w:val="24"/>
              <w:szCs w:val="24"/>
              <w:highlight w:val="none"/>
            </w:rPr>
            <w:t>2</w:t>
          </w:r>
          <w:bookmarkEnd w:id="4"/>
          <w:r>
            <w:rPr>
              <w:sz w:val="24"/>
              <w:szCs w:val="24"/>
              <w:highlight w:val="none"/>
            </w:rPr>
            <w:fldChar w:fldCharType="end"/>
          </w:r>
        </w:p>
        <w:p>
          <w:pPr>
            <w:pStyle w:val="199"/>
            <w:tabs>
              <w:tab w:val="right" w:leader="dot" w:pos="9412"/>
            </w:tabs>
            <w:spacing w:line="360" w:lineRule="auto"/>
            <w:rPr>
              <w:sz w:val="24"/>
              <w:szCs w:val="24"/>
              <w:highlight w:val="none"/>
            </w:rPr>
          </w:pPr>
          <w:r>
            <w:rPr>
              <w:highlight w:val="none"/>
            </w:rPr>
            <w:fldChar w:fldCharType="begin"/>
          </w:r>
          <w:r>
            <w:rPr>
              <w:highlight w:val="none"/>
            </w:rPr>
            <w:instrText xml:space="preserve"> HYPERLINK \l "_Toc19996_WPSOffice_Level1" </w:instrText>
          </w:r>
          <w:r>
            <w:rPr>
              <w:highlight w:val="none"/>
            </w:rPr>
            <w:fldChar w:fldCharType="separate"/>
          </w:r>
          <w:sdt>
            <w:sdtPr>
              <w:rPr>
                <w:kern w:val="2"/>
                <w:sz w:val="28"/>
                <w:szCs w:val="36"/>
                <w:highlight w:val="none"/>
              </w:rPr>
              <w:id w:val="1657112210"/>
              <w:placeholder>
                <w:docPart w:val="{d13a7374-9940-4d78-90da-6040e81933dd}"/>
              </w:placeholder>
            </w:sdtPr>
            <w:sdtEndPr>
              <w:rPr>
                <w:kern w:val="2"/>
                <w:sz w:val="28"/>
                <w:szCs w:val="36"/>
                <w:highlight w:val="none"/>
              </w:rPr>
            </w:sdtEndPr>
            <w:sdtContent>
              <w:r>
                <w:rPr>
                  <w:rFonts w:ascii="宋体" w:hAnsi="宋体"/>
                  <w:sz w:val="24"/>
                  <w:szCs w:val="24"/>
                  <w:highlight w:val="none"/>
                </w:rPr>
                <w:t>第</w:t>
              </w:r>
              <w:r>
                <w:rPr>
                  <w:rFonts w:hint="eastAsia" w:ascii="宋体" w:hAnsi="宋体"/>
                  <w:sz w:val="24"/>
                  <w:szCs w:val="24"/>
                  <w:highlight w:val="none"/>
                </w:rPr>
                <w:t>二</w:t>
              </w:r>
              <w:r>
                <w:rPr>
                  <w:rFonts w:ascii="宋体" w:hAnsi="宋体"/>
                  <w:sz w:val="24"/>
                  <w:szCs w:val="24"/>
                  <w:highlight w:val="none"/>
                </w:rPr>
                <w:t>章  投标人须知</w:t>
              </w:r>
            </w:sdtContent>
          </w:sdt>
          <w:r>
            <w:rPr>
              <w:sz w:val="24"/>
              <w:szCs w:val="24"/>
              <w:highlight w:val="none"/>
            </w:rPr>
            <w:tab/>
          </w:r>
          <w:bookmarkStart w:id="5" w:name="_Toc19996_WPSOffice_Level1Page"/>
          <w:r>
            <w:rPr>
              <w:sz w:val="24"/>
              <w:szCs w:val="24"/>
              <w:highlight w:val="none"/>
            </w:rPr>
            <w:t>6</w:t>
          </w:r>
          <w:bookmarkEnd w:id="5"/>
          <w:r>
            <w:rPr>
              <w:sz w:val="24"/>
              <w:szCs w:val="24"/>
              <w:highlight w:val="none"/>
            </w:rPr>
            <w:fldChar w:fldCharType="end"/>
          </w:r>
        </w:p>
        <w:p>
          <w:pPr>
            <w:pStyle w:val="199"/>
            <w:tabs>
              <w:tab w:val="right" w:leader="dot" w:pos="9412"/>
            </w:tabs>
            <w:spacing w:line="360" w:lineRule="auto"/>
            <w:rPr>
              <w:sz w:val="24"/>
              <w:szCs w:val="24"/>
              <w:highlight w:val="none"/>
            </w:rPr>
          </w:pPr>
          <w:r>
            <w:rPr>
              <w:highlight w:val="none"/>
            </w:rPr>
            <w:fldChar w:fldCharType="begin"/>
          </w:r>
          <w:r>
            <w:rPr>
              <w:highlight w:val="none"/>
            </w:rPr>
            <w:instrText xml:space="preserve"> HYPERLINK \l "_Toc30807_WPSOffice_Level1" </w:instrText>
          </w:r>
          <w:r>
            <w:rPr>
              <w:highlight w:val="none"/>
            </w:rPr>
            <w:fldChar w:fldCharType="separate"/>
          </w:r>
          <w:sdt>
            <w:sdtPr>
              <w:rPr>
                <w:kern w:val="2"/>
                <w:sz w:val="28"/>
                <w:szCs w:val="36"/>
                <w:highlight w:val="none"/>
              </w:rPr>
              <w:id w:val="-146675789"/>
              <w:placeholder>
                <w:docPart w:val="{215d8cdf-82c5-44ca-97a5-fe85896da4d8}"/>
              </w:placeholder>
            </w:sdtPr>
            <w:sdtEndPr>
              <w:rPr>
                <w:kern w:val="2"/>
                <w:sz w:val="28"/>
                <w:szCs w:val="36"/>
                <w:highlight w:val="none"/>
              </w:rPr>
            </w:sdtEndPr>
            <w:sdtContent>
              <w:r>
                <w:rPr>
                  <w:rFonts w:ascii="宋体" w:hAnsi="宋体" w:cs="Arial"/>
                  <w:sz w:val="24"/>
                  <w:szCs w:val="24"/>
                  <w:highlight w:val="none"/>
                </w:rPr>
                <w:t>第</w:t>
              </w:r>
              <w:r>
                <w:rPr>
                  <w:rFonts w:hint="eastAsia" w:ascii="宋体" w:hAnsi="宋体" w:cs="Arial"/>
                  <w:sz w:val="24"/>
                  <w:szCs w:val="24"/>
                  <w:highlight w:val="none"/>
                </w:rPr>
                <w:t>三</w:t>
              </w:r>
              <w:r>
                <w:rPr>
                  <w:rFonts w:ascii="宋体" w:hAnsi="宋体" w:cs="Arial"/>
                  <w:sz w:val="24"/>
                  <w:szCs w:val="24"/>
                  <w:highlight w:val="none"/>
                </w:rPr>
                <w:t>章  采购需求</w:t>
              </w:r>
            </w:sdtContent>
          </w:sdt>
          <w:r>
            <w:rPr>
              <w:sz w:val="24"/>
              <w:szCs w:val="24"/>
              <w:highlight w:val="none"/>
            </w:rPr>
            <w:tab/>
          </w:r>
          <w:bookmarkStart w:id="6" w:name="_Toc30807_WPSOffice_Level1Page"/>
          <w:r>
            <w:rPr>
              <w:sz w:val="24"/>
              <w:szCs w:val="24"/>
              <w:highlight w:val="none"/>
            </w:rPr>
            <w:t>23</w:t>
          </w:r>
          <w:bookmarkEnd w:id="6"/>
          <w:r>
            <w:rPr>
              <w:sz w:val="24"/>
              <w:szCs w:val="24"/>
              <w:highlight w:val="none"/>
            </w:rPr>
            <w:fldChar w:fldCharType="end"/>
          </w:r>
        </w:p>
        <w:p>
          <w:pPr>
            <w:pStyle w:val="199"/>
            <w:tabs>
              <w:tab w:val="right" w:leader="dot" w:pos="9412"/>
            </w:tabs>
            <w:spacing w:line="360" w:lineRule="auto"/>
            <w:rPr>
              <w:sz w:val="24"/>
              <w:szCs w:val="24"/>
              <w:highlight w:val="none"/>
            </w:rPr>
          </w:pPr>
          <w:r>
            <w:rPr>
              <w:highlight w:val="none"/>
            </w:rPr>
            <w:fldChar w:fldCharType="begin"/>
          </w:r>
          <w:r>
            <w:rPr>
              <w:highlight w:val="none"/>
            </w:rPr>
            <w:instrText xml:space="preserve"> HYPERLINK \l "_Toc31151_WPSOffice_Level1" </w:instrText>
          </w:r>
          <w:r>
            <w:rPr>
              <w:highlight w:val="none"/>
            </w:rPr>
            <w:fldChar w:fldCharType="separate"/>
          </w:r>
          <w:sdt>
            <w:sdtPr>
              <w:rPr>
                <w:kern w:val="2"/>
                <w:sz w:val="28"/>
                <w:szCs w:val="36"/>
                <w:highlight w:val="none"/>
              </w:rPr>
              <w:id w:val="681242764"/>
            </w:sdtPr>
            <w:sdtEndPr>
              <w:rPr>
                <w:kern w:val="2"/>
                <w:sz w:val="28"/>
                <w:szCs w:val="36"/>
                <w:highlight w:val="none"/>
              </w:rPr>
            </w:sdtEndPr>
            <w:sdtContent>
              <w:r>
                <w:rPr>
                  <w:rFonts w:ascii="宋体" w:hAnsi="宋体" w:cs="Arial"/>
                  <w:sz w:val="24"/>
                  <w:szCs w:val="24"/>
                  <w:highlight w:val="none"/>
                </w:rPr>
                <w:t xml:space="preserve">第四章  </w:t>
              </w:r>
              <w:r>
                <w:rPr>
                  <w:rFonts w:hint="eastAsia" w:ascii="宋体" w:hAnsi="宋体" w:cs="Arial"/>
                  <w:sz w:val="24"/>
                  <w:szCs w:val="24"/>
                  <w:highlight w:val="none"/>
                </w:rPr>
                <w:t>合同文本</w:t>
              </w:r>
            </w:sdtContent>
          </w:sdt>
          <w:r>
            <w:rPr>
              <w:sz w:val="24"/>
              <w:szCs w:val="24"/>
              <w:highlight w:val="none"/>
            </w:rPr>
            <w:tab/>
          </w:r>
          <w:bookmarkStart w:id="7" w:name="_Toc31151_WPSOffice_Level1Page"/>
          <w:r>
            <w:rPr>
              <w:sz w:val="24"/>
              <w:szCs w:val="24"/>
              <w:highlight w:val="none"/>
            </w:rPr>
            <w:t>40</w:t>
          </w:r>
          <w:bookmarkEnd w:id="7"/>
          <w:r>
            <w:rPr>
              <w:sz w:val="24"/>
              <w:szCs w:val="24"/>
              <w:highlight w:val="none"/>
            </w:rPr>
            <w:fldChar w:fldCharType="end"/>
          </w:r>
        </w:p>
        <w:p>
          <w:pPr>
            <w:pStyle w:val="199"/>
            <w:tabs>
              <w:tab w:val="right" w:leader="dot" w:pos="9412"/>
            </w:tabs>
            <w:spacing w:line="360" w:lineRule="auto"/>
            <w:rPr>
              <w:sz w:val="24"/>
              <w:szCs w:val="24"/>
              <w:highlight w:val="none"/>
            </w:rPr>
          </w:pPr>
          <w:r>
            <w:rPr>
              <w:highlight w:val="none"/>
            </w:rPr>
            <w:fldChar w:fldCharType="begin"/>
          </w:r>
          <w:r>
            <w:rPr>
              <w:highlight w:val="none"/>
            </w:rPr>
            <w:instrText xml:space="preserve"> HYPERLINK \l "_Toc28927_WPSOffice_Level1" </w:instrText>
          </w:r>
          <w:r>
            <w:rPr>
              <w:highlight w:val="none"/>
            </w:rPr>
            <w:fldChar w:fldCharType="separate"/>
          </w:r>
          <w:sdt>
            <w:sdtPr>
              <w:rPr>
                <w:kern w:val="2"/>
                <w:sz w:val="28"/>
                <w:szCs w:val="36"/>
                <w:highlight w:val="none"/>
              </w:rPr>
              <w:id w:val="-1665001074"/>
            </w:sdtPr>
            <w:sdtEndPr>
              <w:rPr>
                <w:kern w:val="2"/>
                <w:sz w:val="28"/>
                <w:szCs w:val="36"/>
                <w:highlight w:val="none"/>
              </w:rPr>
            </w:sdtEndPr>
            <w:sdtContent>
              <w:r>
                <w:rPr>
                  <w:rFonts w:ascii="宋体" w:hAnsi="宋体" w:cs="仿宋_GB2312"/>
                  <w:sz w:val="24"/>
                  <w:szCs w:val="24"/>
                  <w:highlight w:val="none"/>
                </w:rPr>
                <w:t xml:space="preserve">第五章  </w:t>
              </w:r>
              <w:r>
                <w:rPr>
                  <w:rFonts w:hint="eastAsia" w:ascii="宋体" w:hAnsi="宋体" w:cs="仿宋_GB2312"/>
                  <w:sz w:val="24"/>
                  <w:szCs w:val="24"/>
                  <w:highlight w:val="none"/>
                </w:rPr>
                <w:t>评标方法及评分标准</w:t>
              </w:r>
            </w:sdtContent>
          </w:sdt>
          <w:r>
            <w:rPr>
              <w:sz w:val="24"/>
              <w:szCs w:val="24"/>
              <w:highlight w:val="none"/>
            </w:rPr>
            <w:tab/>
          </w:r>
          <w:bookmarkStart w:id="8" w:name="_Toc28927_WPSOffice_Level1Page"/>
          <w:r>
            <w:rPr>
              <w:sz w:val="24"/>
              <w:szCs w:val="24"/>
              <w:highlight w:val="none"/>
            </w:rPr>
            <w:t>46</w:t>
          </w:r>
          <w:bookmarkEnd w:id="8"/>
          <w:r>
            <w:rPr>
              <w:sz w:val="24"/>
              <w:szCs w:val="24"/>
              <w:highlight w:val="none"/>
            </w:rPr>
            <w:fldChar w:fldCharType="end"/>
          </w:r>
        </w:p>
        <w:p>
          <w:pPr>
            <w:pStyle w:val="199"/>
            <w:tabs>
              <w:tab w:val="right" w:leader="dot" w:pos="9412"/>
            </w:tabs>
            <w:spacing w:line="360" w:lineRule="auto"/>
            <w:rPr>
              <w:sz w:val="24"/>
              <w:szCs w:val="24"/>
              <w:highlight w:val="none"/>
            </w:rPr>
          </w:pPr>
          <w:r>
            <w:rPr>
              <w:highlight w:val="none"/>
            </w:rPr>
            <w:fldChar w:fldCharType="begin"/>
          </w:r>
          <w:r>
            <w:rPr>
              <w:highlight w:val="none"/>
            </w:rPr>
            <w:instrText xml:space="preserve"> HYPERLINK \l "_Toc26295_WPSOffice_Level1" </w:instrText>
          </w:r>
          <w:r>
            <w:rPr>
              <w:highlight w:val="none"/>
            </w:rPr>
            <w:fldChar w:fldCharType="separate"/>
          </w:r>
          <w:sdt>
            <w:sdtPr>
              <w:rPr>
                <w:kern w:val="2"/>
                <w:sz w:val="28"/>
                <w:szCs w:val="36"/>
                <w:highlight w:val="none"/>
              </w:rPr>
              <w:id w:val="-1655746964"/>
            </w:sdtPr>
            <w:sdtEndPr>
              <w:rPr>
                <w:kern w:val="2"/>
                <w:sz w:val="28"/>
                <w:szCs w:val="36"/>
                <w:highlight w:val="none"/>
              </w:rPr>
            </w:sdtEndPr>
            <w:sdtContent>
              <w:r>
                <w:rPr>
                  <w:rFonts w:ascii="宋体" w:hAnsi="宋体" w:cs="Arial"/>
                  <w:sz w:val="24"/>
                  <w:szCs w:val="24"/>
                  <w:highlight w:val="none"/>
                </w:rPr>
                <w:t>第</w:t>
              </w:r>
              <w:r>
                <w:rPr>
                  <w:rFonts w:hint="eastAsia" w:ascii="宋体" w:hAnsi="宋体" w:cs="Arial"/>
                  <w:sz w:val="24"/>
                  <w:szCs w:val="24"/>
                  <w:highlight w:val="none"/>
                </w:rPr>
                <w:t>六</w:t>
              </w:r>
              <w:r>
                <w:rPr>
                  <w:rFonts w:ascii="宋体" w:hAnsi="宋体" w:cs="Arial"/>
                  <w:sz w:val="24"/>
                  <w:szCs w:val="24"/>
                  <w:highlight w:val="none"/>
                </w:rPr>
                <w:t>章  投标文件格式</w:t>
              </w:r>
            </w:sdtContent>
          </w:sdt>
          <w:r>
            <w:rPr>
              <w:sz w:val="24"/>
              <w:szCs w:val="24"/>
              <w:highlight w:val="none"/>
            </w:rPr>
            <w:tab/>
          </w:r>
          <w:bookmarkStart w:id="9" w:name="_Toc26295_WPSOffice_Level1Page"/>
          <w:r>
            <w:rPr>
              <w:sz w:val="24"/>
              <w:szCs w:val="24"/>
              <w:highlight w:val="none"/>
            </w:rPr>
            <w:t>52</w:t>
          </w:r>
          <w:bookmarkEnd w:id="9"/>
          <w:r>
            <w:rPr>
              <w:sz w:val="24"/>
              <w:szCs w:val="24"/>
              <w:highlight w:val="none"/>
            </w:rPr>
            <w:fldChar w:fldCharType="end"/>
          </w:r>
        </w:p>
        <w:p>
          <w:pPr>
            <w:pStyle w:val="199"/>
            <w:tabs>
              <w:tab w:val="right" w:leader="dot" w:pos="9412"/>
            </w:tabs>
            <w:spacing w:line="360" w:lineRule="auto"/>
            <w:rPr>
              <w:sz w:val="24"/>
              <w:szCs w:val="24"/>
              <w:highlight w:val="none"/>
            </w:rPr>
          </w:pPr>
        </w:p>
      </w:sdtContent>
    </w:sdt>
    <w:bookmarkEnd w:id="3"/>
    <w:p>
      <w:pPr>
        <w:widowControl/>
        <w:jc w:val="left"/>
        <w:rPr>
          <w:rFonts w:ascii="宋体" w:hAnsi="宋体" w:cs="Arial"/>
          <w:color w:val="000000"/>
          <w:sz w:val="36"/>
          <w:szCs w:val="36"/>
          <w:highlight w:val="none"/>
        </w:rPr>
      </w:pPr>
      <w:r>
        <w:rPr>
          <w:rFonts w:hint="eastAsia" w:ascii="宋体" w:hAnsi="宋体" w:cs="Arial"/>
          <w:color w:val="000000"/>
          <w:sz w:val="36"/>
          <w:szCs w:val="36"/>
          <w:highlight w:val="none"/>
        </w:rPr>
        <w:br w:type="page"/>
      </w:r>
    </w:p>
    <w:p>
      <w:pPr>
        <w:pStyle w:val="2"/>
        <w:rPr>
          <w:rFonts w:ascii="宋体" w:hAnsi="宋体" w:eastAsia="宋体" w:cs="Arial"/>
          <w:color w:val="000000"/>
          <w:sz w:val="36"/>
          <w:szCs w:val="36"/>
          <w:highlight w:val="none"/>
        </w:rPr>
      </w:pPr>
      <w:bookmarkStart w:id="10" w:name="_Toc22931_WPSOffice_Level1"/>
      <w:r>
        <w:rPr>
          <w:rFonts w:ascii="宋体" w:hAnsi="宋体" w:eastAsia="宋体" w:cs="Arial"/>
          <w:color w:val="000000"/>
          <w:sz w:val="36"/>
          <w:szCs w:val="36"/>
          <w:highlight w:val="none"/>
        </w:rPr>
        <w:t>第一章  招标公告</w:t>
      </w:r>
      <w:bookmarkEnd w:id="10"/>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根据《中华人民共和国政府采购法》等有关规定，浙江省成套招标代理有限公司受台州市第一人民医院委托，就台州市第一人民医院迁建工程（一期）医用智能化轨道小车物流传输设备系统进行公开招标。</w:t>
      </w:r>
      <w:r>
        <w:rPr>
          <w:rFonts w:ascii="宋体" w:hAnsi="宋体" w:cs="Arial"/>
          <w:color w:val="000000"/>
          <w:kern w:val="0"/>
          <w:szCs w:val="21"/>
          <w:highlight w:val="none"/>
        </w:rPr>
        <w:t>欢迎国内合格的供应商前来投标。</w:t>
      </w:r>
    </w:p>
    <w:p>
      <w:pPr>
        <w:widowControl/>
        <w:numPr>
          <w:ilvl w:val="0"/>
          <w:numId w:val="2"/>
        </w:numPr>
        <w:spacing w:line="360" w:lineRule="auto"/>
        <w:ind w:firstLine="0"/>
        <w:jc w:val="left"/>
        <w:rPr>
          <w:rFonts w:ascii="宋体" w:hAnsi="宋体" w:cs="Arial"/>
          <w:color w:val="000000"/>
          <w:kern w:val="0"/>
          <w:szCs w:val="21"/>
          <w:highlight w:val="none"/>
        </w:rPr>
      </w:pPr>
      <w:r>
        <w:rPr>
          <w:rFonts w:hint="eastAsia" w:ascii="宋体" w:hAnsi="宋体" w:cs="Arial"/>
          <w:b/>
          <w:color w:val="000000"/>
          <w:kern w:val="0"/>
          <w:szCs w:val="21"/>
          <w:highlight w:val="none"/>
        </w:rPr>
        <w:t>招标</w:t>
      </w:r>
      <w:r>
        <w:rPr>
          <w:rFonts w:ascii="宋体" w:hAnsi="宋体" w:cs="Arial"/>
          <w:b/>
          <w:color w:val="000000"/>
          <w:kern w:val="0"/>
          <w:szCs w:val="21"/>
          <w:highlight w:val="none"/>
        </w:rPr>
        <w:t>编号</w:t>
      </w:r>
      <w:r>
        <w:rPr>
          <w:rFonts w:ascii="宋体" w:hAnsi="宋体" w:cs="Arial"/>
          <w:color w:val="000000"/>
          <w:kern w:val="0"/>
          <w:szCs w:val="21"/>
          <w:highlight w:val="none"/>
        </w:rPr>
        <w:t>：CTZB-H191117AWZ</w:t>
      </w:r>
      <w:r>
        <w:rPr>
          <w:rFonts w:hint="eastAsia" w:ascii="宋体" w:hAnsi="宋体" w:cs="Arial"/>
          <w:color w:val="000000"/>
          <w:kern w:val="0"/>
          <w:szCs w:val="21"/>
          <w:highlight w:val="none"/>
        </w:rPr>
        <w:t>。</w:t>
      </w:r>
    </w:p>
    <w:p>
      <w:pPr>
        <w:widowControl/>
        <w:numPr>
          <w:ilvl w:val="0"/>
          <w:numId w:val="2"/>
        </w:numPr>
        <w:spacing w:line="360" w:lineRule="auto"/>
        <w:ind w:firstLine="0"/>
        <w:jc w:val="left"/>
        <w:rPr>
          <w:rFonts w:ascii="宋体" w:hAnsi="宋体" w:cs="Arial"/>
          <w:bCs/>
          <w:color w:val="000000"/>
          <w:kern w:val="0"/>
          <w:szCs w:val="21"/>
          <w:highlight w:val="none"/>
        </w:rPr>
      </w:pPr>
      <w:r>
        <w:rPr>
          <w:rFonts w:ascii="宋体" w:hAnsi="宋体" w:cs="Arial"/>
          <w:b/>
          <w:color w:val="000000"/>
          <w:kern w:val="0"/>
          <w:szCs w:val="21"/>
          <w:highlight w:val="none"/>
        </w:rPr>
        <w:t>项目名称：</w:t>
      </w:r>
      <w:r>
        <w:rPr>
          <w:rFonts w:hint="eastAsia" w:ascii="宋体" w:hAnsi="宋体" w:cs="Arial"/>
          <w:color w:val="000000"/>
          <w:kern w:val="0"/>
          <w:szCs w:val="21"/>
          <w:highlight w:val="none"/>
        </w:rPr>
        <w:t>台州市第一人民医院迁建工程（一期）医用智能化轨道小车物流传输设备系统。</w:t>
      </w:r>
    </w:p>
    <w:p>
      <w:pPr>
        <w:widowControl/>
        <w:numPr>
          <w:ilvl w:val="0"/>
          <w:numId w:val="2"/>
        </w:numPr>
        <w:tabs>
          <w:tab w:val="left" w:pos="7893"/>
        </w:tabs>
        <w:spacing w:line="360" w:lineRule="auto"/>
        <w:ind w:firstLine="0"/>
        <w:jc w:val="left"/>
        <w:rPr>
          <w:rFonts w:ascii="宋体" w:hAnsi="宋体" w:cs="Arial"/>
          <w:bCs/>
          <w:color w:val="000000"/>
          <w:kern w:val="0"/>
          <w:szCs w:val="21"/>
          <w:highlight w:val="none"/>
        </w:rPr>
      </w:pPr>
      <w:r>
        <w:rPr>
          <w:rFonts w:hint="eastAsia" w:ascii="宋体" w:hAnsi="宋体" w:cs="Arial"/>
          <w:b/>
          <w:color w:val="000000"/>
          <w:kern w:val="0"/>
          <w:szCs w:val="21"/>
          <w:highlight w:val="none"/>
        </w:rPr>
        <w:t>采购方式：</w:t>
      </w:r>
      <w:r>
        <w:rPr>
          <w:rFonts w:hint="eastAsia" w:ascii="宋体" w:hAnsi="宋体" w:cs="Arial"/>
          <w:bCs/>
          <w:color w:val="000000"/>
          <w:kern w:val="0"/>
          <w:szCs w:val="21"/>
          <w:highlight w:val="none"/>
        </w:rPr>
        <w:t>公开招标（电子交易）</w:t>
      </w:r>
      <w:r>
        <w:rPr>
          <w:rFonts w:hint="eastAsia" w:ascii="宋体" w:hAnsi="宋体" w:cs="Arial"/>
          <w:bCs/>
          <w:color w:val="000000"/>
          <w:kern w:val="0"/>
          <w:szCs w:val="21"/>
          <w:highlight w:val="none"/>
          <w:lang w:eastAsia="zh-CN"/>
        </w:rPr>
        <w:tab/>
      </w:r>
    </w:p>
    <w:p>
      <w:pPr>
        <w:widowControl/>
        <w:spacing w:line="360" w:lineRule="auto"/>
        <w:ind w:firstLine="422" w:firstLineChars="200"/>
        <w:jc w:val="left"/>
        <w:rPr>
          <w:rFonts w:ascii="宋体" w:hAnsi="宋体" w:cs="Arial"/>
          <w:b/>
          <w:color w:val="000000"/>
          <w:kern w:val="0"/>
          <w:szCs w:val="21"/>
          <w:highlight w:val="none"/>
        </w:rPr>
      </w:pPr>
      <w:r>
        <w:rPr>
          <w:rFonts w:hint="eastAsia" w:ascii="宋体" w:hAnsi="宋体" w:cs="Arial"/>
          <w:b/>
          <w:color w:val="000000"/>
          <w:kern w:val="0"/>
          <w:szCs w:val="21"/>
          <w:highlight w:val="none"/>
        </w:rPr>
        <w:t>采购组织类型：分散采购-分散委托中介</w:t>
      </w:r>
    </w:p>
    <w:p>
      <w:pPr>
        <w:widowControl/>
        <w:spacing w:line="360" w:lineRule="auto"/>
        <w:ind w:firstLine="422" w:firstLineChars="200"/>
        <w:jc w:val="left"/>
        <w:rPr>
          <w:rFonts w:ascii="宋体" w:hAnsi="宋体" w:cs="Arial"/>
          <w:b/>
          <w:color w:val="000000"/>
          <w:kern w:val="0"/>
          <w:szCs w:val="21"/>
          <w:highlight w:val="none"/>
        </w:rPr>
      </w:pPr>
      <w:r>
        <w:rPr>
          <w:rFonts w:hint="eastAsia" w:ascii="宋体" w:hAnsi="宋体" w:cs="Arial"/>
          <w:b/>
          <w:color w:val="000000"/>
          <w:kern w:val="0"/>
          <w:szCs w:val="21"/>
          <w:highlight w:val="none"/>
        </w:rPr>
        <w:t>公告期限</w:t>
      </w:r>
      <w:r>
        <w:rPr>
          <w:rFonts w:ascii="宋体" w:hAnsi="宋体" w:cs="Arial"/>
          <w:b/>
          <w:color w:val="000000"/>
          <w:kern w:val="0"/>
          <w:szCs w:val="21"/>
          <w:highlight w:val="none"/>
        </w:rPr>
        <w:t>（</w:t>
      </w:r>
      <w:r>
        <w:rPr>
          <w:rFonts w:hint="eastAsia" w:ascii="宋体" w:hAnsi="宋体" w:cs="Arial"/>
          <w:b/>
          <w:color w:val="000000"/>
          <w:kern w:val="0"/>
          <w:szCs w:val="21"/>
          <w:highlight w:val="none"/>
        </w:rPr>
        <w:t>招标</w:t>
      </w:r>
      <w:r>
        <w:rPr>
          <w:rFonts w:ascii="宋体" w:hAnsi="宋体" w:cs="Arial"/>
          <w:b/>
          <w:color w:val="000000"/>
          <w:kern w:val="0"/>
          <w:szCs w:val="21"/>
          <w:highlight w:val="none"/>
        </w:rPr>
        <w:t>文件公告期限）</w:t>
      </w:r>
      <w:r>
        <w:rPr>
          <w:rFonts w:hint="eastAsia" w:ascii="宋体" w:hAnsi="宋体" w:cs="Arial"/>
          <w:b/>
          <w:color w:val="000000"/>
          <w:kern w:val="0"/>
          <w:szCs w:val="21"/>
          <w:highlight w:val="none"/>
        </w:rPr>
        <w:t>：本公告发布之日起5个工作日</w:t>
      </w:r>
    </w:p>
    <w:p>
      <w:pPr>
        <w:widowControl/>
        <w:numPr>
          <w:ilvl w:val="0"/>
          <w:numId w:val="2"/>
        </w:numPr>
        <w:spacing w:line="360" w:lineRule="auto"/>
        <w:ind w:firstLine="0"/>
        <w:jc w:val="left"/>
        <w:rPr>
          <w:rFonts w:ascii="宋体" w:hAnsi="宋体" w:cs="Arial"/>
          <w:b/>
          <w:color w:val="000000"/>
          <w:kern w:val="0"/>
          <w:szCs w:val="21"/>
          <w:highlight w:val="none"/>
        </w:rPr>
      </w:pPr>
      <w:r>
        <w:rPr>
          <w:rFonts w:hint="eastAsia" w:ascii="宋体" w:hAnsi="宋体" w:cs="Arial"/>
          <w:b/>
          <w:color w:val="000000"/>
          <w:kern w:val="0"/>
          <w:szCs w:val="21"/>
          <w:highlight w:val="none"/>
        </w:rPr>
        <w:t>招标项目概况（内容、用途、数量、简要技术要求等）：</w:t>
      </w:r>
    </w:p>
    <w:tbl>
      <w:tblPr>
        <w:tblStyle w:val="6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626"/>
        <w:gridCol w:w="651"/>
        <w:gridCol w:w="1535"/>
        <w:gridCol w:w="651"/>
        <w:gridCol w:w="3190"/>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6"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序号</w:t>
            </w:r>
          </w:p>
        </w:tc>
        <w:tc>
          <w:tcPr>
            <w:tcW w:w="1626"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olor w:val="000000"/>
                <w:szCs w:val="21"/>
                <w:highlight w:val="none"/>
              </w:rPr>
              <w:t>标项名称</w:t>
            </w:r>
          </w:p>
        </w:tc>
        <w:tc>
          <w:tcPr>
            <w:tcW w:w="651"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数量</w:t>
            </w:r>
          </w:p>
        </w:tc>
        <w:tc>
          <w:tcPr>
            <w:tcW w:w="1535"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olor w:val="000000"/>
                <w:szCs w:val="21"/>
                <w:highlight w:val="none"/>
              </w:rPr>
              <w:t>预算金额(万元)</w:t>
            </w:r>
          </w:p>
        </w:tc>
        <w:tc>
          <w:tcPr>
            <w:tcW w:w="651"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单位</w:t>
            </w:r>
          </w:p>
        </w:tc>
        <w:tc>
          <w:tcPr>
            <w:tcW w:w="3190"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简要描述</w:t>
            </w:r>
          </w:p>
        </w:tc>
        <w:tc>
          <w:tcPr>
            <w:tcW w:w="1459"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516"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1</w:t>
            </w:r>
          </w:p>
        </w:tc>
        <w:tc>
          <w:tcPr>
            <w:tcW w:w="1626"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医用智能化轨道小车物流传输设备系统</w:t>
            </w:r>
          </w:p>
        </w:tc>
        <w:tc>
          <w:tcPr>
            <w:tcW w:w="651"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1</w:t>
            </w:r>
          </w:p>
        </w:tc>
        <w:tc>
          <w:tcPr>
            <w:tcW w:w="1535"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1160.3</w:t>
            </w:r>
          </w:p>
        </w:tc>
        <w:tc>
          <w:tcPr>
            <w:tcW w:w="651"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项</w:t>
            </w:r>
          </w:p>
        </w:tc>
        <w:tc>
          <w:tcPr>
            <w:tcW w:w="3190" w:type="dxa"/>
            <w:vAlign w:val="center"/>
          </w:tcPr>
          <w:p>
            <w:pPr>
              <w:widowControl/>
              <w:spacing w:line="360" w:lineRule="auto"/>
              <w:jc w:val="center"/>
              <w:rPr>
                <w:rFonts w:ascii="宋体" w:hAnsi="宋体" w:cs="Arial"/>
                <w:color w:val="000000"/>
                <w:kern w:val="0"/>
                <w:szCs w:val="21"/>
                <w:highlight w:val="none"/>
              </w:rPr>
            </w:pPr>
            <w:r>
              <w:rPr>
                <w:rFonts w:hint="eastAsia"/>
                <w:color w:val="000000"/>
                <w:highlight w:val="none"/>
              </w:rPr>
              <w:t>包括气动管道物流传输系统（7个站点）、轨道物流传输系统（单轨站点36个、双轨站点5个，共41个站点）</w:t>
            </w:r>
          </w:p>
        </w:tc>
        <w:tc>
          <w:tcPr>
            <w:tcW w:w="1459" w:type="dxa"/>
            <w:vAlign w:val="center"/>
          </w:tcPr>
          <w:p>
            <w:pPr>
              <w:widowControl/>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具体要求详见招标文件第三章</w:t>
            </w:r>
          </w:p>
        </w:tc>
      </w:tr>
    </w:tbl>
    <w:p>
      <w:pPr>
        <w:widowControl/>
        <w:numPr>
          <w:ilvl w:val="0"/>
          <w:numId w:val="2"/>
        </w:numPr>
        <w:spacing w:line="360" w:lineRule="auto"/>
        <w:ind w:firstLine="0"/>
        <w:jc w:val="left"/>
        <w:rPr>
          <w:rFonts w:ascii="宋体" w:hAnsi="宋体" w:cs="Arial"/>
          <w:b/>
          <w:color w:val="000000"/>
          <w:kern w:val="0"/>
          <w:szCs w:val="21"/>
          <w:highlight w:val="none"/>
        </w:rPr>
      </w:pPr>
      <w:r>
        <w:rPr>
          <w:rFonts w:hint="eastAsia" w:ascii="宋体" w:hAnsi="宋体" w:cs="Arial"/>
          <w:b/>
          <w:color w:val="000000"/>
          <w:kern w:val="0"/>
          <w:szCs w:val="21"/>
          <w:highlight w:val="none"/>
        </w:rPr>
        <w:t>投标人资格要求：</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（一）基本条件</w:t>
      </w:r>
    </w:p>
    <w:p>
      <w:pPr>
        <w:widowControl/>
        <w:spacing w:line="360" w:lineRule="auto"/>
        <w:ind w:firstLine="420" w:firstLineChars="200"/>
        <w:rPr>
          <w:rFonts w:ascii="宋体" w:hAnsi="宋体" w:cs="Arial"/>
          <w:color w:val="000000"/>
          <w:kern w:val="0"/>
          <w:szCs w:val="21"/>
          <w:highlight w:val="none"/>
        </w:rPr>
      </w:pPr>
      <w:r>
        <w:rPr>
          <w:rFonts w:hint="eastAsia" w:ascii="宋体" w:hAnsi="宋体" w:cs="Arial"/>
          <w:color w:val="000000"/>
          <w:kern w:val="0"/>
          <w:szCs w:val="21"/>
          <w:highlight w:val="none"/>
        </w:rPr>
        <w:t>（1）符合《中华人民共和国政府采购法》第二十二条第一款的规定；</w:t>
      </w:r>
    </w:p>
    <w:p>
      <w:pPr>
        <w:widowControl/>
        <w:spacing w:line="360" w:lineRule="auto"/>
        <w:ind w:firstLine="420" w:firstLineChars="200"/>
        <w:rPr>
          <w:rFonts w:ascii="宋体" w:hAnsi="宋体" w:cs="Arial"/>
          <w:color w:val="000000"/>
          <w:kern w:val="0"/>
          <w:szCs w:val="21"/>
          <w:highlight w:val="none"/>
        </w:rPr>
      </w:pPr>
      <w:r>
        <w:rPr>
          <w:rFonts w:hint="eastAsia" w:ascii="宋体" w:hAnsi="宋体" w:cs="Arial"/>
          <w:color w:val="000000"/>
          <w:kern w:val="0"/>
          <w:szCs w:val="21"/>
          <w:highlight w:val="none"/>
        </w:rPr>
        <w:t>（二）特定条件</w:t>
      </w:r>
    </w:p>
    <w:p>
      <w:pPr>
        <w:widowControl/>
        <w:spacing w:line="360" w:lineRule="auto"/>
        <w:ind w:firstLine="420" w:firstLineChars="200"/>
        <w:rPr>
          <w:rFonts w:ascii="宋体" w:hAnsi="宋体" w:cs="Arial"/>
          <w:color w:val="000000"/>
          <w:kern w:val="0"/>
          <w:szCs w:val="21"/>
          <w:highlight w:val="none"/>
        </w:rPr>
      </w:pPr>
      <w:r>
        <w:rPr>
          <w:rFonts w:ascii="宋体" w:hAnsi="宋体" w:cs="Arial"/>
          <w:color w:val="000000"/>
          <w:kern w:val="0"/>
          <w:szCs w:val="21"/>
          <w:highlight w:val="none"/>
        </w:rPr>
        <w:t>（</w:t>
      </w:r>
      <w:r>
        <w:rPr>
          <w:rFonts w:hint="eastAsia" w:ascii="宋体" w:hAnsi="宋体" w:cs="Arial"/>
          <w:color w:val="000000"/>
          <w:kern w:val="0"/>
          <w:szCs w:val="21"/>
          <w:highlight w:val="none"/>
        </w:rPr>
        <w:t>1</w:t>
      </w:r>
      <w:r>
        <w:rPr>
          <w:rFonts w:ascii="宋体" w:hAnsi="宋体" w:cs="Arial"/>
          <w:color w:val="000000"/>
          <w:kern w:val="0"/>
          <w:szCs w:val="21"/>
          <w:highlight w:val="none"/>
        </w:rPr>
        <w:t>）供应商未被列入失信被执行人名单、重大税收违法案件当事人名单、政府采购严重违法失信行为记录名单，信用信息以投标截止日信用中国网站（www.creditchina.gov.cn）、中国政府采购网（www.ccgp.gov.cn）公布为准</w:t>
      </w:r>
      <w:r>
        <w:rPr>
          <w:rFonts w:hint="eastAsia" w:ascii="宋体" w:hAnsi="宋体" w:cs="Arial"/>
          <w:color w:val="000000"/>
          <w:kern w:val="0"/>
          <w:szCs w:val="21"/>
          <w:highlight w:val="none"/>
        </w:rPr>
        <w:t>。</w:t>
      </w:r>
    </w:p>
    <w:p>
      <w:pPr>
        <w:widowControl/>
        <w:spacing w:line="360" w:lineRule="auto"/>
        <w:ind w:firstLine="420" w:firstLineChars="200"/>
        <w:rPr>
          <w:rFonts w:ascii="宋体" w:hAnsi="宋体" w:cs="Arial"/>
          <w:color w:val="000000"/>
          <w:kern w:val="0"/>
          <w:szCs w:val="21"/>
          <w:highlight w:val="none"/>
        </w:rPr>
      </w:pPr>
      <w:r>
        <w:rPr>
          <w:rFonts w:hint="eastAsia" w:ascii="宋体" w:hAnsi="宋体" w:cs="Arial"/>
          <w:color w:val="000000"/>
          <w:kern w:val="0"/>
          <w:szCs w:val="21"/>
          <w:highlight w:val="none"/>
        </w:rPr>
        <w:t>（2）单位负责人为同一人或者存在直接控股、管理关系的不同供应商不得参加同一合同项下的政府采购活动。</w:t>
      </w:r>
    </w:p>
    <w:p>
      <w:pPr>
        <w:widowControl/>
        <w:spacing w:line="360" w:lineRule="auto"/>
        <w:ind w:firstLine="420" w:firstLineChars="200"/>
        <w:rPr>
          <w:rFonts w:ascii="宋体" w:hAnsi="宋体" w:cs="Arial"/>
          <w:color w:val="000000"/>
          <w:kern w:val="0"/>
          <w:szCs w:val="21"/>
          <w:highlight w:val="none"/>
        </w:rPr>
      </w:pPr>
      <w:r>
        <w:rPr>
          <w:rFonts w:hint="eastAsia" w:ascii="宋体" w:hAnsi="宋体" w:cs="Arial"/>
          <w:color w:val="000000"/>
          <w:kern w:val="0"/>
          <w:szCs w:val="21"/>
          <w:highlight w:val="none"/>
        </w:rPr>
        <w:t>（3）本项目谢绝联合体投标。</w:t>
      </w:r>
    </w:p>
    <w:p>
      <w:pPr>
        <w:widowControl/>
        <w:numPr>
          <w:ilvl w:val="0"/>
          <w:numId w:val="2"/>
        </w:numPr>
        <w:spacing w:line="360" w:lineRule="auto"/>
        <w:ind w:firstLine="0"/>
        <w:jc w:val="left"/>
        <w:rPr>
          <w:rFonts w:ascii="宋体" w:hAnsi="宋体" w:cs="Arial"/>
          <w:b/>
          <w:color w:val="000000"/>
          <w:kern w:val="0"/>
          <w:szCs w:val="21"/>
          <w:highlight w:val="none"/>
        </w:rPr>
      </w:pPr>
      <w:r>
        <w:rPr>
          <w:rFonts w:hint="eastAsia" w:ascii="宋体" w:hAnsi="宋体" w:cs="Arial"/>
          <w:b/>
          <w:color w:val="000000"/>
          <w:kern w:val="0"/>
          <w:szCs w:val="21"/>
          <w:highlight w:val="none"/>
        </w:rPr>
        <w:t>招标文件的获取：</w:t>
      </w:r>
    </w:p>
    <w:p>
      <w:pPr>
        <w:widowControl/>
        <w:numPr>
          <w:ilvl w:val="0"/>
          <w:numId w:val="3"/>
        </w:numPr>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本项目招标文件实行“政府采购云平台”在线获取，不提供招标文件纸质版。供应商获取招标文件前应先完成“政府采购云平台”的账号注册；</w:t>
      </w:r>
    </w:p>
    <w:p>
      <w:pPr>
        <w:widowControl/>
        <w:numPr>
          <w:ilvl w:val="0"/>
          <w:numId w:val="3"/>
        </w:numPr>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地点：</w:t>
      </w:r>
    </w:p>
    <w:p>
      <w:pPr>
        <w:widowControl/>
        <w:numPr>
          <w:ilvl w:val="0"/>
          <w:numId w:val="4"/>
        </w:numPr>
        <w:spacing w:line="360" w:lineRule="auto"/>
        <w:ind w:firstLine="210" w:firstLineChars="100"/>
        <w:jc w:val="left"/>
        <w:rPr>
          <w:rFonts w:ascii="宋体" w:hAnsi="宋体" w:cs="Arial"/>
          <w:bCs/>
          <w:color w:val="000000"/>
          <w:kern w:val="0"/>
          <w:szCs w:val="21"/>
          <w:highlight w:val="none"/>
        </w:rPr>
      </w:pPr>
      <w:r>
        <w:rPr>
          <w:rFonts w:hint="eastAsia" w:ascii="宋体" w:hAnsi="宋体" w:cs="Arial"/>
          <w:bCs/>
          <w:color w:val="000000"/>
          <w:kern w:val="0"/>
          <w:szCs w:val="21"/>
          <w:highlight w:val="none"/>
        </w:rPr>
        <w:t>政采云平台（</w:t>
      </w:r>
      <w:r>
        <w:rPr>
          <w:highlight w:val="none"/>
        </w:rPr>
        <w:fldChar w:fldCharType="begin"/>
      </w:r>
      <w:r>
        <w:rPr>
          <w:highlight w:val="none"/>
        </w:rPr>
        <w:instrText xml:space="preserve"> HYPERLINK "http://zfcg.czt.zj.gov.cn" </w:instrText>
      </w:r>
      <w:r>
        <w:rPr>
          <w:highlight w:val="none"/>
        </w:rPr>
        <w:fldChar w:fldCharType="separate"/>
      </w:r>
      <w:r>
        <w:rPr>
          <w:rStyle w:val="57"/>
          <w:rFonts w:hint="eastAsia" w:ascii="宋体" w:hAnsi="宋体" w:cs="Arial"/>
          <w:bCs/>
          <w:kern w:val="0"/>
          <w:szCs w:val="21"/>
          <w:highlight w:val="none"/>
        </w:rPr>
        <w:t>http://zfcg.czt.zj.gov.cn</w:t>
      </w:r>
      <w:r>
        <w:rPr>
          <w:rStyle w:val="57"/>
          <w:rFonts w:hint="eastAsia" w:ascii="宋体" w:hAnsi="宋体" w:cs="Arial"/>
          <w:bCs/>
          <w:kern w:val="0"/>
          <w:szCs w:val="21"/>
          <w:highlight w:val="none"/>
        </w:rPr>
        <w:fldChar w:fldCharType="end"/>
      </w:r>
      <w:r>
        <w:rPr>
          <w:rFonts w:hint="eastAsia" w:ascii="宋体" w:hAnsi="宋体" w:cs="Arial"/>
          <w:bCs/>
          <w:color w:val="000000"/>
          <w:kern w:val="0"/>
          <w:szCs w:val="21"/>
          <w:highlight w:val="none"/>
        </w:rPr>
        <w:t>）；</w:t>
      </w:r>
    </w:p>
    <w:p>
      <w:pPr>
        <w:widowControl/>
        <w:numPr>
          <w:ilvl w:val="0"/>
          <w:numId w:val="4"/>
        </w:numPr>
        <w:spacing w:line="360" w:lineRule="auto"/>
        <w:ind w:firstLine="210" w:firstLineChars="100"/>
        <w:jc w:val="left"/>
        <w:rPr>
          <w:rFonts w:ascii="宋体" w:hAnsi="宋体" w:cs="Arial"/>
          <w:bCs/>
          <w:color w:val="000000"/>
          <w:kern w:val="0"/>
          <w:szCs w:val="21"/>
          <w:highlight w:val="none"/>
        </w:rPr>
      </w:pPr>
      <w:r>
        <w:rPr>
          <w:rFonts w:hint="eastAsia" w:ascii="宋体" w:hAnsi="宋体" w:cs="Arial"/>
          <w:bCs/>
          <w:color w:val="000000"/>
          <w:kern w:val="0"/>
          <w:szCs w:val="21"/>
          <w:highlight w:val="none"/>
        </w:rPr>
        <w:t>供应商网上报名操作指南：“浙江政府采购网-办事指南-省采中心-网上报名”（http://www.zjzfcg.gov.cn/bs_other/2018-03-30/12002.html）。</w:t>
      </w:r>
    </w:p>
    <w:p>
      <w:pPr>
        <w:widowControl/>
        <w:numPr>
          <w:ilvl w:val="0"/>
          <w:numId w:val="3"/>
        </w:numPr>
        <w:spacing w:line="360" w:lineRule="auto"/>
        <w:ind w:firstLine="420" w:firstLineChars="200"/>
        <w:jc w:val="left"/>
        <w:rPr>
          <w:rFonts w:ascii="宋体" w:hAnsi="宋体" w:cs="Arial"/>
          <w:bCs/>
          <w:color w:val="000000"/>
          <w:kern w:val="0"/>
          <w:szCs w:val="21"/>
          <w:highlight w:val="none"/>
        </w:rPr>
      </w:pPr>
      <w:r>
        <w:rPr>
          <w:rFonts w:hint="eastAsia" w:ascii="宋体" w:hAnsi="宋体" w:cs="Arial"/>
          <w:bCs/>
          <w:color w:val="000000"/>
          <w:kern w:val="0"/>
          <w:szCs w:val="21"/>
          <w:highlight w:val="none"/>
        </w:rPr>
        <w:t>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widowControl/>
        <w:numPr>
          <w:ilvl w:val="0"/>
          <w:numId w:val="3"/>
        </w:numPr>
        <w:spacing w:line="360" w:lineRule="auto"/>
        <w:ind w:firstLine="420" w:firstLineChars="200"/>
        <w:jc w:val="left"/>
        <w:rPr>
          <w:rFonts w:ascii="宋体" w:hAnsi="宋体" w:cs="Arial"/>
          <w:bCs/>
          <w:color w:val="000000"/>
          <w:kern w:val="0"/>
          <w:szCs w:val="21"/>
          <w:highlight w:val="none"/>
        </w:rPr>
      </w:pPr>
      <w:r>
        <w:rPr>
          <w:rFonts w:hint="eastAsia" w:ascii="宋体" w:hAnsi="宋体" w:cs="Arial"/>
          <w:bCs/>
          <w:color w:val="000000"/>
          <w:kern w:val="0"/>
          <w:szCs w:val="21"/>
          <w:highlight w:val="none"/>
        </w:rPr>
        <w:t>供应商获取招标文件时须提交的文件资料：无；</w:t>
      </w:r>
    </w:p>
    <w:p>
      <w:pPr>
        <w:widowControl/>
        <w:numPr>
          <w:ilvl w:val="0"/>
          <w:numId w:val="3"/>
        </w:numPr>
        <w:spacing w:line="360" w:lineRule="auto"/>
        <w:ind w:firstLine="420" w:firstLineChars="200"/>
        <w:jc w:val="left"/>
        <w:rPr>
          <w:rFonts w:ascii="宋体" w:hAnsi="宋体" w:cs="Arial"/>
          <w:bCs/>
          <w:color w:val="000000"/>
          <w:kern w:val="0"/>
          <w:szCs w:val="21"/>
          <w:highlight w:val="none"/>
        </w:rPr>
      </w:pPr>
      <w:r>
        <w:rPr>
          <w:rFonts w:hint="eastAsia" w:ascii="宋体" w:hAnsi="宋体" w:cs="Arial"/>
          <w:bCs/>
          <w:color w:val="000000"/>
          <w:kern w:val="0"/>
          <w:szCs w:val="21"/>
          <w:highlight w:val="none"/>
        </w:rPr>
        <w:t>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pacing w:line="360" w:lineRule="auto"/>
        <w:ind w:firstLine="422" w:firstLineChars="200"/>
        <w:jc w:val="left"/>
        <w:rPr>
          <w:rFonts w:ascii="宋体" w:hAnsi="宋体" w:cs="Arial"/>
          <w:color w:val="000000"/>
          <w:kern w:val="0"/>
          <w:szCs w:val="21"/>
          <w:highlight w:val="none"/>
        </w:rPr>
      </w:pPr>
      <w:r>
        <w:rPr>
          <w:rFonts w:hint="eastAsia" w:ascii="宋体" w:hAnsi="宋体" w:cs="Arial"/>
          <w:b/>
          <w:color w:val="000000"/>
          <w:kern w:val="0"/>
          <w:szCs w:val="21"/>
          <w:highlight w:val="none"/>
        </w:rPr>
        <w:t>注：请供应商按上述要求获取招标文件，如未在“政采云”系统内完成相关流程，引起的投标无效责任自负。</w:t>
      </w:r>
    </w:p>
    <w:p>
      <w:pPr>
        <w:widowControl/>
        <w:numPr>
          <w:ilvl w:val="0"/>
          <w:numId w:val="2"/>
        </w:numPr>
        <w:spacing w:line="360" w:lineRule="auto"/>
        <w:ind w:firstLine="0"/>
        <w:jc w:val="left"/>
        <w:rPr>
          <w:rFonts w:ascii="宋体" w:hAnsi="宋体" w:cs="Arial"/>
          <w:b/>
          <w:color w:val="000000"/>
          <w:kern w:val="0"/>
          <w:szCs w:val="21"/>
          <w:highlight w:val="none"/>
        </w:rPr>
      </w:pPr>
      <w:r>
        <w:rPr>
          <w:rFonts w:hint="eastAsia" w:ascii="宋体" w:hAnsi="宋体" w:cs="Arial"/>
          <w:b/>
          <w:color w:val="000000"/>
          <w:kern w:val="0"/>
          <w:szCs w:val="21"/>
          <w:highlight w:val="none"/>
        </w:rPr>
        <w:t>投标须知：</w:t>
      </w:r>
    </w:p>
    <w:p>
      <w:pPr>
        <w:widowControl/>
        <w:numPr>
          <w:ilvl w:val="255"/>
          <w:numId w:val="0"/>
        </w:numPr>
        <w:spacing w:line="360" w:lineRule="auto"/>
        <w:ind w:firstLine="422" w:firstLineChars="200"/>
        <w:jc w:val="left"/>
        <w:rPr>
          <w:rFonts w:ascii="宋体" w:hAnsi="宋体" w:cs="Arial"/>
          <w:b/>
          <w:color w:val="000000"/>
          <w:kern w:val="0"/>
          <w:szCs w:val="21"/>
          <w:highlight w:val="none"/>
        </w:rPr>
      </w:pPr>
      <w:r>
        <w:rPr>
          <w:rFonts w:hint="eastAsia" w:ascii="宋体" w:hAnsi="宋体" w:cs="Arial"/>
          <w:b/>
          <w:color w:val="000000"/>
          <w:kern w:val="0"/>
          <w:szCs w:val="21"/>
          <w:highlight w:val="none"/>
        </w:rPr>
        <w:t>1、</w:t>
      </w:r>
      <w:r>
        <w:rPr>
          <w:rFonts w:ascii="宋体" w:hAnsi="宋体" w:cs="Arial"/>
          <w:b/>
          <w:color w:val="000000"/>
          <w:kern w:val="0"/>
          <w:szCs w:val="21"/>
          <w:highlight w:val="none"/>
        </w:rPr>
        <w:t>投标截止时间</w:t>
      </w:r>
      <w:r>
        <w:rPr>
          <w:rFonts w:hint="eastAsia" w:ascii="宋体" w:hAnsi="宋体" w:cs="Arial"/>
          <w:b/>
          <w:color w:val="000000"/>
          <w:kern w:val="0"/>
          <w:szCs w:val="21"/>
          <w:highlight w:val="none"/>
        </w:rPr>
        <w:t>及地点</w:t>
      </w:r>
      <w:r>
        <w:rPr>
          <w:rFonts w:ascii="宋体" w:hAnsi="宋体" w:cs="Arial"/>
          <w:b/>
          <w:color w:val="000000"/>
          <w:kern w:val="0"/>
          <w:szCs w:val="21"/>
          <w:highlight w:val="none"/>
        </w:rPr>
        <w:t>：</w:t>
      </w:r>
      <w:bookmarkStart w:id="11" w:name="B22_谈判响应文件提交截止日期"/>
      <w:bookmarkEnd w:id="11"/>
    </w:p>
    <w:p>
      <w:pPr>
        <w:widowControl/>
        <w:spacing w:line="360" w:lineRule="auto"/>
        <w:ind w:firstLine="420" w:firstLineChars="200"/>
        <w:jc w:val="left"/>
        <w:rPr>
          <w:rFonts w:ascii="宋体" w:hAnsi="宋体" w:cs="Arial"/>
          <w:color w:val="000000"/>
          <w:szCs w:val="21"/>
          <w:highlight w:val="none"/>
        </w:rPr>
      </w:pPr>
      <w:r>
        <w:rPr>
          <w:rFonts w:ascii="宋体" w:hAnsi="宋体" w:cs="Arial"/>
          <w:color w:val="000000"/>
          <w:kern w:val="0"/>
          <w:szCs w:val="21"/>
          <w:highlight w:val="none"/>
        </w:rPr>
        <w:t>（1）</w:t>
      </w:r>
      <w:r>
        <w:rPr>
          <w:rFonts w:hint="eastAsia" w:ascii="宋体" w:hAnsi="宋体" w:cs="Arial"/>
          <w:color w:val="000000"/>
          <w:kern w:val="0"/>
          <w:szCs w:val="21"/>
          <w:highlight w:val="none"/>
        </w:rPr>
        <w:t>时间：</w:t>
      </w:r>
      <w:r>
        <w:rPr>
          <w:rFonts w:ascii="宋体" w:hAnsi="宋体" w:cs="Arial"/>
          <w:color w:val="000000"/>
          <w:szCs w:val="21"/>
          <w:highlight w:val="none"/>
        </w:rPr>
        <w:t>2020年</w:t>
      </w:r>
      <w:r>
        <w:rPr>
          <w:rFonts w:hint="eastAsia" w:ascii="宋体" w:hAnsi="宋体" w:cs="Arial"/>
          <w:color w:val="000000"/>
          <w:szCs w:val="21"/>
          <w:highlight w:val="none"/>
          <w:lang w:val="en-US" w:eastAsia="zh-CN"/>
        </w:rPr>
        <w:t>5</w:t>
      </w:r>
      <w:r>
        <w:rPr>
          <w:rFonts w:ascii="宋体" w:hAnsi="宋体" w:cs="Arial"/>
          <w:color w:val="000000"/>
          <w:szCs w:val="21"/>
          <w:highlight w:val="none"/>
        </w:rPr>
        <w:t>月</w:t>
      </w:r>
      <w:r>
        <w:rPr>
          <w:rFonts w:hint="eastAsia" w:ascii="宋体" w:hAnsi="宋体" w:cs="Arial"/>
          <w:color w:val="000000"/>
          <w:szCs w:val="21"/>
          <w:highlight w:val="none"/>
          <w:lang w:val="en-US" w:eastAsia="zh-CN"/>
        </w:rPr>
        <w:t>22</w:t>
      </w:r>
      <w:r>
        <w:rPr>
          <w:rFonts w:ascii="宋体" w:hAnsi="宋体" w:cs="Arial"/>
          <w:color w:val="000000"/>
          <w:szCs w:val="21"/>
          <w:highlight w:val="none"/>
        </w:rPr>
        <w:t>日</w:t>
      </w:r>
      <w:r>
        <w:rPr>
          <w:rFonts w:hint="eastAsia" w:ascii="宋体" w:hAnsi="宋体" w:cs="Arial"/>
          <w:color w:val="000000"/>
          <w:szCs w:val="21"/>
          <w:highlight w:val="none"/>
        </w:rPr>
        <w:t xml:space="preserve"> 09 </w:t>
      </w:r>
      <w:r>
        <w:rPr>
          <w:rFonts w:ascii="宋体" w:hAnsi="宋体" w:cs="Arial"/>
          <w:color w:val="000000"/>
          <w:szCs w:val="21"/>
          <w:highlight w:val="none"/>
        </w:rPr>
        <w:t>时</w:t>
      </w:r>
      <w:r>
        <w:rPr>
          <w:rFonts w:hint="eastAsia" w:ascii="宋体" w:hAnsi="宋体" w:cs="Arial"/>
          <w:color w:val="000000"/>
          <w:szCs w:val="21"/>
          <w:highlight w:val="none"/>
        </w:rPr>
        <w:t xml:space="preserve">30 </w:t>
      </w:r>
      <w:r>
        <w:rPr>
          <w:rFonts w:ascii="宋体" w:hAnsi="宋体" w:cs="Arial"/>
          <w:color w:val="000000"/>
          <w:szCs w:val="21"/>
          <w:highlight w:val="none"/>
        </w:rPr>
        <w:t>分</w:t>
      </w:r>
      <w:r>
        <w:rPr>
          <w:rFonts w:hint="eastAsia" w:ascii="宋体" w:hAnsi="宋体" w:cs="Arial"/>
          <w:color w:val="000000"/>
          <w:szCs w:val="21"/>
          <w:highlight w:val="none"/>
        </w:rPr>
        <w:t>；</w:t>
      </w:r>
    </w:p>
    <w:p>
      <w:pPr>
        <w:widowControl/>
        <w:spacing w:line="360" w:lineRule="auto"/>
        <w:ind w:firstLine="420" w:firstLineChars="200"/>
        <w:jc w:val="left"/>
        <w:rPr>
          <w:rFonts w:ascii="宋体" w:hAnsi="宋体" w:cs="Arial"/>
          <w:color w:val="000000"/>
          <w:kern w:val="0"/>
          <w:szCs w:val="21"/>
          <w:highlight w:val="none"/>
        </w:rPr>
      </w:pPr>
      <w:r>
        <w:rPr>
          <w:rFonts w:ascii="宋体" w:hAnsi="宋体" w:cs="Arial"/>
          <w:color w:val="000000"/>
          <w:kern w:val="0"/>
          <w:szCs w:val="21"/>
          <w:highlight w:val="none"/>
        </w:rPr>
        <w:t>（2）</w:t>
      </w:r>
      <w:r>
        <w:rPr>
          <w:rFonts w:hint="eastAsia" w:ascii="宋体" w:hAnsi="宋体" w:cs="Arial"/>
          <w:color w:val="000000"/>
          <w:kern w:val="0"/>
          <w:szCs w:val="21"/>
          <w:highlight w:val="none"/>
        </w:rPr>
        <w:t>地点</w:t>
      </w:r>
      <w:r>
        <w:rPr>
          <w:rFonts w:ascii="宋体" w:hAnsi="宋体" w:cs="Arial"/>
          <w:color w:val="000000"/>
          <w:kern w:val="0"/>
          <w:szCs w:val="21"/>
          <w:highlight w:val="none"/>
        </w:rPr>
        <w:t>：</w:t>
      </w:r>
      <w:r>
        <w:rPr>
          <w:rFonts w:hint="eastAsia" w:ascii="宋体" w:hAnsi="宋体" w:cs="Arial"/>
          <w:color w:val="000000"/>
          <w:kern w:val="0"/>
          <w:szCs w:val="21"/>
          <w:highlight w:val="none"/>
        </w:rPr>
        <w:t>通过“政府采购云平台（www.zcygov.cn）”实行在线投标响应。</w:t>
      </w:r>
    </w:p>
    <w:p>
      <w:pPr>
        <w:widowControl/>
        <w:spacing w:line="360" w:lineRule="auto"/>
        <w:ind w:firstLine="422" w:firstLineChars="200"/>
        <w:jc w:val="left"/>
        <w:rPr>
          <w:rFonts w:ascii="宋体" w:hAnsi="宋体" w:cs="Arial"/>
          <w:b/>
          <w:color w:val="000000"/>
          <w:kern w:val="0"/>
          <w:szCs w:val="21"/>
          <w:highlight w:val="none"/>
        </w:rPr>
      </w:pPr>
      <w:r>
        <w:rPr>
          <w:rFonts w:hint="eastAsia" w:ascii="宋体" w:hAnsi="宋体" w:cs="Arial"/>
          <w:b/>
          <w:color w:val="000000"/>
          <w:kern w:val="0"/>
          <w:szCs w:val="21"/>
          <w:highlight w:val="none"/>
        </w:rPr>
        <w:t>2、开标时间及地点：</w:t>
      </w:r>
    </w:p>
    <w:p>
      <w:pPr>
        <w:widowControl/>
        <w:spacing w:line="360" w:lineRule="auto"/>
        <w:ind w:firstLine="420" w:firstLineChars="200"/>
        <w:jc w:val="left"/>
        <w:rPr>
          <w:rFonts w:ascii="宋体" w:hAnsi="宋体" w:cs="Arial"/>
          <w:color w:val="000000"/>
          <w:szCs w:val="21"/>
          <w:highlight w:val="none"/>
        </w:rPr>
      </w:pPr>
      <w:r>
        <w:rPr>
          <w:rFonts w:ascii="宋体" w:hAnsi="宋体" w:cs="Arial"/>
          <w:color w:val="000000"/>
          <w:kern w:val="0"/>
          <w:szCs w:val="21"/>
          <w:highlight w:val="none"/>
        </w:rPr>
        <w:t>（1）</w:t>
      </w:r>
      <w:r>
        <w:rPr>
          <w:rFonts w:hint="eastAsia" w:ascii="宋体" w:hAnsi="宋体" w:cs="Arial"/>
          <w:color w:val="000000"/>
          <w:kern w:val="0"/>
          <w:szCs w:val="21"/>
          <w:highlight w:val="none"/>
        </w:rPr>
        <w:t>时间：</w:t>
      </w:r>
      <w:r>
        <w:rPr>
          <w:rFonts w:ascii="宋体" w:hAnsi="宋体" w:cs="Arial"/>
          <w:color w:val="000000"/>
          <w:szCs w:val="21"/>
          <w:highlight w:val="none"/>
        </w:rPr>
        <w:t>2020年</w:t>
      </w:r>
      <w:r>
        <w:rPr>
          <w:rFonts w:hint="eastAsia" w:ascii="宋体" w:hAnsi="宋体" w:cs="Arial"/>
          <w:color w:val="000000"/>
          <w:szCs w:val="21"/>
          <w:highlight w:val="none"/>
          <w:lang w:val="en-US" w:eastAsia="zh-CN"/>
        </w:rPr>
        <w:t>5</w:t>
      </w:r>
      <w:r>
        <w:rPr>
          <w:rFonts w:ascii="宋体" w:hAnsi="宋体" w:cs="Arial"/>
          <w:color w:val="000000"/>
          <w:szCs w:val="21"/>
          <w:highlight w:val="none"/>
        </w:rPr>
        <w:t>月</w:t>
      </w:r>
      <w:r>
        <w:rPr>
          <w:rFonts w:hint="eastAsia" w:ascii="宋体" w:hAnsi="宋体" w:cs="Arial"/>
          <w:color w:val="000000"/>
          <w:szCs w:val="21"/>
          <w:highlight w:val="none"/>
          <w:lang w:val="en-US" w:eastAsia="zh-CN"/>
        </w:rPr>
        <w:t>22</w:t>
      </w:r>
      <w:r>
        <w:rPr>
          <w:rFonts w:ascii="宋体" w:hAnsi="宋体" w:cs="Arial"/>
          <w:color w:val="000000"/>
          <w:szCs w:val="21"/>
          <w:highlight w:val="none"/>
        </w:rPr>
        <w:t>日</w:t>
      </w:r>
      <w:r>
        <w:rPr>
          <w:rFonts w:hint="eastAsia" w:ascii="宋体" w:hAnsi="宋体" w:cs="Arial"/>
          <w:color w:val="000000"/>
          <w:szCs w:val="21"/>
          <w:highlight w:val="none"/>
        </w:rPr>
        <w:t>09</w:t>
      </w:r>
      <w:r>
        <w:rPr>
          <w:rFonts w:ascii="宋体" w:hAnsi="宋体" w:cs="Arial"/>
          <w:color w:val="000000"/>
          <w:szCs w:val="21"/>
          <w:highlight w:val="none"/>
        </w:rPr>
        <w:t>时</w:t>
      </w:r>
      <w:r>
        <w:rPr>
          <w:rFonts w:hint="eastAsia" w:ascii="宋体" w:hAnsi="宋体" w:cs="Arial"/>
          <w:color w:val="000000"/>
          <w:szCs w:val="21"/>
          <w:highlight w:val="none"/>
        </w:rPr>
        <w:t>30</w:t>
      </w:r>
      <w:r>
        <w:rPr>
          <w:rFonts w:ascii="宋体" w:hAnsi="宋体" w:cs="Arial"/>
          <w:color w:val="000000"/>
          <w:szCs w:val="21"/>
          <w:highlight w:val="none"/>
        </w:rPr>
        <w:t>分</w:t>
      </w:r>
      <w:r>
        <w:rPr>
          <w:rFonts w:hint="eastAsia" w:ascii="宋体" w:hAnsi="宋体" w:cs="Arial"/>
          <w:color w:val="000000"/>
          <w:szCs w:val="21"/>
          <w:highlight w:val="none"/>
        </w:rPr>
        <w:t>；</w:t>
      </w:r>
    </w:p>
    <w:p>
      <w:pPr>
        <w:widowControl/>
        <w:spacing w:line="360" w:lineRule="auto"/>
        <w:ind w:firstLine="420" w:firstLineChars="200"/>
        <w:jc w:val="left"/>
        <w:rPr>
          <w:rFonts w:ascii="宋体" w:hAnsi="宋体" w:cs="Arial"/>
          <w:color w:val="000000"/>
          <w:kern w:val="0"/>
          <w:szCs w:val="21"/>
          <w:highlight w:val="none"/>
        </w:rPr>
      </w:pPr>
      <w:r>
        <w:rPr>
          <w:rFonts w:ascii="宋体" w:hAnsi="宋体" w:cs="Arial"/>
          <w:color w:val="000000"/>
          <w:kern w:val="0"/>
          <w:szCs w:val="21"/>
          <w:highlight w:val="none"/>
        </w:rPr>
        <w:t>（2）</w:t>
      </w:r>
      <w:r>
        <w:rPr>
          <w:rFonts w:hint="eastAsia" w:ascii="宋体" w:hAnsi="宋体" w:cs="Arial"/>
          <w:color w:val="000000"/>
          <w:kern w:val="0"/>
          <w:szCs w:val="21"/>
          <w:highlight w:val="none"/>
        </w:rPr>
        <w:t>地点</w:t>
      </w:r>
      <w:r>
        <w:rPr>
          <w:rFonts w:ascii="宋体" w:hAnsi="宋体" w:cs="Arial"/>
          <w:color w:val="000000"/>
          <w:kern w:val="0"/>
          <w:szCs w:val="21"/>
          <w:highlight w:val="none"/>
        </w:rPr>
        <w:t>：</w:t>
      </w:r>
      <w:r>
        <w:rPr>
          <w:rFonts w:hint="eastAsia" w:ascii="宋体" w:hAnsi="宋体" w:cs="Arial"/>
          <w:color w:val="000000"/>
          <w:kern w:val="0"/>
          <w:szCs w:val="21"/>
          <w:highlight w:val="none"/>
        </w:rPr>
        <w:t>通过政采云平台（www.zcygov.cn）”实行在线投标响应（电子投标）。</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（3）解密截止时间：2020年</w:t>
      </w:r>
      <w:r>
        <w:rPr>
          <w:rFonts w:hint="eastAsia" w:ascii="宋体" w:hAnsi="宋体" w:cs="Arial"/>
          <w:color w:val="000000"/>
          <w:kern w:val="0"/>
          <w:szCs w:val="21"/>
          <w:highlight w:val="none"/>
          <w:lang w:val="en-US" w:eastAsia="zh-CN"/>
        </w:rPr>
        <w:t>5</w:t>
      </w:r>
      <w:r>
        <w:rPr>
          <w:rFonts w:hint="eastAsia" w:ascii="宋体" w:hAnsi="宋体" w:cs="Arial"/>
          <w:color w:val="000000"/>
          <w:kern w:val="0"/>
          <w:szCs w:val="21"/>
          <w:highlight w:val="none"/>
        </w:rPr>
        <w:t>月</w:t>
      </w:r>
      <w:r>
        <w:rPr>
          <w:rFonts w:hint="eastAsia" w:ascii="宋体" w:hAnsi="宋体" w:cs="Arial"/>
          <w:color w:val="000000"/>
          <w:kern w:val="0"/>
          <w:szCs w:val="21"/>
          <w:highlight w:val="none"/>
          <w:lang w:val="en-US" w:eastAsia="zh-CN"/>
        </w:rPr>
        <w:t>22</w:t>
      </w:r>
      <w:r>
        <w:rPr>
          <w:rFonts w:hint="eastAsia" w:ascii="宋体" w:hAnsi="宋体" w:cs="Arial"/>
          <w:color w:val="000000"/>
          <w:kern w:val="0"/>
          <w:szCs w:val="21"/>
          <w:highlight w:val="none"/>
        </w:rPr>
        <w:t>日09时30分整(请在开标当日09:00至09:30将投标文件自行完成远程解密)。投标文件未按时解密，视为放弃投标。</w:t>
      </w:r>
    </w:p>
    <w:p>
      <w:pPr>
        <w:widowControl/>
        <w:numPr>
          <w:ilvl w:val="255"/>
          <w:numId w:val="0"/>
        </w:numPr>
        <w:spacing w:line="360" w:lineRule="auto"/>
        <w:jc w:val="left"/>
        <w:rPr>
          <w:rFonts w:ascii="宋体" w:hAnsi="宋体" w:cs="Arial"/>
          <w:bCs/>
          <w:color w:val="000000"/>
          <w:kern w:val="0"/>
          <w:szCs w:val="21"/>
          <w:highlight w:val="none"/>
        </w:rPr>
      </w:pPr>
      <w:r>
        <w:rPr>
          <w:rFonts w:hint="eastAsia" w:ascii="宋体" w:hAnsi="宋体" w:cs="Arial"/>
          <w:b/>
          <w:color w:val="000000"/>
          <w:kern w:val="0"/>
          <w:szCs w:val="21"/>
          <w:highlight w:val="none"/>
        </w:rPr>
        <w:t>八、投标保证金：</w:t>
      </w:r>
      <w:r>
        <w:rPr>
          <w:rFonts w:hint="eastAsia" w:ascii="宋体" w:hAnsi="宋体" w:cs="Arial"/>
          <w:bCs/>
          <w:color w:val="000000"/>
          <w:kern w:val="0"/>
          <w:szCs w:val="21"/>
          <w:highlight w:val="none"/>
        </w:rPr>
        <w:t>根据《浙江省财政厅关于明确政府采购保证金管理工作的通知》（浙财采监〔2019〕5号）相关规定，本项目不设置投标保证金。</w:t>
      </w:r>
    </w:p>
    <w:p>
      <w:pPr>
        <w:widowControl/>
        <w:spacing w:line="360" w:lineRule="auto"/>
        <w:jc w:val="left"/>
        <w:rPr>
          <w:rFonts w:ascii="宋体" w:hAnsi="宋体" w:cs="Arial"/>
          <w:color w:val="000000"/>
          <w:kern w:val="0"/>
          <w:szCs w:val="21"/>
          <w:highlight w:val="none"/>
        </w:rPr>
      </w:pPr>
      <w:r>
        <w:rPr>
          <w:rFonts w:hint="eastAsia" w:ascii="宋体" w:hAnsi="宋体" w:cs="Arial"/>
          <w:b/>
          <w:color w:val="000000"/>
          <w:kern w:val="0"/>
          <w:szCs w:val="21"/>
          <w:highlight w:val="none"/>
        </w:rPr>
        <w:t>九、需要落实的政府采购政策：</w:t>
      </w:r>
      <w:r>
        <w:rPr>
          <w:rFonts w:hint="eastAsia" w:ascii="宋体" w:hAnsi="宋体" w:cs="Arial"/>
          <w:color w:val="000000"/>
          <w:kern w:val="0"/>
          <w:szCs w:val="21"/>
          <w:highlight w:val="none"/>
        </w:rPr>
        <w:t>包括促进中小企业发展、</w:t>
      </w:r>
      <w:r>
        <w:rPr>
          <w:rFonts w:hint="eastAsia" w:ascii="宋体" w:hAnsi="宋体"/>
          <w:szCs w:val="21"/>
          <w:highlight w:val="none"/>
        </w:rPr>
        <w:t>节能环保</w:t>
      </w:r>
      <w:r>
        <w:rPr>
          <w:rFonts w:hint="eastAsia" w:ascii="宋体" w:hAnsi="宋体" w:cs="Arial"/>
          <w:color w:val="000000"/>
          <w:kern w:val="0"/>
          <w:szCs w:val="21"/>
          <w:highlight w:val="none"/>
        </w:rPr>
        <w:t>等，详见招标文件第二章。</w:t>
      </w:r>
    </w:p>
    <w:p>
      <w:pPr>
        <w:widowControl/>
        <w:spacing w:line="360" w:lineRule="auto"/>
        <w:jc w:val="left"/>
        <w:rPr>
          <w:rFonts w:ascii="宋体" w:hAnsi="宋体" w:cs="Arial"/>
          <w:b/>
          <w:color w:val="000000"/>
          <w:kern w:val="0"/>
          <w:szCs w:val="21"/>
          <w:highlight w:val="none"/>
        </w:rPr>
      </w:pPr>
      <w:r>
        <w:rPr>
          <w:rFonts w:hint="eastAsia" w:ascii="宋体" w:hAnsi="宋体" w:cs="Arial"/>
          <w:b/>
          <w:color w:val="000000"/>
          <w:kern w:val="0"/>
          <w:szCs w:val="21"/>
          <w:highlight w:val="none"/>
        </w:rPr>
        <w:t>十、质疑和投诉：</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1、未按招标公告规定获取招标文件的潜在投标人不得对招标文件提出质疑，其投标将被拒绝；</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2、投标人认为招标文件使自己的权益受到损害的，可以自获取招标文件之日或者招标文件公告期限届满之日（在招标文件公告期限届满后获取招标文件的，以招标文件公告期限届满之日为准）起7个工作日内，以书面形式向采购人或采购代理机构提出质疑。提出质疑的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3、质疑受理</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3.1采购人质疑受理：</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接收质疑函的方式：邮寄方式/直接送达</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联系人：王先生</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联系电话：</w:t>
      </w:r>
      <w:r>
        <w:rPr>
          <w:rFonts w:hint="eastAsia" w:ascii="宋体" w:hAnsi="宋体" w:cs="Arial"/>
          <w:color w:val="000000"/>
          <w:szCs w:val="21"/>
          <w:highlight w:val="none"/>
        </w:rPr>
        <w:t>0576-84016968</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通讯地址地点：台州市黄岩区横街路218号</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3.2采购代理机构质疑受理：</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接收质疑函的方式：邮寄方式/直接送达</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联系人：总师办（钱工、冯工）</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联系电话：0571-87631297、0571-85331293</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通讯地址地点：杭州市文晖路42号现代置业大厦西楼17层1701室</w:t>
      </w:r>
    </w:p>
    <w:p>
      <w:pPr>
        <w:widowControl/>
        <w:spacing w:line="360" w:lineRule="auto"/>
        <w:jc w:val="left"/>
        <w:rPr>
          <w:rFonts w:ascii="宋体" w:hAnsi="宋体" w:cs="Arial"/>
          <w:b/>
          <w:color w:val="000000"/>
          <w:kern w:val="0"/>
          <w:szCs w:val="21"/>
          <w:highlight w:val="none"/>
        </w:rPr>
      </w:pPr>
      <w:r>
        <w:rPr>
          <w:rFonts w:ascii="宋体" w:hAnsi="宋体" w:cs="Arial"/>
          <w:b/>
          <w:color w:val="000000"/>
          <w:kern w:val="0"/>
          <w:szCs w:val="21"/>
          <w:highlight w:val="none"/>
        </w:rPr>
        <w:t>十</w:t>
      </w:r>
      <w:r>
        <w:rPr>
          <w:rFonts w:hint="eastAsia" w:ascii="宋体" w:hAnsi="宋体" w:cs="Arial"/>
          <w:b/>
          <w:color w:val="000000"/>
          <w:kern w:val="0"/>
          <w:szCs w:val="21"/>
          <w:highlight w:val="none"/>
        </w:rPr>
        <w:t>一、</w:t>
      </w:r>
      <w:r>
        <w:rPr>
          <w:rFonts w:ascii="宋体" w:hAnsi="宋体" w:cs="Arial"/>
          <w:b/>
          <w:color w:val="000000"/>
          <w:kern w:val="0"/>
          <w:szCs w:val="21"/>
          <w:highlight w:val="none"/>
        </w:rPr>
        <w:t>其他事项：</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1、电子招投标有关事项说明：</w:t>
      </w:r>
    </w:p>
    <w:p>
      <w:pPr>
        <w:widowControl/>
        <w:adjustRightInd w:val="0"/>
        <w:snapToGrid w:val="0"/>
        <w:spacing w:line="300" w:lineRule="auto"/>
        <w:ind w:firstLine="420" w:firstLineChars="200"/>
        <w:jc w:val="left"/>
        <w:rPr>
          <w:rFonts w:ascii="宋体" w:hAnsi="宋体" w:cs="Arial"/>
          <w:color w:val="000000"/>
          <w:kern w:val="0"/>
          <w:szCs w:val="21"/>
          <w:highlight w:val="none"/>
        </w:rPr>
      </w:pPr>
      <w:r>
        <w:rPr>
          <w:rFonts w:ascii="宋体" w:hAnsi="宋体" w:cs="Arial"/>
          <w:color w:val="000000"/>
          <w:kern w:val="0"/>
          <w:szCs w:val="21"/>
          <w:highlight w:val="none"/>
        </w:rPr>
        <w:t>（1）投标人应在投标前完成CA数字证书办理。（办理流程详见http://zfcg.czt.zj.gov.cn/bidClientTemplate/2019-05-27/12945.html）。</w:t>
      </w:r>
    </w:p>
    <w:p>
      <w:pPr>
        <w:widowControl/>
        <w:adjustRightInd w:val="0"/>
        <w:snapToGrid w:val="0"/>
        <w:spacing w:line="300" w:lineRule="auto"/>
        <w:ind w:firstLine="420" w:firstLineChars="200"/>
        <w:jc w:val="left"/>
        <w:rPr>
          <w:rFonts w:ascii="宋体" w:hAnsi="宋体" w:cs="Arial"/>
          <w:color w:val="000000"/>
          <w:kern w:val="0"/>
          <w:szCs w:val="21"/>
          <w:highlight w:val="none"/>
        </w:rPr>
      </w:pPr>
      <w:r>
        <w:rPr>
          <w:rFonts w:ascii="宋体" w:hAnsi="宋体" w:cs="Arial"/>
          <w:color w:val="000000"/>
          <w:kern w:val="0"/>
          <w:szCs w:val="21"/>
          <w:highlight w:val="none"/>
        </w:rPr>
        <w:t>（2）投标人应安装“政采云投标客户端”，电子投标工具请投标人自行前往浙江政府采购网下载并安装，（下载网址：http://zfcg.czt.zj.gov.cn/bidClientTemplate/2019-09-24/12975.html）。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宋体" w:hAnsi="宋体" w:cs="Arial"/>
          <w:color w:val="000000"/>
          <w:kern w:val="0"/>
          <w:szCs w:val="21"/>
          <w:highlight w:val="none"/>
        </w:rPr>
      </w:pPr>
      <w:r>
        <w:rPr>
          <w:rFonts w:ascii="宋体" w:hAnsi="宋体" w:cs="Arial"/>
          <w:color w:val="000000"/>
          <w:kern w:val="0"/>
          <w:szCs w:val="21"/>
          <w:highlight w:val="none"/>
        </w:rPr>
        <w:t>（3）电子交易具体流程详见操作指南：登录政府采购云平台（https://www.zcygov.cn/），从首页-服务中心-帮助文档-项目采购-电子招投标，查看文档和视频。</w:t>
      </w:r>
    </w:p>
    <w:p>
      <w:pPr>
        <w:widowControl/>
        <w:spacing w:line="360" w:lineRule="auto"/>
        <w:ind w:left="420"/>
        <w:jc w:val="left"/>
        <w:rPr>
          <w:rFonts w:ascii="宋体" w:hAnsi="宋体" w:cs="Arial"/>
          <w:color w:val="000000"/>
          <w:kern w:val="0"/>
          <w:szCs w:val="21"/>
          <w:highlight w:val="none"/>
        </w:rPr>
      </w:pPr>
      <w:r>
        <w:rPr>
          <w:rFonts w:ascii="宋体" w:hAnsi="宋体" w:cs="Arial"/>
          <w:color w:val="000000"/>
          <w:kern w:val="0"/>
          <w:szCs w:val="21"/>
          <w:highlight w:val="none"/>
        </w:rPr>
        <w:t>（4）</w:t>
      </w:r>
      <w:r>
        <w:rPr>
          <w:rFonts w:hint="eastAsia" w:ascii="宋体" w:hAnsi="宋体" w:cs="Arial"/>
          <w:color w:val="000000"/>
          <w:kern w:val="0"/>
          <w:szCs w:val="21"/>
          <w:highlight w:val="none"/>
        </w:rPr>
        <w:t>如有疑问，</w:t>
      </w:r>
      <w:r>
        <w:rPr>
          <w:rFonts w:ascii="宋体" w:hAnsi="宋体" w:cs="Arial"/>
          <w:color w:val="000000"/>
          <w:kern w:val="0"/>
          <w:szCs w:val="21"/>
          <w:highlight w:val="none"/>
        </w:rPr>
        <w:t>可致电政府采购云平台技术支持热线咨询，联系方式：400-881-7190。</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2、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w:t>
      </w:r>
    </w:p>
    <w:p>
      <w:pPr>
        <w:widowControl/>
        <w:spacing w:line="360" w:lineRule="auto"/>
        <w:ind w:firstLine="420" w:firstLineChars="200"/>
        <w:jc w:val="left"/>
        <w:rPr>
          <w:rFonts w:ascii="宋体" w:hAnsi="宋体" w:cs="Arial"/>
          <w:color w:val="000000"/>
          <w:kern w:val="0"/>
          <w:szCs w:val="21"/>
          <w:highlight w:val="none"/>
        </w:rPr>
      </w:pPr>
      <w:r>
        <w:rPr>
          <w:rFonts w:hint="eastAsia" w:ascii="宋体" w:hAnsi="宋体" w:cs="Arial"/>
          <w:color w:val="000000"/>
          <w:kern w:val="0"/>
          <w:szCs w:val="21"/>
          <w:highlight w:val="none"/>
        </w:rPr>
        <w:t>3、采购信息发布媒介：浙江政府采购网（http://zfcg.czt.zj.gov.cn/）；</w:t>
      </w:r>
    </w:p>
    <w:p>
      <w:pPr>
        <w:widowControl/>
        <w:spacing w:line="360" w:lineRule="auto"/>
        <w:jc w:val="left"/>
        <w:rPr>
          <w:rFonts w:ascii="宋体" w:hAnsi="宋体" w:cs="Arial"/>
          <w:b/>
          <w:color w:val="000000"/>
          <w:kern w:val="0"/>
          <w:szCs w:val="21"/>
          <w:highlight w:val="none"/>
        </w:rPr>
      </w:pPr>
      <w:r>
        <w:rPr>
          <w:rFonts w:hint="eastAsia" w:ascii="宋体" w:hAnsi="宋体" w:cs="Arial"/>
          <w:b/>
          <w:color w:val="000000"/>
          <w:kern w:val="0"/>
          <w:szCs w:val="21"/>
          <w:highlight w:val="none"/>
        </w:rPr>
        <w:t>十</w:t>
      </w:r>
      <w:r>
        <w:rPr>
          <w:rFonts w:hint="eastAsia" w:ascii="宋体" w:hAnsi="宋体" w:cs="Arial"/>
          <w:b/>
          <w:color w:val="000000"/>
          <w:kern w:val="0"/>
          <w:szCs w:val="21"/>
          <w:highlight w:val="none"/>
          <w:lang w:val="en-US" w:eastAsia="zh-CN"/>
        </w:rPr>
        <w:t>二</w:t>
      </w:r>
      <w:r>
        <w:rPr>
          <w:rFonts w:hint="eastAsia" w:ascii="宋体" w:hAnsi="宋体" w:cs="Arial"/>
          <w:b/>
          <w:color w:val="000000"/>
          <w:kern w:val="0"/>
          <w:szCs w:val="21"/>
          <w:highlight w:val="none"/>
        </w:rPr>
        <w:t>、</w:t>
      </w:r>
      <w:r>
        <w:rPr>
          <w:rFonts w:ascii="宋体" w:hAnsi="宋体" w:cs="Arial"/>
          <w:b/>
          <w:color w:val="000000"/>
          <w:kern w:val="0"/>
          <w:szCs w:val="21"/>
          <w:highlight w:val="none"/>
        </w:rPr>
        <w:t>联系方式</w:t>
      </w:r>
    </w:p>
    <w:p>
      <w:pPr>
        <w:widowControl/>
        <w:adjustRightInd w:val="0"/>
        <w:snapToGrid w:val="0"/>
        <w:spacing w:line="360" w:lineRule="auto"/>
        <w:ind w:firstLine="411" w:firstLineChars="196"/>
        <w:rPr>
          <w:rFonts w:ascii="宋体" w:hAnsi="宋体" w:cs="Arial"/>
          <w:color w:val="000000"/>
          <w:szCs w:val="21"/>
          <w:highlight w:val="none"/>
        </w:rPr>
      </w:pPr>
      <w:r>
        <w:rPr>
          <w:rFonts w:ascii="宋体" w:hAnsi="宋体" w:cs="Arial"/>
          <w:color w:val="000000"/>
          <w:kern w:val="0"/>
          <w:szCs w:val="21"/>
          <w:highlight w:val="none"/>
        </w:rPr>
        <w:t>（1）</w:t>
      </w:r>
      <w:r>
        <w:rPr>
          <w:rFonts w:hint="eastAsia" w:ascii="宋体" w:hAnsi="宋体" w:cs="Arial"/>
          <w:color w:val="000000"/>
          <w:szCs w:val="21"/>
          <w:highlight w:val="none"/>
        </w:rPr>
        <w:t>采 购 人：</w:t>
      </w:r>
      <w:r>
        <w:rPr>
          <w:rFonts w:hint="eastAsia" w:ascii="宋体" w:hAnsi="宋体" w:cs="Arial"/>
          <w:color w:val="000000"/>
          <w:kern w:val="0"/>
          <w:szCs w:val="21"/>
          <w:highlight w:val="none"/>
        </w:rPr>
        <w:t>台州市第一人民医院</w:t>
      </w:r>
    </w:p>
    <w:p>
      <w:pPr>
        <w:widowControl/>
        <w:adjustRightInd w:val="0"/>
        <w:snapToGrid w:val="0"/>
        <w:spacing w:line="360" w:lineRule="auto"/>
        <w:ind w:firstLine="934" w:firstLineChars="445"/>
        <w:rPr>
          <w:rFonts w:ascii="宋体" w:hAnsi="宋体" w:cs="Arial"/>
          <w:color w:val="000000"/>
          <w:szCs w:val="21"/>
          <w:highlight w:val="none"/>
        </w:rPr>
      </w:pPr>
      <w:r>
        <w:rPr>
          <w:rFonts w:hint="eastAsia" w:ascii="宋体" w:hAnsi="宋体" w:cs="Arial"/>
          <w:color w:val="000000"/>
          <w:szCs w:val="21"/>
          <w:highlight w:val="none"/>
        </w:rPr>
        <w:t>联 系 人：王先生</w:t>
      </w:r>
    </w:p>
    <w:p>
      <w:pPr>
        <w:widowControl/>
        <w:adjustRightInd w:val="0"/>
        <w:snapToGrid w:val="0"/>
        <w:spacing w:line="360" w:lineRule="auto"/>
        <w:ind w:firstLine="934" w:firstLineChars="445"/>
        <w:rPr>
          <w:rFonts w:ascii="宋体" w:hAnsi="宋体" w:cs="Arial"/>
          <w:color w:val="000000"/>
          <w:szCs w:val="21"/>
          <w:highlight w:val="none"/>
        </w:rPr>
      </w:pPr>
      <w:r>
        <w:rPr>
          <w:rFonts w:hint="eastAsia" w:ascii="宋体" w:hAnsi="宋体" w:cs="Arial"/>
          <w:color w:val="000000"/>
          <w:szCs w:val="21"/>
          <w:highlight w:val="none"/>
        </w:rPr>
        <w:t>联系电话：0576-84016968</w:t>
      </w:r>
      <w:bookmarkStart w:id="108" w:name="_GoBack"/>
      <w:bookmarkEnd w:id="108"/>
    </w:p>
    <w:p>
      <w:pPr>
        <w:widowControl/>
        <w:adjustRightInd w:val="0"/>
        <w:snapToGrid w:val="0"/>
        <w:spacing w:line="360" w:lineRule="auto"/>
        <w:ind w:firstLine="934" w:firstLineChars="445"/>
        <w:rPr>
          <w:rFonts w:ascii="宋体" w:hAnsi="宋体" w:cs="Arial"/>
          <w:color w:val="000000"/>
          <w:szCs w:val="21"/>
          <w:highlight w:val="none"/>
        </w:rPr>
      </w:pPr>
      <w:r>
        <w:rPr>
          <w:rFonts w:hint="eastAsia" w:ascii="宋体" w:hAnsi="宋体" w:cs="Arial"/>
          <w:color w:val="000000"/>
          <w:szCs w:val="21"/>
          <w:highlight w:val="none"/>
        </w:rPr>
        <w:t>地    点：</w:t>
      </w:r>
      <w:r>
        <w:rPr>
          <w:rFonts w:hint="eastAsia" w:ascii="宋体" w:hAnsi="宋体" w:cs="Arial"/>
          <w:color w:val="000000"/>
          <w:kern w:val="0"/>
          <w:szCs w:val="21"/>
          <w:highlight w:val="none"/>
        </w:rPr>
        <w:t>台州市黄岩区横街路218号</w:t>
      </w:r>
    </w:p>
    <w:p>
      <w:pPr>
        <w:widowControl/>
        <w:adjustRightInd w:val="0"/>
        <w:snapToGrid w:val="0"/>
        <w:spacing w:line="360" w:lineRule="auto"/>
        <w:ind w:firstLine="411" w:firstLineChars="196"/>
        <w:rPr>
          <w:rFonts w:ascii="宋体" w:hAnsi="宋体" w:cs="Arial"/>
          <w:color w:val="000000"/>
          <w:szCs w:val="21"/>
          <w:highlight w:val="none"/>
        </w:rPr>
      </w:pPr>
      <w:r>
        <w:rPr>
          <w:rFonts w:ascii="宋体" w:hAnsi="宋体" w:cs="Arial"/>
          <w:color w:val="000000"/>
          <w:kern w:val="0"/>
          <w:szCs w:val="21"/>
          <w:highlight w:val="none"/>
        </w:rPr>
        <w:t>（2）</w:t>
      </w:r>
      <w:r>
        <w:rPr>
          <w:rFonts w:hint="eastAsia" w:ascii="宋体" w:hAnsi="宋体" w:cs="Arial"/>
          <w:color w:val="000000"/>
          <w:szCs w:val="21"/>
          <w:highlight w:val="none"/>
        </w:rPr>
        <w:t>采购代理机构：浙江省成套招标代理有限公司</w:t>
      </w:r>
    </w:p>
    <w:p>
      <w:pPr>
        <w:widowControl/>
        <w:adjustRightInd w:val="0"/>
        <w:snapToGrid w:val="0"/>
        <w:spacing w:line="360" w:lineRule="auto"/>
        <w:ind w:firstLine="934" w:firstLineChars="445"/>
        <w:rPr>
          <w:rFonts w:ascii="宋体" w:hAnsi="宋体" w:cs="Arial"/>
          <w:color w:val="000000"/>
          <w:szCs w:val="21"/>
          <w:highlight w:val="none"/>
        </w:rPr>
      </w:pPr>
      <w:r>
        <w:rPr>
          <w:rFonts w:hint="eastAsia" w:ascii="宋体" w:hAnsi="宋体" w:cs="Arial"/>
          <w:color w:val="000000"/>
          <w:szCs w:val="21"/>
          <w:highlight w:val="none"/>
        </w:rPr>
        <w:t>联 系 人：刘工、吕工</w:t>
      </w:r>
    </w:p>
    <w:p>
      <w:pPr>
        <w:widowControl/>
        <w:spacing w:line="360" w:lineRule="auto"/>
        <w:ind w:firstLine="945" w:firstLineChars="450"/>
        <w:jc w:val="left"/>
        <w:rPr>
          <w:rFonts w:ascii="宋体" w:hAnsi="宋体"/>
          <w:color w:val="000000"/>
          <w:szCs w:val="21"/>
          <w:highlight w:val="none"/>
        </w:rPr>
      </w:pPr>
      <w:r>
        <w:rPr>
          <w:rFonts w:hint="eastAsia" w:ascii="宋体" w:hAnsi="宋体" w:cs="Arial"/>
          <w:color w:val="000000"/>
          <w:szCs w:val="21"/>
          <w:highlight w:val="none"/>
        </w:rPr>
        <w:t>联系电话：0571－87316201、13868116373、15657160305</w:t>
      </w:r>
      <w:r>
        <w:rPr>
          <w:rFonts w:ascii="宋体" w:hAnsi="宋体" w:cs="Arial"/>
          <w:color w:val="000000"/>
          <w:szCs w:val="21"/>
          <w:highlight w:val="none"/>
        </w:rPr>
        <w:t xml:space="preserve"> </w:t>
      </w:r>
    </w:p>
    <w:p>
      <w:pPr>
        <w:widowControl/>
        <w:adjustRightInd w:val="0"/>
        <w:snapToGrid w:val="0"/>
        <w:spacing w:line="360" w:lineRule="auto"/>
        <w:ind w:firstLine="934" w:firstLineChars="445"/>
        <w:rPr>
          <w:rFonts w:ascii="宋体" w:hAnsi="宋体" w:cs="Arial"/>
          <w:color w:val="000000"/>
          <w:szCs w:val="21"/>
          <w:highlight w:val="none"/>
        </w:rPr>
      </w:pPr>
      <w:r>
        <w:rPr>
          <w:rFonts w:hint="eastAsia" w:ascii="宋体" w:hAnsi="宋体" w:cs="Arial"/>
          <w:color w:val="000000"/>
          <w:szCs w:val="21"/>
          <w:highlight w:val="none"/>
        </w:rPr>
        <w:t>地    点：</w:t>
      </w:r>
      <w:r>
        <w:rPr>
          <w:rFonts w:ascii="宋体" w:hAnsi="宋体" w:cs="Arial"/>
          <w:color w:val="000000"/>
          <w:szCs w:val="21"/>
          <w:highlight w:val="none"/>
        </w:rPr>
        <w:t>杭州市文晖路42号现代置业大厦西楼1706室</w:t>
      </w:r>
    </w:p>
    <w:p>
      <w:pPr>
        <w:widowControl/>
        <w:snapToGrid w:val="0"/>
        <w:spacing w:line="360" w:lineRule="auto"/>
        <w:ind w:firstLine="420" w:firstLineChars="200"/>
        <w:jc w:val="left"/>
        <w:rPr>
          <w:rFonts w:ascii="宋体" w:hAnsi="宋体" w:cs="Arial"/>
          <w:color w:val="000000"/>
          <w:kern w:val="0"/>
          <w:szCs w:val="21"/>
          <w:highlight w:val="none"/>
        </w:rPr>
      </w:pPr>
      <w:r>
        <w:rPr>
          <w:rFonts w:ascii="宋体" w:hAnsi="宋体" w:cs="Arial"/>
          <w:color w:val="000000"/>
          <w:kern w:val="0"/>
          <w:szCs w:val="21"/>
          <w:highlight w:val="none"/>
        </w:rPr>
        <w:t>（3）同级政府采购</w:t>
      </w:r>
      <w:r>
        <w:rPr>
          <w:rFonts w:ascii="宋体" w:hAnsi="宋体" w:cs="Arial"/>
          <w:color w:val="000000"/>
          <w:szCs w:val="21"/>
          <w:highlight w:val="none"/>
        </w:rPr>
        <w:t>监督管理部门：台州市财政局政府采购监管处</w:t>
      </w:r>
    </w:p>
    <w:p>
      <w:pPr>
        <w:widowControl/>
        <w:snapToGrid w:val="0"/>
        <w:spacing w:line="360" w:lineRule="auto"/>
        <w:ind w:firstLine="945" w:firstLineChars="450"/>
        <w:jc w:val="left"/>
        <w:rPr>
          <w:rFonts w:ascii="宋体" w:hAnsi="宋体" w:cs="Arial"/>
          <w:color w:val="000000"/>
          <w:kern w:val="0"/>
          <w:szCs w:val="21"/>
          <w:highlight w:val="none"/>
        </w:rPr>
      </w:pPr>
      <w:r>
        <w:rPr>
          <w:rFonts w:hint="eastAsia" w:ascii="宋体" w:hAnsi="宋体" w:cs="Arial"/>
          <w:color w:val="000000"/>
          <w:szCs w:val="21"/>
          <w:highlight w:val="none"/>
        </w:rPr>
        <w:t>联 系 人：张先生</w:t>
      </w:r>
    </w:p>
    <w:p>
      <w:pPr>
        <w:widowControl/>
        <w:snapToGrid w:val="0"/>
        <w:spacing w:line="360" w:lineRule="auto"/>
        <w:ind w:firstLine="945" w:firstLineChars="450"/>
        <w:jc w:val="left"/>
        <w:rPr>
          <w:rFonts w:ascii="宋体" w:hAnsi="宋体" w:cs="Arial"/>
          <w:color w:val="000000"/>
          <w:kern w:val="0"/>
          <w:szCs w:val="21"/>
          <w:highlight w:val="none"/>
        </w:rPr>
      </w:pPr>
      <w:r>
        <w:rPr>
          <w:rFonts w:ascii="宋体" w:hAnsi="宋体" w:cs="Arial"/>
          <w:color w:val="000000"/>
          <w:kern w:val="0"/>
          <w:szCs w:val="21"/>
          <w:highlight w:val="none"/>
        </w:rPr>
        <w:t>监督投诉电话：</w:t>
      </w:r>
      <w:r>
        <w:rPr>
          <w:rFonts w:hint="eastAsia" w:ascii="宋体" w:hAnsi="宋体" w:cs="Arial"/>
          <w:color w:val="000000"/>
          <w:kern w:val="0"/>
          <w:szCs w:val="21"/>
          <w:highlight w:val="none"/>
        </w:rPr>
        <w:t>0576-88206705</w:t>
      </w:r>
    </w:p>
    <w:p>
      <w:pPr>
        <w:widowControl/>
        <w:snapToGrid w:val="0"/>
        <w:spacing w:line="360" w:lineRule="auto"/>
        <w:ind w:firstLine="945" w:firstLineChars="450"/>
        <w:jc w:val="left"/>
        <w:rPr>
          <w:rFonts w:ascii="宋体" w:hAnsi="宋体" w:cs="Arial"/>
          <w:color w:val="000000"/>
          <w:kern w:val="0"/>
          <w:szCs w:val="21"/>
          <w:highlight w:val="none"/>
        </w:rPr>
      </w:pPr>
      <w:r>
        <w:rPr>
          <w:rFonts w:hint="eastAsia" w:ascii="宋体" w:hAnsi="宋体" w:cs="Arial"/>
          <w:color w:val="000000"/>
          <w:kern w:val="0"/>
          <w:szCs w:val="21"/>
          <w:highlight w:val="none"/>
        </w:rPr>
        <w:t>传真：0576-88206705</w:t>
      </w:r>
    </w:p>
    <w:p>
      <w:pPr>
        <w:widowControl/>
        <w:snapToGrid w:val="0"/>
        <w:spacing w:line="360" w:lineRule="auto"/>
        <w:ind w:firstLine="945" w:firstLineChars="450"/>
        <w:jc w:val="left"/>
        <w:rPr>
          <w:rFonts w:ascii="宋体" w:hAnsi="宋体" w:cs="Arial"/>
          <w:color w:val="000000"/>
          <w:kern w:val="0"/>
          <w:szCs w:val="21"/>
          <w:highlight w:val="none"/>
        </w:rPr>
      </w:pPr>
      <w:r>
        <w:rPr>
          <w:rFonts w:ascii="宋体" w:hAnsi="宋体" w:cs="Arial"/>
          <w:color w:val="000000"/>
          <w:kern w:val="0"/>
          <w:szCs w:val="21"/>
          <w:highlight w:val="none"/>
        </w:rPr>
        <w:t>地址：</w:t>
      </w:r>
      <w:r>
        <w:rPr>
          <w:rFonts w:hint="eastAsia" w:ascii="宋体" w:hAnsi="宋体" w:cs="Arial"/>
          <w:color w:val="000000"/>
          <w:kern w:val="0"/>
          <w:szCs w:val="21"/>
          <w:highlight w:val="none"/>
        </w:rPr>
        <w:t>台州市纬一路66号</w:t>
      </w:r>
    </w:p>
    <w:p>
      <w:pPr>
        <w:widowControl/>
        <w:jc w:val="left"/>
        <w:rPr>
          <w:rFonts w:ascii="宋体" w:hAnsi="宋体"/>
          <w:b/>
          <w:color w:val="000000"/>
          <w:sz w:val="36"/>
          <w:szCs w:val="36"/>
          <w:highlight w:val="none"/>
        </w:rPr>
      </w:pPr>
      <w:bookmarkStart w:id="12" w:name="_Toc25000043"/>
      <w:bookmarkStart w:id="13" w:name="_Toc82873328"/>
      <w:bookmarkStart w:id="14" w:name="_Toc82338245"/>
      <w:bookmarkStart w:id="15" w:name="_Toc211745569"/>
      <w:r>
        <w:rPr>
          <w:rFonts w:ascii="宋体" w:hAnsi="宋体"/>
          <w:color w:val="000000"/>
          <w:sz w:val="36"/>
          <w:szCs w:val="36"/>
          <w:highlight w:val="none"/>
        </w:rPr>
        <w:br w:type="page"/>
      </w:r>
    </w:p>
    <w:p>
      <w:pPr>
        <w:pStyle w:val="2"/>
        <w:rPr>
          <w:rFonts w:ascii="宋体" w:hAnsi="宋体" w:eastAsia="宋体"/>
          <w:color w:val="000000"/>
          <w:sz w:val="36"/>
          <w:szCs w:val="36"/>
          <w:highlight w:val="none"/>
        </w:rPr>
      </w:pPr>
      <w:bookmarkStart w:id="16" w:name="_Toc19996_WPSOffice_Level1"/>
      <w:r>
        <w:rPr>
          <w:rFonts w:ascii="宋体" w:hAnsi="宋体" w:eastAsia="宋体"/>
          <w:color w:val="000000"/>
          <w:sz w:val="36"/>
          <w:szCs w:val="36"/>
          <w:highlight w:val="none"/>
        </w:rPr>
        <w:t>第</w:t>
      </w:r>
      <w:r>
        <w:rPr>
          <w:rFonts w:hint="eastAsia" w:ascii="宋体" w:hAnsi="宋体" w:eastAsia="宋体"/>
          <w:color w:val="000000"/>
          <w:sz w:val="36"/>
          <w:szCs w:val="36"/>
          <w:highlight w:val="none"/>
        </w:rPr>
        <w:t>二</w:t>
      </w:r>
      <w:r>
        <w:rPr>
          <w:rFonts w:ascii="宋体" w:hAnsi="宋体" w:eastAsia="宋体"/>
          <w:color w:val="000000"/>
          <w:sz w:val="36"/>
          <w:szCs w:val="36"/>
          <w:highlight w:val="none"/>
        </w:rPr>
        <w:t>章  投标人须知</w:t>
      </w:r>
      <w:bookmarkEnd w:id="12"/>
      <w:bookmarkEnd w:id="16"/>
    </w:p>
    <w:p>
      <w:pPr>
        <w:pStyle w:val="3"/>
        <w:spacing w:line="360" w:lineRule="auto"/>
        <w:ind w:firstLine="643"/>
        <w:jc w:val="center"/>
        <w:rPr>
          <w:rFonts w:ascii="宋体" w:hAnsi="宋体" w:cs="Arial"/>
          <w:color w:val="000000"/>
          <w:sz w:val="32"/>
          <w:highlight w:val="none"/>
        </w:rPr>
      </w:pPr>
      <w:r>
        <w:rPr>
          <w:rFonts w:ascii="宋体" w:hAnsi="宋体" w:cs="Arial"/>
          <w:color w:val="000000"/>
          <w:sz w:val="32"/>
          <w:highlight w:val="none"/>
        </w:rPr>
        <w:t>投标人须知前附表</w:t>
      </w:r>
    </w:p>
    <w:tbl>
      <w:tblPr>
        <w:tblStyle w:val="6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519"/>
        <w:gridCol w:w="6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投标人须知条款号</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名称</w:t>
            </w:r>
          </w:p>
        </w:tc>
        <w:tc>
          <w:tcPr>
            <w:tcW w:w="6104"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1.3</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采购人</w:t>
            </w:r>
          </w:p>
        </w:tc>
        <w:tc>
          <w:tcPr>
            <w:tcW w:w="6104" w:type="dxa"/>
            <w:vAlign w:val="center"/>
          </w:tcPr>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采 购 人</w:t>
            </w:r>
            <w:r>
              <w:rPr>
                <w:rFonts w:ascii="宋体" w:hAnsi="宋体" w:cs="Arial"/>
                <w:color w:val="000000"/>
                <w:szCs w:val="21"/>
                <w:highlight w:val="none"/>
              </w:rPr>
              <w:t>：</w:t>
            </w:r>
            <w:r>
              <w:rPr>
                <w:rFonts w:hint="eastAsia" w:ascii="宋体" w:hAnsi="宋体" w:cs="Arial"/>
                <w:color w:val="000000"/>
                <w:szCs w:val="21"/>
                <w:highlight w:val="none"/>
              </w:rPr>
              <w:t>台州市第一人民医院</w:t>
            </w:r>
          </w:p>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联 系 人：王先生</w:t>
            </w:r>
          </w:p>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联系电话：0576-84016968</w:t>
            </w:r>
          </w:p>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地    点：</w:t>
            </w:r>
            <w:r>
              <w:rPr>
                <w:rFonts w:hint="eastAsia" w:ascii="宋体" w:hAnsi="宋体" w:cs="Arial"/>
                <w:color w:val="000000"/>
                <w:kern w:val="0"/>
                <w:szCs w:val="21"/>
                <w:highlight w:val="none"/>
              </w:rPr>
              <w:t>台州市黄岩区横街路218号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1.3</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采购代理机构</w:t>
            </w:r>
          </w:p>
        </w:tc>
        <w:tc>
          <w:tcPr>
            <w:tcW w:w="6104" w:type="dxa"/>
            <w:vAlign w:val="center"/>
          </w:tcPr>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名称：浙江省成套招标代理有限公司</w:t>
            </w:r>
          </w:p>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地址：杭州市文晖路42号现代置业大厦西楼1</w:t>
            </w:r>
            <w:r>
              <w:rPr>
                <w:rFonts w:hint="eastAsia" w:ascii="宋体" w:hAnsi="宋体" w:cs="Arial"/>
                <w:color w:val="000000"/>
                <w:szCs w:val="21"/>
                <w:highlight w:val="none"/>
              </w:rPr>
              <w:t>7</w:t>
            </w:r>
            <w:r>
              <w:rPr>
                <w:rFonts w:ascii="宋体" w:hAnsi="宋体" w:cs="Arial"/>
                <w:color w:val="000000"/>
                <w:szCs w:val="21"/>
                <w:highlight w:val="none"/>
              </w:rPr>
              <w:t>0</w:t>
            </w:r>
            <w:r>
              <w:rPr>
                <w:rFonts w:hint="eastAsia" w:ascii="宋体" w:hAnsi="宋体" w:cs="Arial"/>
                <w:color w:val="000000"/>
                <w:szCs w:val="21"/>
                <w:highlight w:val="none"/>
              </w:rPr>
              <w:t>6</w:t>
            </w:r>
            <w:r>
              <w:rPr>
                <w:rFonts w:ascii="宋体" w:hAnsi="宋体" w:cs="Arial"/>
                <w:color w:val="000000"/>
                <w:szCs w:val="21"/>
                <w:highlight w:val="none"/>
              </w:rPr>
              <w:t>室</w:t>
            </w:r>
          </w:p>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联 系 人：刘工、吕工</w:t>
            </w:r>
          </w:p>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联系电话：0571－87316201、13868116373、15657160305</w:t>
            </w:r>
            <w:r>
              <w:rPr>
                <w:rFonts w:ascii="宋体" w:hAnsi="宋体" w:cs="Arial"/>
                <w:color w:val="000000"/>
                <w:szCs w:val="21"/>
                <w:highlight w:val="none"/>
              </w:rPr>
              <w:t xml:space="preserve"> </w:t>
            </w:r>
          </w:p>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kern w:val="0"/>
                <w:szCs w:val="21"/>
                <w:highlight w:val="none"/>
              </w:rPr>
              <w:t>Email：</w:t>
            </w:r>
            <w:r>
              <w:rPr>
                <w:rFonts w:hint="eastAsia" w:ascii="宋体" w:hAnsi="宋体" w:cs="Arial"/>
                <w:color w:val="000000"/>
                <w:kern w:val="0"/>
                <w:szCs w:val="21"/>
                <w:highlight w:val="none"/>
              </w:rPr>
              <w:t>liufm</w:t>
            </w:r>
            <w:r>
              <w:rPr>
                <w:rFonts w:ascii="宋体" w:hAnsi="宋体" w:cs="Arial"/>
                <w:color w:val="000000"/>
                <w:kern w:val="0"/>
                <w:szCs w:val="21"/>
                <w:highlight w:val="none"/>
              </w:rPr>
              <w:t>@</w:t>
            </w:r>
            <w:r>
              <w:rPr>
                <w:rFonts w:hint="eastAsia" w:ascii="宋体" w:hAnsi="宋体" w:cs="Arial"/>
                <w:color w:val="000000"/>
                <w:kern w:val="0"/>
                <w:szCs w:val="21"/>
                <w:highlight w:val="none"/>
              </w:rPr>
              <w:t>zjsct</w:t>
            </w:r>
            <w:r>
              <w:rPr>
                <w:rFonts w:ascii="宋体" w:hAnsi="宋体" w:cs="Arial"/>
                <w:color w:val="000000"/>
                <w:kern w:val="0"/>
                <w:szCs w:val="21"/>
                <w:highlight w:val="none"/>
              </w:rPr>
              <w:t>.c</w:t>
            </w:r>
            <w:r>
              <w:rPr>
                <w:rFonts w:hint="eastAsia" w:ascii="宋体" w:hAnsi="宋体" w:cs="Arial"/>
                <w:color w:val="000000"/>
                <w:kern w:val="0"/>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1.9</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踏勘现场</w:t>
            </w:r>
          </w:p>
        </w:tc>
        <w:tc>
          <w:tcPr>
            <w:tcW w:w="6104" w:type="dxa"/>
            <w:vAlign w:val="center"/>
          </w:tcPr>
          <w:p>
            <w:pPr>
              <w:snapToGrid w:val="0"/>
              <w:rPr>
                <w:rFonts w:ascii="宋体" w:hAnsi="宋体" w:cs="Arial"/>
                <w:color w:val="000000"/>
                <w:szCs w:val="21"/>
                <w:highlight w:val="none"/>
              </w:rPr>
            </w:pPr>
            <w:r>
              <w:rPr>
                <w:rFonts w:hint="eastAsia" w:ascii="宋体" w:hAnsi="宋体" w:cs="Arial"/>
                <w:color w:val="000000"/>
                <w:szCs w:val="21"/>
                <w:highlight w:val="none"/>
              </w:rPr>
              <w:t>采购人不组织踏勘现场。</w:t>
            </w:r>
            <w:r>
              <w:rPr>
                <w:rFonts w:ascii="宋体" w:hAnsi="宋体" w:cs="Arial"/>
                <w:color w:val="000000"/>
                <w:szCs w:val="21"/>
                <w:highlight w:val="none"/>
              </w:rPr>
              <w:t>现场踏勘期间发生的费用或意外等一切责任和损失均由投标人自</w:t>
            </w:r>
            <w:r>
              <w:rPr>
                <w:rFonts w:hint="eastAsia" w:ascii="宋体" w:hAnsi="宋体" w:cs="Arial"/>
                <w:color w:val="000000"/>
                <w:szCs w:val="21"/>
                <w:highlight w:val="none"/>
              </w:rPr>
              <w:t>负</w:t>
            </w:r>
            <w:r>
              <w:rPr>
                <w:rFonts w:ascii="宋体" w:hAnsi="宋体" w:cs="Arial"/>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1.10</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答疑会</w:t>
            </w:r>
          </w:p>
        </w:tc>
        <w:tc>
          <w:tcPr>
            <w:tcW w:w="6104" w:type="dxa"/>
            <w:vAlign w:val="center"/>
          </w:tcPr>
          <w:p>
            <w:pPr>
              <w:autoSpaceDE w:val="0"/>
              <w:autoSpaceDN w:val="0"/>
              <w:adjustRightInd w:val="0"/>
              <w:snapToGrid w:val="0"/>
              <w:ind w:right="105" w:rightChars="50"/>
              <w:rPr>
                <w:rFonts w:ascii="宋体" w:hAnsi="宋体" w:cs="Arial"/>
                <w:color w:val="000000"/>
                <w:kern w:val="0"/>
                <w:szCs w:val="21"/>
                <w:highlight w:val="none"/>
              </w:rPr>
            </w:pPr>
            <w:r>
              <w:rPr>
                <w:rFonts w:ascii="宋体" w:hAnsi="宋体" w:cs="Arial"/>
                <w:color w:val="000000"/>
                <w:kern w:val="0"/>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1.11</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分包</w:t>
            </w:r>
          </w:p>
        </w:tc>
        <w:tc>
          <w:tcPr>
            <w:tcW w:w="6104" w:type="dxa"/>
            <w:vAlign w:val="center"/>
          </w:tcPr>
          <w:p>
            <w:pPr>
              <w:autoSpaceDE w:val="0"/>
              <w:autoSpaceDN w:val="0"/>
              <w:adjustRightInd w:val="0"/>
              <w:snapToGrid w:val="0"/>
              <w:ind w:right="105" w:rightChars="50"/>
              <w:rPr>
                <w:rFonts w:ascii="宋体" w:hAnsi="宋体" w:cs="Arial"/>
                <w:color w:val="000000"/>
                <w:kern w:val="0"/>
                <w:szCs w:val="21"/>
                <w:highlight w:val="none"/>
              </w:rPr>
            </w:pPr>
            <w:r>
              <w:rPr>
                <w:rFonts w:hint="eastAsia" w:ascii="宋体" w:hAnsi="宋体" w:cs="Arial"/>
                <w:color w:val="000000"/>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3.</w:t>
            </w:r>
            <w:r>
              <w:rPr>
                <w:rFonts w:hint="eastAsia" w:ascii="宋体" w:hAnsi="宋体" w:cs="Arial"/>
                <w:color w:val="000000"/>
                <w:szCs w:val="21"/>
                <w:highlight w:val="none"/>
              </w:rPr>
              <w:t>4</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投标文件</w:t>
            </w:r>
            <w:r>
              <w:rPr>
                <w:rFonts w:hint="eastAsia" w:ascii="宋体" w:hAnsi="宋体" w:cs="Arial"/>
                <w:color w:val="000000"/>
                <w:szCs w:val="21"/>
                <w:highlight w:val="none"/>
              </w:rPr>
              <w:t>的签章</w:t>
            </w:r>
          </w:p>
        </w:tc>
        <w:tc>
          <w:tcPr>
            <w:tcW w:w="6104" w:type="dxa"/>
            <w:vAlign w:val="center"/>
          </w:tcPr>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005"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ascii="黑体" w:hAnsi="黑体" w:eastAsia="黑体" w:cs="Arial"/>
                <w:color w:val="000000"/>
                <w:szCs w:val="21"/>
                <w:highlight w:val="none"/>
              </w:rPr>
              <w:t>3.</w:t>
            </w:r>
            <w:r>
              <w:rPr>
                <w:rFonts w:hint="eastAsia" w:ascii="黑体" w:hAnsi="黑体" w:eastAsia="黑体" w:cs="Arial"/>
                <w:color w:val="000000"/>
                <w:szCs w:val="21"/>
                <w:highlight w:val="none"/>
              </w:rPr>
              <w:t>5</w:t>
            </w:r>
          </w:p>
        </w:tc>
        <w:tc>
          <w:tcPr>
            <w:tcW w:w="2519"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hint="eastAsia" w:ascii="黑体" w:hAnsi="黑体" w:eastAsia="黑体" w:cs="Arial"/>
                <w:color w:val="000000"/>
                <w:szCs w:val="21"/>
                <w:highlight w:val="none"/>
              </w:rPr>
              <w:t>投标文件的形式</w:t>
            </w:r>
          </w:p>
        </w:tc>
        <w:tc>
          <w:tcPr>
            <w:tcW w:w="6104" w:type="dxa"/>
            <w:vAlign w:val="center"/>
          </w:tcPr>
          <w:p>
            <w:pPr>
              <w:pStyle w:val="96"/>
              <w:snapToGrid w:val="0"/>
              <w:spacing w:line="240" w:lineRule="auto"/>
              <w:ind w:firstLine="0" w:firstLineChars="0"/>
              <w:rPr>
                <w:rFonts w:ascii="黑体" w:hAnsi="黑体" w:eastAsia="黑体" w:cs="Arial"/>
                <w:color w:val="000000"/>
                <w:szCs w:val="21"/>
                <w:highlight w:val="none"/>
              </w:rPr>
            </w:pPr>
            <w:r>
              <w:rPr>
                <w:rFonts w:hint="eastAsia" w:ascii="MS Gothic" w:hAnsi="MS Gothic" w:eastAsia="MS Gothic" w:cs="MS Gothic"/>
                <w:color w:val="000000"/>
                <w:szCs w:val="21"/>
                <w:highlight w:val="none"/>
              </w:rPr>
              <w:t>☑</w:t>
            </w:r>
            <w:r>
              <w:rPr>
                <w:rFonts w:hint="eastAsia" w:ascii="黑体" w:hAnsi="黑体" w:eastAsia="黑体" w:cs="黑体"/>
                <w:color w:val="000000"/>
                <w:szCs w:val="21"/>
                <w:highlight w:val="none"/>
              </w:rPr>
              <w:t>电子投标文件（包括“电子加密投标文件”和“备份投标文件”，在投标文件编制完成后同时生成）；</w:t>
            </w:r>
          </w:p>
          <w:p>
            <w:pPr>
              <w:pStyle w:val="96"/>
              <w:snapToGrid w:val="0"/>
              <w:spacing w:line="240" w:lineRule="auto"/>
              <w:ind w:firstLine="0" w:firstLineChars="0"/>
              <w:rPr>
                <w:rFonts w:ascii="黑体" w:hAnsi="黑体" w:eastAsia="黑体" w:cs="Arial"/>
                <w:color w:val="000000"/>
                <w:szCs w:val="21"/>
                <w:highlight w:val="none"/>
              </w:rPr>
            </w:pPr>
            <w:r>
              <w:rPr>
                <w:rFonts w:hint="eastAsia" w:ascii="黑体" w:hAnsi="黑体" w:eastAsia="黑体" w:cs="Arial"/>
                <w:color w:val="000000"/>
                <w:szCs w:val="21"/>
                <w:highlight w:val="none"/>
              </w:rPr>
              <w:t>（1）“电子加密投标文件”是指通过“政采云电子交易客户端”完成投标文件编制后生成并加密的数据电文形式的投标文件。</w:t>
            </w:r>
          </w:p>
          <w:p>
            <w:pPr>
              <w:pStyle w:val="96"/>
              <w:snapToGrid w:val="0"/>
              <w:spacing w:line="240" w:lineRule="auto"/>
              <w:ind w:firstLine="0" w:firstLineChars="0"/>
              <w:rPr>
                <w:rFonts w:ascii="黑体" w:hAnsi="黑体" w:eastAsia="黑体" w:cs="Arial"/>
                <w:color w:val="000000"/>
                <w:szCs w:val="21"/>
                <w:highlight w:val="none"/>
              </w:rPr>
            </w:pPr>
            <w:r>
              <w:rPr>
                <w:rFonts w:hint="eastAsia" w:ascii="黑体" w:hAnsi="黑体" w:eastAsia="黑体" w:cs="Arial"/>
                <w:color w:val="000000"/>
                <w:szCs w:val="21"/>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005"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hint="eastAsia" w:ascii="黑体" w:hAnsi="黑体" w:eastAsia="黑体" w:cs="Arial"/>
                <w:color w:val="000000"/>
                <w:szCs w:val="21"/>
                <w:highlight w:val="none"/>
              </w:rPr>
              <w:t>3.6</w:t>
            </w:r>
          </w:p>
        </w:tc>
        <w:tc>
          <w:tcPr>
            <w:tcW w:w="2519"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hint="eastAsia" w:ascii="黑体" w:hAnsi="黑体" w:eastAsia="黑体" w:cs="Arial"/>
                <w:color w:val="000000"/>
                <w:szCs w:val="21"/>
                <w:highlight w:val="none"/>
              </w:rPr>
              <w:t>投标文件的份数</w:t>
            </w:r>
          </w:p>
        </w:tc>
        <w:tc>
          <w:tcPr>
            <w:tcW w:w="6104" w:type="dxa"/>
            <w:vAlign w:val="center"/>
          </w:tcPr>
          <w:p>
            <w:pPr>
              <w:pStyle w:val="96"/>
              <w:snapToGrid w:val="0"/>
              <w:spacing w:line="240" w:lineRule="auto"/>
              <w:ind w:firstLine="0" w:firstLineChars="0"/>
              <w:rPr>
                <w:rFonts w:ascii="黑体" w:hAnsi="黑体" w:eastAsia="黑体" w:cs="Arial"/>
                <w:b/>
                <w:color w:val="000000"/>
                <w:szCs w:val="21"/>
                <w:highlight w:val="none"/>
              </w:rPr>
            </w:pPr>
            <w:r>
              <w:rPr>
                <w:rFonts w:hint="eastAsia" w:ascii="黑体" w:hAnsi="黑体" w:eastAsia="黑体" w:cs="Arial"/>
                <w:bCs/>
                <w:color w:val="000000"/>
                <w:szCs w:val="21"/>
                <w:highlight w:val="none"/>
              </w:rPr>
              <w:t>（1）“电子加密投标文件”：在线上传递交、一份。（2）“备份投标文件”：密封包装后（EMS邮寄形式）投标截止时间前递交、一份（邮寄地址：杭州市下城区文晖路42号现代置业大厦西楼1706室刘飞鸣收）。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005"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hint="eastAsia" w:ascii="黑体" w:hAnsi="黑体" w:eastAsia="黑体" w:cs="Arial"/>
                <w:color w:val="000000"/>
                <w:szCs w:val="21"/>
                <w:highlight w:val="none"/>
              </w:rPr>
              <w:t>4.1</w:t>
            </w:r>
          </w:p>
        </w:tc>
        <w:tc>
          <w:tcPr>
            <w:tcW w:w="2519"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hint="eastAsia" w:ascii="黑体" w:hAnsi="黑体" w:eastAsia="黑体" w:cs="Arial"/>
                <w:color w:val="000000"/>
                <w:szCs w:val="21"/>
                <w:highlight w:val="none"/>
              </w:rPr>
              <w:t>投标文件的上传和递交</w:t>
            </w:r>
          </w:p>
        </w:tc>
        <w:tc>
          <w:tcPr>
            <w:tcW w:w="6104" w:type="dxa"/>
            <w:vAlign w:val="center"/>
          </w:tcPr>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（1）“电子加密投标文件”的上传、递交：</w:t>
            </w:r>
          </w:p>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a.投标供应商应在投标截止时间前将“电子加密投标文件”成功上传递交至“政府采购云平台”，否则投标无效。</w:t>
            </w:r>
          </w:p>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b.“电子加密投标文件”成功上传递交后，供应商可自行打印投标文件接收回执。</w:t>
            </w:r>
          </w:p>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（2）“备份投标文件”的密封包装、递交：</w:t>
            </w:r>
          </w:p>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a.投标供应商在“政府采购云平台”完成“电子加密投标文件”的上传递交后，还可以（EMS邮寄形式）在投标截止时间前递交以介质（U盘）存储的 “备份投标文件”（一份）；</w:t>
            </w:r>
          </w:p>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b.“备份投标文件”应当密封包装，并在包装上标注投标项目名称、投标单位名称并加盖公章。没有密封包装或者逾期邮寄送达的“备份投标文件”将不予接收；</w:t>
            </w:r>
          </w:p>
          <w:p>
            <w:pPr>
              <w:pStyle w:val="96"/>
              <w:snapToGrid w:val="0"/>
              <w:spacing w:line="240" w:lineRule="auto"/>
              <w:ind w:firstLine="0" w:firstLineChars="0"/>
              <w:rPr>
                <w:rFonts w:ascii="黑体" w:hAnsi="黑体" w:eastAsia="黑体" w:cs="Arial"/>
                <w:bCs/>
                <w:color w:val="000000"/>
                <w:szCs w:val="21"/>
                <w:highlight w:val="none"/>
              </w:rPr>
            </w:pPr>
            <w:r>
              <w:rPr>
                <w:rFonts w:hint="eastAsia" w:ascii="黑体" w:hAnsi="黑体" w:eastAsia="黑体" w:cs="Arial"/>
                <w:bCs/>
                <w:color w:val="000000"/>
                <w:szCs w:val="21"/>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005"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ascii="黑体" w:hAnsi="黑体" w:eastAsia="黑体" w:cs="Arial"/>
                <w:color w:val="000000"/>
                <w:szCs w:val="21"/>
                <w:highlight w:val="none"/>
              </w:rPr>
              <w:t>4.2</w:t>
            </w:r>
          </w:p>
        </w:tc>
        <w:tc>
          <w:tcPr>
            <w:tcW w:w="2519" w:type="dxa"/>
            <w:vAlign w:val="center"/>
          </w:tcPr>
          <w:p>
            <w:pPr>
              <w:pStyle w:val="96"/>
              <w:snapToGrid w:val="0"/>
              <w:spacing w:line="240" w:lineRule="auto"/>
              <w:ind w:firstLine="0" w:firstLineChars="0"/>
              <w:jc w:val="center"/>
              <w:rPr>
                <w:rFonts w:ascii="黑体" w:hAnsi="黑体" w:eastAsia="黑体" w:cs="Arial"/>
                <w:color w:val="000000"/>
                <w:szCs w:val="21"/>
                <w:highlight w:val="none"/>
              </w:rPr>
            </w:pPr>
            <w:r>
              <w:rPr>
                <w:rFonts w:hint="eastAsia" w:ascii="黑体" w:hAnsi="黑体" w:eastAsia="黑体" w:cs="Arial"/>
                <w:color w:val="000000"/>
                <w:szCs w:val="21"/>
                <w:highlight w:val="none"/>
              </w:rPr>
              <w:t>电子加密投标文件的解密和异常情况处理</w:t>
            </w:r>
          </w:p>
        </w:tc>
        <w:tc>
          <w:tcPr>
            <w:tcW w:w="6104" w:type="dxa"/>
            <w:vAlign w:val="center"/>
          </w:tcPr>
          <w:p>
            <w:pPr>
              <w:pStyle w:val="96"/>
              <w:snapToGrid w:val="0"/>
              <w:spacing w:line="240" w:lineRule="auto"/>
              <w:ind w:firstLine="0" w:firstLineChars="0"/>
              <w:rPr>
                <w:rFonts w:ascii="黑体" w:hAnsi="黑体" w:eastAsia="黑体" w:cs="Arial"/>
                <w:color w:val="000000"/>
                <w:szCs w:val="21"/>
                <w:highlight w:val="none"/>
              </w:rPr>
            </w:pPr>
            <w:r>
              <w:rPr>
                <w:rFonts w:hint="eastAsia" w:ascii="黑体" w:hAnsi="黑体" w:eastAsia="黑体" w:cs="Arial"/>
                <w:color w:val="000000"/>
                <w:szCs w:val="21"/>
                <w:highlight w:val="none"/>
              </w:rPr>
              <w:t>（1）开标后，采购组织机构将向各投标供应商发出“电子加密投标文件”的解密通知，各投标供应商代表应当在接到解密通知后30分钟内自行完成“电子加密投标文件”的在线解密。</w:t>
            </w:r>
          </w:p>
          <w:p>
            <w:pPr>
              <w:pStyle w:val="96"/>
              <w:snapToGrid w:val="0"/>
              <w:spacing w:line="240" w:lineRule="auto"/>
              <w:ind w:firstLine="0" w:firstLineChars="0"/>
              <w:rPr>
                <w:rFonts w:ascii="黑体" w:hAnsi="黑体" w:eastAsia="黑体" w:cs="Arial"/>
                <w:color w:val="000000"/>
                <w:szCs w:val="21"/>
                <w:highlight w:val="none"/>
              </w:rPr>
            </w:pPr>
            <w:r>
              <w:rPr>
                <w:rFonts w:hint="eastAsia" w:ascii="黑体" w:hAnsi="黑体" w:eastAsia="黑体" w:cs="Arial"/>
                <w:color w:val="000000"/>
                <w:szCs w:val="21"/>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96"/>
              <w:snapToGrid w:val="0"/>
              <w:spacing w:line="240" w:lineRule="auto"/>
              <w:ind w:firstLine="0" w:firstLineChars="0"/>
              <w:rPr>
                <w:rFonts w:ascii="黑体" w:hAnsi="黑体" w:eastAsia="黑体" w:cs="Arial"/>
                <w:color w:val="000000"/>
                <w:szCs w:val="21"/>
                <w:highlight w:val="none"/>
              </w:rPr>
            </w:pPr>
            <w:r>
              <w:rPr>
                <w:rFonts w:hint="eastAsia" w:ascii="黑体" w:hAnsi="黑体" w:eastAsia="黑体" w:cs="Arial"/>
                <w:color w:val="000000"/>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4.</w:t>
            </w:r>
            <w:r>
              <w:rPr>
                <w:rFonts w:hint="eastAsia" w:ascii="宋体" w:hAnsi="宋体" w:cs="Arial"/>
                <w:color w:val="000000"/>
                <w:szCs w:val="21"/>
                <w:highlight w:val="none"/>
              </w:rPr>
              <w:t>4</w:t>
            </w:r>
            <w:r>
              <w:rPr>
                <w:rFonts w:ascii="宋体" w:hAnsi="宋体" w:cs="Arial"/>
                <w:color w:val="000000"/>
                <w:szCs w:val="21"/>
                <w:highlight w:val="none"/>
              </w:rPr>
              <w:t>.</w:t>
            </w:r>
            <w:r>
              <w:rPr>
                <w:rFonts w:hint="eastAsia" w:ascii="宋体" w:hAnsi="宋体" w:cs="Arial"/>
                <w:color w:val="000000"/>
                <w:szCs w:val="21"/>
                <w:highlight w:val="none"/>
              </w:rPr>
              <w:t>1</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投标有效期</w:t>
            </w:r>
          </w:p>
        </w:tc>
        <w:tc>
          <w:tcPr>
            <w:tcW w:w="6104" w:type="dxa"/>
            <w:vAlign w:val="center"/>
          </w:tcPr>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自投标截止时间起</w:t>
            </w:r>
            <w:r>
              <w:rPr>
                <w:rFonts w:hint="eastAsia" w:ascii="宋体" w:hAnsi="宋体" w:cs="Arial"/>
                <w:color w:val="000000"/>
                <w:szCs w:val="21"/>
                <w:highlight w:val="none"/>
              </w:rPr>
              <w:t>12</w:t>
            </w:r>
            <w:r>
              <w:rPr>
                <w:rFonts w:ascii="宋体" w:hAnsi="宋体" w:cs="Arial"/>
                <w:color w:val="000000"/>
                <w:szCs w:val="21"/>
                <w:highlight w:val="none"/>
              </w:rPr>
              <w:t>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5.1</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开标时间和地点</w:t>
            </w:r>
          </w:p>
        </w:tc>
        <w:tc>
          <w:tcPr>
            <w:tcW w:w="6104" w:type="dxa"/>
            <w:vAlign w:val="center"/>
          </w:tcPr>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按“招标公告”规定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1005"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hint="eastAsia" w:ascii="宋体" w:hAnsi="宋体" w:cs="Arial"/>
                <w:color w:val="000000"/>
                <w:szCs w:val="21"/>
                <w:highlight w:val="none"/>
              </w:rPr>
              <w:t>7.3</w:t>
            </w:r>
          </w:p>
        </w:tc>
        <w:tc>
          <w:tcPr>
            <w:tcW w:w="2519" w:type="dxa"/>
            <w:vAlign w:val="center"/>
          </w:tcPr>
          <w:p>
            <w:pPr>
              <w:pStyle w:val="96"/>
              <w:snapToGrid w:val="0"/>
              <w:spacing w:line="240" w:lineRule="auto"/>
              <w:ind w:firstLine="0" w:firstLineChars="0"/>
              <w:jc w:val="center"/>
              <w:rPr>
                <w:rFonts w:ascii="宋体" w:hAnsi="宋体" w:cs="Arial"/>
                <w:color w:val="000000"/>
                <w:szCs w:val="21"/>
                <w:highlight w:val="none"/>
              </w:rPr>
            </w:pPr>
            <w:r>
              <w:rPr>
                <w:rFonts w:ascii="宋体" w:hAnsi="宋体" w:cs="Arial"/>
                <w:color w:val="000000"/>
                <w:szCs w:val="21"/>
                <w:highlight w:val="none"/>
              </w:rPr>
              <w:t>采购代理服务费</w:t>
            </w:r>
          </w:p>
        </w:tc>
        <w:tc>
          <w:tcPr>
            <w:tcW w:w="6104" w:type="dxa"/>
            <w:vAlign w:val="center"/>
          </w:tcPr>
          <w:p>
            <w:pPr>
              <w:pStyle w:val="96"/>
              <w:snapToGrid w:val="0"/>
              <w:spacing w:line="240" w:lineRule="auto"/>
              <w:ind w:firstLine="0" w:firstLineChars="0"/>
              <w:rPr>
                <w:rFonts w:ascii="宋体" w:hAnsi="宋体" w:cs="Arial"/>
                <w:color w:val="000000"/>
                <w:szCs w:val="21"/>
                <w:highlight w:val="none"/>
              </w:rPr>
            </w:pPr>
            <w:r>
              <w:rPr>
                <w:rFonts w:hint="eastAsia" w:ascii="宋体" w:hAnsi="宋体" w:cs="Arial"/>
                <w:color w:val="000000"/>
                <w:szCs w:val="21"/>
                <w:highlight w:val="none"/>
              </w:rPr>
              <w:t>本项目的采购代理费由中标人以人民币支付，</w:t>
            </w:r>
            <w:r>
              <w:rPr>
                <w:rFonts w:hint="eastAsia" w:ascii="宋体" w:hAnsi="宋体" w:cs="宋体"/>
                <w:bCs/>
                <w:color w:val="000000"/>
                <w:szCs w:val="21"/>
                <w:highlight w:val="none"/>
              </w:rPr>
              <w:t>按国家计划委员会计价格【2002】1980号文件《招标代理服务收费管理暂行办法》规定收费标准的80%计取</w:t>
            </w:r>
            <w:r>
              <w:rPr>
                <w:rFonts w:hint="eastAsia" w:ascii="宋体" w:hAnsi="宋体" w:cs="Arial"/>
                <w:color w:val="000000"/>
                <w:szCs w:val="21"/>
                <w:highlight w:val="none"/>
              </w:rPr>
              <w:t>。结算方式及时间为：在中标通知书发出之前由中标人一次性向采购代理机构付清。</w:t>
            </w:r>
            <w:r>
              <w:rPr>
                <w:rFonts w:ascii="宋体" w:hAnsi="宋体" w:cs="Arial"/>
                <w:color w:val="000000"/>
                <w:szCs w:val="21"/>
                <w:highlight w:val="none"/>
              </w:rPr>
              <w:t>汇入以下账户 ：</w:t>
            </w:r>
          </w:p>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户 名：浙江省成套招标代理有限公司</w:t>
            </w:r>
          </w:p>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 xml:space="preserve">开 户：中信银行杭州西湖支行 </w:t>
            </w:r>
          </w:p>
          <w:p>
            <w:pPr>
              <w:pStyle w:val="96"/>
              <w:snapToGrid w:val="0"/>
              <w:spacing w:line="240" w:lineRule="auto"/>
              <w:ind w:firstLine="0" w:firstLineChars="0"/>
              <w:rPr>
                <w:rFonts w:ascii="宋体" w:hAnsi="宋体" w:cs="Arial"/>
                <w:color w:val="000000"/>
                <w:szCs w:val="21"/>
                <w:highlight w:val="none"/>
              </w:rPr>
            </w:pPr>
            <w:r>
              <w:rPr>
                <w:rFonts w:ascii="宋体" w:hAnsi="宋体" w:cs="Arial"/>
                <w:color w:val="000000"/>
                <w:szCs w:val="21"/>
                <w:highlight w:val="none"/>
              </w:rPr>
              <w:t>账 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1005" w:type="dxa"/>
            <w:vAlign w:val="center"/>
          </w:tcPr>
          <w:p>
            <w:pPr>
              <w:snapToGrid w:val="0"/>
              <w:jc w:val="center"/>
              <w:rPr>
                <w:rFonts w:ascii="宋体" w:hAnsi="宋体" w:cs="Arial"/>
                <w:color w:val="000000"/>
                <w:kern w:val="0"/>
                <w:szCs w:val="21"/>
                <w:highlight w:val="none"/>
              </w:rPr>
            </w:pPr>
            <w:r>
              <w:rPr>
                <w:rFonts w:hint="eastAsia" w:ascii="宋体" w:hAnsi="宋体" w:cs="Arial"/>
                <w:color w:val="000000"/>
                <w:kern w:val="0"/>
                <w:szCs w:val="21"/>
                <w:highlight w:val="none"/>
              </w:rPr>
              <w:t>8</w:t>
            </w:r>
          </w:p>
        </w:tc>
        <w:tc>
          <w:tcPr>
            <w:tcW w:w="2519" w:type="dxa"/>
            <w:vAlign w:val="center"/>
          </w:tcPr>
          <w:p>
            <w:pPr>
              <w:snapToGrid w:val="0"/>
              <w:jc w:val="center"/>
              <w:rPr>
                <w:rFonts w:ascii="宋体" w:hAnsi="宋体" w:cs="Arial"/>
                <w:color w:val="000000"/>
                <w:kern w:val="0"/>
                <w:szCs w:val="21"/>
                <w:highlight w:val="none"/>
              </w:rPr>
            </w:pPr>
            <w:r>
              <w:rPr>
                <w:rFonts w:ascii="宋体" w:hAnsi="宋体" w:cs="Arial"/>
                <w:color w:val="000000"/>
                <w:kern w:val="0"/>
                <w:szCs w:val="21"/>
                <w:highlight w:val="none"/>
              </w:rPr>
              <w:t>其他</w:t>
            </w:r>
          </w:p>
        </w:tc>
        <w:tc>
          <w:tcPr>
            <w:tcW w:w="6104" w:type="dxa"/>
            <w:vAlign w:val="center"/>
          </w:tcPr>
          <w:p>
            <w:pPr>
              <w:snapToGrid w:val="0"/>
              <w:rPr>
                <w:rFonts w:ascii="宋体" w:hAnsi="宋体" w:cs="Arial"/>
                <w:snapToGrid w:val="0"/>
                <w:color w:val="000000"/>
                <w:kern w:val="0"/>
                <w:szCs w:val="21"/>
                <w:highlight w:val="none"/>
              </w:rPr>
            </w:pPr>
            <w:r>
              <w:rPr>
                <w:rFonts w:ascii="宋体" w:hAnsi="宋体" w:cs="Arial"/>
                <w:snapToGrid w:val="0"/>
                <w:color w:val="000000"/>
                <w:kern w:val="0"/>
                <w:szCs w:val="21"/>
                <w:highlight w:val="none"/>
              </w:rPr>
              <w:t>1、</w:t>
            </w:r>
            <w:r>
              <w:rPr>
                <w:rFonts w:ascii="宋体" w:hAnsi="宋体" w:cs="Arial"/>
                <w:color w:val="000000"/>
                <w:szCs w:val="21"/>
                <w:highlight w:val="none"/>
              </w:rPr>
              <w:t>各投标人收到本文件后自行核对，如有缺页、错装等情况请于当日向采购代理机构提出，如未提出，所有责任及由此造成的后果由投标人自负。</w:t>
            </w:r>
          </w:p>
          <w:p>
            <w:pPr>
              <w:snapToGrid w:val="0"/>
              <w:rPr>
                <w:rFonts w:ascii="宋体" w:hAnsi="宋体" w:cs="Arial"/>
                <w:snapToGrid w:val="0"/>
                <w:color w:val="000000"/>
                <w:kern w:val="0"/>
                <w:szCs w:val="21"/>
                <w:highlight w:val="none"/>
              </w:rPr>
            </w:pPr>
            <w:r>
              <w:rPr>
                <w:rFonts w:ascii="宋体" w:hAnsi="宋体" w:cs="Arial"/>
                <w:snapToGrid w:val="0"/>
                <w:color w:val="000000"/>
                <w:kern w:val="0"/>
                <w:szCs w:val="21"/>
                <w:highlight w:val="none"/>
              </w:rPr>
              <w:t>2、请投标人仔细阅读本招标文件，其中带“</w:t>
            </w:r>
            <w:r>
              <w:rPr>
                <w:rFonts w:hint="eastAsia" w:ascii="宋体" w:hAnsi="宋体" w:cs="宋体"/>
                <w:color w:val="000000"/>
                <w:szCs w:val="21"/>
                <w:highlight w:val="none"/>
              </w:rPr>
              <w:t>▲</w:t>
            </w:r>
            <w:r>
              <w:rPr>
                <w:rFonts w:ascii="宋体" w:hAnsi="宋体" w:cs="Arial"/>
                <w:snapToGrid w:val="0"/>
                <w:color w:val="000000"/>
                <w:kern w:val="0"/>
                <w:szCs w:val="21"/>
                <w:highlight w:val="none"/>
              </w:rPr>
              <w:t>”标记的条款为实质性内容，投标人须对带“</w:t>
            </w:r>
            <w:r>
              <w:rPr>
                <w:rFonts w:hint="eastAsia" w:ascii="宋体" w:hAnsi="宋体" w:cs="宋体"/>
                <w:color w:val="000000"/>
                <w:szCs w:val="21"/>
                <w:highlight w:val="none"/>
              </w:rPr>
              <w:t>▲</w:t>
            </w:r>
            <w:r>
              <w:rPr>
                <w:rFonts w:ascii="宋体" w:hAnsi="宋体" w:cs="Arial"/>
                <w:snapToGrid w:val="0"/>
                <w:color w:val="000000"/>
                <w:kern w:val="0"/>
                <w:szCs w:val="21"/>
                <w:highlight w:val="none"/>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05" w:type="dxa"/>
            <w:vAlign w:val="center"/>
          </w:tcPr>
          <w:p>
            <w:pPr>
              <w:snapToGrid w:val="0"/>
              <w:jc w:val="center"/>
              <w:rPr>
                <w:rFonts w:ascii="宋体" w:hAnsi="宋体" w:cs="Arial"/>
                <w:color w:val="000000"/>
                <w:kern w:val="0"/>
                <w:szCs w:val="21"/>
                <w:highlight w:val="none"/>
              </w:rPr>
            </w:pPr>
            <w:r>
              <w:rPr>
                <w:rFonts w:hint="eastAsia" w:ascii="宋体" w:hAnsi="宋体" w:cs="Arial"/>
                <w:color w:val="000000"/>
                <w:kern w:val="0"/>
                <w:szCs w:val="21"/>
                <w:highlight w:val="none"/>
              </w:rPr>
              <w:t>9</w:t>
            </w:r>
          </w:p>
        </w:tc>
        <w:tc>
          <w:tcPr>
            <w:tcW w:w="2519" w:type="dxa"/>
            <w:vAlign w:val="center"/>
          </w:tcPr>
          <w:p>
            <w:pPr>
              <w:snapToGrid w:val="0"/>
              <w:jc w:val="center"/>
              <w:rPr>
                <w:rFonts w:ascii="宋体" w:hAnsi="宋体" w:cs="Arial"/>
                <w:color w:val="000000"/>
                <w:kern w:val="0"/>
                <w:szCs w:val="21"/>
                <w:highlight w:val="none"/>
              </w:rPr>
            </w:pPr>
            <w:r>
              <w:rPr>
                <w:rFonts w:hint="eastAsia" w:ascii="宋体" w:hAnsi="宋体" w:cs="Arial"/>
                <w:color w:val="000000"/>
                <w:kern w:val="0"/>
                <w:szCs w:val="21"/>
                <w:highlight w:val="none"/>
              </w:rPr>
              <w:t>其他规定</w:t>
            </w:r>
          </w:p>
        </w:tc>
        <w:tc>
          <w:tcPr>
            <w:tcW w:w="6104" w:type="dxa"/>
            <w:vAlign w:val="center"/>
          </w:tcPr>
          <w:p>
            <w:pPr>
              <w:snapToGrid w:val="0"/>
              <w:rPr>
                <w:rFonts w:ascii="宋体" w:hAnsi="宋体" w:cs="Arial"/>
                <w:color w:val="000000"/>
                <w:szCs w:val="21"/>
                <w:highlight w:val="none"/>
              </w:rPr>
            </w:pPr>
            <w:r>
              <w:rPr>
                <w:rFonts w:hint="eastAsia" w:ascii="宋体" w:hAnsi="宋体" w:cs="Arial"/>
                <w:color w:val="000000"/>
                <w:szCs w:val="21"/>
                <w:highlight w:val="none"/>
              </w:rPr>
              <w:t>根据《关于在政府采购活动中查询及使用信用记录有关问题的通知》财库[2016]125号的规定：</w:t>
            </w:r>
          </w:p>
          <w:p>
            <w:pPr>
              <w:snapToGrid w:val="0"/>
              <w:rPr>
                <w:rFonts w:ascii="宋体" w:hAnsi="宋体" w:cs="Arial"/>
                <w:color w:val="000000"/>
                <w:szCs w:val="21"/>
                <w:highlight w:val="none"/>
              </w:rPr>
            </w:pPr>
            <w:r>
              <w:rPr>
                <w:rFonts w:hint="eastAsia" w:ascii="宋体" w:hAnsi="宋体" w:cs="Arial"/>
                <w:color w:val="000000"/>
                <w:szCs w:val="21"/>
                <w:highlight w:val="none"/>
              </w:rPr>
              <w:t>（1）采购人或采购代理机构将对本项目供应商的信用记录进行查询。查询渠道为信用中国网站（www.creditchina.gov.cn）、中国政府采购网（www.ccgp.gov.cn）；</w:t>
            </w:r>
          </w:p>
          <w:p>
            <w:pPr>
              <w:snapToGrid w:val="0"/>
              <w:rPr>
                <w:rFonts w:ascii="宋体" w:hAnsi="宋体" w:cs="Arial"/>
                <w:color w:val="000000"/>
                <w:szCs w:val="21"/>
                <w:highlight w:val="none"/>
              </w:rPr>
            </w:pPr>
            <w:r>
              <w:rPr>
                <w:rFonts w:hint="eastAsia" w:ascii="宋体" w:hAnsi="宋体" w:cs="Arial"/>
                <w:color w:val="000000"/>
                <w:szCs w:val="21"/>
                <w:highlight w:val="none"/>
              </w:rPr>
              <w:t>（2）截止时点：截止提交投标文件（响应文件）时间；</w:t>
            </w:r>
          </w:p>
          <w:p>
            <w:pPr>
              <w:snapToGrid w:val="0"/>
              <w:rPr>
                <w:rFonts w:ascii="宋体" w:hAnsi="宋体" w:cs="Arial"/>
                <w:color w:val="000000"/>
                <w:szCs w:val="21"/>
                <w:highlight w:val="none"/>
              </w:rPr>
            </w:pPr>
            <w:r>
              <w:rPr>
                <w:rFonts w:hint="eastAsia" w:ascii="宋体" w:hAnsi="宋体" w:cs="Arial"/>
                <w:color w:val="000000"/>
                <w:szCs w:val="21"/>
                <w:highlight w:val="none"/>
              </w:rPr>
              <w:t>（3）查询记录和证据的留存：信用信息查询记录和证据以网页截图等方式留存。</w:t>
            </w:r>
          </w:p>
          <w:p>
            <w:pPr>
              <w:snapToGrid w:val="0"/>
              <w:rPr>
                <w:rFonts w:ascii="宋体" w:hAnsi="宋体" w:cs="Arial"/>
                <w:color w:val="000000"/>
                <w:szCs w:val="21"/>
                <w:highlight w:val="none"/>
              </w:rPr>
            </w:pPr>
            <w:r>
              <w:rPr>
                <w:rFonts w:hint="eastAsia" w:ascii="宋体" w:hAnsi="宋体" w:cs="Arial"/>
                <w:color w:val="000000"/>
                <w:szCs w:val="21"/>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rPr>
                <w:rFonts w:ascii="宋体" w:hAnsi="宋体" w:cs="Arial"/>
                <w:color w:val="000000"/>
                <w:szCs w:val="21"/>
                <w:highlight w:val="none"/>
              </w:rPr>
            </w:pPr>
            <w:r>
              <w:rPr>
                <w:rFonts w:hint="eastAsia" w:ascii="宋体" w:hAnsi="宋体" w:cs="Arial"/>
                <w:color w:val="000000"/>
                <w:szCs w:val="21"/>
                <w:highlight w:val="none"/>
              </w:rPr>
              <w:t>（5）联合体成员任意一方存在不良信用记录的，视同联合体存在不良信用记录。</w:t>
            </w:r>
          </w:p>
        </w:tc>
      </w:tr>
    </w:tbl>
    <w:p>
      <w:pPr>
        <w:pStyle w:val="3"/>
        <w:numPr>
          <w:ilvl w:val="0"/>
          <w:numId w:val="5"/>
        </w:numPr>
        <w:spacing w:line="360" w:lineRule="auto"/>
        <w:ind w:firstLineChars="0"/>
        <w:jc w:val="center"/>
        <w:rPr>
          <w:rFonts w:ascii="宋体" w:hAnsi="宋体" w:cs="Arial"/>
          <w:color w:val="000000"/>
          <w:sz w:val="32"/>
          <w:highlight w:val="none"/>
        </w:rPr>
        <w:sectPr>
          <w:headerReference r:id="rId9" w:type="first"/>
          <w:footerReference r:id="rId10" w:type="first"/>
          <w:headerReference r:id="rId8" w:type="default"/>
          <w:pgSz w:w="11906" w:h="16838"/>
          <w:pgMar w:top="1440" w:right="1247" w:bottom="1440" w:left="1247" w:header="1021" w:footer="964" w:gutter="0"/>
          <w:pgNumType w:start="1"/>
          <w:cols w:space="720" w:num="1"/>
          <w:titlePg/>
          <w:docGrid w:linePitch="312" w:charSpace="0"/>
        </w:sectPr>
      </w:pPr>
      <w:bookmarkStart w:id="17" w:name="_Toc16501221"/>
      <w:bookmarkStart w:id="18" w:name="_Toc15274354"/>
    </w:p>
    <w:p>
      <w:pPr>
        <w:pStyle w:val="3"/>
        <w:numPr>
          <w:ilvl w:val="0"/>
          <w:numId w:val="5"/>
        </w:numPr>
        <w:spacing w:line="360" w:lineRule="auto"/>
        <w:ind w:firstLineChars="0"/>
        <w:jc w:val="center"/>
        <w:rPr>
          <w:rFonts w:ascii="宋体" w:hAnsi="宋体" w:cs="Arial"/>
          <w:color w:val="000000"/>
          <w:sz w:val="32"/>
          <w:highlight w:val="none"/>
        </w:rPr>
      </w:pPr>
      <w:r>
        <w:rPr>
          <w:rFonts w:ascii="宋体" w:hAnsi="宋体" w:cs="Arial"/>
          <w:color w:val="000000"/>
          <w:sz w:val="32"/>
          <w:highlight w:val="none"/>
        </w:rPr>
        <w:t>总则</w:t>
      </w:r>
      <w:bookmarkEnd w:id="17"/>
      <w:bookmarkEnd w:id="18"/>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1.1 实施依据</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本次招标工作是按照《中华人民共和国政府采购法》等有关法律、法规、规章、文件的规定组织和实施。</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1.2 采购方式</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公开招标，是指招标采购单位依法以招标公告的方式邀请不特定的</w:t>
      </w:r>
      <w:r>
        <w:rPr>
          <w:rFonts w:hint="eastAsia" w:ascii="宋体" w:hAnsi="宋体" w:cs="Arial"/>
          <w:color w:val="000000"/>
          <w:szCs w:val="21"/>
          <w:highlight w:val="none"/>
        </w:rPr>
        <w:t>投标人</w:t>
      </w:r>
      <w:r>
        <w:rPr>
          <w:rFonts w:ascii="宋体" w:hAnsi="宋体" w:cs="Arial"/>
          <w:color w:val="000000"/>
          <w:szCs w:val="21"/>
          <w:highlight w:val="none"/>
        </w:rPr>
        <w:t>参加投标。</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1.3 定义</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采购人：是指依法进行政府采购的国家机关、事业单位、团体组织，见“投标人须知前附表”；</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采购代理机构：受采购人委托，在委托的范围内办理政府采购事宜的机构，见“投标人须知前附表”；</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采购组织机构：指采购人和受采购人委托的采购代理机构；</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投标人</w:t>
      </w:r>
      <w:r>
        <w:rPr>
          <w:rFonts w:ascii="宋体" w:hAnsi="宋体" w:cs="Arial"/>
          <w:color w:val="000000"/>
          <w:szCs w:val="21"/>
          <w:highlight w:val="none"/>
        </w:rPr>
        <w:t>：</w:t>
      </w:r>
      <w:r>
        <w:rPr>
          <w:rFonts w:hint="eastAsia" w:ascii="宋体" w:hAnsi="宋体"/>
          <w:color w:val="000000"/>
          <w:szCs w:val="21"/>
          <w:highlight w:val="none"/>
        </w:rPr>
        <w:t>是指响应招标、参加投标竞争的法人、其他组织或者自然人</w:t>
      </w:r>
      <w:r>
        <w:rPr>
          <w:rFonts w:ascii="宋体" w:hAnsi="宋体" w:cs="Arial"/>
          <w:color w:val="000000"/>
          <w:szCs w:val="21"/>
          <w:highlight w:val="none"/>
        </w:rPr>
        <w:t>；</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投标人代表：是指参加本项目投标活动的</w:t>
      </w:r>
      <w:r>
        <w:rPr>
          <w:rFonts w:hint="eastAsia" w:ascii="宋体" w:hAnsi="宋体" w:cs="Arial"/>
          <w:color w:val="000000"/>
          <w:szCs w:val="21"/>
          <w:highlight w:val="none"/>
        </w:rPr>
        <w:t>投标人</w:t>
      </w:r>
      <w:r>
        <w:rPr>
          <w:rFonts w:ascii="宋体" w:hAnsi="宋体" w:cs="Arial"/>
          <w:color w:val="000000"/>
          <w:szCs w:val="21"/>
          <w:highlight w:val="none"/>
        </w:rPr>
        <w:t>法定代表人或法定代表人授权代表；</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甲方：是指合同签订的一方，一般与采购人、用户相同；</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乙方：是指合同签订的另一方，与中标人相同；</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同级政府采购监督管理部门：台州市财政局政府采购监管处；</w:t>
      </w:r>
    </w:p>
    <w:p>
      <w:pPr>
        <w:pStyle w:val="96"/>
        <w:spacing w:line="360" w:lineRule="auto"/>
        <w:ind w:firstLine="420"/>
        <w:rPr>
          <w:rFonts w:ascii="宋体" w:hAnsi="宋体" w:cs="Arial"/>
          <w:color w:val="000000"/>
          <w:szCs w:val="21"/>
          <w:highlight w:val="none"/>
        </w:rPr>
      </w:pPr>
      <w:r>
        <w:rPr>
          <w:rFonts w:hint="eastAsia" w:ascii="宋体" w:hAnsi="宋体"/>
          <w:color w:val="000000"/>
          <w:szCs w:val="21"/>
          <w:highlight w:val="none"/>
        </w:rPr>
        <w:t>“▲” ：指实质性要求条款。</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1.4</w:t>
      </w:r>
      <w:r>
        <w:rPr>
          <w:rFonts w:hint="eastAsia" w:ascii="宋体" w:hAnsi="宋体" w:cs="Arial"/>
          <w:color w:val="000000"/>
          <w:szCs w:val="21"/>
          <w:highlight w:val="none"/>
        </w:rPr>
        <w:t xml:space="preserve"> </w:t>
      </w:r>
      <w:r>
        <w:rPr>
          <w:rFonts w:hint="eastAsia" w:ascii="宋体" w:hAnsi="宋体"/>
          <w:color w:val="000000"/>
          <w:szCs w:val="21"/>
          <w:highlight w:val="none"/>
        </w:rPr>
        <w:t>采购项目需要落实的政府采购政策</w:t>
      </w:r>
    </w:p>
    <w:p>
      <w:pPr>
        <w:spacing w:line="360" w:lineRule="auto"/>
        <w:ind w:firstLine="420" w:firstLineChars="200"/>
        <w:rPr>
          <w:rFonts w:ascii="宋体" w:hAnsi="宋体"/>
          <w:szCs w:val="21"/>
          <w:highlight w:val="none"/>
        </w:rPr>
      </w:pPr>
      <w:r>
        <w:rPr>
          <w:rFonts w:hint="eastAsia" w:ascii="宋体" w:hAnsi="宋体"/>
          <w:color w:val="000000"/>
          <w:szCs w:val="21"/>
          <w:highlight w:val="none"/>
        </w:rPr>
        <w:t>1.4.1</w:t>
      </w:r>
      <w:r>
        <w:rPr>
          <w:rFonts w:hint="eastAsia" w:ascii="宋体" w:hAnsi="宋体"/>
          <w:szCs w:val="21"/>
          <w:highlight w:val="none"/>
        </w:rPr>
        <w:t xml:space="preserve">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20" w:firstLineChars="200"/>
        <w:rPr>
          <w:rFonts w:ascii="宋体" w:hAnsi="宋体"/>
          <w:szCs w:val="21"/>
          <w:highlight w:val="none"/>
        </w:rPr>
      </w:pPr>
      <w:r>
        <w:rPr>
          <w:rFonts w:hint="eastAsia" w:ascii="宋体" w:hAnsi="宋体"/>
          <w:color w:val="000000"/>
          <w:szCs w:val="21"/>
          <w:highlight w:val="none"/>
        </w:rPr>
        <w:t>1.4.2</w:t>
      </w:r>
      <w:r>
        <w:rPr>
          <w:rFonts w:hint="eastAsia" w:ascii="宋体" w:hAnsi="宋体"/>
          <w:szCs w:val="21"/>
          <w:highlight w:val="none"/>
        </w:rPr>
        <w:t>节能环保要求</w:t>
      </w:r>
    </w:p>
    <w:p>
      <w:pPr>
        <w:spacing w:line="360" w:lineRule="auto"/>
        <w:ind w:firstLine="420" w:firstLineChars="200"/>
        <w:rPr>
          <w:rFonts w:ascii="宋体" w:hAnsi="宋体"/>
          <w:szCs w:val="21"/>
          <w:highlight w:val="none"/>
        </w:rPr>
      </w:pPr>
      <w:r>
        <w:rPr>
          <w:rFonts w:hint="eastAsia" w:ascii="宋体" w:hAnsi="宋体"/>
          <w:bCs/>
          <w:color w:val="000000"/>
          <w:szCs w:val="21"/>
          <w:highlight w:val="none"/>
        </w:rPr>
        <w:t>（1）</w:t>
      </w:r>
      <w:r>
        <w:rPr>
          <w:rFonts w:ascii="宋体" w:hAnsi="宋体"/>
          <w:szCs w:val="21"/>
          <w:highlight w:val="none"/>
        </w:rPr>
        <w:t>采购人拟采购的产品属于品目清单范围的，采购人及其委托的采购代理机构</w:t>
      </w:r>
      <w:r>
        <w:rPr>
          <w:rFonts w:hint="eastAsia" w:ascii="宋体" w:hAnsi="宋体"/>
          <w:szCs w:val="21"/>
          <w:highlight w:val="none"/>
        </w:rPr>
        <w:t>将</w:t>
      </w:r>
      <w:r>
        <w:rPr>
          <w:rFonts w:ascii="宋体" w:hAnsi="宋体"/>
          <w:szCs w:val="21"/>
          <w:highlight w:val="none"/>
        </w:rPr>
        <w:t>依据国家确定的认证机构出具的、处于有效期之内的节能产品、环境标志产品认证证书，对获得证书的产品实施政府优先采购或强制采购。</w:t>
      </w:r>
      <w:r>
        <w:rPr>
          <w:rFonts w:hint="eastAsia" w:ascii="宋体" w:hAnsi="宋体"/>
          <w:szCs w:val="21"/>
          <w:highlight w:val="none"/>
        </w:rPr>
        <w:t>投标人须按招标文件要求提供相关产品认证证书。</w:t>
      </w:r>
    </w:p>
    <w:p>
      <w:pPr>
        <w:spacing w:line="360" w:lineRule="auto"/>
        <w:ind w:firstLine="422" w:firstLineChars="200"/>
        <w:rPr>
          <w:rFonts w:ascii="黑体" w:hAnsi="黑体" w:eastAsia="黑体" w:cs="黑体"/>
          <w:color w:val="000000"/>
          <w:szCs w:val="21"/>
          <w:highlight w:val="none"/>
        </w:rPr>
      </w:pPr>
      <w:r>
        <w:rPr>
          <w:rFonts w:hint="eastAsia" w:ascii="黑体" w:hAnsi="黑体" w:eastAsia="黑体" w:cs="黑体"/>
          <w:b/>
          <w:szCs w:val="21"/>
          <w:highlight w:val="none"/>
        </w:rPr>
        <w:t>▲</w:t>
      </w:r>
      <w:r>
        <w:rPr>
          <w:rFonts w:hint="eastAsia" w:ascii="黑体" w:hAnsi="黑体" w:eastAsia="黑体" w:cs="黑体"/>
          <w:bCs/>
          <w:color w:val="000000"/>
          <w:szCs w:val="21"/>
          <w:highlight w:val="none"/>
        </w:rPr>
        <w:t>（2）</w:t>
      </w:r>
      <w:r>
        <w:rPr>
          <w:rFonts w:hint="eastAsia" w:ascii="黑体" w:hAnsi="黑体" w:eastAsia="黑体" w:cs="黑体"/>
          <w:b/>
          <w:szCs w:val="21"/>
          <w:highlight w:val="none"/>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1.4.3</w:t>
      </w:r>
      <w:r>
        <w:rPr>
          <w:rFonts w:hint="eastAsia" w:ascii="宋体" w:hAnsi="宋体"/>
          <w:bCs/>
          <w:szCs w:val="21"/>
          <w:highlight w:val="none"/>
        </w:rPr>
        <w:t>小型、微型</w:t>
      </w:r>
      <w:r>
        <w:rPr>
          <w:rFonts w:hint="eastAsia" w:ascii="宋体" w:hAnsi="宋体"/>
          <w:szCs w:val="21"/>
          <w:highlight w:val="none"/>
        </w:rPr>
        <w:t>企业价格扣除。</w:t>
      </w:r>
    </w:p>
    <w:p>
      <w:pPr>
        <w:spacing w:line="360" w:lineRule="auto"/>
        <w:ind w:firstLine="420" w:firstLineChars="200"/>
        <w:rPr>
          <w:rFonts w:ascii="宋体" w:hAnsi="宋体"/>
          <w:bCs/>
          <w:color w:val="000000"/>
          <w:szCs w:val="21"/>
          <w:highlight w:val="none"/>
        </w:rPr>
      </w:pPr>
      <w:r>
        <w:rPr>
          <w:rFonts w:hint="eastAsia" w:ascii="宋体" w:hAnsi="宋体"/>
          <w:bCs/>
          <w:color w:val="000000"/>
          <w:szCs w:val="21"/>
          <w:highlight w:val="none"/>
        </w:rPr>
        <w:t>（1）小型、微型企业应当同时符合以下条件：</w:t>
      </w:r>
    </w:p>
    <w:p>
      <w:pPr>
        <w:spacing w:line="360" w:lineRule="auto"/>
        <w:ind w:firstLine="420" w:firstLineChars="200"/>
        <w:rPr>
          <w:rFonts w:ascii="宋体" w:hAnsi="宋体"/>
          <w:bCs/>
          <w:color w:val="000000"/>
          <w:szCs w:val="21"/>
          <w:highlight w:val="none"/>
        </w:rPr>
      </w:pPr>
      <w:r>
        <w:rPr>
          <w:rFonts w:hint="eastAsia" w:ascii="宋体" w:hAnsi="宋体"/>
          <w:bCs/>
          <w:color w:val="000000"/>
          <w:szCs w:val="21"/>
          <w:highlight w:val="none"/>
        </w:rPr>
        <w:t>①符合中小企业划分标准；</w:t>
      </w:r>
    </w:p>
    <w:p>
      <w:pPr>
        <w:spacing w:line="360" w:lineRule="auto"/>
        <w:ind w:firstLine="420" w:firstLineChars="200"/>
        <w:rPr>
          <w:rFonts w:ascii="宋体" w:hAnsi="宋体"/>
          <w:bCs/>
          <w:color w:val="000000"/>
          <w:szCs w:val="21"/>
          <w:highlight w:val="none"/>
        </w:rPr>
      </w:pPr>
      <w:r>
        <w:rPr>
          <w:rFonts w:hint="eastAsia" w:ascii="宋体" w:hAnsi="宋体"/>
          <w:bCs/>
          <w:color w:val="000000"/>
          <w:szCs w:val="21"/>
          <w:highlight w:val="none"/>
        </w:rPr>
        <w:t>②提供本企业制造的货物、承担的工程或者服务，或者提供其他小型、微型企业制造的货物。本项所称货物不包括使用大型企业注册商标的货物。小型、微型企业提供中型企业制造的货物的，视同为中型企业。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20" w:firstLineChars="200"/>
        <w:rPr>
          <w:rFonts w:ascii="宋体" w:hAnsi="宋体"/>
          <w:color w:val="000000"/>
          <w:szCs w:val="21"/>
          <w:highlight w:val="none"/>
        </w:rPr>
      </w:pPr>
      <w:r>
        <w:rPr>
          <w:rFonts w:hint="eastAsia" w:ascii="宋体" w:hAnsi="宋体"/>
          <w:bCs/>
          <w:color w:val="000000"/>
          <w:szCs w:val="21"/>
          <w:highlight w:val="none"/>
        </w:rPr>
        <w:t>（2）</w:t>
      </w:r>
      <w:r>
        <w:rPr>
          <w:rFonts w:hint="eastAsia" w:ascii="宋体" w:hAnsi="宋体"/>
          <w:color w:val="000000"/>
          <w:szCs w:val="21"/>
          <w:highlight w:val="none"/>
        </w:rPr>
        <w:t>小型、微型企业应按照招标文件格式要求提供《中小企业声明函》。</w:t>
      </w:r>
    </w:p>
    <w:p>
      <w:pPr>
        <w:spacing w:line="360" w:lineRule="auto"/>
        <w:ind w:firstLine="420" w:firstLineChars="200"/>
        <w:rPr>
          <w:rFonts w:ascii="宋体" w:hAnsi="宋体"/>
          <w:color w:val="000000"/>
          <w:szCs w:val="21"/>
          <w:highlight w:val="none"/>
        </w:rPr>
      </w:pPr>
      <w:r>
        <w:rPr>
          <w:rFonts w:hint="eastAsia" w:ascii="宋体" w:hAnsi="宋体"/>
          <w:bCs/>
          <w:color w:val="000000"/>
          <w:szCs w:val="21"/>
          <w:highlight w:val="none"/>
        </w:rPr>
        <w:t>（3）</w:t>
      </w:r>
      <w:r>
        <w:rPr>
          <w:rFonts w:hint="eastAsia" w:ascii="宋体" w:hAnsi="宋体"/>
          <w:color w:val="000000"/>
          <w:szCs w:val="21"/>
          <w:highlight w:val="none"/>
        </w:rPr>
        <w:t>对于非专门面向此类企业的项目，对小型和微型企业产品的投标价格给予6 %的扣除，用扣除后的价格参与评审。</w:t>
      </w:r>
    </w:p>
    <w:p>
      <w:pPr>
        <w:spacing w:line="360" w:lineRule="auto"/>
        <w:ind w:firstLine="420" w:firstLineChars="200"/>
        <w:rPr>
          <w:rFonts w:ascii="宋体" w:hAnsi="宋体"/>
          <w:color w:val="000000"/>
          <w:szCs w:val="21"/>
          <w:highlight w:val="none"/>
        </w:rPr>
      </w:pPr>
      <w:r>
        <w:rPr>
          <w:rFonts w:hint="eastAsia" w:ascii="宋体" w:hAnsi="宋体"/>
          <w:bCs/>
          <w:color w:val="000000"/>
          <w:szCs w:val="21"/>
          <w:highlight w:val="none"/>
        </w:rPr>
        <w:t>（4）</w:t>
      </w:r>
      <w:r>
        <w:rPr>
          <w:rFonts w:hint="eastAsia" w:ascii="宋体" w:hAnsi="宋体"/>
          <w:color w:val="000000"/>
          <w:szCs w:val="21"/>
          <w:highlight w:val="none"/>
        </w:rPr>
        <w:t>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宋体" w:hAnsi="宋体"/>
          <w:color w:val="000000"/>
          <w:szCs w:val="21"/>
          <w:highlight w:val="none"/>
        </w:rPr>
      </w:pPr>
      <w:r>
        <w:rPr>
          <w:rFonts w:hint="eastAsia" w:ascii="宋体" w:hAnsi="宋体"/>
          <w:bCs/>
          <w:color w:val="000000"/>
          <w:szCs w:val="21"/>
          <w:highlight w:val="none"/>
        </w:rPr>
        <w:t>（5）</w:t>
      </w:r>
      <w:r>
        <w:rPr>
          <w:rFonts w:hint="eastAsia" w:ascii="宋体" w:hAnsi="宋体"/>
          <w:color w:val="000000"/>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1.4.4</w:t>
      </w:r>
      <w:r>
        <w:rPr>
          <w:rFonts w:ascii="宋体" w:hAnsi="宋体" w:cs="Arial"/>
          <w:color w:val="000000"/>
          <w:kern w:val="10"/>
          <w:szCs w:val="21"/>
          <w:highlight w:val="none"/>
        </w:rPr>
        <w:t>企业信用融资</w:t>
      </w:r>
      <w:r>
        <w:rPr>
          <w:rFonts w:ascii="宋体" w:hAnsi="宋体" w:cs="Arial"/>
          <w:color w:val="000000"/>
          <w:szCs w:val="21"/>
          <w:highlight w:val="none"/>
        </w:rPr>
        <w:t>：</w:t>
      </w:r>
      <w:r>
        <w:rPr>
          <w:rFonts w:ascii="宋体" w:hAnsi="宋体" w:cs="Arial"/>
          <w:color w:val="000000"/>
          <w:kern w:val="0"/>
          <w:szCs w:val="21"/>
          <w:highlight w:val="none"/>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zjzfcg.gov.cn//）中小企业信用融资栏目了解相关信息。</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1.5 投标费用</w:t>
      </w:r>
    </w:p>
    <w:p>
      <w:pPr>
        <w:spacing w:line="360" w:lineRule="auto"/>
        <w:ind w:firstLine="420" w:firstLineChars="200"/>
        <w:rPr>
          <w:rFonts w:ascii="宋体" w:hAnsi="宋体" w:cs="Arial"/>
          <w:b/>
          <w:bCs/>
          <w:color w:val="000000"/>
          <w:szCs w:val="21"/>
          <w:highlight w:val="none"/>
        </w:rPr>
      </w:pPr>
      <w:r>
        <w:rPr>
          <w:rFonts w:ascii="宋体" w:hAnsi="宋体" w:cs="Arial"/>
          <w:color w:val="000000"/>
          <w:szCs w:val="21"/>
          <w:highlight w:val="none"/>
        </w:rPr>
        <w:t>无论招投标过程中的做法和结果如何，投标人自行承担招投标活动中所发生的全部费用。</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1.6 保密</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参与招标投标活动的各方应对招标文件和投标文件中的商业和技术等秘密保密，违者应对此造成的后果承担法律责任。</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1.7 语言文字</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除专用术语外，与招标投标有关的语言使用中文。专用术语应附有中文注释。</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1.8 计量单位</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所有计量均采用中华人民共和国法定计量单位。</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1.9 踏勘现场</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1.9.1</w:t>
      </w:r>
      <w:r>
        <w:rPr>
          <w:rFonts w:hint="eastAsia" w:ascii="宋体" w:hAnsi="宋体" w:cs="Arial"/>
          <w:color w:val="000000"/>
          <w:szCs w:val="21"/>
          <w:highlight w:val="none"/>
        </w:rPr>
        <w:t>按投标人须知前附表要求</w:t>
      </w:r>
      <w:r>
        <w:rPr>
          <w:rFonts w:ascii="宋体" w:hAnsi="宋体" w:cs="Arial"/>
          <w:color w:val="000000"/>
          <w:szCs w:val="21"/>
          <w:highlight w:val="none"/>
        </w:rPr>
        <w:t>。</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1.9.2投标人踏勘现场发生的费用自理。</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1.9.3投标人负责自行踏勘现场中所发生的人员</w:t>
      </w:r>
      <w:r>
        <w:rPr>
          <w:rFonts w:hint="eastAsia" w:ascii="宋体" w:hAnsi="宋体" w:cs="Arial"/>
          <w:color w:val="000000"/>
          <w:szCs w:val="21"/>
          <w:highlight w:val="none"/>
        </w:rPr>
        <w:t>意外</w:t>
      </w:r>
      <w:r>
        <w:rPr>
          <w:rFonts w:ascii="宋体" w:hAnsi="宋体" w:cs="Arial"/>
          <w:color w:val="000000"/>
          <w:szCs w:val="21"/>
          <w:highlight w:val="none"/>
        </w:rPr>
        <w:t>和财产损失。</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1.10 答疑会</w:t>
      </w:r>
    </w:p>
    <w:p>
      <w:pPr>
        <w:spacing w:line="360" w:lineRule="auto"/>
        <w:ind w:firstLine="420" w:firstLineChars="200"/>
        <w:rPr>
          <w:rFonts w:ascii="宋体" w:hAnsi="宋体" w:cs="Arial"/>
          <w:color w:val="000000"/>
          <w:szCs w:val="21"/>
          <w:highlight w:val="none"/>
        </w:rPr>
      </w:pPr>
      <w:r>
        <w:rPr>
          <w:rFonts w:hint="eastAsia" w:ascii="宋体" w:hAnsi="宋体" w:cs="Arial"/>
          <w:color w:val="000000"/>
          <w:szCs w:val="21"/>
          <w:highlight w:val="none"/>
        </w:rPr>
        <w:t>本项目采购人不</w:t>
      </w:r>
      <w:r>
        <w:rPr>
          <w:rFonts w:ascii="宋体" w:hAnsi="宋体" w:cs="Arial"/>
          <w:color w:val="000000"/>
          <w:szCs w:val="21"/>
          <w:highlight w:val="none"/>
        </w:rPr>
        <w:t>召开答疑会。</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1.11 分包</w:t>
      </w:r>
    </w:p>
    <w:p>
      <w:pPr>
        <w:spacing w:line="360" w:lineRule="auto"/>
        <w:ind w:firstLine="420" w:firstLineChars="200"/>
        <w:rPr>
          <w:rFonts w:ascii="宋体" w:hAnsi="宋体" w:cs="Arial"/>
          <w:color w:val="000000"/>
          <w:szCs w:val="21"/>
          <w:highlight w:val="none"/>
        </w:rPr>
      </w:pPr>
      <w:r>
        <w:rPr>
          <w:rFonts w:hint="eastAsia" w:ascii="宋体" w:hAnsi="宋体" w:cs="Arial"/>
          <w:color w:val="000000"/>
          <w:szCs w:val="21"/>
          <w:highlight w:val="none"/>
        </w:rPr>
        <w:t>本项目不</w:t>
      </w:r>
      <w:r>
        <w:rPr>
          <w:rFonts w:ascii="宋体" w:hAnsi="宋体" w:cs="Arial"/>
          <w:color w:val="000000"/>
          <w:szCs w:val="21"/>
          <w:highlight w:val="none"/>
        </w:rPr>
        <w:t>允许分包。</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1.12 偏离</w:t>
      </w:r>
    </w:p>
    <w:p>
      <w:pPr>
        <w:spacing w:line="360" w:lineRule="auto"/>
        <w:ind w:firstLine="420" w:firstLineChars="200"/>
        <w:rPr>
          <w:rFonts w:ascii="宋体" w:hAnsi="宋体" w:cs="Arial"/>
          <w:color w:val="000000"/>
          <w:szCs w:val="21"/>
          <w:highlight w:val="none"/>
        </w:rPr>
      </w:pPr>
      <w:r>
        <w:rPr>
          <w:rFonts w:ascii="宋体" w:hAnsi="宋体" w:cs="Arial"/>
          <w:color w:val="000000"/>
          <w:szCs w:val="21"/>
          <w:highlight w:val="none"/>
        </w:rPr>
        <w:t>投标文件应完全响应招标文件规定的实质性内容和条件。</w:t>
      </w:r>
    </w:p>
    <w:p>
      <w:pPr>
        <w:spacing w:line="360" w:lineRule="auto"/>
        <w:ind w:firstLine="422" w:firstLineChars="200"/>
        <w:rPr>
          <w:rFonts w:ascii="宋体" w:hAnsi="宋体"/>
          <w:b/>
          <w:color w:val="000000"/>
          <w:szCs w:val="21"/>
          <w:highlight w:val="none"/>
        </w:rPr>
      </w:pPr>
      <w:r>
        <w:rPr>
          <w:rFonts w:ascii="宋体" w:hAnsi="宋体" w:cs="Arial"/>
          <w:b/>
          <w:color w:val="000000"/>
          <w:szCs w:val="21"/>
          <w:highlight w:val="none"/>
        </w:rPr>
        <w:t>1.13</w:t>
      </w:r>
      <w:r>
        <w:rPr>
          <w:rFonts w:hint="eastAsia" w:ascii="宋体" w:hAnsi="宋体" w:cs="Arial"/>
          <w:b/>
          <w:color w:val="000000"/>
          <w:szCs w:val="21"/>
          <w:highlight w:val="none"/>
        </w:rPr>
        <w:t>询</w:t>
      </w:r>
      <w:r>
        <w:rPr>
          <w:rFonts w:hint="eastAsia" w:ascii="宋体" w:hAnsi="宋体"/>
          <w:b/>
          <w:color w:val="000000"/>
          <w:szCs w:val="21"/>
          <w:highlight w:val="none"/>
        </w:rPr>
        <w:t>问、质疑、投诉</w:t>
      </w:r>
    </w:p>
    <w:p>
      <w:pPr>
        <w:autoSpaceDE w:val="0"/>
        <w:autoSpaceDN w:val="0"/>
        <w:spacing w:line="360" w:lineRule="auto"/>
        <w:ind w:firstLine="420" w:firstLineChars="200"/>
        <w:jc w:val="left"/>
        <w:rPr>
          <w:rFonts w:ascii="宋体" w:hAnsi="宋体" w:cs="微软雅黑"/>
          <w:color w:val="000000"/>
          <w:kern w:val="0"/>
          <w:szCs w:val="21"/>
          <w:highlight w:val="none"/>
          <w:lang w:val="zh-CN"/>
        </w:rPr>
      </w:pPr>
      <w:r>
        <w:rPr>
          <w:rFonts w:hint="eastAsia" w:ascii="宋体" w:hAnsi="宋体" w:cs="微软雅黑"/>
          <w:color w:val="000000"/>
          <w:kern w:val="0"/>
          <w:szCs w:val="21"/>
          <w:highlight w:val="none"/>
          <w:lang w:val="zh-CN"/>
        </w:rPr>
        <w:t>1.13.1投标人询问</w:t>
      </w:r>
    </w:p>
    <w:p>
      <w:pPr>
        <w:pStyle w:val="26"/>
        <w:spacing w:line="360" w:lineRule="auto"/>
        <w:ind w:firstLine="420" w:firstLineChars="200"/>
        <w:rPr>
          <w:rFonts w:hAnsi="宋体"/>
          <w:color w:val="000000"/>
          <w:szCs w:val="21"/>
          <w:highlight w:val="none"/>
        </w:rPr>
      </w:pPr>
      <w:r>
        <w:rPr>
          <w:rFonts w:hAnsi="宋体"/>
          <w:color w:val="000000"/>
          <w:szCs w:val="21"/>
          <w:highlight w:val="none"/>
        </w:rPr>
        <w:t>投标人可以就招标文件及采购活动中的有关事项向采购人或采购代理机构提出询问，采购人或采购代理机构将对此作出答复。答复的内容不得涉及商业秘密。</w:t>
      </w:r>
    </w:p>
    <w:p>
      <w:pPr>
        <w:autoSpaceDE w:val="0"/>
        <w:autoSpaceDN w:val="0"/>
        <w:spacing w:line="360" w:lineRule="auto"/>
        <w:ind w:firstLine="420" w:firstLineChars="200"/>
        <w:jc w:val="left"/>
        <w:rPr>
          <w:rFonts w:ascii="宋体" w:hAnsi="宋体" w:cs="微软雅黑"/>
          <w:color w:val="000000"/>
          <w:kern w:val="0"/>
          <w:szCs w:val="21"/>
          <w:highlight w:val="none"/>
          <w:lang w:val="zh-CN"/>
        </w:rPr>
      </w:pPr>
      <w:r>
        <w:rPr>
          <w:rFonts w:hint="eastAsia" w:ascii="宋体" w:hAnsi="宋体" w:cs="微软雅黑"/>
          <w:color w:val="000000"/>
          <w:kern w:val="0"/>
          <w:szCs w:val="21"/>
          <w:highlight w:val="none"/>
          <w:lang w:val="zh-CN"/>
        </w:rPr>
        <w:t>1.13.2投标人质疑</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（1）</w:t>
      </w:r>
      <w:r>
        <w:rPr>
          <w:rFonts w:hAnsi="宋体"/>
          <w:color w:val="000000"/>
          <w:szCs w:val="21"/>
          <w:highlight w:val="none"/>
        </w:rPr>
        <w:t>提出质疑的投标人应当是参与所质疑项目采购活动的投标人。潜在投标人已依法获取其可质疑的招标文件的，可以对该文件提出质疑。</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（2）</w:t>
      </w:r>
      <w:r>
        <w:rPr>
          <w:rFonts w:hAnsi="宋体"/>
          <w:color w:val="000000"/>
          <w:szCs w:val="21"/>
          <w:highlight w:val="none"/>
        </w:rPr>
        <w:t>投标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7"/>
        <w:spacing w:line="360" w:lineRule="auto"/>
        <w:rPr>
          <w:rFonts w:ascii="宋体" w:hAnsi="宋体"/>
          <w:color w:val="000000"/>
          <w:szCs w:val="21"/>
          <w:highlight w:val="none"/>
        </w:rPr>
      </w:pPr>
      <w:r>
        <w:rPr>
          <w:rFonts w:hint="eastAsia" w:ascii="宋体" w:hAnsi="宋体"/>
          <w:color w:val="000000"/>
          <w:szCs w:val="21"/>
          <w:highlight w:val="none"/>
        </w:rPr>
        <w:t>1）对招标文件提出质疑的，质疑期限为投标人获得招标文件之日或者招标文件公告期限届满之日起计算。招标文件在获取截止之日后获得的，应当自招标文件公告期限届满之日起计算。</w:t>
      </w:r>
    </w:p>
    <w:p>
      <w:pPr>
        <w:pStyle w:val="26"/>
        <w:spacing w:line="360" w:lineRule="auto"/>
        <w:ind w:firstLine="420" w:firstLineChars="200"/>
        <w:rPr>
          <w:rFonts w:hAnsi="宋体"/>
          <w:color w:val="000000"/>
          <w:szCs w:val="21"/>
          <w:highlight w:val="none"/>
        </w:rPr>
      </w:pPr>
      <w:r>
        <w:rPr>
          <w:rFonts w:hAnsi="宋体"/>
          <w:color w:val="000000"/>
          <w:szCs w:val="21"/>
          <w:highlight w:val="none"/>
        </w:rPr>
        <w:t>2）对采购过程提出质疑的，质疑期限为各采购程序环节结束之日起计算。对同一采购程序环节的质疑，投标人须一次性提出。</w:t>
      </w:r>
    </w:p>
    <w:p>
      <w:pPr>
        <w:pStyle w:val="26"/>
        <w:spacing w:line="360" w:lineRule="auto"/>
        <w:ind w:firstLine="420" w:firstLineChars="200"/>
        <w:rPr>
          <w:rFonts w:hAnsi="宋体"/>
          <w:color w:val="000000"/>
          <w:szCs w:val="21"/>
          <w:highlight w:val="none"/>
        </w:rPr>
      </w:pPr>
      <w:r>
        <w:rPr>
          <w:rFonts w:hAnsi="宋体"/>
          <w:color w:val="000000"/>
          <w:szCs w:val="21"/>
          <w:highlight w:val="none"/>
        </w:rPr>
        <w:t>3）对采购结果提出质疑的，质疑期限自采购结果公告期限届满之日起计算。</w:t>
      </w:r>
    </w:p>
    <w:p>
      <w:pPr>
        <w:pStyle w:val="26"/>
        <w:spacing w:line="360" w:lineRule="auto"/>
        <w:ind w:firstLine="420" w:firstLineChars="200"/>
        <w:contextualSpacing/>
        <w:rPr>
          <w:rFonts w:hAnsi="宋体"/>
          <w:color w:val="000000"/>
          <w:szCs w:val="21"/>
          <w:highlight w:val="none"/>
        </w:rPr>
      </w:pPr>
      <w:r>
        <w:rPr>
          <w:rFonts w:hAnsi="宋体" w:cs="微软雅黑"/>
          <w:color w:val="000000"/>
          <w:kern w:val="0"/>
          <w:szCs w:val="21"/>
          <w:highlight w:val="none"/>
          <w:lang w:val="zh-CN"/>
        </w:rPr>
        <w:t>（3）</w:t>
      </w:r>
      <w:r>
        <w:rPr>
          <w:rFonts w:hAnsi="宋体"/>
          <w:color w:val="000000"/>
          <w:szCs w:val="21"/>
          <w:highlight w:val="none"/>
        </w:rPr>
        <w:t>投标人提出质疑应当提交质疑函和必要的证明材料。质疑函应当包括下列内容：</w:t>
      </w:r>
    </w:p>
    <w:p>
      <w:pPr>
        <w:pStyle w:val="26"/>
        <w:spacing w:line="360" w:lineRule="auto"/>
        <w:ind w:firstLine="420" w:firstLineChars="200"/>
        <w:rPr>
          <w:rFonts w:hAnsi="宋体"/>
          <w:color w:val="000000"/>
          <w:szCs w:val="21"/>
          <w:highlight w:val="none"/>
        </w:rPr>
      </w:pPr>
      <w:r>
        <w:rPr>
          <w:rFonts w:hAnsi="宋体"/>
          <w:color w:val="000000"/>
          <w:szCs w:val="21"/>
          <w:highlight w:val="none"/>
        </w:rPr>
        <w:t>1）投标人的姓名或者名称、地址、邮编、联系人及联系电话；</w:t>
      </w:r>
    </w:p>
    <w:p>
      <w:pPr>
        <w:pStyle w:val="26"/>
        <w:spacing w:line="360" w:lineRule="auto"/>
        <w:ind w:firstLine="420" w:firstLineChars="200"/>
        <w:rPr>
          <w:rFonts w:hAnsi="宋体"/>
          <w:color w:val="000000"/>
          <w:szCs w:val="21"/>
          <w:highlight w:val="none"/>
        </w:rPr>
      </w:pPr>
      <w:r>
        <w:rPr>
          <w:rFonts w:hAnsi="宋体"/>
          <w:color w:val="000000"/>
          <w:szCs w:val="21"/>
          <w:highlight w:val="none"/>
        </w:rPr>
        <w:t>2）质疑项目的名称、编号；</w:t>
      </w:r>
    </w:p>
    <w:p>
      <w:pPr>
        <w:pStyle w:val="26"/>
        <w:spacing w:line="360" w:lineRule="auto"/>
        <w:ind w:firstLine="420" w:firstLineChars="200"/>
        <w:rPr>
          <w:rFonts w:hAnsi="宋体"/>
          <w:color w:val="000000"/>
          <w:szCs w:val="21"/>
          <w:highlight w:val="none"/>
        </w:rPr>
      </w:pPr>
      <w:r>
        <w:rPr>
          <w:rFonts w:hAnsi="宋体"/>
          <w:color w:val="000000"/>
          <w:szCs w:val="21"/>
          <w:highlight w:val="none"/>
        </w:rPr>
        <w:t>3）具体、明确的质疑事项和与质疑事项相关的请求；</w:t>
      </w:r>
    </w:p>
    <w:p>
      <w:pPr>
        <w:pStyle w:val="26"/>
        <w:spacing w:line="360" w:lineRule="auto"/>
        <w:ind w:firstLine="420" w:firstLineChars="200"/>
        <w:rPr>
          <w:rFonts w:hAnsi="宋体"/>
          <w:color w:val="000000"/>
          <w:szCs w:val="21"/>
          <w:highlight w:val="none"/>
        </w:rPr>
      </w:pPr>
      <w:r>
        <w:rPr>
          <w:rFonts w:hAnsi="宋体"/>
          <w:color w:val="000000"/>
          <w:szCs w:val="21"/>
          <w:highlight w:val="none"/>
        </w:rPr>
        <w:t>4）事实依据；</w:t>
      </w:r>
    </w:p>
    <w:p>
      <w:pPr>
        <w:pStyle w:val="26"/>
        <w:spacing w:line="360" w:lineRule="auto"/>
        <w:ind w:firstLine="420" w:firstLineChars="200"/>
        <w:rPr>
          <w:rFonts w:hAnsi="宋体"/>
          <w:color w:val="000000"/>
          <w:szCs w:val="21"/>
          <w:highlight w:val="none"/>
        </w:rPr>
      </w:pPr>
      <w:r>
        <w:rPr>
          <w:rFonts w:hAnsi="宋体"/>
          <w:color w:val="000000"/>
          <w:szCs w:val="21"/>
          <w:highlight w:val="none"/>
        </w:rPr>
        <w:t>5）必要的法律依据；</w:t>
      </w:r>
    </w:p>
    <w:p>
      <w:pPr>
        <w:pStyle w:val="26"/>
        <w:spacing w:line="360" w:lineRule="auto"/>
        <w:ind w:firstLine="420" w:firstLineChars="200"/>
        <w:rPr>
          <w:rFonts w:hAnsi="宋体"/>
          <w:color w:val="000000"/>
          <w:szCs w:val="21"/>
          <w:highlight w:val="none"/>
        </w:rPr>
      </w:pPr>
      <w:r>
        <w:rPr>
          <w:rFonts w:hAnsi="宋体"/>
          <w:color w:val="000000"/>
          <w:szCs w:val="21"/>
          <w:highlight w:val="none"/>
        </w:rPr>
        <w:t>6）提出质疑的日期。</w:t>
      </w:r>
    </w:p>
    <w:p>
      <w:pPr>
        <w:pStyle w:val="26"/>
        <w:spacing w:line="360" w:lineRule="auto"/>
        <w:ind w:firstLine="420" w:firstLineChars="200"/>
        <w:rPr>
          <w:rFonts w:hAnsi="宋体"/>
          <w:color w:val="000000"/>
          <w:szCs w:val="21"/>
          <w:highlight w:val="none"/>
        </w:rPr>
      </w:pPr>
      <w:r>
        <w:rPr>
          <w:rFonts w:hAnsi="宋体"/>
          <w:color w:val="000000"/>
          <w:szCs w:val="21"/>
          <w:highlight w:val="none"/>
        </w:rPr>
        <w:t>投标人提交的质疑函需一式三份。投标人为自然人的，应当由本人签字；投标人为法人或者其他组织的，应当由法定代表人、主要负责人，或者其授权代表签字或者盖章，并加盖公章。</w:t>
      </w:r>
    </w:p>
    <w:p>
      <w:pPr>
        <w:pStyle w:val="26"/>
        <w:spacing w:line="360" w:lineRule="auto"/>
        <w:ind w:firstLine="420" w:firstLineChars="200"/>
        <w:rPr>
          <w:rFonts w:hAnsi="宋体"/>
          <w:color w:val="000000"/>
          <w:szCs w:val="21"/>
          <w:highlight w:val="none"/>
        </w:rPr>
      </w:pPr>
      <w:r>
        <w:rPr>
          <w:rFonts w:hAnsi="宋体"/>
          <w:color w:val="000000"/>
          <w:szCs w:val="21"/>
          <w:highlight w:val="none"/>
        </w:rPr>
        <w:t>质疑函范本及制作说明详见本章附件1。</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（4）</w:t>
      </w:r>
      <w:r>
        <w:rPr>
          <w:rFonts w:hAnsi="宋体"/>
          <w:color w:val="000000"/>
          <w:szCs w:val="21"/>
          <w:highlight w:val="none"/>
        </w:rPr>
        <w:t>采购人或者采购代理机构应当在收到投标人的书面质疑后七个工作日内作出答复，并以书面形式通知质疑投标人和其他有关投标人，但答复的内容不得涉及商业秘密。</w:t>
      </w:r>
    </w:p>
    <w:p>
      <w:pPr>
        <w:pStyle w:val="26"/>
        <w:spacing w:line="360" w:lineRule="auto"/>
        <w:ind w:firstLine="420" w:firstLineChars="200"/>
        <w:rPr>
          <w:rFonts w:hAnsi="宋体"/>
          <w:color w:val="000000"/>
          <w:szCs w:val="21"/>
          <w:highlight w:val="none"/>
        </w:rPr>
      </w:pPr>
      <w:r>
        <w:rPr>
          <w:rFonts w:hAnsi="宋体"/>
          <w:color w:val="000000"/>
          <w:szCs w:val="21"/>
          <w:highlight w:val="none"/>
        </w:rPr>
        <w:t>（5）询问或者质疑事项可能影响采购结果的，采购人应当暂停签订合同，已经签订合同的，应当中止履行合同。</w:t>
      </w:r>
    </w:p>
    <w:p>
      <w:pPr>
        <w:pStyle w:val="26"/>
        <w:spacing w:line="360" w:lineRule="auto"/>
        <w:ind w:firstLine="420" w:firstLineChars="200"/>
        <w:rPr>
          <w:rFonts w:hAnsi="宋体"/>
          <w:color w:val="000000"/>
          <w:szCs w:val="21"/>
          <w:highlight w:val="none"/>
        </w:rPr>
      </w:pPr>
      <w:r>
        <w:rPr>
          <w:rFonts w:hAnsi="宋体"/>
          <w:color w:val="000000"/>
          <w:szCs w:val="21"/>
          <w:highlight w:val="none"/>
        </w:rPr>
        <w:t>（6）质疑接收人：</w:t>
      </w:r>
      <w:r>
        <w:rPr>
          <w:rFonts w:hAnsi="宋体" w:cs="Arial"/>
          <w:color w:val="000000"/>
          <w:kern w:val="0"/>
          <w:szCs w:val="21"/>
          <w:highlight w:val="none"/>
        </w:rPr>
        <w:t>张女士、陈先生</w:t>
      </w:r>
      <w:r>
        <w:rPr>
          <w:rFonts w:hAnsi="宋体"/>
          <w:color w:val="000000"/>
          <w:szCs w:val="21"/>
          <w:highlight w:val="none"/>
        </w:rPr>
        <w:t>；联系传真：0571-87631113；地址：</w:t>
      </w:r>
      <w:r>
        <w:rPr>
          <w:rFonts w:hAnsi="宋体" w:cs="Arial"/>
          <w:color w:val="000000"/>
          <w:kern w:val="0"/>
          <w:szCs w:val="21"/>
          <w:highlight w:val="none"/>
        </w:rPr>
        <w:t>杭州市文晖路42号现代置业大厦西楼1701室</w:t>
      </w:r>
      <w:r>
        <w:rPr>
          <w:rFonts w:hAnsi="宋体"/>
          <w:color w:val="000000"/>
          <w:szCs w:val="21"/>
          <w:highlight w:val="none"/>
        </w:rPr>
        <w:t>。</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1.13.3</w:t>
      </w:r>
      <w:r>
        <w:rPr>
          <w:rFonts w:hAnsi="宋体"/>
          <w:color w:val="000000"/>
          <w:szCs w:val="21"/>
          <w:highlight w:val="none"/>
        </w:rPr>
        <w:t>投标人投诉</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1.13.3</w:t>
      </w:r>
      <w:r>
        <w:rPr>
          <w:rFonts w:hAnsi="宋体"/>
          <w:color w:val="000000"/>
          <w:szCs w:val="21"/>
          <w:highlight w:val="none"/>
        </w:rPr>
        <w:t>.1质疑投标人对采购人、采购代理机构的答复不满意或者采购人、采购代理机构未在规定的时间内作出答复的，可以在答复期满后十五个工作日内向同级政府采购监督管理部门提出投诉。</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1.13.3</w:t>
      </w:r>
      <w:r>
        <w:rPr>
          <w:rFonts w:hAnsi="宋体"/>
          <w:color w:val="000000"/>
          <w:szCs w:val="21"/>
          <w:highlight w:val="none"/>
        </w:rPr>
        <w:t>.2投标人投诉的事项不得超出已质疑事项的范围，基于质疑答复内容提出的投诉事项除外。</w:t>
      </w:r>
    </w:p>
    <w:p>
      <w:pPr>
        <w:pStyle w:val="26"/>
        <w:spacing w:line="360" w:lineRule="auto"/>
        <w:ind w:firstLine="420" w:firstLineChars="200"/>
        <w:rPr>
          <w:rFonts w:hAnsi="宋体"/>
          <w:color w:val="000000"/>
          <w:szCs w:val="21"/>
          <w:highlight w:val="none"/>
        </w:rPr>
      </w:pPr>
      <w:r>
        <w:rPr>
          <w:rFonts w:hAnsi="宋体" w:cs="微软雅黑"/>
          <w:color w:val="000000"/>
          <w:kern w:val="0"/>
          <w:szCs w:val="21"/>
          <w:highlight w:val="none"/>
          <w:lang w:val="zh-CN"/>
        </w:rPr>
        <w:t>1.13.3</w:t>
      </w:r>
      <w:r>
        <w:rPr>
          <w:rFonts w:hAnsi="宋体"/>
          <w:color w:val="000000"/>
          <w:szCs w:val="21"/>
          <w:highlight w:val="none"/>
        </w:rPr>
        <w:t>.3投标人投诉应当有明确的请求和必要的证明材料。</w:t>
      </w:r>
    </w:p>
    <w:p>
      <w:pPr>
        <w:spacing w:line="360" w:lineRule="auto"/>
        <w:ind w:firstLine="420" w:firstLineChars="200"/>
        <w:rPr>
          <w:rFonts w:ascii="宋体" w:hAnsi="宋体" w:cs="Arial"/>
          <w:color w:val="000000"/>
          <w:szCs w:val="21"/>
          <w:highlight w:val="none"/>
        </w:rPr>
      </w:pPr>
      <w:r>
        <w:rPr>
          <w:rFonts w:hint="eastAsia" w:ascii="宋体" w:hAnsi="宋体"/>
          <w:color w:val="000000"/>
          <w:szCs w:val="21"/>
          <w:highlight w:val="none"/>
        </w:rPr>
        <w:t>投诉书范本及制作说明详见本章附件2。</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1.1</w:t>
      </w:r>
      <w:r>
        <w:rPr>
          <w:rFonts w:hint="eastAsia" w:ascii="宋体" w:hAnsi="宋体" w:cs="Arial"/>
          <w:color w:val="000000"/>
          <w:szCs w:val="21"/>
          <w:highlight w:val="none"/>
        </w:rPr>
        <w:t>4</w:t>
      </w:r>
      <w:r>
        <w:rPr>
          <w:rFonts w:ascii="宋体" w:hAnsi="宋体" w:cs="Arial"/>
          <w:color w:val="000000"/>
          <w:szCs w:val="21"/>
          <w:highlight w:val="none"/>
        </w:rPr>
        <w:t xml:space="preserve"> 其他说明</w:t>
      </w:r>
    </w:p>
    <w:p>
      <w:pPr>
        <w:pStyle w:val="26"/>
        <w:spacing w:line="360" w:lineRule="auto"/>
        <w:ind w:firstLine="420" w:firstLineChars="200"/>
        <w:rPr>
          <w:rFonts w:hAnsi="宋体"/>
          <w:color w:val="000000"/>
          <w:szCs w:val="21"/>
          <w:highlight w:val="none"/>
        </w:rPr>
      </w:pPr>
      <w:r>
        <w:rPr>
          <w:rFonts w:hAnsi="宋体"/>
          <w:color w:val="000000"/>
          <w:szCs w:val="21"/>
          <w:highlight w:val="none"/>
        </w:rPr>
        <w:t>1.14.1 招标文件中如有描述歧义或前后不一致的地方，评标委员会有权按公平、合理的原则进行评判，但对同一条款的评判适用于每个投标人。</w:t>
      </w:r>
    </w:p>
    <w:p>
      <w:pPr>
        <w:pStyle w:val="26"/>
        <w:spacing w:line="360" w:lineRule="auto"/>
        <w:ind w:firstLine="420" w:firstLineChars="200"/>
        <w:rPr>
          <w:rFonts w:hAnsi="宋体" w:cs="Arial"/>
          <w:color w:val="000000"/>
          <w:sz w:val="24"/>
          <w:szCs w:val="24"/>
          <w:highlight w:val="none"/>
        </w:rPr>
      </w:pPr>
      <w:r>
        <w:rPr>
          <w:rFonts w:hAnsi="宋体"/>
          <w:color w:val="000000"/>
          <w:szCs w:val="21"/>
          <w:highlight w:val="none"/>
        </w:rPr>
        <w:t>1.14.2投标人须对所投产品、</w:t>
      </w:r>
      <w:r>
        <w:rPr>
          <w:rFonts w:hAnsi="宋体" w:cs="Arial"/>
          <w:color w:val="000000"/>
          <w:szCs w:val="21"/>
          <w:highlight w:val="none"/>
        </w:rPr>
        <w:t>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投标人应承担相应后果，并负责赔偿。投标人为执行本项目合同而提供的技术资料等归采购人所有。</w:t>
      </w:r>
    </w:p>
    <w:p>
      <w:pPr>
        <w:pStyle w:val="3"/>
        <w:numPr>
          <w:ilvl w:val="0"/>
          <w:numId w:val="5"/>
        </w:numPr>
        <w:spacing w:line="360" w:lineRule="auto"/>
        <w:ind w:firstLineChars="0"/>
        <w:jc w:val="center"/>
        <w:rPr>
          <w:rFonts w:ascii="宋体" w:hAnsi="宋体" w:cs="Arial"/>
          <w:color w:val="000000"/>
          <w:sz w:val="32"/>
          <w:highlight w:val="none"/>
        </w:rPr>
      </w:pPr>
      <w:r>
        <w:rPr>
          <w:rFonts w:ascii="宋体" w:hAnsi="宋体" w:cs="Arial"/>
          <w:color w:val="000000"/>
          <w:sz w:val="32"/>
          <w:highlight w:val="none"/>
        </w:rPr>
        <w:t>招标文件</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2.1 招标文件组成</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第一章 招标公告</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第二章</w:t>
      </w:r>
      <w:r>
        <w:rPr>
          <w:rFonts w:hint="eastAsia" w:ascii="宋体" w:hAnsi="宋体" w:cs="Arial"/>
          <w:color w:val="000000"/>
          <w:szCs w:val="21"/>
          <w:highlight w:val="none"/>
        </w:rPr>
        <w:t xml:space="preserve"> </w:t>
      </w:r>
      <w:r>
        <w:rPr>
          <w:rFonts w:ascii="宋体" w:hAnsi="宋体" w:cs="Arial"/>
          <w:color w:val="000000"/>
          <w:szCs w:val="21"/>
          <w:highlight w:val="none"/>
        </w:rPr>
        <w:t>投标人须知</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第三章 采购需求</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 xml:space="preserve">第四章 </w:t>
      </w:r>
      <w:r>
        <w:rPr>
          <w:rFonts w:hint="eastAsia" w:ascii="宋体" w:hAnsi="宋体" w:cs="Arial"/>
          <w:color w:val="000000"/>
          <w:szCs w:val="21"/>
          <w:highlight w:val="none"/>
        </w:rPr>
        <w:t>拟签订的</w:t>
      </w:r>
      <w:r>
        <w:rPr>
          <w:rFonts w:ascii="宋体" w:hAnsi="宋体" w:cs="Arial"/>
          <w:color w:val="000000"/>
          <w:szCs w:val="21"/>
          <w:highlight w:val="none"/>
        </w:rPr>
        <w:t>合同</w:t>
      </w:r>
      <w:r>
        <w:rPr>
          <w:rFonts w:hint="eastAsia" w:ascii="宋体" w:hAnsi="宋体" w:cs="Arial"/>
          <w:color w:val="000000"/>
          <w:szCs w:val="21"/>
          <w:highlight w:val="none"/>
        </w:rPr>
        <w:t>文本</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第五章 评标办法</w:t>
      </w:r>
      <w:r>
        <w:rPr>
          <w:rFonts w:hint="eastAsia" w:ascii="宋体" w:hAnsi="宋体" w:cs="Arial"/>
          <w:color w:val="000000"/>
          <w:szCs w:val="21"/>
          <w:highlight w:val="none"/>
        </w:rPr>
        <w:t>及评分标准</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第六章投标文件格式</w:t>
      </w:r>
    </w:p>
    <w:p>
      <w:pPr>
        <w:pStyle w:val="96"/>
        <w:spacing w:line="360" w:lineRule="auto"/>
        <w:ind w:firstLine="735" w:firstLineChars="350"/>
        <w:rPr>
          <w:rFonts w:ascii="宋体" w:hAnsi="宋体" w:cs="Arial"/>
          <w:color w:val="000000"/>
          <w:szCs w:val="21"/>
          <w:highlight w:val="none"/>
        </w:rPr>
      </w:pPr>
      <w:r>
        <w:rPr>
          <w:rFonts w:ascii="宋体" w:hAnsi="宋体" w:cs="Arial"/>
          <w:color w:val="000000"/>
          <w:szCs w:val="21"/>
          <w:highlight w:val="none"/>
        </w:rPr>
        <w:t>补充文件</w:t>
      </w:r>
      <w:r>
        <w:rPr>
          <w:rFonts w:hint="eastAsia" w:ascii="宋体" w:hAnsi="宋体" w:cs="Arial"/>
          <w:color w:val="000000"/>
          <w:szCs w:val="21"/>
          <w:highlight w:val="none"/>
        </w:rPr>
        <w:t>（如有）</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2.2 招标文件的解释权</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招标文件的解释权归采购代理机构所有。</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2.</w:t>
      </w:r>
      <w:r>
        <w:rPr>
          <w:rFonts w:hint="eastAsia" w:ascii="宋体" w:hAnsi="宋体" w:cs="Arial"/>
          <w:color w:val="000000"/>
          <w:szCs w:val="21"/>
          <w:highlight w:val="none"/>
        </w:rPr>
        <w:t>3</w:t>
      </w:r>
      <w:r>
        <w:rPr>
          <w:rFonts w:ascii="宋体" w:hAnsi="宋体" w:cs="Arial"/>
          <w:color w:val="000000"/>
          <w:szCs w:val="21"/>
          <w:highlight w:val="none"/>
        </w:rPr>
        <w:t xml:space="preserve"> 招标文件的澄清</w:t>
      </w:r>
    </w:p>
    <w:p>
      <w:pPr>
        <w:pStyle w:val="4"/>
        <w:snapToGrid/>
        <w:spacing w:line="360" w:lineRule="auto"/>
        <w:ind w:firstLine="420"/>
        <w:rPr>
          <w:rFonts w:ascii="宋体" w:hAnsi="宋体" w:cs="Arial"/>
          <w:b w:val="0"/>
          <w:bCs/>
          <w:color w:val="000000"/>
          <w:szCs w:val="21"/>
          <w:highlight w:val="none"/>
        </w:rPr>
      </w:pPr>
      <w:r>
        <w:rPr>
          <w:rFonts w:hint="eastAsia" w:ascii="宋体" w:hAnsi="宋体" w:cs="Arial"/>
          <w:b w:val="0"/>
          <w:bCs/>
          <w:color w:val="000000"/>
          <w:szCs w:val="21"/>
          <w:highlight w:val="none"/>
        </w:rPr>
        <w:t>2.3.1供应商认为招标文件有疑问或有任何异议的，可以自获取招标文件或者招标文件公告期限届满之日起7个工作日内，以书面形式向采购人和采购代理机构提出。</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2.4 招标文件的修改</w:t>
      </w:r>
    </w:p>
    <w:p>
      <w:pPr>
        <w:pStyle w:val="96"/>
        <w:spacing w:line="360" w:lineRule="auto"/>
        <w:ind w:firstLine="420"/>
        <w:rPr>
          <w:rFonts w:ascii="宋体" w:hAnsi="宋体"/>
          <w:bCs/>
          <w:color w:val="000000"/>
          <w:szCs w:val="21"/>
          <w:highlight w:val="none"/>
        </w:rPr>
      </w:pPr>
      <w:r>
        <w:rPr>
          <w:rFonts w:hint="eastAsia" w:ascii="宋体" w:hAnsi="宋体"/>
          <w:bCs/>
          <w:color w:val="000000"/>
          <w:szCs w:val="21"/>
          <w:highlight w:val="none"/>
        </w:rPr>
        <w:t>2.4.1招标文件澄清、答复、修改、补充的内容为招标文件的组成部分。当招标文件与招标文件的答复、澄清、修改、补充通知就同一内容的表述不一致时，以最后发出的文件为准。</w:t>
      </w:r>
    </w:p>
    <w:p>
      <w:pPr>
        <w:pStyle w:val="96"/>
        <w:spacing w:line="360" w:lineRule="auto"/>
        <w:ind w:firstLine="420"/>
        <w:rPr>
          <w:rFonts w:ascii="宋体" w:hAnsi="宋体"/>
          <w:b/>
          <w:color w:val="000000"/>
          <w:szCs w:val="21"/>
          <w:highlight w:val="none"/>
        </w:rPr>
      </w:pPr>
      <w:r>
        <w:rPr>
          <w:rFonts w:hint="eastAsia" w:ascii="宋体" w:hAnsi="宋体"/>
          <w:bCs/>
          <w:color w:val="000000"/>
          <w:szCs w:val="21"/>
          <w:highlight w:val="none"/>
        </w:rPr>
        <w:t>2.4.2若有必要，采购代理机构将酌情延长递交投标文件的截止日期。</w:t>
      </w:r>
    </w:p>
    <w:p>
      <w:pPr>
        <w:pStyle w:val="96"/>
        <w:spacing w:line="360" w:lineRule="auto"/>
        <w:ind w:firstLine="422"/>
        <w:rPr>
          <w:rFonts w:ascii="黑体" w:hAnsi="黑体" w:eastAsia="黑体" w:cs="黑体"/>
          <w:color w:val="000000"/>
          <w:szCs w:val="21"/>
          <w:highlight w:val="none"/>
        </w:rPr>
      </w:pPr>
      <w:r>
        <w:rPr>
          <w:rFonts w:hint="eastAsia" w:ascii="黑体" w:hAnsi="黑体" w:eastAsia="黑体" w:cs="黑体"/>
          <w:b/>
          <w:color w:val="000000"/>
          <w:szCs w:val="21"/>
          <w:highlight w:val="none"/>
        </w:rPr>
        <w:t>▲投标文件未按招标文件的澄清、修改的内容编制，又不符合实质性要求的，投标无效。</w:t>
      </w:r>
    </w:p>
    <w:p>
      <w:pPr>
        <w:pStyle w:val="3"/>
        <w:numPr>
          <w:ilvl w:val="0"/>
          <w:numId w:val="5"/>
        </w:numPr>
        <w:spacing w:line="360" w:lineRule="auto"/>
        <w:ind w:firstLineChars="0"/>
        <w:jc w:val="center"/>
        <w:rPr>
          <w:rFonts w:ascii="宋体" w:hAnsi="宋体" w:cs="Arial"/>
          <w:color w:val="000000"/>
          <w:sz w:val="32"/>
          <w:highlight w:val="none"/>
        </w:rPr>
      </w:pPr>
      <w:r>
        <w:rPr>
          <w:rFonts w:ascii="宋体" w:hAnsi="宋体" w:cs="Arial"/>
          <w:color w:val="000000"/>
          <w:sz w:val="32"/>
          <w:highlight w:val="none"/>
        </w:rPr>
        <w:t>投标文件</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3.1 投标文件</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3.1.1 投标人应仔细阅读招标文件规定的所有内容，以保证能全面准确理解招标文件，并按照招标文件要求，详细编制投标文件，投标文件内容必须针对本次招标响应。</w:t>
      </w:r>
    </w:p>
    <w:p>
      <w:pPr>
        <w:pStyle w:val="96"/>
        <w:spacing w:line="360" w:lineRule="auto"/>
        <w:ind w:firstLine="420"/>
        <w:rPr>
          <w:rFonts w:ascii="宋体" w:hAnsi="宋体" w:cs="Arial"/>
          <w:bCs/>
          <w:color w:val="000000"/>
          <w:szCs w:val="21"/>
          <w:highlight w:val="none"/>
        </w:rPr>
      </w:pPr>
      <w:r>
        <w:rPr>
          <w:rFonts w:ascii="宋体" w:hAnsi="宋体" w:cs="Arial"/>
          <w:color w:val="000000"/>
          <w:szCs w:val="21"/>
          <w:highlight w:val="none"/>
        </w:rPr>
        <w:t>3.1.2投标人必须按招标文件的要求提供相关资料，并对招标文件中提出的所有内容要求给予实质性响应，须保证投标文件的准确、真实、明确</w:t>
      </w:r>
      <w:r>
        <w:rPr>
          <w:rFonts w:ascii="宋体" w:hAnsi="宋体" w:cs="Arial"/>
          <w:bCs/>
          <w:color w:val="000000"/>
          <w:szCs w:val="21"/>
          <w:highlight w:val="none"/>
        </w:rPr>
        <w:t>。投标文件响应内容对招标文件要求如有偏离均应填写偏离表，如不填写，采购人有权视作投标文件完全响应招标文件要求。</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3.2 投标文件组成</w:t>
      </w:r>
    </w:p>
    <w:p>
      <w:pPr>
        <w:pStyle w:val="96"/>
        <w:spacing w:line="360" w:lineRule="auto"/>
        <w:ind w:firstLine="420"/>
        <w:rPr>
          <w:rFonts w:ascii="宋体" w:hAnsi="宋体" w:cs="仿宋_GB2312"/>
          <w:color w:val="000000"/>
          <w:kern w:val="0"/>
          <w:szCs w:val="21"/>
          <w:highlight w:val="none"/>
        </w:rPr>
      </w:pPr>
      <w:r>
        <w:rPr>
          <w:rFonts w:hint="eastAsia" w:ascii="宋体" w:hAnsi="宋体" w:cs="仿宋_GB2312"/>
          <w:color w:val="000000"/>
          <w:kern w:val="0"/>
          <w:szCs w:val="21"/>
          <w:highlight w:val="none"/>
        </w:rPr>
        <w:t>投标文件由资格文件、报价文件、商务技术文件组成</w:t>
      </w:r>
    </w:p>
    <w:p>
      <w:pPr>
        <w:spacing w:line="360" w:lineRule="auto"/>
        <w:ind w:firstLine="420" w:firstLineChars="200"/>
        <w:rPr>
          <w:rFonts w:ascii="宋体" w:hAnsi="宋体" w:cs="仿宋_GB2312"/>
          <w:color w:val="000000"/>
          <w:szCs w:val="21"/>
          <w:highlight w:val="none"/>
        </w:rPr>
      </w:pPr>
      <w:r>
        <w:rPr>
          <w:rFonts w:ascii="宋体" w:hAnsi="宋体" w:cs="Arial"/>
          <w:color w:val="000000"/>
          <w:szCs w:val="21"/>
          <w:highlight w:val="none"/>
        </w:rPr>
        <w:t>3.2.1</w:t>
      </w:r>
      <w:r>
        <w:rPr>
          <w:rFonts w:hint="eastAsia" w:ascii="宋体" w:hAnsi="宋体" w:cs="仿宋_GB2312"/>
          <w:b/>
          <w:color w:val="000000"/>
          <w:szCs w:val="21"/>
          <w:highlight w:val="none"/>
        </w:rPr>
        <w:t>资格文件</w:t>
      </w:r>
      <w:r>
        <w:rPr>
          <w:rFonts w:hint="eastAsia" w:ascii="宋体" w:hAnsi="宋体" w:cs="仿宋_GB2312"/>
          <w:color w:val="000000"/>
          <w:szCs w:val="21"/>
          <w:highlight w:val="none"/>
        </w:rPr>
        <w:t>应包括以下内容</w:t>
      </w:r>
      <w:r>
        <w:rPr>
          <w:rFonts w:hint="eastAsia" w:ascii="宋体" w:hAnsi="宋体" w:cs="仿宋_GB2312"/>
          <w:b/>
          <w:bCs/>
          <w:color w:val="000000"/>
          <w:szCs w:val="21"/>
          <w:highlight w:val="none"/>
        </w:rPr>
        <w:t>（均需加盖公章）</w:t>
      </w:r>
      <w:r>
        <w:rPr>
          <w:rFonts w:hint="eastAsia" w:ascii="宋体" w:hAnsi="宋体" w:cs="仿宋_GB2312"/>
          <w:color w:val="000000"/>
          <w:szCs w:val="21"/>
          <w:highlight w:val="none"/>
        </w:rPr>
        <w:t>：【</w:t>
      </w:r>
      <w:r>
        <w:rPr>
          <w:rFonts w:hint="eastAsia" w:ascii="宋体" w:hAnsi="宋体" w:cs="仿宋_GB2312"/>
          <w:color w:val="000000"/>
          <w:kern w:val="0"/>
          <w:szCs w:val="21"/>
          <w:highlight w:val="none"/>
        </w:rPr>
        <w:t>证明其符合投标人资格要求的有关证明材料及招标公告中的其他要求。</w:t>
      </w:r>
      <w:r>
        <w:rPr>
          <w:rFonts w:hint="eastAsia" w:ascii="宋体" w:hAnsi="宋体" w:cs="仿宋_GB2312"/>
          <w:color w:val="000000"/>
          <w:szCs w:val="21"/>
          <w:highlight w:val="none"/>
        </w:rPr>
        <w:t>】</w:t>
      </w:r>
    </w:p>
    <w:p>
      <w:pPr>
        <w:spacing w:line="360" w:lineRule="auto"/>
        <w:ind w:firstLine="420" w:firstLineChars="200"/>
        <w:rPr>
          <w:rFonts w:ascii="宋体" w:hAnsi="宋体" w:cs="仿宋_GB2312"/>
          <w:color w:val="000000"/>
          <w:szCs w:val="21"/>
          <w:highlight w:val="none"/>
        </w:rPr>
      </w:pPr>
      <w:r>
        <w:rPr>
          <w:rFonts w:hint="eastAsia" w:ascii="宋体" w:hAnsi="宋体" w:cs="仿宋_GB2312"/>
          <w:color w:val="000000"/>
          <w:szCs w:val="21"/>
          <w:highlight w:val="none"/>
        </w:rPr>
        <w:t>包括：</w:t>
      </w:r>
    </w:p>
    <w:p>
      <w:pPr>
        <w:pStyle w:val="26"/>
        <w:spacing w:line="360" w:lineRule="auto"/>
        <w:ind w:firstLine="420" w:firstLineChars="200"/>
        <w:rPr>
          <w:rFonts w:hAnsi="宋体"/>
          <w:color w:val="000000"/>
          <w:szCs w:val="21"/>
          <w:highlight w:val="none"/>
        </w:rPr>
      </w:pPr>
      <w:r>
        <w:rPr>
          <w:rFonts w:hAnsi="宋体" w:cs="Arial"/>
          <w:color w:val="000000"/>
          <w:szCs w:val="21"/>
          <w:highlight w:val="none"/>
        </w:rPr>
        <w:t>（1）</w:t>
      </w:r>
      <w:r>
        <w:rPr>
          <w:rFonts w:hAnsi="宋体"/>
          <w:color w:val="000000"/>
          <w:szCs w:val="21"/>
          <w:highlight w:val="none"/>
        </w:rPr>
        <w:t>营业执照(或事业法人登记证或其他工商等登记证明材料)复印件（投标人为自然人的，提供</w:t>
      </w:r>
      <w:r>
        <w:rPr>
          <w:rFonts w:hAnsi="宋体" w:cs="Helvetica"/>
          <w:color w:val="000000"/>
          <w:kern w:val="0"/>
          <w:szCs w:val="21"/>
          <w:highlight w:val="none"/>
        </w:rPr>
        <w:t>自然人的身份证明</w:t>
      </w:r>
      <w:r>
        <w:rPr>
          <w:rFonts w:hAnsi="宋体"/>
          <w:color w:val="000000"/>
          <w:szCs w:val="21"/>
          <w:highlight w:val="none"/>
        </w:rPr>
        <w:t>）、税务登记证(</w:t>
      </w:r>
      <w:r>
        <w:rPr>
          <w:rFonts w:hAnsi="宋体" w:cs="Helvetica"/>
          <w:color w:val="000000"/>
          <w:kern w:val="0"/>
          <w:szCs w:val="21"/>
          <w:highlight w:val="none"/>
        </w:rPr>
        <w:t>或其它依法缴纳税收的相关材料</w:t>
      </w:r>
      <w:r>
        <w:rPr>
          <w:rFonts w:hAnsi="宋体"/>
          <w:color w:val="000000"/>
          <w:szCs w:val="21"/>
          <w:highlight w:val="none"/>
        </w:rPr>
        <w:t>)复印件、社保登记证（</w:t>
      </w:r>
      <w:r>
        <w:rPr>
          <w:rFonts w:hAnsi="宋体" w:cs="Helvetica"/>
          <w:color w:val="000000"/>
          <w:kern w:val="0"/>
          <w:szCs w:val="21"/>
          <w:highlight w:val="none"/>
        </w:rPr>
        <w:t>或其它依法缴纳社会保障资金的相关材料</w:t>
      </w:r>
      <w:r>
        <w:rPr>
          <w:rFonts w:hAnsi="宋体"/>
          <w:color w:val="000000"/>
          <w:szCs w:val="21"/>
          <w:highlight w:val="none"/>
        </w:rPr>
        <w:t>）复印件；实施“多证合一、一照一码”登记制度改革的，只需提供改革后取得的营业执照复印件。</w:t>
      </w:r>
    </w:p>
    <w:p>
      <w:pPr>
        <w:pStyle w:val="96"/>
        <w:spacing w:line="360" w:lineRule="auto"/>
        <w:ind w:firstLine="420"/>
        <w:rPr>
          <w:rFonts w:ascii="宋体" w:hAnsi="宋体" w:cs="Arial"/>
          <w:color w:val="000000"/>
          <w:szCs w:val="21"/>
          <w:highlight w:val="none"/>
        </w:rPr>
      </w:pPr>
      <w:r>
        <w:rPr>
          <w:rFonts w:hint="eastAsia" w:ascii="宋体" w:hAnsi="宋体" w:cs="仿宋_GB2312"/>
          <w:color w:val="000000"/>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6"/>
        <w:spacing w:line="360" w:lineRule="auto"/>
        <w:ind w:firstLine="420"/>
        <w:rPr>
          <w:rFonts w:ascii="宋体" w:hAnsi="宋体" w:cs="仿宋_GB2312"/>
          <w:color w:val="000000"/>
          <w:szCs w:val="21"/>
          <w:highlight w:val="none"/>
        </w:rPr>
      </w:pPr>
      <w:r>
        <w:rPr>
          <w:rFonts w:hint="eastAsia" w:ascii="宋体" w:hAnsi="宋体" w:cs="Arial"/>
          <w:color w:val="000000"/>
          <w:szCs w:val="21"/>
          <w:highlight w:val="none"/>
        </w:rPr>
        <w:t>（2）</w:t>
      </w:r>
      <w:r>
        <w:rPr>
          <w:rFonts w:hint="eastAsia" w:ascii="宋体" w:hAnsi="宋体" w:cs="仿宋_GB2312"/>
          <w:color w:val="000000"/>
          <w:szCs w:val="21"/>
          <w:highlight w:val="none"/>
        </w:rPr>
        <w:t>2018年度或2019年度资产负债表等财务报表资料文件 (或其它</w:t>
      </w:r>
      <w:r>
        <w:rPr>
          <w:rFonts w:hint="eastAsia" w:ascii="宋体" w:hAnsi="宋体" w:cs="Helvetica"/>
          <w:color w:val="000000"/>
          <w:kern w:val="0"/>
          <w:szCs w:val="21"/>
          <w:highlight w:val="none"/>
        </w:rPr>
        <w:t>财务状况报告，</w:t>
      </w:r>
      <w:r>
        <w:rPr>
          <w:rFonts w:hint="eastAsia" w:ascii="宋体" w:hAnsi="宋体" w:cs="仿宋_GB2312"/>
          <w:color w:val="000000"/>
          <w:szCs w:val="21"/>
          <w:highlight w:val="none"/>
        </w:rPr>
        <w:t>新成立的公司，必须提供情况说明)；</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（3）具有履行合同所必需的场地、设备和专业技术能力的承诺函；</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（4）依法缴纳税收和社会保障资金的证明材料；</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（5）参加政府采购活动前三年内，在经营活动中没有重大违法记录的声明；</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（6）投标供应商没有失信记录承诺函。</w:t>
      </w:r>
    </w:p>
    <w:p>
      <w:pPr>
        <w:spacing w:line="360" w:lineRule="auto"/>
        <w:ind w:firstLine="422" w:firstLineChars="200"/>
        <w:rPr>
          <w:rFonts w:ascii="宋体" w:hAnsi="宋体" w:cs="Arial"/>
          <w:color w:val="000000"/>
          <w:szCs w:val="21"/>
          <w:highlight w:val="none"/>
        </w:rPr>
      </w:pPr>
      <w:r>
        <w:rPr>
          <w:rFonts w:hint="eastAsia" w:ascii="宋体" w:hAnsi="宋体" w:cs="仿宋_GB2312"/>
          <w:b/>
          <w:bCs/>
          <w:color w:val="000000"/>
          <w:szCs w:val="21"/>
          <w:highlight w:val="none"/>
        </w:rPr>
        <w:t>上述资格条件审查材料有一项不提供的，视为资格审查不通过。</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3.2.</w:t>
      </w:r>
      <w:r>
        <w:rPr>
          <w:rFonts w:hint="eastAsia" w:ascii="宋体" w:hAnsi="宋体" w:cs="Arial"/>
          <w:color w:val="000000"/>
          <w:szCs w:val="21"/>
          <w:highlight w:val="none"/>
        </w:rPr>
        <w:t>2</w:t>
      </w:r>
      <w:r>
        <w:rPr>
          <w:rFonts w:ascii="宋体" w:hAnsi="宋体" w:cs="Arial"/>
          <w:b/>
          <w:color w:val="000000"/>
          <w:szCs w:val="21"/>
          <w:highlight w:val="none"/>
        </w:rPr>
        <w:t>报价文件</w:t>
      </w:r>
      <w:r>
        <w:rPr>
          <w:rFonts w:hint="eastAsia" w:ascii="宋体" w:hAnsi="宋体" w:cs="仿宋_GB2312"/>
          <w:color w:val="000000"/>
          <w:szCs w:val="21"/>
          <w:highlight w:val="none"/>
        </w:rPr>
        <w:t>应包括以下内容：</w:t>
      </w:r>
    </w:p>
    <w:p>
      <w:pPr>
        <w:pStyle w:val="96"/>
        <w:numPr>
          <w:ilvl w:val="0"/>
          <w:numId w:val="6"/>
        </w:numPr>
        <w:tabs>
          <w:tab w:val="left" w:pos="454"/>
        </w:tabs>
        <w:spacing w:line="360" w:lineRule="auto"/>
        <w:ind w:left="0" w:firstLine="420"/>
        <w:rPr>
          <w:rFonts w:ascii="宋体" w:hAnsi="宋体" w:cs="Arial"/>
          <w:color w:val="000000"/>
          <w:szCs w:val="21"/>
          <w:highlight w:val="none"/>
        </w:rPr>
      </w:pPr>
      <w:r>
        <w:rPr>
          <w:rFonts w:ascii="宋体" w:hAnsi="宋体" w:cs="Arial"/>
          <w:color w:val="000000"/>
          <w:szCs w:val="21"/>
          <w:highlight w:val="none"/>
        </w:rPr>
        <w:t>投标函；</w:t>
      </w:r>
    </w:p>
    <w:p>
      <w:pPr>
        <w:pStyle w:val="96"/>
        <w:numPr>
          <w:ilvl w:val="0"/>
          <w:numId w:val="6"/>
        </w:numPr>
        <w:tabs>
          <w:tab w:val="left" w:pos="454"/>
        </w:tabs>
        <w:spacing w:line="360" w:lineRule="auto"/>
        <w:ind w:left="0" w:firstLine="420"/>
        <w:rPr>
          <w:rFonts w:ascii="宋体" w:hAnsi="宋体" w:cs="Arial"/>
          <w:color w:val="000000"/>
          <w:szCs w:val="21"/>
          <w:highlight w:val="none"/>
        </w:rPr>
      </w:pPr>
      <w:r>
        <w:rPr>
          <w:rFonts w:ascii="宋体" w:hAnsi="宋体" w:cs="Arial"/>
          <w:color w:val="000000"/>
          <w:szCs w:val="21"/>
          <w:highlight w:val="none"/>
        </w:rPr>
        <w:t>开标一览表；</w:t>
      </w:r>
    </w:p>
    <w:p>
      <w:pPr>
        <w:pStyle w:val="96"/>
        <w:numPr>
          <w:ilvl w:val="0"/>
          <w:numId w:val="6"/>
        </w:numPr>
        <w:tabs>
          <w:tab w:val="left" w:pos="454"/>
        </w:tabs>
        <w:spacing w:line="360" w:lineRule="auto"/>
        <w:ind w:left="0" w:firstLine="420"/>
        <w:rPr>
          <w:rFonts w:ascii="宋体" w:hAnsi="宋体" w:cs="Arial"/>
          <w:color w:val="000000"/>
          <w:szCs w:val="21"/>
          <w:highlight w:val="none"/>
        </w:rPr>
      </w:pPr>
      <w:r>
        <w:rPr>
          <w:rFonts w:hint="eastAsia" w:ascii="宋体" w:hAnsi="宋体" w:cs="Arial"/>
          <w:color w:val="000000"/>
          <w:szCs w:val="21"/>
          <w:highlight w:val="none"/>
        </w:rPr>
        <w:t>投标报价组成表；</w:t>
      </w:r>
    </w:p>
    <w:p>
      <w:pPr>
        <w:pStyle w:val="96"/>
        <w:tabs>
          <w:tab w:val="left" w:pos="454"/>
        </w:tabs>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（4）</w:t>
      </w:r>
      <w:r>
        <w:rPr>
          <w:rFonts w:ascii="宋体" w:hAnsi="宋体" w:cs="Arial"/>
          <w:color w:val="000000"/>
          <w:szCs w:val="21"/>
          <w:highlight w:val="none"/>
        </w:rPr>
        <w:t>中小企业（监狱企业）声明函及其相关的充分的证明材料、残疾人福利性单位声明函</w:t>
      </w:r>
      <w:r>
        <w:rPr>
          <w:rFonts w:hint="eastAsia" w:ascii="宋体" w:hAnsi="宋体" w:cs="Arial"/>
          <w:color w:val="000000"/>
          <w:szCs w:val="21"/>
          <w:highlight w:val="none"/>
        </w:rPr>
        <w:t>（如有）。</w:t>
      </w:r>
    </w:p>
    <w:p>
      <w:pPr>
        <w:pStyle w:val="96"/>
        <w:spacing w:line="360" w:lineRule="auto"/>
        <w:ind w:firstLine="420"/>
        <w:rPr>
          <w:rFonts w:ascii="宋体" w:hAnsi="宋体" w:cs="Arial"/>
          <w:bCs/>
          <w:color w:val="000000"/>
          <w:szCs w:val="21"/>
          <w:highlight w:val="none"/>
        </w:rPr>
      </w:pPr>
      <w:r>
        <w:rPr>
          <w:rFonts w:ascii="宋体" w:hAnsi="宋体" w:cs="Arial"/>
          <w:color w:val="000000"/>
          <w:szCs w:val="21"/>
          <w:highlight w:val="none"/>
        </w:rPr>
        <w:t>3.2.</w:t>
      </w:r>
      <w:r>
        <w:rPr>
          <w:rFonts w:hint="eastAsia" w:ascii="宋体" w:hAnsi="宋体" w:cs="Arial"/>
          <w:color w:val="000000"/>
          <w:szCs w:val="21"/>
          <w:highlight w:val="none"/>
        </w:rPr>
        <w:t>3</w:t>
      </w:r>
      <w:r>
        <w:rPr>
          <w:rFonts w:ascii="宋体" w:hAnsi="宋体" w:cs="Arial"/>
          <w:b/>
          <w:color w:val="000000"/>
          <w:szCs w:val="21"/>
          <w:highlight w:val="none"/>
        </w:rPr>
        <w:t>商务技术文件</w:t>
      </w:r>
      <w:r>
        <w:rPr>
          <w:rFonts w:hint="eastAsia" w:ascii="宋体" w:hAnsi="宋体" w:cs="Arial"/>
          <w:bCs/>
          <w:color w:val="000000"/>
          <w:szCs w:val="21"/>
          <w:highlight w:val="none"/>
        </w:rPr>
        <w:t>应包括以下内容：</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（1）商务部分</w:t>
      </w:r>
    </w:p>
    <w:p>
      <w:pPr>
        <w:pStyle w:val="96"/>
        <w:numPr>
          <w:ilvl w:val="0"/>
          <w:numId w:val="7"/>
        </w:numPr>
        <w:spacing w:line="360" w:lineRule="auto"/>
        <w:ind w:left="0" w:firstLineChars="0"/>
        <w:rPr>
          <w:rFonts w:ascii="宋体" w:hAnsi="宋体" w:cs="Arial"/>
          <w:color w:val="000000"/>
          <w:szCs w:val="21"/>
          <w:highlight w:val="none"/>
        </w:rPr>
      </w:pPr>
      <w:r>
        <w:rPr>
          <w:rFonts w:ascii="宋体" w:hAnsi="宋体" w:cs="Arial"/>
          <w:color w:val="000000"/>
          <w:szCs w:val="21"/>
          <w:highlight w:val="none"/>
        </w:rPr>
        <w:t>法定代表人</w:t>
      </w:r>
      <w:r>
        <w:rPr>
          <w:rFonts w:hint="eastAsia" w:ascii="宋体" w:hAnsi="宋体" w:cs="Arial"/>
          <w:color w:val="000000"/>
          <w:szCs w:val="21"/>
          <w:highlight w:val="none"/>
        </w:rPr>
        <w:t>授权委托书；</w:t>
      </w:r>
    </w:p>
    <w:p>
      <w:pPr>
        <w:pStyle w:val="96"/>
        <w:numPr>
          <w:ilvl w:val="0"/>
          <w:numId w:val="7"/>
        </w:numPr>
        <w:spacing w:line="360" w:lineRule="auto"/>
        <w:ind w:left="0" w:firstLineChars="0"/>
        <w:rPr>
          <w:rFonts w:ascii="宋体" w:hAnsi="宋体" w:cs="Arial"/>
          <w:color w:val="000000"/>
          <w:szCs w:val="21"/>
          <w:highlight w:val="none"/>
        </w:rPr>
      </w:pPr>
      <w:r>
        <w:rPr>
          <w:rFonts w:ascii="宋体" w:hAnsi="宋体" w:cs="Arial"/>
          <w:color w:val="000000"/>
          <w:szCs w:val="21"/>
          <w:highlight w:val="none"/>
        </w:rPr>
        <w:t>法定代表人</w:t>
      </w:r>
      <w:r>
        <w:rPr>
          <w:rFonts w:hint="eastAsia" w:ascii="宋体" w:hAnsi="宋体" w:cs="Arial"/>
          <w:color w:val="000000"/>
          <w:szCs w:val="21"/>
          <w:highlight w:val="none"/>
        </w:rPr>
        <w:t>及</w:t>
      </w:r>
      <w:r>
        <w:rPr>
          <w:rFonts w:ascii="宋体" w:hAnsi="宋体" w:cs="Arial"/>
          <w:color w:val="000000"/>
          <w:szCs w:val="21"/>
          <w:highlight w:val="none"/>
        </w:rPr>
        <w:t>授权</w:t>
      </w:r>
      <w:r>
        <w:rPr>
          <w:rFonts w:hint="eastAsia" w:ascii="宋体" w:hAnsi="宋体" w:cs="Arial"/>
          <w:color w:val="000000"/>
          <w:szCs w:val="21"/>
          <w:highlight w:val="none"/>
        </w:rPr>
        <w:t>委托人的身份证（复印件加盖公章）</w:t>
      </w:r>
      <w:r>
        <w:rPr>
          <w:rFonts w:ascii="宋体" w:hAnsi="宋体" w:cs="Arial"/>
          <w:color w:val="000000"/>
          <w:szCs w:val="21"/>
          <w:highlight w:val="none"/>
        </w:rPr>
        <w:t>；</w:t>
      </w:r>
    </w:p>
    <w:p>
      <w:pPr>
        <w:pStyle w:val="96"/>
        <w:numPr>
          <w:ilvl w:val="0"/>
          <w:numId w:val="7"/>
        </w:numPr>
        <w:spacing w:line="360" w:lineRule="auto"/>
        <w:ind w:left="0" w:firstLineChars="0"/>
        <w:rPr>
          <w:rFonts w:ascii="宋体" w:hAnsi="宋体" w:cs="Arial"/>
          <w:color w:val="000000"/>
          <w:szCs w:val="21"/>
          <w:highlight w:val="none"/>
        </w:rPr>
      </w:pPr>
      <w:r>
        <w:rPr>
          <w:rFonts w:hint="eastAsia" w:ascii="宋体" w:hAnsi="宋体" w:cs="Arial"/>
          <w:color w:val="000000"/>
          <w:szCs w:val="21"/>
          <w:highlight w:val="none"/>
        </w:rPr>
        <w:t>资质文件（如有）；</w:t>
      </w:r>
    </w:p>
    <w:p>
      <w:pPr>
        <w:pStyle w:val="96"/>
        <w:numPr>
          <w:ilvl w:val="0"/>
          <w:numId w:val="7"/>
        </w:numPr>
        <w:spacing w:line="360" w:lineRule="auto"/>
        <w:ind w:left="0" w:firstLineChars="0"/>
        <w:rPr>
          <w:rFonts w:ascii="宋体" w:hAnsi="宋体" w:cs="Arial"/>
          <w:color w:val="000000"/>
          <w:szCs w:val="21"/>
          <w:highlight w:val="none"/>
        </w:rPr>
      </w:pPr>
      <w:r>
        <w:rPr>
          <w:rFonts w:ascii="宋体" w:hAnsi="宋体" w:cs="Arial"/>
          <w:color w:val="000000"/>
          <w:szCs w:val="21"/>
          <w:highlight w:val="none"/>
        </w:rPr>
        <w:t>廉政承诺书</w:t>
      </w:r>
      <w:r>
        <w:rPr>
          <w:rFonts w:hint="eastAsia" w:ascii="宋体" w:hAnsi="宋体" w:cs="Arial"/>
          <w:color w:val="000000"/>
          <w:szCs w:val="21"/>
          <w:highlight w:val="none"/>
        </w:rPr>
        <w:t>。</w:t>
      </w:r>
    </w:p>
    <w:p>
      <w:pPr>
        <w:pStyle w:val="96"/>
        <w:spacing w:line="360" w:lineRule="auto"/>
        <w:ind w:firstLine="304" w:firstLineChars="145"/>
        <w:rPr>
          <w:rFonts w:ascii="宋体" w:hAnsi="宋体" w:cs="Arial"/>
          <w:color w:val="000000"/>
          <w:szCs w:val="21"/>
          <w:highlight w:val="none"/>
        </w:rPr>
      </w:pPr>
      <w:r>
        <w:rPr>
          <w:rFonts w:hint="eastAsia" w:ascii="宋体" w:hAnsi="宋体" w:cs="Arial"/>
          <w:color w:val="000000"/>
          <w:szCs w:val="21"/>
          <w:highlight w:val="none"/>
        </w:rPr>
        <w:t>（2）技术部分，内容可以是资料，图表或说明，必须包含但不仅限于以下内容：</w:t>
      </w:r>
    </w:p>
    <w:p>
      <w:pPr>
        <w:spacing w:line="360" w:lineRule="auto"/>
        <w:ind w:firstLine="991" w:firstLineChars="472"/>
        <w:rPr>
          <w:rFonts w:ascii="宋体" w:hAnsi="宋体" w:cs="宋体"/>
          <w:color w:val="000000"/>
          <w:kern w:val="0"/>
          <w:szCs w:val="21"/>
          <w:highlight w:val="none"/>
        </w:rPr>
      </w:pPr>
      <w:bookmarkStart w:id="19" w:name="_Hlk534198890"/>
      <w:r>
        <w:rPr>
          <w:rFonts w:hint="eastAsia" w:ascii="宋体" w:hAnsi="宋体" w:cs="宋体"/>
          <w:color w:val="000000"/>
          <w:kern w:val="0"/>
          <w:szCs w:val="21"/>
          <w:highlight w:val="none"/>
        </w:rPr>
        <w:t>1）评分索引（如有，格式自拟）；</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2）声明书</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3）投标人基本情况说明；</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4）投标人主要业绩及证明材料；</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5）拟派项目负责人及项目组人员配置。</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6）针对本项目的实施方案（格式自拟）：</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产品供货、验货、安装调试、试运行、测试、调优、验货、操作和管理培训、培训计划等内容。本项目详细工作实施组织方案，包括（但不限于）以下内容：组织机构、工作时间进度表、工作程序和步骤、管理和协调方法、关键步骤的思路和要点、实施计划等。</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7）所投标产品的完整配置方案（格式自拟）：</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详细列明投标产品的所有技术指标（包括所投产品的相关设备名称、品牌、规格型号、详细配置、主要技术参数、软件、数量等），明确表示相关设备指标所涉及的软硬件是标准配置还是选择配置。同时还须包括产品说明书或产品主要技术资料和性能的详细描述，产品制造、安装、验收标准，详细的交货时所配文件清单、主要部件明细表（包括品牌、制造厂名和主要技术参数）等，（所有技术指标表述均应采用中文，如当前公布的技术指标只有英文表述的，必须由投标人作出中文注释，否则任何含糊不清的表述导致评审小组直至认定为投标无效都将是投标人的责任）。</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8）售后服务方案（格式自拟）：</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详细阐述在产品故障排除、性能调优、技术咨询、技术指导、售后运行维护等方面售后技术支持服务内容，以及其服务的情况。</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 售后服务机构情况：包括全国统一销售热线和针对本次投标项目所提供的销售服务热线；在台州市技术服务（或售后服务）机构的地址、人员状况、维修能力、联系方式以及在台州市的备品、备件情况。</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 售后服务承诺情况：投标人应以书面形式完整准确地表述原厂家的标准售后服务承诺（范围、标准及期限等）、投标人可能增加的服务承诺等；并明示服务承诺可能涉及的前提设定和费用，否则将被认为是无条件和免费的。</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 售后服务基本要求：质保期内提供免费上门运行维护服务，不能修复的，必须采取提供备品、备件等措施，以保证采购单位的正常使用。</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9）</w:t>
      </w:r>
      <w:r>
        <w:rPr>
          <w:rFonts w:ascii="宋体" w:hAnsi="宋体" w:cs="宋体"/>
          <w:color w:val="000000"/>
          <w:kern w:val="0"/>
          <w:szCs w:val="21"/>
          <w:highlight w:val="none"/>
        </w:rPr>
        <w:t>偏离表；</w:t>
      </w:r>
    </w:p>
    <w:p>
      <w:pPr>
        <w:spacing w:line="360" w:lineRule="auto"/>
        <w:ind w:firstLine="991" w:firstLineChars="472"/>
        <w:rPr>
          <w:rFonts w:ascii="宋体" w:hAnsi="宋体" w:cs="宋体"/>
          <w:color w:val="000000"/>
          <w:kern w:val="0"/>
          <w:szCs w:val="21"/>
          <w:highlight w:val="none"/>
        </w:rPr>
      </w:pPr>
      <w:r>
        <w:rPr>
          <w:rFonts w:hint="eastAsia" w:ascii="宋体" w:hAnsi="宋体" w:cs="宋体"/>
          <w:color w:val="000000"/>
          <w:kern w:val="0"/>
          <w:szCs w:val="21"/>
          <w:highlight w:val="none"/>
        </w:rPr>
        <w:t>10）其他投标人认为需要提供的技术文件及证明材料。</w:t>
      </w:r>
    </w:p>
    <w:p>
      <w:pPr>
        <w:pStyle w:val="48"/>
        <w:widowControl w:val="0"/>
        <w:spacing w:before="0" w:beforeAutospacing="0" w:after="0" w:afterAutospacing="0" w:line="360" w:lineRule="auto"/>
        <w:ind w:firstLine="840" w:firstLineChars="400"/>
        <w:jc w:val="both"/>
        <w:rPr>
          <w:rFonts w:ascii="黑体" w:hAnsi="黑体" w:eastAsia="黑体" w:cs="黑体"/>
          <w:color w:val="000000"/>
          <w:szCs w:val="21"/>
          <w:highlight w:val="none"/>
        </w:rPr>
      </w:pPr>
      <w:r>
        <w:rPr>
          <w:rFonts w:hint="eastAsia" w:ascii="黑体" w:hAnsi="黑体" w:eastAsia="黑体" w:cs="黑体"/>
          <w:color w:val="000000"/>
          <w:kern w:val="2"/>
          <w:sz w:val="21"/>
          <w:szCs w:val="21"/>
          <w:highlight w:val="none"/>
          <w:lang w:val="zh-CN"/>
        </w:rPr>
        <w:t>投标文件中所需的各种证书、证件、证明资料如是复印件，须在复印件上加盖有效公章。</w:t>
      </w:r>
    </w:p>
    <w:bookmarkEnd w:id="19"/>
    <w:p>
      <w:pPr>
        <w:pStyle w:val="96"/>
        <w:spacing w:line="360" w:lineRule="auto"/>
        <w:ind w:firstLine="422"/>
        <w:rPr>
          <w:rFonts w:ascii="宋体" w:hAnsi="宋体" w:cs="Arial"/>
          <w:b/>
          <w:color w:val="000000"/>
          <w:szCs w:val="21"/>
          <w:highlight w:val="none"/>
        </w:rPr>
      </w:pPr>
      <w:r>
        <w:rPr>
          <w:rFonts w:ascii="宋体" w:hAnsi="宋体" w:cs="Arial"/>
          <w:b/>
          <w:color w:val="000000"/>
          <w:szCs w:val="21"/>
          <w:highlight w:val="none"/>
        </w:rPr>
        <w:t>3.3 投标文件的编制</w:t>
      </w:r>
    </w:p>
    <w:p>
      <w:pPr>
        <w:pStyle w:val="96"/>
        <w:spacing w:line="360" w:lineRule="auto"/>
        <w:ind w:firstLine="420"/>
        <w:rPr>
          <w:rFonts w:ascii="黑体" w:hAnsi="黑体" w:eastAsia="黑体" w:cs="黑体"/>
          <w:bCs/>
          <w:color w:val="000000"/>
          <w:szCs w:val="21"/>
          <w:highlight w:val="none"/>
        </w:rPr>
      </w:pPr>
      <w:r>
        <w:rPr>
          <w:rFonts w:hint="eastAsia" w:ascii="黑体" w:hAnsi="黑体" w:eastAsia="黑体" w:cs="黑体"/>
          <w:bCs/>
          <w:color w:val="000000"/>
          <w:szCs w:val="21"/>
          <w:highlight w:val="none"/>
        </w:rPr>
        <w:t>3.3.1本项目通过“政府采购云平台（www.zcygov.cn）”实行在线投标响应（电子投标）。供应商应通过“政采云电子交易客户端”，并按照本招标文件和“政府采购云平台”的要求编制并加密投标文件。</w:t>
      </w:r>
    </w:p>
    <w:p>
      <w:pPr>
        <w:pStyle w:val="96"/>
        <w:spacing w:line="360" w:lineRule="auto"/>
        <w:ind w:firstLine="420"/>
        <w:rPr>
          <w:rFonts w:ascii="黑体" w:hAnsi="黑体" w:eastAsia="黑体" w:cs="黑体"/>
          <w:bCs/>
          <w:color w:val="000000"/>
          <w:szCs w:val="21"/>
          <w:highlight w:val="none"/>
        </w:rPr>
      </w:pPr>
      <w:r>
        <w:rPr>
          <w:rFonts w:hint="eastAsia" w:ascii="黑体" w:hAnsi="黑体" w:eastAsia="黑体" w:cs="黑体"/>
          <w:bCs/>
          <w:color w:val="000000"/>
          <w:szCs w:val="21"/>
          <w:highlight w:val="none"/>
        </w:rPr>
        <w:t>3.3.2投标供应商应当按照本章节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pPr>
        <w:pStyle w:val="96"/>
        <w:spacing w:line="360" w:lineRule="auto"/>
        <w:ind w:firstLine="420"/>
        <w:rPr>
          <w:rFonts w:ascii="黑体" w:hAnsi="黑体" w:eastAsia="黑体" w:cs="黑体"/>
          <w:bCs/>
          <w:color w:val="000000"/>
          <w:szCs w:val="21"/>
          <w:highlight w:val="none"/>
        </w:rPr>
      </w:pPr>
      <w:r>
        <w:rPr>
          <w:rFonts w:hint="eastAsia" w:ascii="黑体" w:hAnsi="黑体" w:eastAsia="黑体" w:cs="黑体"/>
          <w:bCs/>
          <w:color w:val="000000"/>
          <w:szCs w:val="21"/>
          <w:highlight w:val="none"/>
        </w:rPr>
        <w:t>3.3.3本文件《第六章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pStyle w:val="96"/>
        <w:spacing w:line="360" w:lineRule="auto"/>
        <w:ind w:firstLine="420"/>
        <w:rPr>
          <w:rFonts w:ascii="宋体" w:hAnsi="宋体" w:cs="Arial"/>
          <w:bCs/>
          <w:color w:val="000000"/>
          <w:szCs w:val="21"/>
          <w:highlight w:val="none"/>
        </w:rPr>
      </w:pPr>
      <w:r>
        <w:rPr>
          <w:rFonts w:hint="eastAsia" w:ascii="宋体" w:hAnsi="宋体" w:cs="Arial"/>
          <w:bCs/>
          <w:color w:val="000000"/>
          <w:szCs w:val="21"/>
          <w:highlight w:val="none"/>
        </w:rPr>
        <w:t>3.3.4《投标文件》内容不完整、编排混乱导致《投标文件》被误读、漏读或者查找不到相关内容的，是投标供应商的责任。</w:t>
      </w:r>
    </w:p>
    <w:p>
      <w:pPr>
        <w:pStyle w:val="96"/>
        <w:spacing w:line="360" w:lineRule="auto"/>
        <w:ind w:firstLine="420"/>
        <w:rPr>
          <w:rFonts w:ascii="宋体" w:hAnsi="宋体" w:cs="Arial"/>
          <w:bCs/>
          <w:color w:val="000000"/>
          <w:szCs w:val="21"/>
          <w:highlight w:val="none"/>
        </w:rPr>
      </w:pPr>
      <w:r>
        <w:rPr>
          <w:rFonts w:hint="eastAsia" w:ascii="宋体" w:hAnsi="宋体" w:cs="Arial"/>
          <w:bCs/>
          <w:color w:val="000000"/>
          <w:szCs w:val="21"/>
          <w:highlight w:val="none"/>
        </w:rPr>
        <w:t>3.3.5《投标文件》因字迹潦草或表达不清所引起的后果由投标供应商负责。</w:t>
      </w:r>
    </w:p>
    <w:p>
      <w:pPr>
        <w:pStyle w:val="96"/>
        <w:spacing w:line="360" w:lineRule="auto"/>
        <w:ind w:firstLine="420"/>
        <w:rPr>
          <w:rFonts w:ascii="宋体" w:hAnsi="宋体" w:cs="Arial"/>
          <w:bCs/>
          <w:color w:val="000000"/>
          <w:szCs w:val="21"/>
          <w:highlight w:val="none"/>
        </w:rPr>
      </w:pPr>
      <w:r>
        <w:rPr>
          <w:rFonts w:hint="eastAsia" w:ascii="宋体" w:hAnsi="宋体" w:cs="Arial"/>
          <w:bCs/>
          <w:color w:val="000000"/>
          <w:szCs w:val="21"/>
          <w:highlight w:val="none"/>
        </w:rPr>
        <w:t>3.3.6投标供应商没有按照本章节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3.</w:t>
      </w:r>
      <w:r>
        <w:rPr>
          <w:rFonts w:hint="eastAsia" w:ascii="宋体" w:hAnsi="宋体" w:cs="Arial"/>
          <w:color w:val="000000"/>
          <w:szCs w:val="21"/>
          <w:highlight w:val="none"/>
        </w:rPr>
        <w:t>4 投标文件的签章</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3.4.1《投标文件》的签章：见《前附表》。</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3.4.2《投标文件》应由投标供应商法定代表人或其授权代表签字（或盖章），并时加盖投标供应商公章。</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3.4.3 电子签章操作指南详见采购公告附件《供应商项目采购-电子招投标操作指南》。</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3.5 投标文件的形式</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3.5.1投标文件的形式：见《前附表》。</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3.5.2“电子加密投标文件”：“电子加密投标文件”是指通过“政采云电子交易客户端”完成投标文件编制后生成并加密的数据电文形式的投标文件。</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3.5.3“备份投标文件”：“备份投标文件”是指与“电子加密投标文件”同时生成的数据电文形式的电子文件（备份标书），其他方式编制的“备份投标文件”视为无效的“备份投标文件”。</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3.6 投标文件的份数</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3.6.1投标文件的份数：见《前附表》。</w:t>
      </w:r>
    </w:p>
    <w:p>
      <w:pPr>
        <w:pStyle w:val="4"/>
        <w:snapToGrid/>
        <w:spacing w:line="360" w:lineRule="auto"/>
        <w:ind w:firstLine="843" w:firstLineChars="400"/>
        <w:rPr>
          <w:rFonts w:ascii="宋体" w:hAnsi="宋体" w:cs="Arial"/>
          <w:color w:val="000000"/>
          <w:szCs w:val="21"/>
          <w:highlight w:val="none"/>
        </w:rPr>
      </w:pPr>
      <w:r>
        <w:rPr>
          <w:rFonts w:ascii="宋体" w:hAnsi="宋体" w:cs="Arial"/>
          <w:color w:val="000000"/>
          <w:szCs w:val="21"/>
          <w:highlight w:val="none"/>
        </w:rPr>
        <w:t>3.</w:t>
      </w:r>
      <w:r>
        <w:rPr>
          <w:rFonts w:hint="eastAsia" w:ascii="宋体" w:hAnsi="宋体" w:cs="Arial"/>
          <w:color w:val="000000"/>
          <w:szCs w:val="21"/>
          <w:highlight w:val="none"/>
        </w:rPr>
        <w:t>7</w:t>
      </w:r>
      <w:r>
        <w:rPr>
          <w:rFonts w:ascii="宋体" w:hAnsi="宋体" w:cs="Arial"/>
          <w:color w:val="000000"/>
          <w:szCs w:val="21"/>
          <w:highlight w:val="none"/>
        </w:rPr>
        <w:t xml:space="preserve"> 投标报价</w:t>
      </w:r>
    </w:p>
    <w:p>
      <w:pPr>
        <w:pStyle w:val="96"/>
        <w:spacing w:line="360" w:lineRule="auto"/>
        <w:ind w:firstLine="420"/>
        <w:rPr>
          <w:rFonts w:ascii="黑体" w:hAnsi="黑体" w:eastAsia="黑体" w:cs="黑体"/>
          <w:color w:val="000000"/>
          <w:szCs w:val="21"/>
          <w:highlight w:val="none"/>
          <w:u w:val="thick"/>
        </w:rPr>
      </w:pPr>
      <w:r>
        <w:rPr>
          <w:rFonts w:hint="eastAsia" w:ascii="黑体" w:hAnsi="黑体" w:eastAsia="黑体" w:cs="黑体"/>
          <w:color w:val="000000"/>
          <w:szCs w:val="21"/>
          <w:highlight w:val="none"/>
        </w:rPr>
        <w:t>3.7.1 ▲</w:t>
      </w:r>
      <w:r>
        <w:rPr>
          <w:rFonts w:hint="eastAsia" w:ascii="黑体" w:hAnsi="黑体" w:eastAsia="黑体" w:cs="黑体"/>
          <w:color w:val="000000"/>
          <w:szCs w:val="21"/>
          <w:highlight w:val="none"/>
          <w:u w:val="thick"/>
        </w:rPr>
        <w:t>本次投标报价为含税人民币价。</w:t>
      </w:r>
    </w:p>
    <w:p>
      <w:pPr>
        <w:pStyle w:val="185"/>
        <w:snapToGrid/>
        <w:rPr>
          <w:color w:val="000000"/>
          <w:highlight w:val="none"/>
          <w:u w:val="single"/>
        </w:rPr>
      </w:pPr>
      <w:r>
        <w:rPr>
          <w:rFonts w:cs="Arial"/>
          <w:color w:val="000000"/>
          <w:highlight w:val="none"/>
        </w:rPr>
        <w:t>3.</w:t>
      </w:r>
      <w:r>
        <w:rPr>
          <w:rFonts w:hint="eastAsia" w:cs="Arial"/>
          <w:color w:val="000000"/>
          <w:highlight w:val="none"/>
        </w:rPr>
        <w:t>7</w:t>
      </w:r>
      <w:r>
        <w:rPr>
          <w:rFonts w:cs="Arial"/>
          <w:color w:val="000000"/>
          <w:highlight w:val="none"/>
        </w:rPr>
        <w:t>.2 投标报价包括完成</w:t>
      </w:r>
      <w:r>
        <w:rPr>
          <w:rFonts w:hint="eastAsia"/>
          <w:color w:val="000000"/>
          <w:highlight w:val="none"/>
        </w:rPr>
        <w:t>本次招标范围内</w:t>
      </w:r>
      <w:r>
        <w:rPr>
          <w:rFonts w:cs="Arial"/>
          <w:color w:val="000000"/>
          <w:highlight w:val="none"/>
        </w:rPr>
        <w:t>所有规定服务内容所产生的全部费用。服务须达到招标文件规定的质量标准。</w:t>
      </w:r>
      <w:r>
        <w:rPr>
          <w:rFonts w:hint="eastAsia" w:cs="Arial"/>
          <w:color w:val="000000"/>
          <w:highlight w:val="none"/>
        </w:rPr>
        <w:t>本次报价采用按站点综合单价包干</w:t>
      </w:r>
      <w:r>
        <w:rPr>
          <w:rFonts w:hint="eastAsia"/>
          <w:color w:val="000000"/>
          <w:highlight w:val="none"/>
        </w:rPr>
        <w:t>，包括成本、利润、税金、采购代理服务费及投标人认为还</w:t>
      </w:r>
      <w:r>
        <w:rPr>
          <w:rFonts w:hint="eastAsia" w:cs="Arial"/>
          <w:color w:val="000000"/>
          <w:highlight w:val="none"/>
        </w:rPr>
        <w:t>需发生的其他费用等全部费用。对于没有填报的项目，采购人将不再支付，并均认为已包含在投标报价内。</w:t>
      </w:r>
    </w:p>
    <w:p>
      <w:pPr>
        <w:widowControl/>
        <w:spacing w:line="360" w:lineRule="auto"/>
        <w:ind w:firstLine="422" w:firstLineChars="200"/>
        <w:rPr>
          <w:rFonts w:ascii="宋体" w:hAnsi="宋体" w:cs="仿宋_GB2312"/>
          <w:b/>
          <w:color w:val="000000"/>
          <w:kern w:val="0"/>
          <w:szCs w:val="21"/>
          <w:highlight w:val="none"/>
          <w:lang w:val="zh-CN"/>
        </w:rPr>
      </w:pPr>
      <w:r>
        <w:rPr>
          <w:rFonts w:hint="eastAsia" w:ascii="宋体" w:hAnsi="宋体" w:cs="仿宋_GB2312"/>
          <w:b/>
          <w:color w:val="000000"/>
          <w:kern w:val="0"/>
          <w:szCs w:val="21"/>
          <w:highlight w:val="none"/>
          <w:lang w:val="zh-CN"/>
        </w:rPr>
        <w:t>3.</w:t>
      </w:r>
      <w:r>
        <w:rPr>
          <w:rFonts w:hint="eastAsia" w:ascii="宋体" w:hAnsi="宋体" w:cs="仿宋_GB2312"/>
          <w:b/>
          <w:color w:val="000000"/>
          <w:kern w:val="0"/>
          <w:szCs w:val="21"/>
          <w:highlight w:val="none"/>
        </w:rPr>
        <w:t>7</w:t>
      </w:r>
      <w:r>
        <w:rPr>
          <w:rFonts w:hint="eastAsia" w:ascii="宋体" w:hAnsi="宋体" w:cs="仿宋_GB2312"/>
          <w:b/>
          <w:color w:val="000000"/>
          <w:kern w:val="0"/>
          <w:szCs w:val="21"/>
          <w:highlight w:val="none"/>
          <w:lang w:val="zh-CN"/>
        </w:rPr>
        <w:t>.3</w:t>
      </w:r>
      <w:r>
        <w:rPr>
          <w:rFonts w:ascii="宋体" w:hAnsi="宋体" w:cs="仿宋_GB2312"/>
          <w:b/>
          <w:color w:val="000000"/>
          <w:kern w:val="0"/>
          <w:szCs w:val="21"/>
          <w:highlight w:val="none"/>
          <w:lang w:val="zh-CN"/>
        </w:rPr>
        <w:t xml:space="preserve"> </w:t>
      </w:r>
      <w:r>
        <w:rPr>
          <w:rFonts w:hint="eastAsia" w:ascii="宋体" w:hAnsi="宋体" w:cs="仿宋_GB2312"/>
          <w:b/>
          <w:color w:val="000000"/>
          <w:kern w:val="0"/>
          <w:szCs w:val="21"/>
          <w:highlight w:val="none"/>
          <w:lang w:val="zh-CN"/>
        </w:rPr>
        <w:t>投标报价出现下列情形的，投标无效：</w:t>
      </w:r>
    </w:p>
    <w:p>
      <w:pPr>
        <w:spacing w:line="360" w:lineRule="auto"/>
        <w:ind w:firstLine="411" w:firstLineChars="196"/>
        <w:jc w:val="left"/>
        <w:rPr>
          <w:rFonts w:ascii="黑体" w:hAnsi="黑体" w:eastAsia="黑体" w:cs="黑体"/>
          <w:bCs/>
          <w:color w:val="000000"/>
          <w:kern w:val="0"/>
          <w:szCs w:val="21"/>
          <w:highlight w:val="none"/>
          <w:lang w:val="zh-CN"/>
        </w:rPr>
      </w:pPr>
      <w:r>
        <w:rPr>
          <w:rFonts w:hint="eastAsia" w:ascii="黑体" w:hAnsi="黑体" w:eastAsia="黑体" w:cs="黑体"/>
          <w:bCs/>
          <w:color w:val="000000"/>
          <w:szCs w:val="21"/>
          <w:highlight w:val="none"/>
        </w:rPr>
        <w:t>▲</w:t>
      </w:r>
      <w:r>
        <w:rPr>
          <w:rFonts w:hint="eastAsia" w:ascii="黑体" w:hAnsi="黑体" w:eastAsia="黑体" w:cs="黑体"/>
          <w:bCs/>
          <w:color w:val="000000"/>
          <w:kern w:val="0"/>
          <w:szCs w:val="21"/>
          <w:highlight w:val="none"/>
          <w:lang w:val="zh-CN"/>
        </w:rPr>
        <w:t>投标文件出现不是唯一的、有选择性投标报价的；</w:t>
      </w:r>
    </w:p>
    <w:p>
      <w:pPr>
        <w:spacing w:line="360" w:lineRule="auto"/>
        <w:ind w:firstLine="411" w:firstLineChars="196"/>
        <w:jc w:val="left"/>
        <w:rPr>
          <w:rFonts w:ascii="黑体" w:hAnsi="黑体" w:eastAsia="黑体" w:cs="黑体"/>
          <w:bCs/>
          <w:color w:val="000000"/>
          <w:kern w:val="0"/>
          <w:szCs w:val="21"/>
          <w:highlight w:val="none"/>
          <w:lang w:val="zh-CN"/>
        </w:rPr>
      </w:pPr>
      <w:r>
        <w:rPr>
          <w:rFonts w:hint="eastAsia" w:ascii="黑体" w:hAnsi="黑体" w:eastAsia="黑体" w:cs="黑体"/>
          <w:bCs/>
          <w:color w:val="000000"/>
          <w:szCs w:val="21"/>
          <w:highlight w:val="none"/>
        </w:rPr>
        <w:t>▲投标报价高于本项目采购预算的;</w:t>
      </w:r>
    </w:p>
    <w:p>
      <w:pPr>
        <w:spacing w:line="360" w:lineRule="auto"/>
        <w:ind w:firstLine="411" w:firstLineChars="196"/>
        <w:rPr>
          <w:rFonts w:ascii="黑体" w:hAnsi="黑体" w:eastAsia="黑体" w:cs="黑体"/>
          <w:bCs/>
          <w:color w:val="000000"/>
          <w:szCs w:val="21"/>
          <w:highlight w:val="none"/>
        </w:rPr>
      </w:pPr>
      <w:r>
        <w:rPr>
          <w:rFonts w:hint="eastAsia" w:ascii="黑体" w:hAnsi="黑体" w:eastAsia="黑体" w:cs="黑体"/>
          <w:bCs/>
          <w:color w:val="000000"/>
          <w:szCs w:val="21"/>
          <w:highlight w:val="none"/>
        </w:rPr>
        <w:t>▲</w:t>
      </w:r>
      <w:r>
        <w:rPr>
          <w:rFonts w:hint="eastAsia" w:ascii="黑体" w:hAnsi="黑体" w:eastAsia="黑体" w:cs="黑体"/>
          <w:bCs/>
          <w:color w:val="000000"/>
          <w:kern w:val="0"/>
          <w:szCs w:val="21"/>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黑体" w:hAnsi="黑体" w:eastAsia="黑体" w:cs="黑体"/>
          <w:bCs/>
          <w:color w:val="000000"/>
          <w:szCs w:val="21"/>
          <w:highlight w:val="none"/>
        </w:rPr>
        <w:t>;</w:t>
      </w:r>
    </w:p>
    <w:p>
      <w:pPr>
        <w:spacing w:line="360" w:lineRule="auto"/>
        <w:ind w:firstLine="411" w:firstLineChars="196"/>
        <w:rPr>
          <w:rFonts w:ascii="宋体" w:hAnsi="宋体" w:cs="仿宋_GB2312"/>
          <w:color w:val="000000"/>
          <w:sz w:val="24"/>
          <w:highlight w:val="none"/>
        </w:rPr>
      </w:pPr>
      <w:r>
        <w:rPr>
          <w:rFonts w:hint="eastAsia" w:ascii="黑体" w:hAnsi="黑体" w:eastAsia="黑体" w:cs="黑体"/>
          <w:bCs/>
          <w:color w:val="000000"/>
          <w:szCs w:val="21"/>
          <w:highlight w:val="none"/>
        </w:rPr>
        <w:t>▲《开标一览表》填写不完整或字迹不能辨认或有漏项的。</w:t>
      </w:r>
    </w:p>
    <w:p>
      <w:pPr>
        <w:pStyle w:val="3"/>
        <w:numPr>
          <w:ilvl w:val="0"/>
          <w:numId w:val="5"/>
        </w:numPr>
        <w:spacing w:line="360" w:lineRule="auto"/>
        <w:ind w:firstLineChars="0"/>
        <w:jc w:val="center"/>
        <w:rPr>
          <w:rFonts w:ascii="宋体" w:hAnsi="宋体" w:cs="Arial"/>
          <w:color w:val="000000"/>
          <w:sz w:val="32"/>
          <w:highlight w:val="none"/>
        </w:rPr>
      </w:pPr>
      <w:r>
        <w:rPr>
          <w:rFonts w:ascii="宋体" w:hAnsi="宋体" w:cs="Arial"/>
          <w:color w:val="000000"/>
          <w:sz w:val="32"/>
          <w:highlight w:val="none"/>
        </w:rPr>
        <w:t>投标</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4.1 投标文件的</w:t>
      </w:r>
      <w:r>
        <w:rPr>
          <w:rFonts w:hint="eastAsia" w:ascii="宋体" w:hAnsi="宋体" w:cs="Arial"/>
          <w:color w:val="000000"/>
          <w:szCs w:val="21"/>
          <w:highlight w:val="none"/>
        </w:rPr>
        <w:t>上传和递交</w:t>
      </w:r>
    </w:p>
    <w:p>
      <w:pPr>
        <w:pStyle w:val="4"/>
        <w:snapToGrid/>
        <w:spacing w:line="360" w:lineRule="auto"/>
        <w:ind w:firstLine="420"/>
        <w:rPr>
          <w:rFonts w:ascii="黑体" w:hAnsi="黑体" w:eastAsia="黑体" w:cs="黑体"/>
          <w:b w:val="0"/>
          <w:bCs/>
          <w:color w:val="000000"/>
          <w:szCs w:val="21"/>
          <w:highlight w:val="none"/>
        </w:rPr>
      </w:pPr>
      <w:r>
        <w:rPr>
          <w:rFonts w:hint="eastAsia" w:ascii="黑体" w:hAnsi="黑体" w:eastAsia="黑体" w:cs="黑体"/>
          <w:b w:val="0"/>
          <w:bCs/>
          <w:color w:val="000000"/>
          <w:szCs w:val="21"/>
          <w:highlight w:val="none"/>
        </w:rPr>
        <w:t>4.1.1“投标文件”的上传、递交：见《前附表》。</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 xml:space="preserve">4.2 </w:t>
      </w:r>
      <w:r>
        <w:rPr>
          <w:rFonts w:hint="eastAsia" w:ascii="宋体" w:hAnsi="宋体" w:cs="Arial"/>
          <w:color w:val="000000"/>
          <w:szCs w:val="21"/>
          <w:highlight w:val="none"/>
        </w:rPr>
        <w:t>“电子加密投标文件”解密和异常情况处理</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4.2.1“电子加密投标文件”解密：见《前附表》。</w:t>
      </w:r>
    </w:p>
    <w:p>
      <w:pPr>
        <w:spacing w:line="360" w:lineRule="auto"/>
        <w:ind w:firstLine="420" w:firstLineChars="200"/>
        <w:rPr>
          <w:highlight w:val="none"/>
        </w:rPr>
      </w:pPr>
      <w:r>
        <w:rPr>
          <w:rFonts w:hint="eastAsia" w:ascii="黑体" w:hAnsi="黑体" w:eastAsia="黑体" w:cs="黑体"/>
          <w:bCs/>
          <w:color w:val="000000"/>
          <w:szCs w:val="21"/>
          <w:highlight w:val="none"/>
        </w:rPr>
        <w:t>4.2.2“电子加密投标文件”异常情况处理：见《前附表》。</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4.3 投标文件的</w:t>
      </w:r>
      <w:r>
        <w:rPr>
          <w:rFonts w:hint="eastAsia" w:ascii="宋体" w:hAnsi="宋体" w:cs="Arial"/>
          <w:color w:val="000000"/>
          <w:szCs w:val="21"/>
          <w:highlight w:val="none"/>
        </w:rPr>
        <w:t>补充、</w:t>
      </w:r>
      <w:r>
        <w:rPr>
          <w:rFonts w:ascii="宋体" w:hAnsi="宋体" w:cs="Arial"/>
          <w:color w:val="000000"/>
          <w:szCs w:val="21"/>
          <w:highlight w:val="none"/>
        </w:rPr>
        <w:t>修改和撤回</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4.3.1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20" w:firstLineChars="200"/>
        <w:rPr>
          <w:rFonts w:ascii="宋体" w:hAnsi="宋体"/>
          <w:color w:val="000000"/>
          <w:szCs w:val="21"/>
          <w:highlight w:val="none"/>
        </w:rPr>
      </w:pPr>
      <w:r>
        <w:rPr>
          <w:rFonts w:hint="eastAsia" w:ascii="黑体" w:hAnsi="黑体" w:eastAsia="黑体" w:cs="黑体"/>
          <w:bCs/>
          <w:color w:val="000000"/>
          <w:szCs w:val="21"/>
          <w:highlight w:val="none"/>
        </w:rPr>
        <w:t>4.3.2投标截止时间后，投标供应商不得撤回、修改《投标文件》。</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4</w:t>
      </w:r>
      <w:r>
        <w:rPr>
          <w:rFonts w:ascii="宋体" w:hAnsi="宋体" w:cs="Arial"/>
          <w:color w:val="000000"/>
          <w:szCs w:val="21"/>
          <w:highlight w:val="none"/>
        </w:rPr>
        <w:t>.</w:t>
      </w:r>
      <w:r>
        <w:rPr>
          <w:rFonts w:hint="eastAsia" w:ascii="宋体" w:hAnsi="宋体" w:cs="Arial"/>
          <w:color w:val="000000"/>
          <w:szCs w:val="21"/>
          <w:highlight w:val="none"/>
        </w:rPr>
        <w:t>4</w:t>
      </w:r>
      <w:r>
        <w:rPr>
          <w:rFonts w:ascii="宋体" w:hAnsi="宋体" w:cs="Arial"/>
          <w:color w:val="000000"/>
          <w:szCs w:val="21"/>
          <w:highlight w:val="none"/>
        </w:rPr>
        <w:t xml:space="preserve"> 投标有效期</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4</w:t>
      </w:r>
      <w:r>
        <w:rPr>
          <w:rFonts w:ascii="宋体" w:hAnsi="宋体" w:cs="Arial"/>
          <w:color w:val="000000"/>
          <w:szCs w:val="21"/>
          <w:highlight w:val="none"/>
        </w:rPr>
        <w:t>.</w:t>
      </w:r>
      <w:r>
        <w:rPr>
          <w:rFonts w:hint="eastAsia" w:ascii="宋体" w:hAnsi="宋体" w:cs="Arial"/>
          <w:color w:val="000000"/>
          <w:szCs w:val="21"/>
          <w:highlight w:val="none"/>
        </w:rPr>
        <w:t>4</w:t>
      </w:r>
      <w:r>
        <w:rPr>
          <w:rFonts w:ascii="宋体" w:hAnsi="宋体" w:cs="Arial"/>
          <w:color w:val="000000"/>
          <w:szCs w:val="21"/>
          <w:highlight w:val="none"/>
        </w:rPr>
        <w:t>.1 投标有效期按“投标人须知前附表”规定，投标文件应在该有效期内保持有效。合同签订后，投标文件作为合同附件，投标文件有效期同合同有效期。</w:t>
      </w:r>
      <w:r>
        <w:rPr>
          <w:rFonts w:hint="eastAsia" w:ascii="宋体" w:hAnsi="宋体" w:cs="仿宋_GB2312"/>
          <w:color w:val="000000"/>
          <w:szCs w:val="21"/>
          <w:highlight w:val="none"/>
        </w:rPr>
        <w:t>▲</w:t>
      </w:r>
      <w:r>
        <w:rPr>
          <w:rFonts w:hint="eastAsia" w:ascii="宋体" w:hAnsi="宋体" w:cs="仿宋_GB2312"/>
          <w:b/>
          <w:color w:val="000000"/>
          <w:szCs w:val="21"/>
          <w:highlight w:val="none"/>
        </w:rPr>
        <w:t>投标人的投标文件中承诺的投标有效期少于招标文件中载明的投标有效期的，投标无效。</w:t>
      </w:r>
    </w:p>
    <w:p>
      <w:pPr>
        <w:pStyle w:val="96"/>
        <w:spacing w:line="360" w:lineRule="auto"/>
        <w:ind w:firstLine="420"/>
        <w:rPr>
          <w:rFonts w:ascii="宋体" w:hAnsi="宋体" w:cs="仿宋_GB2312"/>
          <w:color w:val="000000"/>
          <w:szCs w:val="21"/>
          <w:highlight w:val="none"/>
        </w:rPr>
      </w:pPr>
      <w:r>
        <w:rPr>
          <w:rFonts w:hint="eastAsia" w:ascii="宋体" w:hAnsi="宋体" w:cs="Arial"/>
          <w:color w:val="000000"/>
          <w:szCs w:val="21"/>
          <w:highlight w:val="none"/>
        </w:rPr>
        <w:t>4</w:t>
      </w:r>
      <w:r>
        <w:rPr>
          <w:rFonts w:ascii="宋体" w:hAnsi="宋体" w:cs="Arial"/>
          <w:color w:val="000000"/>
          <w:szCs w:val="21"/>
          <w:highlight w:val="none"/>
        </w:rPr>
        <w:t>.</w:t>
      </w:r>
      <w:r>
        <w:rPr>
          <w:rFonts w:hint="eastAsia" w:ascii="宋体" w:hAnsi="宋体" w:cs="Arial"/>
          <w:color w:val="000000"/>
          <w:szCs w:val="21"/>
          <w:highlight w:val="none"/>
        </w:rPr>
        <w:t>4</w:t>
      </w:r>
      <w:r>
        <w:rPr>
          <w:rFonts w:ascii="宋体" w:hAnsi="宋体" w:cs="Arial"/>
          <w:color w:val="000000"/>
          <w:szCs w:val="21"/>
          <w:highlight w:val="none"/>
        </w:rPr>
        <w:t>.2</w:t>
      </w:r>
      <w:r>
        <w:rPr>
          <w:rFonts w:hint="eastAsia" w:ascii="宋体" w:hAnsi="宋体" w:cs="仿宋_GB2312"/>
          <w:color w:val="000000"/>
          <w:szCs w:val="21"/>
          <w:highlight w:val="none"/>
        </w:rPr>
        <w:t>在原定投标有效期满之前，如果出现特殊情况，采购代理机构可以以书面形式通知投标人延长投标有效期。投标人同意延长的，不得要求或被允许修改其投标文件;投标人拒绝延长的，其投标无效。</w:t>
      </w:r>
    </w:p>
    <w:p>
      <w:pPr>
        <w:pStyle w:val="96"/>
        <w:spacing w:line="360" w:lineRule="auto"/>
        <w:ind w:firstLine="422"/>
        <w:rPr>
          <w:rFonts w:ascii="宋体" w:hAnsi="宋体" w:cs="仿宋_GB2312"/>
          <w:b/>
          <w:bCs/>
          <w:color w:val="000000"/>
          <w:szCs w:val="21"/>
          <w:highlight w:val="none"/>
        </w:rPr>
      </w:pPr>
      <w:r>
        <w:rPr>
          <w:rFonts w:hint="eastAsia" w:ascii="宋体" w:hAnsi="宋体" w:cs="仿宋_GB2312"/>
          <w:b/>
          <w:bCs/>
          <w:color w:val="000000"/>
          <w:szCs w:val="21"/>
          <w:highlight w:val="none"/>
        </w:rPr>
        <w:t>4.5 投标文件的备选方案</w:t>
      </w:r>
    </w:p>
    <w:p>
      <w:pPr>
        <w:pStyle w:val="96"/>
        <w:spacing w:line="360" w:lineRule="auto"/>
        <w:ind w:firstLine="420"/>
        <w:rPr>
          <w:rFonts w:ascii="黑体" w:hAnsi="黑体" w:eastAsia="黑体" w:cs="黑体"/>
          <w:bCs/>
          <w:color w:val="000000"/>
          <w:szCs w:val="21"/>
          <w:highlight w:val="none"/>
        </w:rPr>
      </w:pPr>
      <w:r>
        <w:rPr>
          <w:rFonts w:hint="eastAsia" w:ascii="黑体" w:hAnsi="黑体" w:eastAsia="黑体" w:cs="黑体"/>
          <w:bCs/>
          <w:color w:val="000000"/>
          <w:szCs w:val="21"/>
          <w:highlight w:val="none"/>
        </w:rPr>
        <w:t>4.5.1投标供应商不得递交任何的投标备选（替代）方案，否则其投标文件将作无效标处理。与“电子加密投标文件”同时生成的“备份投标文件”不是投标备选（替代）方案。</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4.</w:t>
      </w:r>
      <w:r>
        <w:rPr>
          <w:rFonts w:hint="eastAsia" w:ascii="宋体" w:hAnsi="宋体" w:cs="Arial"/>
          <w:color w:val="000000"/>
          <w:szCs w:val="21"/>
          <w:highlight w:val="none"/>
        </w:rPr>
        <w:t>6</w:t>
      </w:r>
      <w:r>
        <w:rPr>
          <w:rFonts w:ascii="宋体" w:hAnsi="宋体" w:cs="Arial"/>
          <w:color w:val="000000"/>
          <w:szCs w:val="21"/>
          <w:highlight w:val="none"/>
        </w:rPr>
        <w:t xml:space="preserve"> 投标人不足三家情况处理</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投标截止时间结束后参加投标的投标人不足三家的，除采购任务取消情形外，采购人可选择以下方式之一处理：</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（1）</w:t>
      </w:r>
      <w:r>
        <w:rPr>
          <w:rFonts w:ascii="宋体" w:hAnsi="宋体" w:cs="Arial"/>
          <w:color w:val="000000"/>
          <w:szCs w:val="21"/>
          <w:highlight w:val="none"/>
        </w:rPr>
        <w:t>可将本标项作废标处理，重新组织采购；</w:t>
      </w:r>
    </w:p>
    <w:p>
      <w:pPr>
        <w:pStyle w:val="96"/>
        <w:spacing w:line="360" w:lineRule="auto"/>
        <w:ind w:firstLine="420"/>
        <w:rPr>
          <w:rFonts w:ascii="宋体" w:hAnsi="宋体" w:cs="Arial"/>
          <w:color w:val="000000"/>
          <w:sz w:val="24"/>
          <w:highlight w:val="none"/>
        </w:rPr>
      </w:pPr>
      <w:r>
        <w:rPr>
          <w:rFonts w:hint="eastAsia" w:ascii="宋体" w:hAnsi="宋体" w:cs="Arial"/>
          <w:color w:val="000000"/>
          <w:szCs w:val="21"/>
          <w:highlight w:val="none"/>
        </w:rPr>
        <w:t>（2）</w:t>
      </w:r>
      <w:r>
        <w:rPr>
          <w:rFonts w:ascii="宋体" w:hAnsi="宋体" w:cs="Arial"/>
          <w:color w:val="000000"/>
          <w:szCs w:val="21"/>
          <w:highlight w:val="none"/>
        </w:rPr>
        <w:t>可按</w:t>
      </w:r>
      <w:r>
        <w:rPr>
          <w:rFonts w:ascii="宋体" w:hAnsi="宋体" w:cs="Arial"/>
          <w:color w:val="000000"/>
          <w:kern w:val="0"/>
          <w:szCs w:val="21"/>
          <w:highlight w:val="none"/>
        </w:rPr>
        <w:t>同级政府采购监督管理部门</w:t>
      </w:r>
      <w:r>
        <w:rPr>
          <w:rFonts w:ascii="宋体" w:hAnsi="宋体" w:cs="Arial"/>
          <w:color w:val="000000"/>
          <w:szCs w:val="21"/>
          <w:highlight w:val="none"/>
        </w:rPr>
        <w:t>的审批意见采用其他采购方式组织采购</w:t>
      </w:r>
      <w:r>
        <w:rPr>
          <w:rFonts w:hint="eastAsia" w:ascii="宋体" w:hAnsi="宋体" w:cs="Arial"/>
          <w:color w:val="000000"/>
          <w:szCs w:val="21"/>
          <w:highlight w:val="none"/>
        </w:rPr>
        <w:t>。</w:t>
      </w:r>
    </w:p>
    <w:p>
      <w:pPr>
        <w:pStyle w:val="3"/>
        <w:numPr>
          <w:ilvl w:val="0"/>
          <w:numId w:val="5"/>
        </w:numPr>
        <w:spacing w:line="360" w:lineRule="auto"/>
        <w:ind w:firstLineChars="0"/>
        <w:jc w:val="center"/>
        <w:rPr>
          <w:rFonts w:ascii="宋体" w:hAnsi="宋体" w:cs="Arial"/>
          <w:color w:val="000000"/>
          <w:sz w:val="32"/>
          <w:highlight w:val="none"/>
        </w:rPr>
      </w:pPr>
      <w:r>
        <w:rPr>
          <w:rFonts w:ascii="宋体" w:hAnsi="宋体" w:cs="Arial"/>
          <w:color w:val="000000"/>
          <w:sz w:val="32"/>
          <w:highlight w:val="none"/>
        </w:rPr>
        <w:t>开标</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5.1 开标</w:t>
      </w:r>
      <w:r>
        <w:rPr>
          <w:rFonts w:hint="eastAsia" w:ascii="宋体" w:hAnsi="宋体" w:cs="Arial"/>
          <w:color w:val="000000"/>
          <w:szCs w:val="21"/>
          <w:highlight w:val="none"/>
        </w:rPr>
        <w:t>形式</w:t>
      </w:r>
    </w:p>
    <w:p>
      <w:pPr>
        <w:pStyle w:val="96"/>
        <w:spacing w:line="360" w:lineRule="auto"/>
        <w:ind w:firstLine="420"/>
        <w:rPr>
          <w:rFonts w:ascii="黑体" w:hAnsi="黑体" w:eastAsia="黑体" w:cs="黑体"/>
          <w:bCs/>
          <w:color w:val="000000"/>
          <w:szCs w:val="21"/>
          <w:highlight w:val="none"/>
        </w:rPr>
      </w:pPr>
      <w:r>
        <w:rPr>
          <w:rFonts w:hint="eastAsia" w:ascii="黑体" w:hAnsi="黑体" w:eastAsia="黑体" w:cs="黑体"/>
          <w:bCs/>
          <w:color w:val="000000"/>
          <w:szCs w:val="21"/>
          <w:highlight w:val="none"/>
        </w:rPr>
        <w:t>5.1.1采购组织机构将按照招标文件规定的时间通过“政府采购云平台”组织开标、开启投标文件，所有供应商均应当准时在线参加。</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5.2 开标准备</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5.2.1开标的准备工作由采购组织机构负责落实；</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5.2.2采购组织机构将按照招标文件规定的时间通过“政府采购云平台”组织开标、开启投标文件，所有供应商均应当准时在线参加。投标供应商如不在线参加开标大会的，视同认可开标结果，事后不得对采购相关人员、开标过程和开标结果提出异议，同时投标供应商因未在线参加开标而导致投标文件无法按时解密等一切后果由供应商自己承担。</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5.3开标流程（两阶段）</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5.3.1开标第一阶段</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（2）投标文件解密结束，通过邮件形式发送各投标人组织签署《政府采购活动现场确认声明书》；</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（3）开启投标文件，进入资格审查；</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（4）开启资格审查通过的投标供应商的商务技术文件进入符合性审查、商务技术评审；</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（5）第一阶段开标结束。</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5.3.2开标大会第二阶段</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1）符合性审查、商务技术评审结束后，举行开标大会第二阶段会议。首先通过发送邮件形式公布符合性审查、商务技术评审无效供应商名称及理由；公布经商务技术评审后有效投标供应商的名单，同时公布其商务技术部分得分情况。</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2）开启符合性审查、商务技术评审有效投标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（3）评审结束后，通过发送邮件形式公布中标（成交）候选供应商名单，及采购人最终确定中标或成交供应商名单的时间和公告方式等。</w:t>
      </w:r>
    </w:p>
    <w:p>
      <w:pPr>
        <w:spacing w:line="360" w:lineRule="auto"/>
        <w:ind w:firstLine="420" w:firstLineChars="200"/>
        <w:rPr>
          <w:highlight w:val="none"/>
        </w:rPr>
      </w:pPr>
      <w:r>
        <w:rPr>
          <w:rFonts w:hint="eastAsia" w:ascii="黑体" w:hAnsi="黑体" w:eastAsia="黑体" w:cs="黑体"/>
          <w:bCs/>
          <w:color w:val="000000"/>
          <w:szCs w:val="21"/>
          <w:highlight w:val="none"/>
        </w:rPr>
        <w:t>特别说明：如遇“政府采购云平台”电子化开标或评审程序调整的，按调整后程序执行。</w:t>
      </w:r>
    </w:p>
    <w:p>
      <w:pPr>
        <w:pStyle w:val="4"/>
        <w:snapToGrid/>
        <w:spacing w:line="360" w:lineRule="auto"/>
        <w:ind w:firstLine="422"/>
        <w:rPr>
          <w:rFonts w:ascii="宋体" w:hAnsi="宋体" w:cs="Arial"/>
          <w:color w:val="000000"/>
          <w:szCs w:val="21"/>
          <w:highlight w:val="none"/>
        </w:rPr>
      </w:pPr>
      <w:r>
        <w:rPr>
          <w:rFonts w:ascii="宋体" w:hAnsi="宋体" w:cs="Arial"/>
          <w:color w:val="000000"/>
          <w:szCs w:val="21"/>
          <w:highlight w:val="none"/>
        </w:rPr>
        <w:t>5.</w:t>
      </w:r>
      <w:r>
        <w:rPr>
          <w:rFonts w:hint="eastAsia" w:ascii="宋体" w:hAnsi="宋体" w:cs="Arial"/>
          <w:color w:val="000000"/>
          <w:szCs w:val="21"/>
          <w:highlight w:val="none"/>
        </w:rPr>
        <w:t>4</w:t>
      </w:r>
      <w:r>
        <w:rPr>
          <w:rFonts w:ascii="宋体" w:hAnsi="宋体" w:cs="Arial"/>
          <w:color w:val="000000"/>
          <w:szCs w:val="21"/>
          <w:highlight w:val="none"/>
        </w:rPr>
        <w:t xml:space="preserve"> 投标人资格审查</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5.4.1开标大会第一阶段结束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5.4.2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5.4.3单位负责人为同一人或者存在直接控股、管理关系的不同供应商参加同一合同项下的政府采购活动的，相关投标供应商均作资格无效处理。</w:t>
      </w:r>
    </w:p>
    <w:p>
      <w:pPr>
        <w:spacing w:line="360" w:lineRule="auto"/>
        <w:ind w:firstLine="420" w:firstLineChars="200"/>
        <w:rPr>
          <w:rFonts w:ascii="黑体" w:hAnsi="黑体" w:eastAsia="黑体" w:cs="黑体"/>
          <w:bCs/>
          <w:color w:val="000000"/>
          <w:szCs w:val="21"/>
          <w:highlight w:val="none"/>
        </w:rPr>
      </w:pPr>
      <w:r>
        <w:rPr>
          <w:rFonts w:hint="eastAsia" w:ascii="黑体" w:hAnsi="黑体" w:eastAsia="黑体" w:cs="黑体"/>
          <w:bCs/>
          <w:color w:val="000000"/>
          <w:szCs w:val="21"/>
          <w:highlight w:val="none"/>
        </w:rPr>
        <w:t>5.4.4为采购项目提供整体设计、规范编制或者项目管理、监理、检测等服务的供应商，其投标均作资格无效处理。</w:t>
      </w:r>
    </w:p>
    <w:p>
      <w:pPr>
        <w:pStyle w:val="3"/>
        <w:numPr>
          <w:ilvl w:val="0"/>
          <w:numId w:val="5"/>
        </w:numPr>
        <w:spacing w:line="360" w:lineRule="auto"/>
        <w:ind w:firstLineChars="0"/>
        <w:jc w:val="center"/>
        <w:rPr>
          <w:rFonts w:ascii="宋体" w:hAnsi="宋体" w:cs="Arial"/>
          <w:color w:val="000000"/>
          <w:sz w:val="32"/>
          <w:highlight w:val="none"/>
        </w:rPr>
      </w:pPr>
      <w:r>
        <w:rPr>
          <w:rFonts w:hint="eastAsia" w:ascii="宋体" w:hAnsi="宋体" w:cs="Arial"/>
          <w:color w:val="000000"/>
          <w:sz w:val="32"/>
          <w:highlight w:val="none"/>
        </w:rPr>
        <w:t>评标</w:t>
      </w:r>
    </w:p>
    <w:p>
      <w:pPr>
        <w:pStyle w:val="4"/>
        <w:snapToGrid/>
        <w:spacing w:line="360" w:lineRule="auto"/>
        <w:ind w:firstLine="422"/>
        <w:rPr>
          <w:rFonts w:ascii="宋体" w:hAnsi="宋体" w:cs="仿宋_GB2312"/>
          <w:b w:val="0"/>
          <w:color w:val="000000"/>
          <w:szCs w:val="21"/>
          <w:highlight w:val="none"/>
        </w:rPr>
      </w:pPr>
      <w:r>
        <w:rPr>
          <w:rFonts w:hint="eastAsia" w:ascii="宋体" w:hAnsi="宋体" w:cs="Arial"/>
          <w:color w:val="000000"/>
          <w:szCs w:val="21"/>
          <w:highlight w:val="none"/>
        </w:rPr>
        <w:t xml:space="preserve">6.1 </w:t>
      </w:r>
      <w:r>
        <w:rPr>
          <w:rFonts w:hint="eastAsia" w:ascii="宋体" w:hAnsi="宋体" w:cs="Arial"/>
          <w:b w:val="0"/>
          <w:color w:val="000000"/>
          <w:kern w:val="10"/>
          <w:szCs w:val="21"/>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仿宋_GB2312"/>
          <w:b w:val="0"/>
          <w:color w:val="000000"/>
          <w:szCs w:val="21"/>
          <w:highlight w:val="none"/>
        </w:rPr>
        <w:t>详见招标文件第五章“评标方法及评分标准”。</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 xml:space="preserve">6.2 </w:t>
      </w:r>
      <w:r>
        <w:rPr>
          <w:rFonts w:ascii="宋体" w:hAnsi="宋体" w:cs="Arial"/>
          <w:color w:val="000000"/>
          <w:szCs w:val="21"/>
          <w:highlight w:val="none"/>
        </w:rPr>
        <w:t>有效投标人少于三家的情况处理</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评审期间，出现符合资格条件的投标人或者对招标文件做出实质响应的投标人不足三家，采购人可选择以下方式之一处理：</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（1）</w:t>
      </w:r>
      <w:r>
        <w:rPr>
          <w:rFonts w:ascii="宋体" w:hAnsi="宋体" w:cs="Arial"/>
          <w:color w:val="000000"/>
          <w:szCs w:val="21"/>
          <w:highlight w:val="none"/>
        </w:rPr>
        <w:t>可将本标项作废标处理，重新组织采购；</w:t>
      </w:r>
    </w:p>
    <w:p>
      <w:pPr>
        <w:pStyle w:val="96"/>
        <w:spacing w:line="360" w:lineRule="auto"/>
        <w:ind w:firstLine="420"/>
        <w:rPr>
          <w:rFonts w:ascii="宋体" w:hAnsi="宋体" w:cs="Arial"/>
          <w:color w:val="000000"/>
          <w:szCs w:val="21"/>
          <w:highlight w:val="none"/>
        </w:rPr>
      </w:pPr>
      <w:r>
        <w:rPr>
          <w:rFonts w:hint="eastAsia" w:ascii="宋体" w:hAnsi="宋体" w:cs="Arial"/>
          <w:color w:val="000000"/>
          <w:szCs w:val="21"/>
          <w:highlight w:val="none"/>
        </w:rPr>
        <w:t>（2）</w:t>
      </w:r>
      <w:r>
        <w:rPr>
          <w:rFonts w:ascii="宋体" w:hAnsi="宋体" w:cs="Arial"/>
          <w:color w:val="000000"/>
          <w:szCs w:val="21"/>
          <w:highlight w:val="none"/>
        </w:rPr>
        <w:t>可按</w:t>
      </w:r>
      <w:r>
        <w:rPr>
          <w:rFonts w:ascii="宋体" w:hAnsi="宋体" w:cs="Arial"/>
          <w:color w:val="000000"/>
          <w:kern w:val="0"/>
          <w:szCs w:val="21"/>
          <w:highlight w:val="none"/>
        </w:rPr>
        <w:t>同级政府采购监督管理部门</w:t>
      </w:r>
      <w:r>
        <w:rPr>
          <w:rFonts w:ascii="宋体" w:hAnsi="宋体" w:cs="Arial"/>
          <w:color w:val="000000"/>
          <w:szCs w:val="21"/>
          <w:highlight w:val="none"/>
        </w:rPr>
        <w:t>的审批意见采用其他采购方式组织采购</w:t>
      </w:r>
      <w:r>
        <w:rPr>
          <w:rFonts w:hint="eastAsia" w:ascii="宋体" w:hAnsi="宋体" w:cs="Arial"/>
          <w:color w:val="000000"/>
          <w:szCs w:val="21"/>
          <w:highlight w:val="none"/>
        </w:rPr>
        <w:t>。</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6.3</w:t>
      </w:r>
      <w:r>
        <w:rPr>
          <w:rFonts w:ascii="宋体" w:hAnsi="宋体" w:cs="Arial"/>
          <w:color w:val="000000"/>
          <w:szCs w:val="21"/>
          <w:highlight w:val="none"/>
        </w:rPr>
        <w:t xml:space="preserve"> 废标</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在采购中，出现下列情形之一的，应予废标：</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（1）符合招标文件规定废标情形的；</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 xml:space="preserve">（2）出现影响采购公正的违法、违规行为的； </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 xml:space="preserve">（3）投标人的报价均超过了采购预算，采购人不能支付的； </w:t>
      </w:r>
    </w:p>
    <w:p>
      <w:pPr>
        <w:pStyle w:val="96"/>
        <w:spacing w:line="360" w:lineRule="auto"/>
        <w:ind w:firstLine="420"/>
        <w:rPr>
          <w:rFonts w:ascii="宋体" w:hAnsi="宋体" w:cs="Arial"/>
          <w:color w:val="000000"/>
          <w:szCs w:val="21"/>
          <w:highlight w:val="none"/>
        </w:rPr>
      </w:pPr>
      <w:r>
        <w:rPr>
          <w:rFonts w:ascii="宋体" w:hAnsi="宋体" w:cs="Arial"/>
          <w:color w:val="000000"/>
          <w:szCs w:val="21"/>
          <w:highlight w:val="none"/>
        </w:rPr>
        <w:t>（4）因重大变故，采购任务取消的</w:t>
      </w:r>
      <w:r>
        <w:rPr>
          <w:rFonts w:hint="eastAsia" w:ascii="宋体" w:hAnsi="宋体" w:cs="Arial"/>
          <w:color w:val="000000"/>
          <w:szCs w:val="21"/>
          <w:highlight w:val="none"/>
        </w:rPr>
        <w:t>。</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6.4 可中止电子交易活动的情形</w:t>
      </w:r>
    </w:p>
    <w:p>
      <w:pPr>
        <w:spacing w:line="360" w:lineRule="auto"/>
        <w:ind w:firstLine="369" w:firstLineChars="176"/>
        <w:rPr>
          <w:rFonts w:ascii="黑体" w:hAnsi="黑体" w:eastAsia="黑体" w:cs="黑体"/>
          <w:color w:val="000000"/>
          <w:szCs w:val="21"/>
          <w:highlight w:val="none"/>
        </w:rPr>
      </w:pPr>
      <w:r>
        <w:rPr>
          <w:rFonts w:hint="eastAsia" w:ascii="黑体" w:hAnsi="黑体" w:eastAsia="黑体" w:cs="黑体"/>
          <w:color w:val="000000"/>
          <w:szCs w:val="21"/>
          <w:highlight w:val="none"/>
        </w:rPr>
        <w:t>采购过程中出现以下情形，导致电子交易平台无法正常运行，或者无法保证电子交易的公平、公正和安全时，采购组织机构可中止电子交易活动：</w:t>
      </w:r>
    </w:p>
    <w:p>
      <w:pPr>
        <w:spacing w:line="360" w:lineRule="auto"/>
        <w:ind w:firstLine="369" w:firstLineChars="176"/>
        <w:rPr>
          <w:rFonts w:ascii="宋体" w:hAnsi="宋体" w:cs="Arial"/>
          <w:color w:val="000000"/>
          <w:szCs w:val="21"/>
          <w:highlight w:val="none"/>
        </w:rPr>
      </w:pPr>
      <w:r>
        <w:rPr>
          <w:rFonts w:hint="eastAsia" w:ascii="宋体" w:hAnsi="宋体" w:cs="Arial"/>
          <w:color w:val="000000"/>
          <w:szCs w:val="21"/>
          <w:highlight w:val="none"/>
        </w:rPr>
        <w:t>1、电子交易平台发生故障而无法登录访问的；</w:t>
      </w:r>
    </w:p>
    <w:p>
      <w:pPr>
        <w:spacing w:line="360" w:lineRule="auto"/>
        <w:ind w:firstLine="369" w:firstLineChars="176"/>
        <w:rPr>
          <w:rFonts w:ascii="宋体" w:hAnsi="宋体" w:cs="Arial"/>
          <w:color w:val="000000"/>
          <w:szCs w:val="21"/>
          <w:highlight w:val="none"/>
        </w:rPr>
      </w:pPr>
      <w:r>
        <w:rPr>
          <w:rFonts w:hint="eastAsia" w:ascii="宋体" w:hAnsi="宋体" w:cs="Arial"/>
          <w:color w:val="000000"/>
          <w:szCs w:val="21"/>
          <w:highlight w:val="none"/>
        </w:rPr>
        <w:t>2、电子交易平台应用或数据库出现错误，不能进行正常操作的；</w:t>
      </w:r>
    </w:p>
    <w:p>
      <w:pPr>
        <w:spacing w:line="360" w:lineRule="auto"/>
        <w:ind w:firstLine="369" w:firstLineChars="176"/>
        <w:rPr>
          <w:rFonts w:ascii="宋体" w:hAnsi="宋体" w:cs="Arial"/>
          <w:color w:val="000000"/>
          <w:szCs w:val="21"/>
          <w:highlight w:val="none"/>
        </w:rPr>
      </w:pPr>
      <w:r>
        <w:rPr>
          <w:rFonts w:hint="eastAsia" w:ascii="宋体" w:hAnsi="宋体" w:cs="Arial"/>
          <w:color w:val="000000"/>
          <w:szCs w:val="21"/>
          <w:highlight w:val="none"/>
        </w:rPr>
        <w:t>3、电子交易平台发现严重安全漏洞，有潜在泄密危险的；</w:t>
      </w:r>
    </w:p>
    <w:p>
      <w:pPr>
        <w:spacing w:line="360" w:lineRule="auto"/>
        <w:ind w:firstLine="369" w:firstLineChars="176"/>
        <w:rPr>
          <w:rFonts w:ascii="宋体" w:hAnsi="宋体" w:cs="Arial"/>
          <w:color w:val="000000"/>
          <w:szCs w:val="21"/>
          <w:highlight w:val="none"/>
        </w:rPr>
      </w:pPr>
      <w:r>
        <w:rPr>
          <w:rFonts w:hint="eastAsia" w:ascii="宋体" w:hAnsi="宋体" w:cs="Arial"/>
          <w:color w:val="000000"/>
          <w:szCs w:val="21"/>
          <w:highlight w:val="none"/>
        </w:rPr>
        <w:t>4、病毒发作导致不能进行正常操作的；</w:t>
      </w:r>
    </w:p>
    <w:p>
      <w:pPr>
        <w:spacing w:line="360" w:lineRule="auto"/>
        <w:ind w:firstLine="369" w:firstLineChars="176"/>
        <w:rPr>
          <w:rFonts w:ascii="宋体" w:hAnsi="宋体" w:cs="Arial"/>
          <w:color w:val="000000"/>
          <w:szCs w:val="21"/>
          <w:highlight w:val="none"/>
        </w:rPr>
      </w:pPr>
      <w:r>
        <w:rPr>
          <w:rFonts w:hint="eastAsia" w:ascii="宋体" w:hAnsi="宋体" w:cs="Arial"/>
          <w:color w:val="000000"/>
          <w:szCs w:val="21"/>
          <w:highlight w:val="none"/>
        </w:rPr>
        <w:t>5、其他无法保证电子交易的公平、公正和安全的情况。</w:t>
      </w:r>
    </w:p>
    <w:p>
      <w:pPr>
        <w:spacing w:line="360" w:lineRule="auto"/>
        <w:ind w:firstLine="369" w:firstLineChars="176"/>
        <w:rPr>
          <w:rFonts w:ascii="黑体" w:hAnsi="黑体" w:eastAsia="黑体" w:cs="黑体"/>
          <w:color w:val="000000"/>
          <w:szCs w:val="21"/>
          <w:highlight w:val="none"/>
        </w:rPr>
      </w:pPr>
      <w:r>
        <w:rPr>
          <w:rFonts w:hint="eastAsia" w:ascii="黑体" w:hAnsi="黑体" w:eastAsia="黑体" w:cs="黑体"/>
          <w:color w:val="000000"/>
          <w:szCs w:val="21"/>
          <w:highlight w:val="none"/>
        </w:rPr>
        <w:t>出现前款规定情形，不影响采购公平、公正性的，采购组织机构可以待上述情形消除后继续组织电子交易活动；影响或可能影响采购公平、公正性的，应当重新采购。</w:t>
      </w:r>
    </w:p>
    <w:p>
      <w:pPr>
        <w:pStyle w:val="3"/>
        <w:numPr>
          <w:ilvl w:val="0"/>
          <w:numId w:val="5"/>
        </w:numPr>
        <w:spacing w:line="360" w:lineRule="auto"/>
        <w:ind w:firstLineChars="0"/>
        <w:jc w:val="center"/>
        <w:rPr>
          <w:rFonts w:ascii="宋体" w:hAnsi="宋体" w:cs="Arial"/>
          <w:color w:val="000000"/>
          <w:sz w:val="32"/>
          <w:highlight w:val="none"/>
        </w:rPr>
      </w:pPr>
      <w:r>
        <w:rPr>
          <w:rFonts w:hint="eastAsia" w:ascii="宋体" w:hAnsi="宋体" w:cs="Arial"/>
          <w:color w:val="000000"/>
          <w:sz w:val="32"/>
          <w:highlight w:val="none"/>
        </w:rPr>
        <w:t>定标和合同授予</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.1</w:t>
      </w:r>
      <w:r>
        <w:rPr>
          <w:rFonts w:hint="eastAsia" w:ascii="宋体" w:hAnsi="宋体" w:cs="Arial"/>
          <w:color w:val="000000"/>
          <w:szCs w:val="21"/>
          <w:highlight w:val="none"/>
        </w:rPr>
        <w:t>定标</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.1</w:t>
      </w:r>
      <w:r>
        <w:rPr>
          <w:rFonts w:hint="eastAsia" w:ascii="宋体" w:hAnsi="宋体" w:cs="Arial"/>
          <w:color w:val="000000"/>
          <w:szCs w:val="21"/>
          <w:highlight w:val="none"/>
        </w:rPr>
        <w:t>.1</w:t>
      </w:r>
      <w:r>
        <w:rPr>
          <w:rFonts w:ascii="宋体" w:hAnsi="宋体" w:cs="Arial"/>
          <w:color w:val="000000"/>
          <w:szCs w:val="21"/>
          <w:highlight w:val="none"/>
        </w:rPr>
        <w:t xml:space="preserve"> 确定</w:t>
      </w:r>
      <w:r>
        <w:rPr>
          <w:rFonts w:hint="eastAsia" w:ascii="宋体" w:hAnsi="宋体" w:cs="Arial"/>
          <w:color w:val="000000"/>
          <w:szCs w:val="21"/>
          <w:highlight w:val="none"/>
        </w:rPr>
        <w:t>中标人</w:t>
      </w:r>
    </w:p>
    <w:p>
      <w:pPr>
        <w:pStyle w:val="96"/>
        <w:spacing w:line="360" w:lineRule="auto"/>
        <w:ind w:firstLine="420"/>
        <w:rPr>
          <w:rFonts w:ascii="宋体" w:hAnsi="宋体" w:cs="Arial"/>
          <w:color w:val="000000"/>
          <w:szCs w:val="21"/>
          <w:highlight w:val="none"/>
        </w:rPr>
      </w:pPr>
      <w:r>
        <w:rPr>
          <w:rFonts w:hint="eastAsia" w:ascii="宋体" w:hAnsi="宋体" w:cs="仿宋_GB2312"/>
          <w:color w:val="000000"/>
          <w:szCs w:val="21"/>
          <w:highlight w:val="none"/>
        </w:rPr>
        <w:t>采购代理机构将自评审结束之日起2个工作日内将评审报告送交采购人。采购人将自收到评审报告之日起5个工作日内在评审报告推荐的中标候选人中按顺序确定中标人。</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.1</w:t>
      </w:r>
      <w:r>
        <w:rPr>
          <w:rFonts w:hint="eastAsia" w:ascii="宋体" w:hAnsi="宋体" w:cs="Arial"/>
          <w:color w:val="000000"/>
          <w:szCs w:val="21"/>
          <w:highlight w:val="none"/>
        </w:rPr>
        <w:t>.2中标通知与中标结果公告</w:t>
      </w:r>
    </w:p>
    <w:p>
      <w:pPr>
        <w:pStyle w:val="156"/>
        <w:ind w:firstLine="420"/>
        <w:rPr>
          <w:sz w:val="21"/>
          <w:szCs w:val="21"/>
          <w:highlight w:val="none"/>
        </w:rPr>
      </w:pPr>
      <w:r>
        <w:rPr>
          <w:rFonts w:hint="eastAsia"/>
          <w:sz w:val="21"/>
          <w:szCs w:val="21"/>
          <w:highlight w:val="none"/>
        </w:rPr>
        <w:t>（1）采购代理机构将在自中标人确定之日起2个工作日内，发出中标通知书，并在发布招标公告的网站上公告中标结果。</w:t>
      </w:r>
    </w:p>
    <w:p>
      <w:pPr>
        <w:pStyle w:val="156"/>
        <w:ind w:firstLine="420"/>
        <w:rPr>
          <w:rFonts w:cs="Arial"/>
          <w:sz w:val="21"/>
          <w:szCs w:val="21"/>
          <w:highlight w:val="none"/>
        </w:rPr>
      </w:pPr>
      <w:r>
        <w:rPr>
          <w:rFonts w:hint="eastAsia" w:cs="Arial"/>
          <w:sz w:val="21"/>
          <w:szCs w:val="21"/>
          <w:highlight w:val="none"/>
        </w:rPr>
        <w:t>（2）</w:t>
      </w:r>
      <w:r>
        <w:rPr>
          <w:sz w:val="21"/>
          <w:szCs w:val="21"/>
          <w:highlight w:val="none"/>
        </w:rPr>
        <w:t>中标结果公告内容包括采购人及其委托的采购</w:t>
      </w:r>
      <w:r>
        <w:rPr>
          <w:rFonts w:hint="eastAsia"/>
          <w:sz w:val="21"/>
          <w:szCs w:val="21"/>
          <w:highlight w:val="none"/>
        </w:rPr>
        <w:t>代理</w:t>
      </w:r>
      <w:r>
        <w:rPr>
          <w:sz w:val="21"/>
          <w:szCs w:val="21"/>
          <w:highlight w:val="none"/>
        </w:rPr>
        <w:t>机构的名称、地址、联系方式，项目名称和项目编号，中标人名称、地址和中标金额，主要中标标的名称、数量、单价、服务要求，中标公告期限以及评审专家名单。</w:t>
      </w:r>
    </w:p>
    <w:p>
      <w:pPr>
        <w:pStyle w:val="156"/>
        <w:ind w:firstLine="420"/>
        <w:rPr>
          <w:sz w:val="21"/>
          <w:szCs w:val="21"/>
          <w:highlight w:val="none"/>
        </w:rPr>
      </w:pPr>
      <w:r>
        <w:rPr>
          <w:rFonts w:hint="eastAsia" w:cs="Arial"/>
          <w:sz w:val="21"/>
          <w:szCs w:val="21"/>
          <w:highlight w:val="none"/>
        </w:rPr>
        <w:t>（3）</w:t>
      </w:r>
      <w:r>
        <w:rPr>
          <w:sz w:val="21"/>
          <w:szCs w:val="21"/>
          <w:highlight w:val="none"/>
        </w:rPr>
        <w:t>公告期限为1个工作日。</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w:t>
      </w:r>
      <w:r>
        <w:rPr>
          <w:rFonts w:hint="eastAsia" w:ascii="宋体" w:hAnsi="宋体" w:cs="Arial"/>
          <w:color w:val="000000"/>
          <w:szCs w:val="21"/>
          <w:highlight w:val="none"/>
        </w:rPr>
        <w:t>2 合同授于</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w:t>
      </w:r>
      <w:r>
        <w:rPr>
          <w:rFonts w:hint="eastAsia" w:ascii="宋体" w:hAnsi="宋体" w:cs="Arial"/>
          <w:color w:val="000000"/>
          <w:szCs w:val="21"/>
          <w:highlight w:val="none"/>
        </w:rPr>
        <w:t>2.1</w:t>
      </w:r>
      <w:r>
        <w:rPr>
          <w:rFonts w:hint="eastAsia" w:ascii="宋体" w:hAnsi="宋体" w:cs="仿宋_GB2312"/>
          <w:color w:val="000000"/>
          <w:szCs w:val="21"/>
          <w:highlight w:val="none"/>
        </w:rPr>
        <w:t>合同主要条款详见第四章拟签订的合同文本。</w:t>
      </w:r>
    </w:p>
    <w:p>
      <w:pPr>
        <w:pStyle w:val="4"/>
        <w:snapToGrid/>
        <w:spacing w:line="360" w:lineRule="auto"/>
        <w:ind w:firstLine="422"/>
        <w:rPr>
          <w:rFonts w:ascii="宋体" w:hAnsi="宋体" w:cs="仿宋_GB2312"/>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w:t>
      </w:r>
      <w:r>
        <w:rPr>
          <w:rFonts w:hint="eastAsia" w:ascii="宋体" w:hAnsi="宋体" w:cs="Arial"/>
          <w:color w:val="000000"/>
          <w:szCs w:val="21"/>
          <w:highlight w:val="none"/>
        </w:rPr>
        <w:t>2.</w:t>
      </w:r>
      <w:r>
        <w:rPr>
          <w:rFonts w:hint="eastAsia" w:ascii="宋体" w:hAnsi="宋体" w:cs="仿宋_GB2312"/>
          <w:color w:val="000000"/>
          <w:szCs w:val="21"/>
          <w:highlight w:val="none"/>
        </w:rPr>
        <w:t>2合同的签订</w:t>
      </w:r>
    </w:p>
    <w:p>
      <w:pPr>
        <w:pStyle w:val="156"/>
        <w:ind w:firstLine="420"/>
        <w:rPr>
          <w:sz w:val="21"/>
          <w:highlight w:val="none"/>
        </w:rPr>
      </w:pPr>
      <w:r>
        <w:rPr>
          <w:rFonts w:hint="eastAsia" w:cs="Arial"/>
          <w:sz w:val="21"/>
          <w:highlight w:val="none"/>
        </w:rPr>
        <w:t>（1）</w:t>
      </w:r>
      <w:r>
        <w:rPr>
          <w:rFonts w:hint="eastAsia"/>
          <w:sz w:val="21"/>
          <w:highlight w:val="none"/>
        </w:rPr>
        <w:t>采购人与中标人应当在中标通知书发出之日起三十日内，按照招标文件确定的事项签订政府采购合同。</w:t>
      </w:r>
    </w:p>
    <w:p>
      <w:pPr>
        <w:spacing w:line="360" w:lineRule="auto"/>
        <w:ind w:firstLine="420" w:firstLineChars="200"/>
        <w:rPr>
          <w:rFonts w:ascii="宋体" w:hAnsi="宋体"/>
          <w:color w:val="000000"/>
          <w:kern w:val="0"/>
          <w:szCs w:val="21"/>
          <w:highlight w:val="none"/>
          <w:lang w:val="zh-CN"/>
        </w:rPr>
      </w:pPr>
      <w:r>
        <w:rPr>
          <w:rFonts w:hint="eastAsia" w:ascii="宋体" w:hAnsi="宋体"/>
          <w:color w:val="000000"/>
          <w:szCs w:val="21"/>
          <w:highlight w:val="none"/>
        </w:rPr>
        <w:t>（2）</w:t>
      </w:r>
      <w:r>
        <w:rPr>
          <w:rFonts w:hint="eastAsia" w:ascii="宋体" w:hAnsi="宋体"/>
          <w:color w:val="000000"/>
          <w:kern w:val="0"/>
          <w:szCs w:val="21"/>
          <w:highlight w:val="none"/>
          <w:lang w:val="zh-CN"/>
        </w:rPr>
        <w:t>中标人按规定的日期、时间、地点，由法定代表人或其授权代表与采购人代表签订合同。</w:t>
      </w:r>
    </w:p>
    <w:p>
      <w:pPr>
        <w:spacing w:line="360" w:lineRule="auto"/>
        <w:ind w:firstLine="420" w:firstLineChars="200"/>
        <w:rPr>
          <w:rFonts w:ascii="宋体" w:hAnsi="宋体" w:cs="仿宋_GB2312"/>
          <w:color w:val="000000"/>
          <w:szCs w:val="21"/>
          <w:highlight w:val="none"/>
        </w:rPr>
      </w:pPr>
      <w:r>
        <w:rPr>
          <w:rFonts w:hint="eastAsia" w:ascii="宋体" w:hAnsi="宋体"/>
          <w:color w:val="000000"/>
          <w:kern w:val="0"/>
          <w:szCs w:val="21"/>
          <w:highlight w:val="none"/>
          <w:lang w:val="zh-CN"/>
        </w:rPr>
        <w:t>（3）</w:t>
      </w:r>
      <w:r>
        <w:rPr>
          <w:rFonts w:hint="eastAsia" w:ascii="宋体" w:hAnsi="宋体" w:cs="仿宋_GB2312"/>
          <w:color w:val="000000"/>
          <w:szCs w:val="21"/>
          <w:highlight w:val="none"/>
        </w:rPr>
        <w:t>如签订合同并生效后，中标人无故拒绝或延期，除按照合同条款处理外，列入不良行为记录一次，并给予通报。</w:t>
      </w:r>
    </w:p>
    <w:p>
      <w:pPr>
        <w:spacing w:line="360" w:lineRule="auto"/>
        <w:ind w:firstLine="420" w:firstLineChars="200"/>
        <w:rPr>
          <w:rFonts w:ascii="宋体" w:hAnsi="宋体" w:cs="仿宋_GB2312"/>
          <w:color w:val="000000"/>
          <w:szCs w:val="21"/>
          <w:highlight w:val="none"/>
        </w:rPr>
      </w:pPr>
      <w:r>
        <w:rPr>
          <w:rFonts w:hint="eastAsia" w:ascii="宋体" w:hAnsi="宋体" w:cs="仿宋_GB2312"/>
          <w:color w:val="000000"/>
          <w:szCs w:val="21"/>
          <w:highlight w:val="none"/>
        </w:rPr>
        <w:t>（4）中标人拒绝与采购人签订合同的，采购人可以按照评审报告推荐的中标候选人名单排序，确定下一候选人为中标人，也可以重新开展政府采购活动。</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w:t>
      </w:r>
      <w:r>
        <w:rPr>
          <w:rFonts w:hint="eastAsia" w:ascii="宋体" w:hAnsi="宋体" w:cs="Arial"/>
          <w:color w:val="000000"/>
          <w:szCs w:val="21"/>
          <w:highlight w:val="none"/>
        </w:rPr>
        <w:t>2.3履约保证金</w:t>
      </w:r>
    </w:p>
    <w:p>
      <w:pPr>
        <w:spacing w:line="360" w:lineRule="auto"/>
        <w:ind w:firstLine="420" w:firstLineChars="200"/>
        <w:rPr>
          <w:rFonts w:ascii="宋体" w:hAnsi="宋体"/>
          <w:color w:val="000000"/>
          <w:szCs w:val="21"/>
          <w:highlight w:val="none"/>
        </w:rPr>
      </w:pPr>
      <w:r>
        <w:rPr>
          <w:rFonts w:hint="eastAsia" w:ascii="宋体" w:hAnsi="宋体" w:cs="Helvetica"/>
          <w:color w:val="000000"/>
          <w:kern w:val="0"/>
          <w:szCs w:val="21"/>
          <w:highlight w:val="none"/>
        </w:rPr>
        <w:t>拟签订的合同文本要求中标人提交履约保证金的，投标人应当以支票、汇票、本票或者金融机构、担保机构出具的保函等非现金形式提交</w:t>
      </w:r>
      <w:r>
        <w:rPr>
          <w:rFonts w:hint="eastAsia" w:ascii="宋体" w:hAnsi="宋体"/>
          <w:color w:val="000000"/>
          <w:szCs w:val="21"/>
          <w:highlight w:val="none"/>
        </w:rPr>
        <w:t>。履约保证金的数额不得超过政府采购合同金额的5%。</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w:t>
      </w:r>
      <w:r>
        <w:rPr>
          <w:rFonts w:ascii="宋体" w:hAnsi="宋体" w:cs="Arial"/>
          <w:color w:val="000000"/>
          <w:szCs w:val="21"/>
          <w:highlight w:val="none"/>
        </w:rPr>
        <w:t>.</w:t>
      </w:r>
      <w:r>
        <w:rPr>
          <w:rFonts w:hint="eastAsia" w:ascii="宋体" w:hAnsi="宋体" w:cs="Arial"/>
          <w:color w:val="000000"/>
          <w:szCs w:val="21"/>
          <w:highlight w:val="none"/>
        </w:rPr>
        <w:t>2.4验收</w:t>
      </w:r>
    </w:p>
    <w:p>
      <w:pPr>
        <w:pStyle w:val="156"/>
        <w:ind w:firstLine="420"/>
        <w:rPr>
          <w:sz w:val="21"/>
          <w:highlight w:val="none"/>
        </w:rPr>
      </w:pPr>
      <w:r>
        <w:rPr>
          <w:rFonts w:hint="eastAsia" w:cs="Arial"/>
          <w:sz w:val="21"/>
          <w:highlight w:val="none"/>
        </w:rPr>
        <w:t>（1）</w:t>
      </w:r>
      <w:r>
        <w:rPr>
          <w:rFonts w:hint="eastAsia"/>
          <w:sz w:val="21"/>
          <w:highlight w:val="none"/>
        </w:rPr>
        <w:t>采购人组织对中标人履约的验收。验收方成员应当在验收书上签字，并承担相应的法律责任。如果发现与合同中要求不符，中标人须承担由此发生的一切损失和费用，并接受相应的处理。</w:t>
      </w:r>
    </w:p>
    <w:p>
      <w:pPr>
        <w:spacing w:line="360" w:lineRule="auto"/>
        <w:ind w:firstLine="420" w:firstLineChars="200"/>
        <w:rPr>
          <w:rFonts w:ascii="宋体" w:hAnsi="宋体" w:cs="Helvetica"/>
          <w:color w:val="000000"/>
          <w:kern w:val="0"/>
          <w:szCs w:val="21"/>
          <w:highlight w:val="none"/>
        </w:rPr>
      </w:pPr>
      <w:r>
        <w:rPr>
          <w:rFonts w:hint="eastAsia" w:ascii="宋体" w:hAnsi="宋体"/>
          <w:color w:val="000000"/>
          <w:szCs w:val="21"/>
          <w:highlight w:val="none"/>
        </w:rPr>
        <w:t>（2）</w:t>
      </w:r>
      <w:r>
        <w:rPr>
          <w:rFonts w:hint="eastAsia" w:ascii="宋体" w:hAnsi="宋体" w:cs="Helvetica"/>
          <w:color w:val="000000"/>
          <w:kern w:val="0"/>
          <w:szCs w:val="21"/>
          <w:highlight w:val="none"/>
        </w:rPr>
        <w:t>采购人可以邀请参加本项目的其他投标人或者第三方机构参与验收。参与验收的投标人或者第三方机构的意见作为验收书的参考资料一并存档。</w:t>
      </w:r>
    </w:p>
    <w:p>
      <w:pPr>
        <w:spacing w:line="360" w:lineRule="auto"/>
        <w:ind w:firstLine="420" w:firstLineChars="200"/>
        <w:rPr>
          <w:rFonts w:ascii="宋体" w:hAnsi="宋体" w:cs="Helvetica"/>
          <w:color w:val="000000"/>
          <w:kern w:val="0"/>
          <w:szCs w:val="21"/>
          <w:highlight w:val="none"/>
        </w:rPr>
      </w:pPr>
      <w:r>
        <w:rPr>
          <w:rFonts w:hint="eastAsia" w:ascii="宋体" w:hAnsi="宋体" w:cs="Helvetica"/>
          <w:color w:val="000000"/>
          <w:kern w:val="0"/>
          <w:szCs w:val="21"/>
          <w:highlight w:val="none"/>
        </w:rPr>
        <w:t>（3）严格按照采购合同开展履约验收。采购人成立验收小组，按照采购合同的约定对中标人履约情况进行验收。验收时，按照采购合同的约定对每一项服务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360" w:lineRule="auto"/>
        <w:ind w:firstLine="420" w:firstLineChars="200"/>
        <w:rPr>
          <w:rFonts w:ascii="宋体" w:hAnsi="宋体"/>
          <w:color w:val="000000"/>
          <w:szCs w:val="21"/>
          <w:highlight w:val="none"/>
        </w:rPr>
      </w:pPr>
      <w:r>
        <w:rPr>
          <w:rFonts w:hint="eastAsia" w:ascii="宋体" w:hAnsi="宋体" w:cs="Helvetica"/>
          <w:color w:val="000000"/>
          <w:kern w:val="0"/>
          <w:szCs w:val="21"/>
          <w:highlight w:val="none"/>
        </w:rPr>
        <w:t>（4）验收合格的项目，采购人将根据采购合同的约定及时向中标人支付采购资金、退还履约保证金。验收不合格的项目，采购人将依法及时处理。采购合同的履行、违约责任和解决争议的方式等适用《中华人民共和国合同法》。投标人在履约过程中有政府采购法律法规规定的违法违规情形的，采购人应当及时报告本级财政部门。</w:t>
      </w:r>
    </w:p>
    <w:p>
      <w:pPr>
        <w:pStyle w:val="4"/>
        <w:snapToGrid/>
        <w:spacing w:line="360" w:lineRule="auto"/>
        <w:ind w:firstLine="422"/>
        <w:rPr>
          <w:rFonts w:ascii="宋体" w:hAnsi="宋体" w:cs="Arial"/>
          <w:color w:val="000000"/>
          <w:szCs w:val="21"/>
          <w:highlight w:val="none"/>
        </w:rPr>
      </w:pPr>
      <w:r>
        <w:rPr>
          <w:rFonts w:hint="eastAsia" w:ascii="宋体" w:hAnsi="宋体" w:cs="Arial"/>
          <w:color w:val="000000"/>
          <w:szCs w:val="21"/>
          <w:highlight w:val="none"/>
        </w:rPr>
        <w:t>7.3</w:t>
      </w:r>
      <w:r>
        <w:rPr>
          <w:rFonts w:ascii="宋体" w:hAnsi="宋体" w:cs="Arial"/>
          <w:color w:val="000000"/>
          <w:szCs w:val="21"/>
          <w:highlight w:val="none"/>
        </w:rPr>
        <w:t xml:space="preserve"> 采购代理服务费</w:t>
      </w:r>
    </w:p>
    <w:p>
      <w:pPr>
        <w:pStyle w:val="26"/>
        <w:spacing w:line="360" w:lineRule="auto"/>
        <w:ind w:firstLine="420" w:firstLineChars="200"/>
        <w:rPr>
          <w:rFonts w:hAnsi="宋体" w:cs="Arial"/>
          <w:b/>
          <w:color w:val="000000"/>
          <w:sz w:val="24"/>
          <w:szCs w:val="24"/>
          <w:highlight w:val="none"/>
        </w:rPr>
      </w:pPr>
      <w:r>
        <w:rPr>
          <w:rFonts w:hAnsi="宋体" w:cs="Arial"/>
          <w:color w:val="000000"/>
          <w:szCs w:val="21"/>
          <w:highlight w:val="none"/>
        </w:rPr>
        <w:t>本次采购代理服务费按“投标人须知前附表”规定收取。</w:t>
      </w:r>
    </w:p>
    <w:p>
      <w:pPr>
        <w:widowControl/>
        <w:jc w:val="left"/>
        <w:rPr>
          <w:rFonts w:ascii="宋体" w:hAnsi="宋体"/>
          <w:b/>
          <w:color w:val="000000"/>
          <w:spacing w:val="6"/>
          <w:sz w:val="32"/>
          <w:szCs w:val="32"/>
          <w:highlight w:val="none"/>
        </w:rPr>
      </w:pPr>
      <w:r>
        <w:rPr>
          <w:rFonts w:ascii="宋体" w:hAnsi="宋体"/>
          <w:b/>
          <w:color w:val="000000"/>
          <w:spacing w:val="6"/>
          <w:sz w:val="32"/>
          <w:szCs w:val="32"/>
          <w:highlight w:val="none"/>
        </w:rPr>
        <w:br w:type="page"/>
      </w:r>
    </w:p>
    <w:p>
      <w:pPr>
        <w:spacing w:line="360" w:lineRule="auto"/>
        <w:jc w:val="left"/>
        <w:rPr>
          <w:rFonts w:ascii="宋体" w:hAnsi="宋体"/>
          <w:b/>
          <w:color w:val="000000"/>
          <w:spacing w:val="6"/>
          <w:sz w:val="32"/>
          <w:szCs w:val="32"/>
          <w:highlight w:val="none"/>
        </w:rPr>
      </w:pPr>
      <w:r>
        <w:rPr>
          <w:rFonts w:hint="eastAsia" w:ascii="宋体" w:hAnsi="宋体"/>
          <w:b/>
          <w:color w:val="000000"/>
          <w:spacing w:val="6"/>
          <w:sz w:val="32"/>
          <w:szCs w:val="32"/>
          <w:highlight w:val="none"/>
        </w:rPr>
        <w:t>附件1：质疑函范本及制作说明</w:t>
      </w:r>
    </w:p>
    <w:p>
      <w:pPr>
        <w:spacing w:line="360" w:lineRule="auto"/>
        <w:jc w:val="center"/>
        <w:rPr>
          <w:rFonts w:ascii="宋体" w:hAnsi="宋体"/>
          <w:b/>
          <w:color w:val="000000"/>
          <w:spacing w:val="6"/>
          <w:sz w:val="24"/>
          <w:szCs w:val="32"/>
          <w:highlight w:val="none"/>
        </w:rPr>
      </w:pPr>
      <w:r>
        <w:rPr>
          <w:rFonts w:hint="eastAsia" w:ascii="宋体" w:hAnsi="宋体"/>
          <w:b/>
          <w:color w:val="000000"/>
          <w:spacing w:val="6"/>
          <w:sz w:val="24"/>
          <w:szCs w:val="32"/>
          <w:highlight w:val="none"/>
        </w:rPr>
        <w:t>质疑函范本</w:t>
      </w:r>
    </w:p>
    <w:p>
      <w:pPr>
        <w:snapToGrid w:val="0"/>
        <w:spacing w:before="240" w:beforeLines="100" w:line="360" w:lineRule="auto"/>
        <w:rPr>
          <w:rFonts w:ascii="宋体" w:hAnsi="宋体" w:cs="仿宋"/>
          <w:bCs/>
          <w:color w:val="000000"/>
          <w:highlight w:val="none"/>
        </w:rPr>
      </w:pPr>
      <w:r>
        <w:rPr>
          <w:rFonts w:hint="eastAsia" w:ascii="宋体" w:hAnsi="宋体" w:cs="仿宋"/>
          <w:bCs/>
          <w:color w:val="000000"/>
          <w:highlight w:val="none"/>
        </w:rPr>
        <w:t>一、质疑供应商基本信息</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质疑供应商：</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地址：</w:t>
      </w:r>
      <w:r>
        <w:rPr>
          <w:rFonts w:hint="eastAsia" w:ascii="宋体" w:hAnsi="宋体" w:cs="仿宋"/>
          <w:color w:val="000000"/>
          <w:highlight w:val="none"/>
          <w:u w:val="dotted"/>
        </w:rPr>
        <w:t xml:space="preserve">                          </w:t>
      </w:r>
      <w:r>
        <w:rPr>
          <w:rFonts w:hint="eastAsia" w:ascii="宋体" w:hAnsi="宋体" w:cs="仿宋"/>
          <w:color w:val="000000"/>
          <w:highlight w:val="none"/>
        </w:rPr>
        <w:t>邮编：</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联系人：</w:t>
      </w:r>
      <w:r>
        <w:rPr>
          <w:rFonts w:hint="eastAsia" w:ascii="宋体" w:hAnsi="宋体" w:cs="仿宋"/>
          <w:color w:val="000000"/>
          <w:highlight w:val="none"/>
          <w:u w:val="dotted"/>
        </w:rPr>
        <w:t xml:space="preserve">                        </w:t>
      </w:r>
      <w:r>
        <w:rPr>
          <w:rFonts w:hint="eastAsia" w:ascii="宋体" w:hAnsi="宋体" w:cs="仿宋"/>
          <w:color w:val="000000"/>
          <w:highlight w:val="none"/>
        </w:rPr>
        <w:t>联系电话：</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rPr>
      </w:pPr>
      <w:r>
        <w:rPr>
          <w:rFonts w:hint="eastAsia" w:ascii="宋体" w:hAnsi="宋体" w:cs="仿宋"/>
          <w:color w:val="000000"/>
          <w:highlight w:val="none"/>
        </w:rPr>
        <w:t>授权代表：</w:t>
      </w:r>
      <w:r>
        <w:rPr>
          <w:rFonts w:hint="eastAsia" w:ascii="宋体" w:hAnsi="宋体" w:cs="仿宋"/>
          <w:color w:val="000000"/>
          <w:highlight w:val="none"/>
          <w:u w:val="dotted"/>
        </w:rPr>
        <w:t xml:space="preserve">                      </w:t>
      </w:r>
      <w:r>
        <w:rPr>
          <w:rFonts w:hint="eastAsia" w:ascii="宋体" w:hAnsi="宋体" w:cs="仿宋"/>
          <w:color w:val="000000"/>
          <w:highlight w:val="none"/>
        </w:rPr>
        <w:t>联系电话：</w:t>
      </w:r>
      <w:r>
        <w:rPr>
          <w:rFonts w:hint="eastAsia" w:ascii="宋体" w:hAnsi="宋体" w:cs="仿宋"/>
          <w:color w:val="000000"/>
          <w:highlight w:val="none"/>
          <w:u w:val="dotted"/>
        </w:rPr>
        <w:t xml:space="preserve">                        。</w:t>
      </w:r>
      <w:r>
        <w:rPr>
          <w:rFonts w:hint="eastAsia" w:ascii="宋体" w:hAnsi="宋体" w:cs="仿宋"/>
          <w:color w:val="000000"/>
          <w:highlight w:val="none"/>
        </w:rPr>
        <w:t xml:space="preserve"> </w:t>
      </w:r>
    </w:p>
    <w:p>
      <w:pPr>
        <w:snapToGrid w:val="0"/>
        <w:spacing w:line="360" w:lineRule="auto"/>
        <w:rPr>
          <w:rFonts w:ascii="宋体" w:hAnsi="宋体" w:cs="仿宋"/>
          <w:color w:val="000000"/>
          <w:highlight w:val="none"/>
        </w:rPr>
      </w:pPr>
      <w:r>
        <w:rPr>
          <w:rFonts w:hint="eastAsia" w:ascii="宋体" w:hAnsi="宋体" w:cs="仿宋"/>
          <w:color w:val="000000"/>
          <w:highlight w:val="none"/>
        </w:rPr>
        <w:t xml:space="preserve">地址： </w:t>
      </w:r>
      <w:r>
        <w:rPr>
          <w:rFonts w:hint="eastAsia" w:ascii="宋体" w:hAnsi="宋体" w:cs="仿宋"/>
          <w:color w:val="000000"/>
          <w:highlight w:val="none"/>
          <w:u w:val="dotted"/>
        </w:rPr>
        <w:t xml:space="preserve">                         </w:t>
      </w:r>
      <w:r>
        <w:rPr>
          <w:rFonts w:hint="eastAsia" w:ascii="宋体" w:hAnsi="宋体" w:cs="仿宋"/>
          <w:color w:val="000000"/>
          <w:highlight w:val="none"/>
        </w:rPr>
        <w:t>邮编：</w:t>
      </w:r>
      <w:r>
        <w:rPr>
          <w:rFonts w:hint="eastAsia" w:ascii="宋体" w:hAnsi="宋体" w:cs="仿宋"/>
          <w:color w:val="000000"/>
          <w:highlight w:val="none"/>
          <w:u w:val="dotted"/>
        </w:rPr>
        <w:t xml:space="preserve">                            。</w:t>
      </w:r>
    </w:p>
    <w:p>
      <w:pPr>
        <w:snapToGrid w:val="0"/>
        <w:spacing w:line="360" w:lineRule="auto"/>
        <w:rPr>
          <w:rFonts w:ascii="宋体" w:hAnsi="宋体" w:cs="仿宋"/>
          <w:bCs/>
          <w:color w:val="000000"/>
          <w:highlight w:val="none"/>
        </w:rPr>
      </w:pPr>
      <w:r>
        <w:rPr>
          <w:rFonts w:hint="eastAsia" w:ascii="宋体" w:hAnsi="宋体" w:cs="仿宋"/>
          <w:bCs/>
          <w:color w:val="000000"/>
          <w:highlight w:val="none"/>
        </w:rPr>
        <w:t>二、质疑项目基本情况</w:t>
      </w:r>
    </w:p>
    <w:p>
      <w:pPr>
        <w:snapToGrid w:val="0"/>
        <w:spacing w:line="360" w:lineRule="auto"/>
        <w:rPr>
          <w:rFonts w:ascii="宋体" w:hAnsi="宋体" w:cs="仿宋"/>
          <w:color w:val="000000"/>
          <w:highlight w:val="none"/>
        </w:rPr>
      </w:pPr>
      <w:r>
        <w:rPr>
          <w:rFonts w:hint="eastAsia" w:ascii="宋体" w:hAnsi="宋体" w:cs="仿宋"/>
          <w:color w:val="000000"/>
          <w:highlight w:val="none"/>
        </w:rPr>
        <w:t>质疑项目的名称：</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rPr>
      </w:pPr>
      <w:r>
        <w:rPr>
          <w:rFonts w:hint="eastAsia" w:ascii="宋体" w:hAnsi="宋体" w:cs="仿宋"/>
          <w:color w:val="000000"/>
          <w:highlight w:val="none"/>
        </w:rPr>
        <w:t>质疑项目的编号：</w:t>
      </w:r>
      <w:r>
        <w:rPr>
          <w:rFonts w:hint="eastAsia" w:ascii="宋体" w:hAnsi="宋体" w:cs="仿宋"/>
          <w:color w:val="000000"/>
          <w:highlight w:val="none"/>
          <w:u w:val="dotted"/>
        </w:rPr>
        <w:t xml:space="preserve">               </w:t>
      </w:r>
      <w:r>
        <w:rPr>
          <w:rFonts w:hint="eastAsia" w:ascii="宋体" w:hAnsi="宋体" w:cs="仿宋"/>
          <w:color w:val="000000"/>
          <w:highlight w:val="none"/>
        </w:rPr>
        <w:t>包号：</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采购人名称：</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rPr>
      </w:pPr>
      <w:r>
        <w:rPr>
          <w:rFonts w:hint="eastAsia" w:ascii="宋体" w:hAnsi="宋体" w:cs="仿宋"/>
          <w:color w:val="000000"/>
          <w:highlight w:val="none"/>
        </w:rPr>
        <w:t>采购文件获取日期：</w:t>
      </w:r>
      <w:r>
        <w:rPr>
          <w:rFonts w:hint="eastAsia" w:ascii="宋体" w:hAnsi="宋体" w:cs="仿宋"/>
          <w:color w:val="000000"/>
          <w:highlight w:val="none"/>
          <w:u w:val="dotted"/>
        </w:rPr>
        <w:t xml:space="preserve">                                                。</w:t>
      </w:r>
    </w:p>
    <w:p>
      <w:pPr>
        <w:snapToGrid w:val="0"/>
        <w:spacing w:line="360" w:lineRule="auto"/>
        <w:rPr>
          <w:rFonts w:ascii="宋体" w:hAnsi="宋体" w:cs="仿宋"/>
          <w:bCs/>
          <w:color w:val="000000"/>
          <w:highlight w:val="none"/>
        </w:rPr>
      </w:pPr>
      <w:r>
        <w:rPr>
          <w:rFonts w:hint="eastAsia" w:ascii="宋体" w:hAnsi="宋体" w:cs="仿宋"/>
          <w:bCs/>
          <w:color w:val="000000"/>
          <w:highlight w:val="none"/>
        </w:rPr>
        <w:t>三、质疑事项具体内容</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质疑事项1：</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事实依据：</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法律依据：</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质疑事项2：</w:t>
      </w:r>
      <w:r>
        <w:rPr>
          <w:rFonts w:hint="eastAsia" w:ascii="宋体" w:hAnsi="宋体" w:cs="仿宋"/>
          <w:color w:val="000000"/>
          <w:highlight w:val="none"/>
          <w:u w:val="dotted"/>
        </w:rPr>
        <w:t xml:space="preserve">                                                       。</w:t>
      </w:r>
    </w:p>
    <w:p>
      <w:pPr>
        <w:snapToGrid w:val="0"/>
        <w:spacing w:line="360" w:lineRule="auto"/>
        <w:rPr>
          <w:rFonts w:ascii="宋体" w:hAnsi="宋体" w:cs="仿宋"/>
          <w:color w:val="000000"/>
          <w:highlight w:val="none"/>
        </w:rPr>
      </w:pPr>
      <w:r>
        <w:rPr>
          <w:rFonts w:hint="eastAsia" w:ascii="宋体" w:hAnsi="宋体" w:cs="仿宋"/>
          <w:color w:val="000000"/>
          <w:highlight w:val="none"/>
        </w:rPr>
        <w:t>……</w:t>
      </w:r>
    </w:p>
    <w:p>
      <w:pPr>
        <w:snapToGrid w:val="0"/>
        <w:spacing w:line="360" w:lineRule="auto"/>
        <w:rPr>
          <w:rFonts w:ascii="宋体" w:hAnsi="宋体" w:cs="仿宋"/>
          <w:bCs/>
          <w:color w:val="000000"/>
          <w:highlight w:val="none"/>
        </w:rPr>
      </w:pPr>
      <w:r>
        <w:rPr>
          <w:rFonts w:hint="eastAsia" w:ascii="宋体" w:hAnsi="宋体" w:cs="仿宋"/>
          <w:bCs/>
          <w:color w:val="000000"/>
          <w:highlight w:val="none"/>
        </w:rPr>
        <w:t>四、与质疑事项相关的质疑请求</w:t>
      </w:r>
    </w:p>
    <w:p>
      <w:pPr>
        <w:snapToGrid w:val="0"/>
        <w:spacing w:line="360" w:lineRule="auto"/>
        <w:rPr>
          <w:rFonts w:ascii="宋体" w:hAnsi="宋体" w:cs="仿宋"/>
          <w:color w:val="000000"/>
          <w:highlight w:val="none"/>
          <w:u w:val="dotted"/>
        </w:rPr>
      </w:pPr>
      <w:r>
        <w:rPr>
          <w:rFonts w:hint="eastAsia" w:ascii="宋体" w:hAnsi="宋体" w:cs="仿宋"/>
          <w:color w:val="000000"/>
          <w:highlight w:val="none"/>
        </w:rPr>
        <w:t>请求：</w:t>
      </w:r>
      <w:r>
        <w:rPr>
          <w:rFonts w:hint="eastAsia" w:ascii="宋体" w:hAnsi="宋体" w:cs="仿宋"/>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签字(签章)：</w:t>
      </w:r>
      <w:r>
        <w:rPr>
          <w:rFonts w:hint="eastAsia" w:ascii="宋体" w:hAnsi="宋体" w:cs="仿宋"/>
          <w:color w:val="000000"/>
          <w:highlight w:val="none"/>
          <w:u w:val="dotted"/>
        </w:rPr>
        <w:t xml:space="preserve">                  </w:t>
      </w:r>
      <w:r>
        <w:rPr>
          <w:rFonts w:hint="eastAsia" w:ascii="宋体" w:hAnsi="宋体"/>
          <w:color w:val="000000"/>
          <w:highlight w:val="none"/>
        </w:rPr>
        <w:t xml:space="preserve"> 公章：</w:t>
      </w:r>
      <w:r>
        <w:rPr>
          <w:rFonts w:hint="eastAsia" w:ascii="宋体" w:hAnsi="宋体" w:cs="仿宋"/>
          <w:color w:val="000000"/>
          <w:highlight w:val="none"/>
          <w:u w:val="dotted"/>
        </w:rPr>
        <w:t xml:space="preserve">                             </w:t>
      </w:r>
      <w:r>
        <w:rPr>
          <w:rFonts w:hint="eastAsia" w:ascii="宋体" w:hAnsi="宋体"/>
          <w:color w:val="000000"/>
          <w:highlight w:val="none"/>
        </w:rPr>
        <w:t xml:space="preserve"> 。 </w:t>
      </w:r>
    </w:p>
    <w:p>
      <w:pPr>
        <w:spacing w:line="360" w:lineRule="auto"/>
        <w:rPr>
          <w:rFonts w:ascii="宋体" w:hAnsi="宋体"/>
          <w:color w:val="000000"/>
          <w:highlight w:val="none"/>
        </w:rPr>
      </w:pPr>
      <w:r>
        <w:rPr>
          <w:rFonts w:hint="eastAsia" w:ascii="宋体" w:hAnsi="宋体"/>
          <w:color w:val="000000"/>
          <w:highlight w:val="none"/>
        </w:rPr>
        <w:t>日期：</w:t>
      </w:r>
      <w:r>
        <w:rPr>
          <w:rFonts w:hint="eastAsia" w:ascii="宋体" w:hAnsi="宋体" w:cs="仿宋"/>
          <w:color w:val="000000"/>
          <w:highlight w:val="none"/>
          <w:u w:val="dotted"/>
        </w:rPr>
        <w:t xml:space="preserve">                         。</w:t>
      </w:r>
    </w:p>
    <w:p>
      <w:pPr>
        <w:spacing w:line="360" w:lineRule="auto"/>
        <w:rPr>
          <w:rFonts w:ascii="宋体" w:hAnsi="宋体"/>
          <w:b/>
          <w:color w:val="000000"/>
          <w:highlight w:val="none"/>
        </w:rPr>
      </w:pPr>
      <w:r>
        <w:rPr>
          <w:rFonts w:hint="eastAsia" w:ascii="宋体" w:hAnsi="宋体"/>
          <w:b/>
          <w:color w:val="000000"/>
          <w:highlight w:val="none"/>
        </w:rPr>
        <w:t>质疑函制作说明：</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1.供应商提出质疑时，应提交质疑函和必要的证明材料。</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2.质疑供应商若委托代理人进行质疑的，质疑函应按要求列明“授权代表”的有关内容，并在附件中提交由质疑</w:t>
      </w:r>
      <w:r>
        <w:rPr>
          <w:rFonts w:hint="eastAsia" w:ascii="宋体" w:hAnsi="宋体" w:cs="宋体"/>
          <w:color w:val="000000"/>
          <w:kern w:val="0"/>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5.质疑函的质疑请求应与质疑事项相关。</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ascii="宋体" w:hAnsi="宋体"/>
          <w:b/>
          <w:color w:val="000000"/>
          <w:spacing w:val="6"/>
          <w:sz w:val="32"/>
          <w:szCs w:val="32"/>
          <w:highlight w:val="none"/>
        </w:rPr>
      </w:pPr>
      <w:r>
        <w:rPr>
          <w:rFonts w:hint="eastAsia" w:ascii="宋体" w:hAnsi="宋体"/>
          <w:b/>
          <w:color w:val="000000"/>
          <w:spacing w:val="6"/>
          <w:sz w:val="32"/>
          <w:szCs w:val="32"/>
          <w:highlight w:val="none"/>
        </w:rPr>
        <w:t>附件2：投诉书范本及制作说明</w:t>
      </w:r>
    </w:p>
    <w:p>
      <w:pPr>
        <w:spacing w:line="360" w:lineRule="auto"/>
        <w:jc w:val="center"/>
        <w:rPr>
          <w:rFonts w:ascii="宋体" w:hAnsi="宋体"/>
          <w:b/>
          <w:color w:val="000000"/>
          <w:spacing w:val="6"/>
          <w:sz w:val="32"/>
          <w:szCs w:val="32"/>
          <w:highlight w:val="none"/>
        </w:rPr>
      </w:pPr>
      <w:r>
        <w:rPr>
          <w:rFonts w:hint="eastAsia" w:ascii="宋体" w:hAnsi="宋体"/>
          <w:b/>
          <w:color w:val="000000"/>
          <w:spacing w:val="6"/>
          <w:sz w:val="32"/>
          <w:szCs w:val="32"/>
          <w:highlight w:val="none"/>
        </w:rPr>
        <w:t>投诉书范本</w:t>
      </w:r>
    </w:p>
    <w:p>
      <w:pPr>
        <w:spacing w:line="360" w:lineRule="auto"/>
        <w:rPr>
          <w:rFonts w:ascii="宋体" w:hAnsi="宋体"/>
          <w:color w:val="000000"/>
          <w:highlight w:val="none"/>
        </w:rPr>
      </w:pPr>
      <w:r>
        <w:rPr>
          <w:rFonts w:hint="eastAsia" w:ascii="宋体" w:hAnsi="宋体"/>
          <w:color w:val="000000"/>
          <w:highlight w:val="none"/>
        </w:rPr>
        <w:t>一、投诉相关主体基本情况</w:t>
      </w:r>
    </w:p>
    <w:p>
      <w:pPr>
        <w:spacing w:line="360" w:lineRule="auto"/>
        <w:rPr>
          <w:rFonts w:ascii="宋体" w:hAnsi="宋体"/>
          <w:color w:val="000000"/>
          <w:highlight w:val="none"/>
          <w:u w:val="dotted"/>
        </w:rPr>
      </w:pPr>
      <w:r>
        <w:rPr>
          <w:rFonts w:hint="eastAsia" w:ascii="宋体" w:hAnsi="宋体"/>
          <w:color w:val="000000"/>
          <w:highlight w:val="none"/>
        </w:rPr>
        <w:t>投诉人：</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地     址：</w:t>
      </w:r>
      <w:r>
        <w:rPr>
          <w:rFonts w:hint="eastAsia" w:ascii="宋体" w:hAnsi="宋体"/>
          <w:color w:val="000000"/>
          <w:highlight w:val="none"/>
          <w:u w:val="dotted"/>
        </w:rPr>
        <w:t xml:space="preserve">                             </w:t>
      </w:r>
      <w:r>
        <w:rPr>
          <w:rFonts w:hint="eastAsia" w:ascii="宋体" w:hAnsi="宋体"/>
          <w:color w:val="000000"/>
          <w:highlight w:val="none"/>
        </w:rPr>
        <w:t>邮编：</w:t>
      </w:r>
      <w:r>
        <w:rPr>
          <w:rFonts w:hint="eastAsia" w:ascii="宋体" w:hAnsi="宋体"/>
          <w:color w:val="000000"/>
          <w:highlight w:val="none"/>
          <w:u w:val="dotted"/>
        </w:rPr>
        <w:t xml:space="preserve">         </w:t>
      </w:r>
    </w:p>
    <w:p>
      <w:pPr>
        <w:tabs>
          <w:tab w:val="left" w:pos="6510"/>
        </w:tabs>
        <w:spacing w:line="360" w:lineRule="auto"/>
        <w:jc w:val="left"/>
        <w:rPr>
          <w:rFonts w:ascii="宋体" w:hAnsi="宋体"/>
          <w:color w:val="000000"/>
          <w:highlight w:val="none"/>
        </w:rPr>
      </w:pPr>
      <w:r>
        <w:rPr>
          <w:rFonts w:hint="eastAsia" w:ascii="宋体" w:hAnsi="宋体"/>
          <w:color w:val="000000"/>
          <w:highlight w:val="none"/>
        </w:rPr>
        <w:t>法定代表人/主要负责人：</w:t>
      </w:r>
      <w:r>
        <w:rPr>
          <w:rFonts w:hint="eastAsia" w:ascii="宋体" w:hAnsi="宋体"/>
          <w:color w:val="000000"/>
          <w:highlight w:val="none"/>
          <w:u w:val="dotted"/>
        </w:rPr>
        <w:t xml:space="preserve">                                   </w:t>
      </w:r>
      <w:r>
        <w:rPr>
          <w:rFonts w:hint="eastAsia" w:ascii="宋体" w:hAnsi="宋体"/>
          <w:color w:val="000000"/>
          <w:highlight w:val="none"/>
        </w:rPr>
        <w:t xml:space="preserve">  </w:t>
      </w:r>
    </w:p>
    <w:p>
      <w:pPr>
        <w:tabs>
          <w:tab w:val="left" w:pos="6510"/>
        </w:tabs>
        <w:spacing w:line="360" w:lineRule="auto"/>
        <w:rPr>
          <w:rFonts w:ascii="宋体" w:hAnsi="宋体"/>
          <w:color w:val="000000"/>
          <w:highlight w:val="none"/>
          <w:u w:val="dotted"/>
        </w:rPr>
      </w:pPr>
      <w:r>
        <w:rPr>
          <w:rFonts w:hint="eastAsia" w:ascii="宋体" w:hAnsi="宋体"/>
          <w:color w:val="000000"/>
          <w:highlight w:val="none"/>
        </w:rPr>
        <w:t>联系电话：</w:t>
      </w:r>
      <w:r>
        <w:rPr>
          <w:rFonts w:hint="eastAsia" w:ascii="宋体" w:hAnsi="宋体"/>
          <w:color w:val="000000"/>
          <w:highlight w:val="none"/>
          <w:u w:val="dotted"/>
        </w:rPr>
        <w:t xml:space="preserve">                                             </w:t>
      </w:r>
    </w:p>
    <w:p>
      <w:pPr>
        <w:spacing w:line="360" w:lineRule="auto"/>
        <w:rPr>
          <w:rFonts w:ascii="宋体" w:hAnsi="宋体"/>
          <w:color w:val="000000"/>
          <w:highlight w:val="none"/>
          <w:u w:val="dotted"/>
        </w:rPr>
      </w:pPr>
      <w:r>
        <w:rPr>
          <w:rFonts w:hint="eastAsia" w:ascii="宋体" w:hAnsi="宋体"/>
          <w:color w:val="000000"/>
          <w:highlight w:val="none"/>
        </w:rPr>
        <w:t>授权代表：</w:t>
      </w:r>
      <w:r>
        <w:rPr>
          <w:rFonts w:hint="eastAsia" w:ascii="宋体" w:hAnsi="宋体"/>
          <w:color w:val="000000"/>
          <w:highlight w:val="none"/>
          <w:u w:val="dotted"/>
        </w:rPr>
        <w:t xml:space="preserve">             </w:t>
      </w:r>
      <w:r>
        <w:rPr>
          <w:rFonts w:hint="eastAsia" w:ascii="宋体" w:hAnsi="宋体"/>
          <w:color w:val="000000"/>
          <w:highlight w:val="none"/>
        </w:rPr>
        <w:t>联系电话</w:t>
      </w:r>
      <w:r>
        <w:rPr>
          <w:rFonts w:hint="eastAsia" w:ascii="宋体" w:hAnsi="宋体"/>
          <w:color w:val="000000"/>
          <w:highlight w:val="none"/>
          <w:u w:val="dotted"/>
        </w:rPr>
        <w:t xml:space="preserve">：                  </w:t>
      </w:r>
    </w:p>
    <w:p>
      <w:pPr>
        <w:spacing w:line="360" w:lineRule="auto"/>
        <w:rPr>
          <w:rFonts w:ascii="宋体" w:hAnsi="宋体"/>
          <w:color w:val="000000"/>
          <w:highlight w:val="none"/>
          <w:u w:val="dotted"/>
        </w:rPr>
      </w:pPr>
      <w:r>
        <w:rPr>
          <w:rFonts w:hint="eastAsia" w:ascii="宋体" w:hAnsi="宋体"/>
          <w:color w:val="000000"/>
          <w:highlight w:val="none"/>
        </w:rPr>
        <w:t>地     址：</w:t>
      </w:r>
      <w:r>
        <w:rPr>
          <w:rFonts w:hint="eastAsia" w:ascii="宋体" w:hAnsi="宋体"/>
          <w:color w:val="000000"/>
          <w:highlight w:val="none"/>
          <w:u w:val="dotted"/>
        </w:rPr>
        <w:t xml:space="preserve">                             </w:t>
      </w:r>
      <w:r>
        <w:rPr>
          <w:rFonts w:hint="eastAsia" w:ascii="宋体" w:hAnsi="宋体"/>
          <w:color w:val="000000"/>
          <w:highlight w:val="none"/>
        </w:rPr>
        <w:t>邮编：</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被投诉人1：</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地     址：</w:t>
      </w:r>
      <w:r>
        <w:rPr>
          <w:rFonts w:hint="eastAsia" w:ascii="宋体" w:hAnsi="宋体"/>
          <w:color w:val="000000"/>
          <w:highlight w:val="none"/>
          <w:u w:val="dotted"/>
        </w:rPr>
        <w:t xml:space="preserve">                             </w:t>
      </w:r>
      <w:r>
        <w:rPr>
          <w:rFonts w:hint="eastAsia" w:ascii="宋体" w:hAnsi="宋体"/>
          <w:color w:val="000000"/>
          <w:highlight w:val="none"/>
        </w:rPr>
        <w:t>邮编：</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联系人：</w:t>
      </w:r>
      <w:r>
        <w:rPr>
          <w:rFonts w:hint="eastAsia" w:ascii="宋体" w:hAnsi="宋体"/>
          <w:color w:val="000000"/>
          <w:highlight w:val="none"/>
          <w:u w:val="dotted"/>
        </w:rPr>
        <w:t xml:space="preserve">               </w:t>
      </w:r>
      <w:r>
        <w:rPr>
          <w:rFonts w:hint="eastAsia" w:ascii="宋体" w:hAnsi="宋体"/>
          <w:color w:val="000000"/>
          <w:highlight w:val="none"/>
        </w:rPr>
        <w:t>联系电话：</w:t>
      </w:r>
      <w:r>
        <w:rPr>
          <w:rFonts w:hint="eastAsia" w:ascii="宋体" w:hAnsi="宋体"/>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被投诉人2</w:t>
      </w:r>
    </w:p>
    <w:p>
      <w:pPr>
        <w:spacing w:line="360" w:lineRule="auto"/>
        <w:rPr>
          <w:rFonts w:ascii="宋体" w:hAnsi="宋体"/>
          <w:color w:val="000000"/>
          <w:highlight w:val="none"/>
          <w:u w:val="dotted"/>
        </w:rPr>
      </w:pPr>
      <w:r>
        <w:rPr>
          <w:rFonts w:hint="eastAsia" w:ascii="宋体" w:hAnsi="宋体"/>
          <w:color w:val="000000"/>
          <w:highlight w:val="none"/>
        </w:rPr>
        <w:t>……</w:t>
      </w:r>
    </w:p>
    <w:p>
      <w:pPr>
        <w:spacing w:line="360" w:lineRule="auto"/>
        <w:rPr>
          <w:rFonts w:ascii="宋体" w:hAnsi="宋体"/>
          <w:color w:val="000000"/>
          <w:highlight w:val="none"/>
          <w:u w:val="single"/>
        </w:rPr>
      </w:pPr>
      <w:r>
        <w:rPr>
          <w:rFonts w:hint="eastAsia" w:ascii="宋体" w:hAnsi="宋体"/>
          <w:color w:val="000000"/>
          <w:highlight w:val="none"/>
        </w:rPr>
        <w:t>相关供应商：</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地     址：</w:t>
      </w:r>
      <w:r>
        <w:rPr>
          <w:rFonts w:hint="eastAsia" w:ascii="宋体" w:hAnsi="宋体"/>
          <w:color w:val="000000"/>
          <w:highlight w:val="none"/>
          <w:u w:val="dotted"/>
        </w:rPr>
        <w:t xml:space="preserve">                             </w:t>
      </w:r>
      <w:r>
        <w:rPr>
          <w:rFonts w:hint="eastAsia" w:ascii="宋体" w:hAnsi="宋体"/>
          <w:color w:val="000000"/>
          <w:highlight w:val="none"/>
        </w:rPr>
        <w:t>邮编：</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联系人：</w:t>
      </w:r>
      <w:r>
        <w:rPr>
          <w:rFonts w:hint="eastAsia" w:ascii="宋体" w:hAnsi="宋体"/>
          <w:color w:val="000000"/>
          <w:highlight w:val="none"/>
          <w:u w:val="dotted"/>
        </w:rPr>
        <w:t xml:space="preserve">               </w:t>
      </w:r>
      <w:r>
        <w:rPr>
          <w:rFonts w:hint="eastAsia" w:ascii="宋体" w:hAnsi="宋体"/>
          <w:color w:val="000000"/>
          <w:highlight w:val="none"/>
        </w:rPr>
        <w:t>联系电话：</w:t>
      </w:r>
      <w:r>
        <w:rPr>
          <w:rFonts w:hint="eastAsia" w:ascii="宋体" w:hAnsi="宋体"/>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二、投诉项目基本情况</w:t>
      </w:r>
    </w:p>
    <w:p>
      <w:pPr>
        <w:spacing w:line="360" w:lineRule="auto"/>
        <w:rPr>
          <w:rFonts w:ascii="宋体" w:hAnsi="宋体"/>
          <w:color w:val="000000"/>
          <w:highlight w:val="none"/>
          <w:u w:val="dotted"/>
        </w:rPr>
      </w:pPr>
      <w:r>
        <w:rPr>
          <w:rFonts w:hint="eastAsia" w:ascii="宋体" w:hAnsi="宋体"/>
          <w:color w:val="000000"/>
          <w:highlight w:val="none"/>
        </w:rPr>
        <w:t>采购项目名称：</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采购项目编号：</w:t>
      </w:r>
      <w:r>
        <w:rPr>
          <w:rFonts w:hint="eastAsia" w:ascii="宋体" w:hAnsi="宋体"/>
          <w:color w:val="000000"/>
          <w:highlight w:val="none"/>
          <w:u w:val="dotted"/>
        </w:rPr>
        <w:t xml:space="preserve">                 </w:t>
      </w:r>
      <w:r>
        <w:rPr>
          <w:rFonts w:hint="eastAsia" w:ascii="宋体" w:hAnsi="宋体"/>
          <w:color w:val="000000"/>
          <w:highlight w:val="none"/>
        </w:rPr>
        <w:t>包号：</w:t>
      </w:r>
      <w:r>
        <w:rPr>
          <w:rFonts w:hint="eastAsia" w:ascii="宋体" w:hAnsi="宋体"/>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采购人名称：</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代理机构名称：</w:t>
      </w:r>
      <w:r>
        <w:rPr>
          <w:rFonts w:hint="eastAsia" w:ascii="宋体" w:hAnsi="宋体"/>
          <w:color w:val="000000"/>
          <w:highlight w:val="none"/>
          <w:u w:val="dotted"/>
        </w:rPr>
        <w:t xml:space="preserve">                                         </w:t>
      </w:r>
    </w:p>
    <w:p>
      <w:pPr>
        <w:spacing w:line="360" w:lineRule="auto"/>
        <w:rPr>
          <w:rFonts w:ascii="宋体" w:hAnsi="宋体"/>
          <w:color w:val="000000"/>
          <w:highlight w:val="none"/>
          <w:u w:val="dotted"/>
        </w:rPr>
      </w:pPr>
      <w:r>
        <w:rPr>
          <w:rFonts w:hint="eastAsia" w:ascii="宋体" w:hAnsi="宋体"/>
          <w:color w:val="000000"/>
          <w:highlight w:val="none"/>
        </w:rPr>
        <w:t>采购文件公告:</w:t>
      </w:r>
      <w:r>
        <w:rPr>
          <w:rFonts w:hint="eastAsia" w:ascii="宋体" w:hAnsi="宋体"/>
          <w:color w:val="000000"/>
          <w:highlight w:val="none"/>
          <w:u w:val="dotted"/>
        </w:rPr>
        <w:t xml:space="preserve">是/否 </w:t>
      </w:r>
      <w:r>
        <w:rPr>
          <w:rFonts w:hint="eastAsia" w:ascii="宋体" w:hAnsi="宋体"/>
          <w:color w:val="000000"/>
          <w:highlight w:val="none"/>
        </w:rPr>
        <w:t>公告期限：</w:t>
      </w: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采购结果公告:</w:t>
      </w:r>
      <w:r>
        <w:rPr>
          <w:rFonts w:hint="eastAsia" w:ascii="宋体" w:hAnsi="宋体"/>
          <w:color w:val="000000"/>
          <w:highlight w:val="none"/>
          <w:u w:val="dotted"/>
        </w:rPr>
        <w:t xml:space="preserve">是/否 </w:t>
      </w:r>
      <w:r>
        <w:rPr>
          <w:rFonts w:hint="eastAsia" w:ascii="宋体" w:hAnsi="宋体"/>
          <w:color w:val="000000"/>
          <w:highlight w:val="none"/>
        </w:rPr>
        <w:t>公告期限：</w:t>
      </w:r>
      <w:r>
        <w:rPr>
          <w:rFonts w:hint="eastAsia" w:ascii="宋体" w:hAnsi="宋体"/>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三、质疑基本情况</w:t>
      </w:r>
    </w:p>
    <w:p>
      <w:pPr>
        <w:spacing w:line="360" w:lineRule="auto"/>
        <w:ind w:firstLine="420" w:firstLineChars="200"/>
        <w:rPr>
          <w:rFonts w:ascii="宋体" w:hAnsi="宋体"/>
          <w:color w:val="000000"/>
          <w:highlight w:val="none"/>
          <w:u w:val="dotted"/>
        </w:rPr>
      </w:pPr>
      <w:r>
        <w:rPr>
          <w:rFonts w:hint="eastAsia" w:ascii="宋体" w:hAnsi="宋体"/>
          <w:color w:val="000000"/>
          <w:highlight w:val="none"/>
        </w:rPr>
        <w:t>投诉人于</w:t>
      </w:r>
      <w:r>
        <w:rPr>
          <w:rFonts w:hint="eastAsia" w:ascii="宋体" w:hAnsi="宋体"/>
          <w:color w:val="000000"/>
          <w:highlight w:val="none"/>
          <w:u w:val="dotted"/>
        </w:rPr>
        <w:t xml:space="preserve">   </w:t>
      </w:r>
      <w:r>
        <w:rPr>
          <w:rFonts w:hint="eastAsia" w:ascii="宋体" w:hAnsi="宋体"/>
          <w:color w:val="000000"/>
          <w:highlight w:val="none"/>
        </w:rPr>
        <w:t>年</w:t>
      </w:r>
      <w:r>
        <w:rPr>
          <w:rFonts w:hint="eastAsia" w:ascii="宋体" w:hAnsi="宋体"/>
          <w:color w:val="000000"/>
          <w:highlight w:val="none"/>
          <w:u w:val="dotted"/>
        </w:rPr>
        <w:t xml:space="preserve">   </w:t>
      </w:r>
      <w:r>
        <w:rPr>
          <w:rFonts w:hint="eastAsia" w:ascii="宋体" w:hAnsi="宋体"/>
          <w:color w:val="000000"/>
          <w:highlight w:val="none"/>
        </w:rPr>
        <w:t>月</w:t>
      </w:r>
      <w:r>
        <w:rPr>
          <w:rFonts w:hint="eastAsia" w:ascii="宋体" w:hAnsi="宋体"/>
          <w:color w:val="000000"/>
          <w:highlight w:val="none"/>
          <w:u w:val="dotted"/>
        </w:rPr>
        <w:t xml:space="preserve">  </w:t>
      </w:r>
      <w:r>
        <w:rPr>
          <w:rFonts w:hint="eastAsia" w:ascii="宋体" w:hAnsi="宋体"/>
          <w:color w:val="000000"/>
          <w:highlight w:val="none"/>
        </w:rPr>
        <w:t>日,向</w:t>
      </w:r>
      <w:r>
        <w:rPr>
          <w:rFonts w:hint="eastAsia" w:ascii="宋体" w:hAnsi="宋体"/>
          <w:color w:val="000000"/>
          <w:highlight w:val="none"/>
          <w:u w:val="dotted"/>
        </w:rPr>
        <w:t xml:space="preserve">                   </w:t>
      </w:r>
      <w:r>
        <w:rPr>
          <w:rFonts w:hint="eastAsia" w:ascii="宋体" w:hAnsi="宋体"/>
          <w:color w:val="000000"/>
          <w:highlight w:val="none"/>
        </w:rPr>
        <w:t>提出质疑，质疑事项为：</w:t>
      </w:r>
      <w:r>
        <w:rPr>
          <w:rFonts w:hint="eastAsia" w:ascii="宋体" w:hAnsi="宋体"/>
          <w:color w:val="000000"/>
          <w:highlight w:val="none"/>
          <w:u w:val="dotted"/>
        </w:rPr>
        <w:t xml:space="preserve">                                </w:t>
      </w:r>
    </w:p>
    <w:p>
      <w:pPr>
        <w:spacing w:line="360" w:lineRule="auto"/>
        <w:rPr>
          <w:rFonts w:ascii="宋体" w:hAnsi="宋体"/>
          <w:color w:val="000000"/>
          <w:highlight w:val="none"/>
          <w:u w:val="dotted"/>
        </w:rPr>
      </w:pPr>
      <w:r>
        <w:rPr>
          <w:rFonts w:hint="eastAsia" w:ascii="宋体" w:hAnsi="宋体"/>
          <w:color w:val="000000"/>
          <w:highlight w:val="none"/>
          <w:u w:val="dotted"/>
        </w:rPr>
        <w:t xml:space="preserve">                                                     </w:t>
      </w:r>
      <w:r>
        <w:rPr>
          <w:rFonts w:hint="eastAsia" w:ascii="宋体" w:hAnsi="宋体"/>
          <w:color w:val="000000"/>
          <w:highlight w:val="none"/>
        </w:rPr>
        <w:t xml:space="preserve">  </w:t>
      </w:r>
    </w:p>
    <w:p>
      <w:pPr>
        <w:spacing w:line="360" w:lineRule="auto"/>
        <w:ind w:firstLine="315" w:firstLineChars="150"/>
        <w:rPr>
          <w:rFonts w:ascii="宋体" w:hAnsi="宋体"/>
          <w:color w:val="000000"/>
          <w:highlight w:val="none"/>
        </w:rPr>
      </w:pPr>
      <w:r>
        <w:rPr>
          <w:rFonts w:hint="eastAsia" w:ascii="宋体" w:hAnsi="宋体"/>
          <w:color w:val="000000"/>
          <w:highlight w:val="none"/>
          <w:u w:val="dotted"/>
        </w:rPr>
        <w:t>采购人/代理机构</w:t>
      </w:r>
      <w:r>
        <w:rPr>
          <w:rFonts w:hint="eastAsia" w:ascii="宋体" w:hAnsi="宋体"/>
          <w:color w:val="000000"/>
          <w:highlight w:val="none"/>
        </w:rPr>
        <w:t>于</w:t>
      </w:r>
      <w:r>
        <w:rPr>
          <w:rFonts w:hint="eastAsia" w:ascii="宋体" w:hAnsi="宋体"/>
          <w:color w:val="000000"/>
          <w:highlight w:val="none"/>
          <w:u w:val="dotted"/>
        </w:rPr>
        <w:t xml:space="preserve">   </w:t>
      </w:r>
      <w:r>
        <w:rPr>
          <w:rFonts w:hint="eastAsia" w:ascii="宋体" w:hAnsi="宋体"/>
          <w:color w:val="000000"/>
          <w:highlight w:val="none"/>
        </w:rPr>
        <w:t>年</w:t>
      </w:r>
      <w:r>
        <w:rPr>
          <w:rFonts w:hint="eastAsia" w:ascii="宋体" w:hAnsi="宋体"/>
          <w:color w:val="000000"/>
          <w:highlight w:val="none"/>
          <w:u w:val="dotted"/>
        </w:rPr>
        <w:t xml:space="preserve">   </w:t>
      </w:r>
      <w:r>
        <w:rPr>
          <w:rFonts w:hint="eastAsia" w:ascii="宋体" w:hAnsi="宋体"/>
          <w:color w:val="000000"/>
          <w:highlight w:val="none"/>
        </w:rPr>
        <w:t>月</w:t>
      </w:r>
      <w:r>
        <w:rPr>
          <w:rFonts w:hint="eastAsia" w:ascii="宋体" w:hAnsi="宋体"/>
          <w:color w:val="000000"/>
          <w:highlight w:val="none"/>
          <w:u w:val="dotted"/>
        </w:rPr>
        <w:t xml:space="preserve">   </w:t>
      </w:r>
      <w:r>
        <w:rPr>
          <w:rFonts w:hint="eastAsia" w:ascii="宋体" w:hAnsi="宋体"/>
          <w:color w:val="000000"/>
          <w:highlight w:val="none"/>
        </w:rPr>
        <w:t>日,就质疑事项作出了答复/没有在法定期限内作出答复。</w:t>
      </w:r>
    </w:p>
    <w:p>
      <w:pPr>
        <w:spacing w:line="360" w:lineRule="auto"/>
        <w:rPr>
          <w:rFonts w:ascii="宋体" w:hAnsi="宋体"/>
          <w:color w:val="000000"/>
          <w:highlight w:val="none"/>
        </w:rPr>
      </w:pPr>
      <w:r>
        <w:rPr>
          <w:rFonts w:hint="eastAsia" w:ascii="宋体" w:hAnsi="宋体"/>
          <w:color w:val="000000"/>
          <w:highlight w:val="none"/>
        </w:rPr>
        <w:t>四、投诉事项具体内容</w:t>
      </w:r>
    </w:p>
    <w:p>
      <w:pPr>
        <w:spacing w:line="360" w:lineRule="auto"/>
        <w:rPr>
          <w:rFonts w:ascii="宋体" w:hAnsi="宋体"/>
          <w:color w:val="000000"/>
          <w:highlight w:val="none"/>
          <w:u w:val="single"/>
        </w:rPr>
      </w:pPr>
      <w:r>
        <w:rPr>
          <w:rFonts w:hint="eastAsia" w:ascii="宋体" w:hAnsi="宋体"/>
          <w:color w:val="000000"/>
          <w:highlight w:val="none"/>
        </w:rPr>
        <w:t>投诉事项 1：</w:t>
      </w:r>
      <w:r>
        <w:rPr>
          <w:rFonts w:hint="eastAsia" w:ascii="宋体" w:hAnsi="宋体"/>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事实依据：</w:t>
      </w:r>
      <w:r>
        <w:rPr>
          <w:rFonts w:hint="eastAsia" w:ascii="宋体" w:hAnsi="宋体"/>
          <w:color w:val="000000"/>
          <w:highlight w:val="none"/>
          <w:u w:val="dotted"/>
        </w:rPr>
        <w:t xml:space="preserve">                                         </w:t>
      </w:r>
    </w:p>
    <w:p>
      <w:pPr>
        <w:spacing w:line="360" w:lineRule="auto"/>
        <w:rPr>
          <w:rFonts w:ascii="宋体" w:hAnsi="宋体"/>
          <w:color w:val="000000"/>
          <w:highlight w:val="none"/>
          <w:u w:val="dotted"/>
        </w:rPr>
      </w:pPr>
      <w:r>
        <w:rPr>
          <w:rFonts w:hint="eastAsia" w:ascii="宋体" w:hAnsi="宋体"/>
          <w:color w:val="000000"/>
          <w:highlight w:val="none"/>
          <w:u w:val="dotted"/>
        </w:rPr>
        <w:t xml:space="preserve">                                                      </w:t>
      </w:r>
    </w:p>
    <w:p>
      <w:pPr>
        <w:spacing w:line="360" w:lineRule="auto"/>
        <w:rPr>
          <w:rFonts w:ascii="宋体" w:hAnsi="宋体"/>
          <w:color w:val="000000"/>
          <w:highlight w:val="none"/>
          <w:u w:val="single"/>
        </w:rPr>
      </w:pPr>
      <w:r>
        <w:rPr>
          <w:rFonts w:hint="eastAsia" w:ascii="宋体" w:hAnsi="宋体"/>
          <w:color w:val="000000"/>
          <w:highlight w:val="none"/>
        </w:rPr>
        <w:t>法律依据：</w:t>
      </w:r>
      <w:r>
        <w:rPr>
          <w:rFonts w:hint="eastAsia" w:ascii="宋体" w:hAnsi="宋体"/>
          <w:color w:val="000000"/>
          <w:highlight w:val="none"/>
          <w:u w:val="dotted"/>
        </w:rPr>
        <w:t xml:space="preserve">                                          </w:t>
      </w:r>
    </w:p>
    <w:p>
      <w:pPr>
        <w:spacing w:line="360" w:lineRule="auto"/>
        <w:rPr>
          <w:rFonts w:ascii="宋体" w:hAnsi="宋体"/>
          <w:color w:val="000000"/>
          <w:highlight w:val="none"/>
          <w:u w:val="dotted"/>
        </w:rPr>
      </w:pPr>
      <w:r>
        <w:rPr>
          <w:rFonts w:hint="eastAsia" w:ascii="宋体" w:hAnsi="宋体"/>
          <w:color w:val="000000"/>
          <w:highlight w:val="none"/>
          <w:u w:val="dotted"/>
        </w:rPr>
        <w:t xml:space="preserve">                                                      </w:t>
      </w:r>
    </w:p>
    <w:p>
      <w:pPr>
        <w:spacing w:line="360" w:lineRule="auto"/>
        <w:rPr>
          <w:rFonts w:ascii="宋体" w:hAnsi="宋体"/>
          <w:color w:val="000000"/>
          <w:highlight w:val="none"/>
        </w:rPr>
      </w:pPr>
      <w:r>
        <w:rPr>
          <w:rFonts w:hint="eastAsia" w:ascii="宋体" w:hAnsi="宋体"/>
          <w:color w:val="000000"/>
          <w:highlight w:val="none"/>
        </w:rPr>
        <w:t>投诉事项2</w:t>
      </w:r>
    </w:p>
    <w:p>
      <w:pPr>
        <w:spacing w:line="360" w:lineRule="auto"/>
        <w:rPr>
          <w:rFonts w:ascii="宋体" w:hAnsi="宋体"/>
          <w:color w:val="000000"/>
          <w:highlight w:val="none"/>
          <w:u w:val="dotted"/>
        </w:rPr>
      </w:pPr>
      <w:r>
        <w:rPr>
          <w:rFonts w:hint="eastAsia" w:ascii="宋体" w:hAnsi="宋体"/>
          <w:color w:val="000000"/>
          <w:highlight w:val="none"/>
        </w:rPr>
        <w:t>……</w:t>
      </w:r>
    </w:p>
    <w:p>
      <w:pPr>
        <w:spacing w:line="360" w:lineRule="auto"/>
        <w:rPr>
          <w:rFonts w:ascii="宋体" w:hAnsi="宋体"/>
          <w:color w:val="000000"/>
          <w:highlight w:val="none"/>
        </w:rPr>
      </w:pPr>
      <w:r>
        <w:rPr>
          <w:rFonts w:hint="eastAsia" w:ascii="宋体" w:hAnsi="宋体"/>
          <w:color w:val="000000"/>
          <w:highlight w:val="none"/>
        </w:rPr>
        <w:t>五、与投诉事项相关的投诉请求</w:t>
      </w:r>
    </w:p>
    <w:p>
      <w:pPr>
        <w:spacing w:line="360" w:lineRule="auto"/>
        <w:rPr>
          <w:rFonts w:ascii="宋体" w:hAnsi="宋体"/>
          <w:color w:val="000000"/>
          <w:highlight w:val="none"/>
        </w:rPr>
      </w:pPr>
      <w:r>
        <w:rPr>
          <w:rFonts w:hint="eastAsia" w:ascii="宋体" w:hAnsi="宋体"/>
          <w:color w:val="000000"/>
          <w:highlight w:val="none"/>
        </w:rPr>
        <w:t>请求：</w:t>
      </w:r>
      <w:r>
        <w:rPr>
          <w:rFonts w:hint="eastAsia" w:ascii="宋体" w:hAnsi="宋体"/>
          <w:color w:val="000000"/>
          <w:highlight w:val="none"/>
          <w:u w:val="dotted"/>
        </w:rPr>
        <w:t xml:space="preserve">                                              </w:t>
      </w:r>
      <w:r>
        <w:rPr>
          <w:rFonts w:hint="eastAsia" w:ascii="宋体" w:hAnsi="宋体"/>
          <w:color w:val="000000"/>
          <w:highlight w:val="none"/>
        </w:rPr>
        <w:t xml:space="preserve"> </w:t>
      </w:r>
    </w:p>
    <w:p>
      <w:pPr>
        <w:spacing w:line="360" w:lineRule="auto"/>
        <w:rPr>
          <w:rFonts w:ascii="宋体" w:hAnsi="宋体"/>
          <w:color w:val="000000"/>
          <w:highlight w:val="none"/>
          <w:u w:val="single"/>
        </w:rPr>
      </w:pPr>
      <w:r>
        <w:rPr>
          <w:rFonts w:hint="eastAsia" w:ascii="宋体" w:hAnsi="宋体"/>
          <w:color w:val="000000"/>
          <w:highlight w:val="none"/>
        </w:rPr>
        <w:t xml:space="preserve">                                                                                                    </w:t>
      </w:r>
    </w:p>
    <w:p>
      <w:pPr>
        <w:spacing w:line="360" w:lineRule="auto"/>
        <w:rPr>
          <w:rFonts w:ascii="宋体" w:hAnsi="宋体"/>
          <w:color w:val="000000"/>
          <w:highlight w:val="none"/>
        </w:rPr>
      </w:pPr>
      <w:r>
        <w:rPr>
          <w:rFonts w:hint="eastAsia" w:ascii="宋体" w:hAnsi="宋体"/>
          <w:color w:val="000000"/>
          <w:highlight w:val="none"/>
        </w:rPr>
        <w:t xml:space="preserve">签字(签章)：                   公章：                      </w:t>
      </w:r>
    </w:p>
    <w:p>
      <w:pPr>
        <w:spacing w:line="360" w:lineRule="auto"/>
        <w:rPr>
          <w:rFonts w:ascii="宋体" w:hAnsi="宋体"/>
          <w:color w:val="000000"/>
          <w:highlight w:val="none"/>
        </w:rPr>
      </w:pPr>
      <w:r>
        <w:rPr>
          <w:rFonts w:hint="eastAsia" w:ascii="宋体" w:hAnsi="宋体"/>
          <w:color w:val="000000"/>
          <w:highlight w:val="none"/>
        </w:rPr>
        <w:t xml:space="preserve">日期：    </w:t>
      </w:r>
    </w:p>
    <w:p>
      <w:pPr>
        <w:spacing w:line="360" w:lineRule="auto"/>
        <w:rPr>
          <w:rFonts w:ascii="宋体" w:hAnsi="宋体"/>
          <w:b/>
          <w:color w:val="000000"/>
          <w:highlight w:val="none"/>
        </w:rPr>
      </w:pPr>
    </w:p>
    <w:p>
      <w:pPr>
        <w:spacing w:line="360" w:lineRule="auto"/>
        <w:rPr>
          <w:rFonts w:ascii="宋体" w:hAnsi="宋体"/>
          <w:b/>
          <w:color w:val="000000"/>
          <w:highlight w:val="none"/>
        </w:rPr>
      </w:pPr>
    </w:p>
    <w:p>
      <w:pPr>
        <w:spacing w:line="360" w:lineRule="auto"/>
        <w:rPr>
          <w:rFonts w:ascii="宋体" w:hAnsi="宋体"/>
          <w:b/>
          <w:color w:val="000000"/>
          <w:highlight w:val="none"/>
        </w:rPr>
      </w:pPr>
      <w:r>
        <w:rPr>
          <w:rFonts w:hint="eastAsia" w:ascii="宋体" w:hAnsi="宋体"/>
          <w:b/>
          <w:color w:val="000000"/>
          <w:highlight w:val="none"/>
        </w:rPr>
        <w:t>投诉书制作说明：</w:t>
      </w:r>
    </w:p>
    <w:p>
      <w:pPr>
        <w:widowControl/>
        <w:spacing w:line="360" w:lineRule="auto"/>
        <w:ind w:firstLine="420" w:firstLineChars="200"/>
        <w:rPr>
          <w:rFonts w:ascii="宋体" w:hAnsi="宋体" w:cs="宋体"/>
          <w:color w:val="000000"/>
          <w:kern w:val="0"/>
          <w:highlight w:val="none"/>
        </w:rPr>
      </w:pPr>
      <w:r>
        <w:rPr>
          <w:rFonts w:hint="eastAsia" w:ascii="宋体" w:hAnsi="宋体"/>
          <w:color w:val="000000"/>
          <w:highlight w:val="none"/>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ascii="宋体" w:hAnsi="宋体" w:cs="宋体"/>
          <w:color w:val="000000"/>
          <w:kern w:val="0"/>
          <w:highlight w:val="none"/>
        </w:rPr>
      </w:pPr>
      <w:r>
        <w:rPr>
          <w:rFonts w:hint="eastAsia" w:ascii="宋体" w:hAnsi="宋体"/>
          <w:color w:val="000000"/>
          <w:highlight w:val="none"/>
        </w:rPr>
        <w:t>2.投诉人若委托代理人进行投诉的，投诉书应按照要求列明“授权代表”的有关内容，并在附件中提交由</w:t>
      </w:r>
      <w:r>
        <w:rPr>
          <w:rFonts w:hint="eastAsia" w:ascii="宋体" w:hAnsi="宋体" w:cs="宋体"/>
          <w:color w:val="000000"/>
          <w:kern w:val="0"/>
          <w:highlight w:val="none"/>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3.投诉人若对项目的某一分包进行投诉，投诉书应列明具体分包号。</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4.投诉书应简要列明质疑事项，质疑函、质疑答复等作为附件材料提供。</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5.投诉书的投诉事项应具体、明确，并有必要的事实依据和法律依据。</w:t>
      </w:r>
    </w:p>
    <w:p>
      <w:pPr>
        <w:widowControl/>
        <w:spacing w:line="360" w:lineRule="auto"/>
        <w:ind w:firstLine="420" w:firstLineChars="200"/>
        <w:jc w:val="left"/>
        <w:rPr>
          <w:rFonts w:ascii="宋体" w:hAnsi="宋体"/>
          <w:color w:val="000000"/>
          <w:highlight w:val="none"/>
        </w:rPr>
      </w:pPr>
      <w:r>
        <w:rPr>
          <w:rFonts w:hint="eastAsia" w:ascii="宋体" w:hAnsi="宋体"/>
          <w:color w:val="000000"/>
          <w:highlight w:val="none"/>
        </w:rPr>
        <w:t>6.投诉书的投诉请求应与投诉事项相关。</w:t>
      </w:r>
    </w:p>
    <w:p>
      <w:pPr>
        <w:widowControl/>
        <w:spacing w:line="360" w:lineRule="auto"/>
        <w:ind w:firstLine="420" w:firstLineChars="200"/>
        <w:jc w:val="left"/>
        <w:rPr>
          <w:rFonts w:ascii="宋体" w:hAnsi="宋体" w:cs="宋体"/>
          <w:color w:val="000000"/>
          <w:kern w:val="0"/>
          <w:highlight w:val="none"/>
        </w:rPr>
      </w:pPr>
      <w:r>
        <w:rPr>
          <w:rFonts w:hint="eastAsia" w:ascii="宋体" w:hAnsi="宋体"/>
          <w:color w:val="000000"/>
          <w:highlight w:val="none"/>
        </w:rPr>
        <w:t>7.投诉人为自然人的，投诉书应当由本人签字；投诉人为法人或者其他组织的，投诉书应当由法定代表人、主要负责人，或者其授权代表签字或者盖章，并加盖公章。</w:t>
      </w:r>
    </w:p>
    <w:p>
      <w:pPr>
        <w:widowControl/>
        <w:jc w:val="left"/>
        <w:rPr>
          <w:rFonts w:ascii="宋体" w:hAnsi="宋体"/>
          <w:b/>
          <w:color w:val="000000"/>
          <w:sz w:val="36"/>
          <w:szCs w:val="36"/>
          <w:highlight w:val="none"/>
        </w:rPr>
      </w:pPr>
      <w:bookmarkStart w:id="20" w:name="_Toc25000044"/>
      <w:r>
        <w:rPr>
          <w:rFonts w:ascii="宋体" w:hAnsi="宋体"/>
          <w:color w:val="000000"/>
          <w:sz w:val="36"/>
          <w:szCs w:val="36"/>
          <w:highlight w:val="none"/>
        </w:rPr>
        <w:br w:type="page"/>
      </w:r>
    </w:p>
    <w:p>
      <w:pPr>
        <w:pStyle w:val="2"/>
        <w:spacing w:line="360" w:lineRule="auto"/>
        <w:rPr>
          <w:rFonts w:ascii="宋体" w:hAnsi="宋体" w:eastAsia="宋体" w:cs="Arial"/>
          <w:color w:val="000000"/>
          <w:sz w:val="36"/>
          <w:szCs w:val="36"/>
          <w:highlight w:val="none"/>
        </w:rPr>
      </w:pPr>
      <w:bookmarkStart w:id="21" w:name="_Toc30807_WPSOffice_Level1"/>
      <w:r>
        <w:rPr>
          <w:rFonts w:ascii="宋体" w:hAnsi="宋体" w:eastAsia="宋体" w:cs="Arial"/>
          <w:color w:val="000000"/>
          <w:sz w:val="36"/>
          <w:szCs w:val="36"/>
          <w:highlight w:val="none"/>
        </w:rPr>
        <w:t>第</w:t>
      </w:r>
      <w:r>
        <w:rPr>
          <w:rFonts w:hint="eastAsia" w:ascii="宋体" w:hAnsi="宋体" w:eastAsia="宋体" w:cs="Arial"/>
          <w:color w:val="000000"/>
          <w:sz w:val="36"/>
          <w:szCs w:val="36"/>
          <w:highlight w:val="none"/>
        </w:rPr>
        <w:t>三</w:t>
      </w:r>
      <w:r>
        <w:rPr>
          <w:rFonts w:ascii="宋体" w:hAnsi="宋体" w:eastAsia="宋体" w:cs="Arial"/>
          <w:color w:val="000000"/>
          <w:sz w:val="36"/>
          <w:szCs w:val="36"/>
          <w:highlight w:val="none"/>
        </w:rPr>
        <w:t>章  采购需求</w:t>
      </w:r>
      <w:bookmarkEnd w:id="20"/>
      <w:bookmarkEnd w:id="21"/>
    </w:p>
    <w:p>
      <w:pPr>
        <w:pStyle w:val="3"/>
        <w:spacing w:line="360" w:lineRule="auto"/>
        <w:ind w:firstLine="0" w:firstLineChars="0"/>
        <w:jc w:val="left"/>
        <w:rPr>
          <w:rFonts w:ascii="宋体" w:hAnsi="宋体" w:cs="Arial"/>
          <w:color w:val="000000"/>
          <w:sz w:val="24"/>
          <w:highlight w:val="none"/>
        </w:rPr>
      </w:pPr>
      <w:r>
        <w:rPr>
          <w:rFonts w:hint="eastAsia" w:ascii="宋体" w:hAnsi="宋体" w:cs="Arial"/>
          <w:color w:val="000000"/>
          <w:sz w:val="24"/>
          <w:highlight w:val="none"/>
        </w:rPr>
        <w:t>一、通用技术规范与要求</w:t>
      </w:r>
    </w:p>
    <w:p>
      <w:pPr>
        <w:spacing w:line="360" w:lineRule="auto"/>
        <w:ind w:firstLine="424" w:firstLineChars="201"/>
        <w:rPr>
          <w:rFonts w:ascii="宋体" w:hAnsi="宋体"/>
          <w:b/>
          <w:szCs w:val="21"/>
          <w:highlight w:val="none"/>
        </w:rPr>
      </w:pPr>
      <w:bookmarkStart w:id="22" w:name="_Toc167673090"/>
      <w:r>
        <w:rPr>
          <w:rFonts w:hint="eastAsia" w:ascii="宋体" w:hAnsi="宋体"/>
          <w:b/>
          <w:szCs w:val="21"/>
          <w:highlight w:val="none"/>
        </w:rPr>
        <w:t>1.适用范围</w:t>
      </w:r>
      <w:bookmarkEnd w:id="22"/>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通用技术规范与要求适用于“物流传输系统”设备及其控制系统的设计、制造，以及材料、部件采购、噪声控制、表面涂层及标记等工作。</w:t>
      </w:r>
    </w:p>
    <w:p>
      <w:pPr>
        <w:spacing w:line="360" w:lineRule="auto"/>
        <w:ind w:firstLine="424" w:firstLineChars="201"/>
        <w:rPr>
          <w:rFonts w:ascii="宋体" w:hAnsi="宋体"/>
          <w:b/>
          <w:szCs w:val="21"/>
          <w:highlight w:val="none"/>
        </w:rPr>
      </w:pPr>
      <w:bookmarkStart w:id="23" w:name="_Toc167673091"/>
      <w:r>
        <w:rPr>
          <w:rFonts w:hint="eastAsia" w:ascii="宋体" w:hAnsi="宋体"/>
          <w:b/>
          <w:szCs w:val="21"/>
          <w:highlight w:val="none"/>
        </w:rPr>
        <w:t>2</w:t>
      </w:r>
      <w:bookmarkEnd w:id="23"/>
      <w:bookmarkStart w:id="24" w:name="_Toc167673092"/>
      <w:r>
        <w:rPr>
          <w:rFonts w:hint="eastAsia" w:ascii="宋体" w:hAnsi="宋体"/>
          <w:b/>
          <w:szCs w:val="21"/>
          <w:highlight w:val="none"/>
        </w:rPr>
        <w:t>.采用标准</w:t>
      </w:r>
      <w:bookmarkEnd w:id="24"/>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2.1物流传输系统的设计、制造、检验与验收应符合中国现行的有关标准，并应遵照下列最新版本的规范和标准，这些规范和标准是通用与基本的。</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计量单位：国际单位制</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2.2“物流传输系统”设备的设计、制造、检验与验收除应遵照上述规范与标准外，还应符以下但不限于以下的有关物流传输系统的标准与行业规范，或符合当前通行的其它标准。</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建筑设计规范</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建筑设计防火规范                                      GBJ l6</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建筑安装工程质量检验评定标准(通用机械设备安装工程)    TJ 305</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建设工程施工现场供用电安全规范                        GB 50194</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机械设备安装工程施工及验收通用规范                    GB 5023 </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通用用电设备配电设计规范                              GB 50055</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电力工程电缆设计规范                                  GB 50217</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供配电系统设计规范                                    GB 50052</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电气装置安装工程电气设备交接试验标准                  GB 50150</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电气装置安装工程电缆线路施工及验收规范                GB 50l68</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电气装置安装工程接地装置施工及验收规范                GB 50169</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电气装置安装工程旋转电机施工及验收规范                GB 50170</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电气装置安装工程盘、柜及二次回路结线施工及验收规范    GB 5017-92</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电气装置安装工程施工及验收规范                        GBJ232</w:t>
      </w:r>
      <w:bookmarkStart w:id="25" w:name="_Toc167673093"/>
    </w:p>
    <w:p>
      <w:pPr>
        <w:spacing w:line="360" w:lineRule="auto"/>
        <w:ind w:firstLine="424" w:firstLineChars="201"/>
        <w:rPr>
          <w:rFonts w:ascii="宋体" w:hAnsi="宋体"/>
          <w:b/>
          <w:szCs w:val="21"/>
          <w:highlight w:val="none"/>
        </w:rPr>
      </w:pPr>
      <w:r>
        <w:rPr>
          <w:rFonts w:hint="eastAsia" w:ascii="宋体" w:hAnsi="宋体"/>
          <w:b/>
          <w:szCs w:val="21"/>
          <w:highlight w:val="none"/>
        </w:rPr>
        <w:t>3.机件的通用要求</w:t>
      </w:r>
      <w:bookmarkEnd w:id="25"/>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 xml:space="preserve"> 以下条款适用于“物流传输系统”设备</w:t>
      </w:r>
    </w:p>
    <w:p>
      <w:pPr>
        <w:spacing w:line="360" w:lineRule="auto"/>
        <w:ind w:firstLine="422" w:firstLineChars="201"/>
        <w:rPr>
          <w:rFonts w:ascii="宋体" w:hAnsi="宋体"/>
          <w:color w:val="000000"/>
          <w:szCs w:val="21"/>
          <w:highlight w:val="none"/>
        </w:rPr>
      </w:pPr>
      <w:bookmarkStart w:id="26" w:name="_Toc167673094"/>
      <w:r>
        <w:rPr>
          <w:rFonts w:hint="eastAsia" w:ascii="宋体" w:hAnsi="宋体"/>
          <w:color w:val="000000"/>
          <w:szCs w:val="21"/>
          <w:highlight w:val="none"/>
        </w:rPr>
        <w:t>3.1一般原则</w:t>
      </w:r>
      <w:bookmarkEnd w:id="26"/>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用于“物流传输系统”机械工程系统的所有设备，应尽量采用标准化部件及零件，采用制造厂商生产的标准产品。在标准产品的某一项技术性能不能满足设备技术规范与要求的情况下，应采用制造厂商改造的或同意的改造标准产品。</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2)设备所用的所有材料必须是全新的，材料应符合有关标准并具有出厂检验受质量合格证。不得使用低于设计标准的材料。</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3)设备零、部件的制造工艺应是高质量的，所有制造、机械加工、焊接、组装、布线、试验及其它工作，均由经过培训的、有经验的技术工人或专业人员承担完成。</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4)机械设计时应考虑一般维修工作的简单和快捷，只需进行少量的拆卸工作叩可对所有电气和机械部件进行检查和维修。减速器的注油、排油等部件应易于接丘，检查油位、加油或换油时不需拆卸任何部件。</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维修工作不需要使用特殊工具，只需一般工具和试验设备。</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5)设备设计时应考虑易于工地组装，现场安装快速高效。电气和控制设备应与合理的分组，发货前在工厂进行过预试验，以减少现场试验的时间。</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6)机械和电气系统的设计应使其所有零、部件具有在额定值(额定负荷、额定速度)下工作的能力。能在规定的速度范围内稳定运转，无冲击。</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7)技术规格与要求中提出的载荷均为不包括设备、构件自重的有效载荷。</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8)所有机械、电气设备应有良好的包装设计，满足运输和现场储存的防护要求。</w:t>
      </w:r>
    </w:p>
    <w:p>
      <w:pPr>
        <w:spacing w:line="360" w:lineRule="auto"/>
        <w:ind w:firstLine="422" w:firstLineChars="201"/>
        <w:rPr>
          <w:rFonts w:ascii="宋体" w:hAnsi="宋体"/>
          <w:color w:val="000000"/>
          <w:szCs w:val="21"/>
          <w:highlight w:val="none"/>
        </w:rPr>
      </w:pPr>
      <w:bookmarkStart w:id="27" w:name="_Toc167673095"/>
      <w:r>
        <w:rPr>
          <w:rFonts w:hint="eastAsia" w:ascii="宋体" w:hAnsi="宋体"/>
          <w:color w:val="000000"/>
          <w:szCs w:val="21"/>
          <w:highlight w:val="none"/>
        </w:rPr>
        <w:t>3.2安全设计</w:t>
      </w:r>
      <w:bookmarkEnd w:id="27"/>
    </w:p>
    <w:p>
      <w:pPr>
        <w:spacing w:line="360" w:lineRule="auto"/>
        <w:ind w:firstLine="422" w:firstLineChars="201"/>
        <w:rPr>
          <w:rFonts w:ascii="宋体" w:hAnsi="宋体"/>
          <w:color w:val="000000"/>
          <w:szCs w:val="21"/>
          <w:highlight w:val="none"/>
        </w:rPr>
      </w:pPr>
      <w:bookmarkStart w:id="28" w:name="_Toc167673096"/>
      <w:r>
        <w:rPr>
          <w:rFonts w:hint="eastAsia" w:ascii="宋体" w:hAnsi="宋体"/>
          <w:color w:val="000000"/>
          <w:szCs w:val="21"/>
          <w:highlight w:val="none"/>
        </w:rPr>
        <w:t>人身安全</w:t>
      </w:r>
      <w:bookmarkEnd w:id="28"/>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1)所有设备和装置均应满足相应的安全标准和操作规程，符合安全卫生要求。保证用户在安全工作环境下使用和维修设备。</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2)所有机械、电气控制系统应具有故障自动保护的功能，以保证机械和电气控制系统对人身是安全的。</w:t>
      </w:r>
    </w:p>
    <w:p>
      <w:pPr>
        <w:spacing w:line="360" w:lineRule="auto"/>
        <w:ind w:firstLine="422" w:firstLineChars="201"/>
        <w:rPr>
          <w:rFonts w:ascii="宋体" w:hAnsi="宋体"/>
          <w:color w:val="000000"/>
          <w:szCs w:val="21"/>
          <w:highlight w:val="none"/>
        </w:rPr>
      </w:pPr>
      <w:bookmarkStart w:id="29" w:name="_Toc167673097"/>
      <w:r>
        <w:rPr>
          <w:rFonts w:hint="eastAsia" w:ascii="宋体" w:hAnsi="宋体"/>
          <w:color w:val="000000"/>
          <w:szCs w:val="21"/>
          <w:highlight w:val="none"/>
        </w:rPr>
        <w:t>3.3安全系数</w:t>
      </w:r>
      <w:bookmarkEnd w:id="29"/>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通用机械零件：所有通用机械零件在初略计算时的安全系数应大于或等于3。安全系数定义为所用材料的极限应力与最大工作应力之比。最大工作应力应考虑最大静负荷及动负荷产生的应力。</w:t>
      </w:r>
    </w:p>
    <w:p>
      <w:pPr>
        <w:spacing w:line="360" w:lineRule="auto"/>
        <w:ind w:firstLine="422" w:firstLineChars="201"/>
        <w:rPr>
          <w:rFonts w:ascii="宋体" w:hAnsi="宋体"/>
          <w:color w:val="000000"/>
          <w:szCs w:val="21"/>
          <w:highlight w:val="none"/>
        </w:rPr>
      </w:pPr>
      <w:bookmarkStart w:id="30" w:name="_Toc167673098"/>
      <w:r>
        <w:rPr>
          <w:rFonts w:hint="eastAsia" w:ascii="宋体" w:hAnsi="宋体"/>
          <w:color w:val="000000"/>
          <w:szCs w:val="21"/>
          <w:highlight w:val="none"/>
        </w:rPr>
        <w:t>3.4紧固件和地脚螺栓</w:t>
      </w:r>
      <w:bookmarkEnd w:id="30"/>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1)设备零、部件之间的连接、设备与基础、墙壁及其它土建构件的连接，均应采用标准紧固件，紧固件的尺寸应能满足负荷与结构的需要，结构设计上应避免紧固件承受偏心载荷。</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2)设备零、部件之间的可拆卸连接，不可使用化学紧固法连接。</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3)设备的地脚螺栓，其结构型式、尺寸应与设备负载匹配。地脚螺栓紧固时，可以使用化学紧固法作为辅助紧固。</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4)当采用膨胀螺栓作为设备地脚螺栓、悬挂螺栓时，除根据负荷确定合适的尺寸外，还应事先征得土建结构设计的同意。</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5)所有紧固件均应配备合适的防松设施，特别是在设备有振动、受力方向有变化、受力大小有变化等场合，连接接头应有足够的强度与刚度。所有接头在螺母或锁紧螺母拧紧后，螺栓至少外露二个螺距的长度。</w:t>
      </w:r>
    </w:p>
    <w:p>
      <w:pPr>
        <w:spacing w:line="360" w:lineRule="auto"/>
        <w:ind w:firstLine="422" w:firstLineChars="201"/>
        <w:rPr>
          <w:rFonts w:ascii="宋体" w:hAnsi="宋体"/>
          <w:color w:val="000000"/>
          <w:szCs w:val="21"/>
          <w:highlight w:val="none"/>
        </w:rPr>
      </w:pPr>
      <w:bookmarkStart w:id="31" w:name="_Toc167673099"/>
      <w:r>
        <w:rPr>
          <w:rFonts w:hint="eastAsia" w:ascii="宋体" w:hAnsi="宋体"/>
          <w:color w:val="000000"/>
          <w:szCs w:val="21"/>
          <w:highlight w:val="none"/>
        </w:rPr>
        <w:t>3.5钢结构</w:t>
      </w:r>
      <w:bookmarkEnd w:id="31"/>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1)钢结构件应设计合理，强度、刚度及稳定性能均符合要求。钢结构及其接头应能承受最大额定载荷和由紧急启动造成的冲击载荷。</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2)钢结构件所用材料应符合有关标准，并有出厂检验及质量合格证。</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3)所有钢结构件在焊接前必须进行预处理，板材及型材必须采用机械进行矫直或弯曲。焊接工作必须由取得相应合格证书的焊工担任，焊缝质量应符合有关标准。主要焊缝应进行无损探伤等检查，其质量应符合钢结构Z-程施工质量验收规范。结构件的尺寸及形位公差应符合图纸要求或有关标准。</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4)所有拼装的大型钢结构件，须采用高强螺栓连接，所有连接用孔须钻孔，不得冲孔。装配前钻孔须去毛刺。</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5)钢结构件的外部连接需采用螺栓连接，所有连接用孔必须为钻孔，不得冲孔。装配前须去除钻孔毛刺。</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6)需要机械加工的焊接钢结构和重要的钢结构件，加工前应进行热处理或时效处理，以消除应力。</w:t>
      </w:r>
    </w:p>
    <w:p>
      <w:pPr>
        <w:spacing w:line="360" w:lineRule="auto"/>
        <w:ind w:firstLine="422" w:firstLineChars="201"/>
        <w:rPr>
          <w:rFonts w:ascii="宋体" w:hAnsi="宋体"/>
          <w:color w:val="000000"/>
          <w:szCs w:val="21"/>
          <w:highlight w:val="none"/>
        </w:rPr>
      </w:pPr>
      <w:bookmarkStart w:id="32" w:name="_Toc167673117"/>
      <w:r>
        <w:rPr>
          <w:rFonts w:hint="eastAsia" w:ascii="宋体" w:hAnsi="宋体"/>
          <w:color w:val="000000"/>
          <w:szCs w:val="21"/>
          <w:highlight w:val="none"/>
        </w:rPr>
        <w:t>3.6电缆及线路敷设</w:t>
      </w:r>
      <w:bookmarkEnd w:id="32"/>
    </w:p>
    <w:p>
      <w:pPr>
        <w:spacing w:line="360" w:lineRule="auto"/>
        <w:ind w:firstLine="422" w:firstLineChars="201"/>
        <w:rPr>
          <w:rFonts w:ascii="宋体" w:hAnsi="宋体"/>
          <w:color w:val="000000"/>
          <w:szCs w:val="21"/>
          <w:highlight w:val="none"/>
        </w:rPr>
      </w:pPr>
      <w:bookmarkStart w:id="33" w:name="_Toc167673118"/>
      <w:r>
        <w:rPr>
          <w:rFonts w:hint="eastAsia" w:ascii="宋体" w:hAnsi="宋体"/>
          <w:color w:val="000000"/>
          <w:szCs w:val="21"/>
          <w:highlight w:val="none"/>
        </w:rPr>
        <w:t>1)电缆种类</w:t>
      </w:r>
      <w:bookmarkEnd w:id="33"/>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应选用耐火型电缆，电缆桥架或线槽应加盖接地良好，并做防火处理。动力电缆和控制电缆的型号、电压、载流量、截面、芯数、外护套等应满足其电路类型、传输信号、使用环境和敷设方式的要求，并符合有关规范。</w:t>
      </w:r>
    </w:p>
    <w:p>
      <w:pPr>
        <w:spacing w:line="360" w:lineRule="auto"/>
        <w:ind w:firstLine="422" w:firstLineChars="201"/>
        <w:rPr>
          <w:rFonts w:ascii="宋体" w:hAnsi="宋体"/>
          <w:color w:val="000000"/>
          <w:szCs w:val="21"/>
          <w:highlight w:val="none"/>
        </w:rPr>
      </w:pPr>
      <w:bookmarkStart w:id="34" w:name="_Toc167673119"/>
      <w:r>
        <w:rPr>
          <w:rFonts w:hint="eastAsia" w:ascii="宋体" w:hAnsi="宋体"/>
          <w:color w:val="000000"/>
          <w:szCs w:val="21"/>
          <w:highlight w:val="none"/>
        </w:rPr>
        <w:t>2)软电缆</w:t>
      </w:r>
      <w:bookmarkEnd w:id="34"/>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移动部件的控制和动力电缆可采用软电缆，软电缆在运动时应有可靠的保护装置，不得使电缆受到额外的应力。但选用任何软电缆时都应考虑环境和导线的温度、耐磨性、挠性和机械应力。</w:t>
      </w:r>
    </w:p>
    <w:p>
      <w:pPr>
        <w:spacing w:line="360" w:lineRule="auto"/>
        <w:ind w:firstLine="422" w:firstLineChars="201"/>
        <w:rPr>
          <w:rFonts w:ascii="宋体" w:hAnsi="宋体"/>
          <w:color w:val="000000"/>
          <w:szCs w:val="21"/>
          <w:highlight w:val="none"/>
        </w:rPr>
      </w:pPr>
      <w:bookmarkStart w:id="35" w:name="_Toc167673120"/>
      <w:r>
        <w:rPr>
          <w:rFonts w:hint="eastAsia" w:ascii="宋体" w:hAnsi="宋体"/>
          <w:color w:val="000000"/>
          <w:szCs w:val="21"/>
          <w:highlight w:val="none"/>
        </w:rPr>
        <w:t>3.</w:t>
      </w:r>
      <w:bookmarkEnd w:id="35"/>
      <w:bookmarkStart w:id="36" w:name="_Toc167673122"/>
      <w:r>
        <w:rPr>
          <w:rFonts w:hint="eastAsia" w:ascii="宋体" w:hAnsi="宋体"/>
          <w:color w:val="000000"/>
          <w:szCs w:val="21"/>
          <w:highlight w:val="none"/>
        </w:rPr>
        <w:t>7电气机柜的接线</w:t>
      </w:r>
      <w:bookmarkEnd w:id="36"/>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1)外部接线：可采用端子板或连接器。端子板或连接器应按出厂图纸对应定位并打上永久标记。</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2)内部接线：内部接线的电缆或导线应满足机械强度、额定电流、动热稳定性的要求。小电流线路优先选用单芯多股电缆。电气机柜中电缆载流能力应按规定标准考虑降容系数和环境温度。</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3)维修：机架内电气元件或装置的布置和接线应考虑便于拆卸、更换和维修。</w:t>
      </w:r>
    </w:p>
    <w:p>
      <w:pPr>
        <w:spacing w:line="360" w:lineRule="auto"/>
        <w:ind w:firstLine="422" w:firstLineChars="201"/>
        <w:rPr>
          <w:rFonts w:ascii="宋体" w:hAnsi="宋体"/>
          <w:color w:val="000000"/>
          <w:szCs w:val="21"/>
          <w:highlight w:val="none"/>
        </w:rPr>
      </w:pPr>
      <w:bookmarkStart w:id="37" w:name="_Toc167673123"/>
      <w:r>
        <w:rPr>
          <w:rFonts w:hint="eastAsia" w:ascii="宋体" w:hAnsi="宋体"/>
          <w:color w:val="000000"/>
          <w:szCs w:val="21"/>
          <w:highlight w:val="none"/>
        </w:rPr>
        <w:t>3.8电缆接线</w:t>
      </w:r>
      <w:bookmarkEnd w:id="37"/>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1)投标人提交的接线资料应清晰无误。</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2)电缆长度应适当，剩余电缆应卷在电缆盘上或放在设备内，并牢牢固定。</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3)动力或控制线路所用的多芯和屏蔽电缆的芯线应易于按编号识别。少于2 5芯的电缆才允许使用颜色代码。不得利用电缆敷设形式或顺序来识别电缆芯线。</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4)标识：每根动力和控制电缆的两端的电缆编号应相同，并打上带有唯一编号的永久标记。电缆编号应在接线图上表示出来。</w:t>
      </w:r>
    </w:p>
    <w:p>
      <w:pPr>
        <w:spacing w:line="360" w:lineRule="auto"/>
        <w:ind w:firstLine="422" w:firstLineChars="201"/>
        <w:rPr>
          <w:rFonts w:ascii="宋体" w:hAnsi="宋体"/>
          <w:color w:val="000000"/>
          <w:szCs w:val="21"/>
          <w:highlight w:val="none"/>
        </w:rPr>
      </w:pPr>
      <w:bookmarkStart w:id="38" w:name="_Toc167673124"/>
      <w:r>
        <w:rPr>
          <w:rFonts w:hint="eastAsia" w:ascii="宋体" w:hAnsi="宋体"/>
          <w:color w:val="000000"/>
          <w:szCs w:val="21"/>
          <w:highlight w:val="none"/>
        </w:rPr>
        <w:t>3.9电气安全</w:t>
      </w:r>
      <w:bookmarkEnd w:id="38"/>
    </w:p>
    <w:p>
      <w:pPr>
        <w:spacing w:line="360" w:lineRule="auto"/>
        <w:ind w:firstLine="422" w:firstLineChars="201"/>
        <w:rPr>
          <w:rFonts w:ascii="宋体" w:hAnsi="宋体"/>
          <w:color w:val="000000"/>
          <w:szCs w:val="21"/>
          <w:highlight w:val="none"/>
        </w:rPr>
      </w:pPr>
      <w:bookmarkStart w:id="39" w:name="_Toc167673125"/>
      <w:r>
        <w:rPr>
          <w:rFonts w:hint="eastAsia" w:ascii="宋体" w:hAnsi="宋体"/>
          <w:color w:val="000000"/>
          <w:szCs w:val="21"/>
          <w:highlight w:val="none"/>
        </w:rPr>
        <w:t>（1）接地</w:t>
      </w:r>
      <w:bookmarkEnd w:id="39"/>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所有钢结构件、机械设备、操作台(盘)、电气机柜、金属外罩、金属管以及设备部件都应有效地接地，并符合有关标准。</w:t>
      </w:r>
    </w:p>
    <w:p>
      <w:pPr>
        <w:spacing w:line="360" w:lineRule="auto"/>
        <w:ind w:firstLine="422" w:firstLineChars="201"/>
        <w:rPr>
          <w:rFonts w:ascii="宋体" w:hAnsi="宋体"/>
          <w:color w:val="000000"/>
          <w:szCs w:val="21"/>
          <w:highlight w:val="none"/>
        </w:rPr>
      </w:pPr>
      <w:bookmarkStart w:id="40" w:name="_Toc167673126"/>
      <w:r>
        <w:rPr>
          <w:rFonts w:hint="eastAsia" w:ascii="宋体" w:hAnsi="宋体"/>
          <w:color w:val="000000"/>
          <w:szCs w:val="21"/>
          <w:highlight w:val="none"/>
        </w:rPr>
        <w:t>（2）电源隔离</w:t>
      </w:r>
      <w:bookmarkEnd w:id="40"/>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若电气设备的电源为非安全电压，则应在该电气设备上或附近装设一个就地可切断电源的负荷开关(或断路器)，以保证检修的安全。</w:t>
      </w:r>
    </w:p>
    <w:p>
      <w:pPr>
        <w:spacing w:line="360" w:lineRule="auto"/>
        <w:ind w:firstLine="422" w:firstLineChars="201"/>
        <w:rPr>
          <w:rFonts w:ascii="宋体" w:hAnsi="宋体"/>
          <w:color w:val="000000"/>
          <w:szCs w:val="21"/>
          <w:highlight w:val="none"/>
        </w:rPr>
      </w:pPr>
      <w:bookmarkStart w:id="41" w:name="_Toc167673127"/>
      <w:r>
        <w:rPr>
          <w:rFonts w:hint="eastAsia" w:ascii="宋体" w:hAnsi="宋体"/>
          <w:color w:val="000000"/>
          <w:szCs w:val="21"/>
          <w:highlight w:val="none"/>
        </w:rPr>
        <w:t>（3）电源接通指示</w:t>
      </w:r>
      <w:bookmarkEnd w:id="41"/>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所有装有工作电压380VAC/220VAC的电气元件或装置的电气机柜，都要设置较大的电源接通指示器，其位置要显眼，且接近视线高度。三相供电时’每相应设一单独指示器。</w:t>
      </w:r>
    </w:p>
    <w:p>
      <w:pPr>
        <w:spacing w:line="360" w:lineRule="auto"/>
        <w:ind w:firstLine="422" w:firstLineChars="201"/>
        <w:rPr>
          <w:rFonts w:ascii="宋体" w:hAnsi="宋体"/>
          <w:color w:val="000000"/>
          <w:szCs w:val="21"/>
          <w:highlight w:val="none"/>
        </w:rPr>
      </w:pPr>
      <w:bookmarkStart w:id="42" w:name="_Toc167673128"/>
      <w:r>
        <w:rPr>
          <w:rFonts w:hint="eastAsia" w:ascii="宋体" w:hAnsi="宋体"/>
          <w:color w:val="000000"/>
          <w:szCs w:val="21"/>
          <w:highlight w:val="none"/>
        </w:rPr>
        <w:t>（4）电压保护</w:t>
      </w:r>
      <w:bookmarkEnd w:id="42"/>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电源或驱动装置应有相监控装置。电气设备应具有缺相、欠压、过电压保护。</w:t>
      </w:r>
    </w:p>
    <w:p>
      <w:pPr>
        <w:spacing w:line="360" w:lineRule="auto"/>
        <w:ind w:firstLine="422" w:firstLineChars="201"/>
        <w:rPr>
          <w:rFonts w:ascii="宋体" w:hAnsi="宋体"/>
          <w:color w:val="000000"/>
          <w:szCs w:val="21"/>
          <w:highlight w:val="none"/>
        </w:rPr>
      </w:pPr>
      <w:bookmarkStart w:id="43" w:name="_Toc167673131"/>
      <w:r>
        <w:rPr>
          <w:rFonts w:hint="eastAsia" w:ascii="宋体" w:hAnsi="宋体"/>
          <w:color w:val="000000"/>
          <w:szCs w:val="21"/>
          <w:highlight w:val="none"/>
        </w:rPr>
        <w:t>3.10涂层与表面处理</w:t>
      </w:r>
      <w:bookmarkEnd w:id="43"/>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1)准备：所有部件要具有光滑表面，没有飞边毛刺。不允许出现不良的切割和焊接，部件在涂漆前应脱脂。钢铁表面应除锈并采取防锈措施。</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2)涂层：所有部件应涂上底漆、二道漆，并按照设备说明涂面漆。涂层的损坏部分应及时修复，锈蚀部分应清理到金属光亮后再正确涂漆。底漆采用防锈漆漆膜厚度按国家有关规范实施。</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3)现场焊接：全部焊接完成后应处理干净和正确涂漆。管和相似的组件的内表面无法进行涂漆时，在其端部完全密封，以防止内部生锈。</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4)现场安装后的修补油漆，投标人自备，其种类、品牌、质量应与原用油漆相同。</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5)标记：所有可拆卸的部件涂漆时应作清楚的标记，以保证现场正确再安装，现场安装结束后，应清除全部工厂标识的标记。</w:t>
      </w:r>
    </w:p>
    <w:p>
      <w:pPr>
        <w:spacing w:line="360" w:lineRule="auto"/>
        <w:ind w:firstLine="422" w:firstLineChars="201"/>
        <w:rPr>
          <w:rFonts w:ascii="宋体" w:hAnsi="宋体"/>
          <w:color w:val="000000"/>
          <w:szCs w:val="21"/>
          <w:highlight w:val="none"/>
        </w:rPr>
      </w:pPr>
      <w:r>
        <w:rPr>
          <w:rFonts w:hint="eastAsia" w:ascii="宋体" w:hAnsi="宋体"/>
          <w:color w:val="000000"/>
          <w:szCs w:val="21"/>
          <w:highlight w:val="none"/>
        </w:rPr>
        <w:t>6)涂装工艺由投标人自定，但须提供涂装工艺</w:t>
      </w:r>
    </w:p>
    <w:p>
      <w:pPr>
        <w:pStyle w:val="3"/>
        <w:spacing w:line="360" w:lineRule="auto"/>
        <w:ind w:firstLine="0" w:firstLineChars="0"/>
        <w:jc w:val="left"/>
        <w:rPr>
          <w:rFonts w:ascii="宋体" w:hAnsi="宋体" w:cs="Arial"/>
          <w:color w:val="000000"/>
          <w:sz w:val="24"/>
          <w:highlight w:val="none"/>
        </w:rPr>
      </w:pPr>
      <w:r>
        <w:rPr>
          <w:rFonts w:hint="eastAsia" w:ascii="宋体" w:hAnsi="宋体" w:cs="Arial"/>
          <w:color w:val="000000"/>
          <w:sz w:val="24"/>
          <w:highlight w:val="none"/>
        </w:rPr>
        <w:t>二、轨道物流系统配置要求</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1、运载小车</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1.1运载小车的箱体容积：不低于45升</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1.2小车采用耐用直流电机。在水平和垂直轨道上能平稳运行；为防止小车铜刷与铜轨接触不良而导致小车掉电，停车现象，小车需有自动切换的辅助电源，小车自带充电电池，在无铜轨供电的情况下，小车仍然可以行驶，且小车电池在电量不足的情况下可以自动充电。</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1.3小车净载重量： 净载重量≥30公斤；（提供第三方检测报告）</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1.4水平方向速度≥0.6米/秒，垂直方向速度≥0.4米/秒；</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1.5小车自带电子锁装置，仅在到站后可以开启；</w:t>
      </w:r>
      <w:r>
        <w:rPr>
          <w:rFonts w:hint="eastAsia" w:ascii="宋体" w:hAnsi="宋体" w:cs="Arial"/>
          <w:szCs w:val="21"/>
          <w:highlight w:val="none"/>
        </w:rPr>
        <w:t>运送贵重物品可设置密码，到站后输入密码后才可开启，同时带有紧急开箱装置。</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1.6小车自带</w:t>
      </w:r>
      <w:r>
        <w:rPr>
          <w:rFonts w:hint="eastAsia" w:ascii="宋体" w:hAnsi="宋体" w:cs="Arial"/>
          <w:szCs w:val="21"/>
          <w:highlight w:val="none"/>
        </w:rPr>
        <w:t>无线射频定位</w:t>
      </w:r>
      <w:r>
        <w:rPr>
          <w:rFonts w:hint="eastAsia" w:ascii="宋体" w:hAnsi="宋体"/>
          <w:szCs w:val="21"/>
          <w:highlight w:val="none"/>
        </w:rPr>
        <w:t>监控通讯装置，可以识别小车的运行位置；</w:t>
      </w:r>
      <w:r>
        <w:rPr>
          <w:rFonts w:hint="eastAsia" w:ascii="宋体" w:hAnsi="宋体" w:cs="Arial"/>
          <w:szCs w:val="21"/>
          <w:highlight w:val="none"/>
        </w:rPr>
        <w:t>该装置需能防灰尘和强光等干扰。</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1.7小车到达站点时，会自动发出到达信号，提醒操作人员；</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1.8小车设有专用的标识，控制系统可自动识别每辆小车；</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1.9小车内配有紫外线自动消毒装置，能定时自动或临时对箱体内部消毒，对大肠杆菌平均杀灭效果必须大于99%；对金黄色葡萄球菌杀菌率不小于99%；对白色念珠菌杀菌率不小于90%。（需提供权威机构出具相关的消毒效果检验报告。原件备查）</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1.10基于对检验样品传输安全的要求，小车内部应配置水平旋转框，用于传输标本等不宜翻转的物品，车体内安装有旋转轴，水平旋转框可直接放置在旋转轴上，无需额外配置支架。提供实物图片证明</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1.11小车</w:t>
      </w:r>
      <w:r>
        <w:rPr>
          <w:rFonts w:hint="eastAsia" w:ascii="宋体" w:hAnsi="宋体" w:cs="Arial"/>
          <w:szCs w:val="21"/>
          <w:highlight w:val="none"/>
        </w:rPr>
        <w:t>自带</w:t>
      </w:r>
      <w:r>
        <w:rPr>
          <w:rFonts w:hint="eastAsia" w:ascii="宋体" w:hAnsi="宋体"/>
          <w:szCs w:val="21"/>
          <w:highlight w:val="none"/>
        </w:rPr>
        <w:t>显示屏，可以显示小车的编号、小车发送站点及目的站点以及小车状态。</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1.12安全防护：小车配备红外感应防撞装置和接触式防撞装置双重安全保护装置。当小车运行前方出现障碍物或其他小车时，自动降速或停止前进，不会直接撞上前方小车，障碍移除后可自动恢复运行；（提供第三方检测报告及视频证明文件）</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1.13小车配置挡压板，可以任意调整预压高度，避免物品晃动，保障物品运输安全。</w:t>
      </w:r>
    </w:p>
    <w:p>
      <w:pPr>
        <w:pStyle w:val="15"/>
        <w:spacing w:after="0" w:line="360" w:lineRule="auto"/>
        <w:ind w:left="19" w:leftChars="9" w:firstLineChars="200"/>
        <w:rPr>
          <w:rFonts w:ascii="宋体" w:hAnsi="宋体" w:cs="Arial"/>
          <w:szCs w:val="21"/>
          <w:highlight w:val="none"/>
        </w:rPr>
      </w:pPr>
      <w:r>
        <w:rPr>
          <w:rFonts w:hint="eastAsia" w:ascii="宋体" w:hAnsi="宋体"/>
          <w:szCs w:val="21"/>
          <w:highlight w:val="none"/>
        </w:rPr>
        <w:t>1.14</w:t>
      </w:r>
      <w:r>
        <w:rPr>
          <w:rFonts w:hint="eastAsia" w:ascii="宋体" w:hAnsi="宋体" w:cs="Arial"/>
          <w:szCs w:val="21"/>
          <w:highlight w:val="none"/>
        </w:rPr>
        <w:t>智</w:t>
      </w:r>
      <w:r>
        <w:rPr>
          <w:rFonts w:ascii="宋体" w:hAnsi="宋体" w:cs="Arial"/>
          <w:szCs w:val="21"/>
          <w:highlight w:val="none"/>
        </w:rPr>
        <w:t>能轨道小车</w:t>
      </w:r>
      <w:r>
        <w:rPr>
          <w:rFonts w:hint="eastAsia" w:ascii="宋体" w:hAnsi="宋体" w:cs="Arial"/>
          <w:szCs w:val="21"/>
          <w:highlight w:val="none"/>
        </w:rPr>
        <w:t>系统</w:t>
      </w:r>
      <w:r>
        <w:rPr>
          <w:rFonts w:ascii="宋体" w:hAnsi="宋体" w:cs="Arial"/>
          <w:szCs w:val="21"/>
          <w:highlight w:val="none"/>
        </w:rPr>
        <w:t>运行噪音</w:t>
      </w:r>
      <w:r>
        <w:rPr>
          <w:rFonts w:hint="eastAsia" w:ascii="宋体" w:hAnsi="宋体" w:cs="Arial"/>
          <w:szCs w:val="21"/>
          <w:highlight w:val="none"/>
        </w:rPr>
        <w:t>小于6</w:t>
      </w:r>
      <w:r>
        <w:rPr>
          <w:rFonts w:ascii="宋体" w:hAnsi="宋体" w:cs="Arial"/>
          <w:szCs w:val="21"/>
          <w:highlight w:val="none"/>
        </w:rPr>
        <w:t>5</w:t>
      </w:r>
      <w:r>
        <w:rPr>
          <w:rFonts w:hint="eastAsia" w:ascii="宋体" w:hAnsi="宋体" w:cs="Arial"/>
          <w:szCs w:val="21"/>
          <w:highlight w:val="none"/>
        </w:rPr>
        <w:t>分贝。并提供国家市级及以上质检部门检验报告。</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2、轨道</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2.1采用高强度铝合金材料；</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2.2表面阳极氧化处理；</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2.3轨道含电源导轨，提供不高于36V直流电；轨道含通讯导轨，小车通过专用装置和通讯导轨接触，保证小车和系统的全程通讯，系统可以监控小车状态和发出指令；</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2.4小车上的读码器采用无线射频（RFID）读取轨道上的位置码，轨道上的位置码平均间距不得大于3米；</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2.5站点轨道背面需配电缆盖板，避免电缆外露。</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3、转轨器</w:t>
      </w:r>
    </w:p>
    <w:p>
      <w:pPr>
        <w:spacing w:line="360" w:lineRule="auto"/>
        <w:ind w:firstLine="420" w:firstLineChars="200"/>
        <w:rPr>
          <w:rFonts w:ascii="宋体" w:hAnsi="宋体"/>
          <w:szCs w:val="21"/>
          <w:highlight w:val="none"/>
        </w:rPr>
      </w:pPr>
      <w:r>
        <w:rPr>
          <w:rFonts w:hint="eastAsia" w:ascii="宋体" w:hAnsi="宋体"/>
          <w:szCs w:val="21"/>
          <w:highlight w:val="none"/>
        </w:rPr>
        <w:t>3.1转轨器可以实现小车在不同轨道之间的自动平稳换位移动；转轨器内配置位置感应装置，能准确的确认转轨器轨道的位置。</w:t>
      </w:r>
    </w:p>
    <w:p>
      <w:pPr>
        <w:spacing w:line="360" w:lineRule="auto"/>
        <w:ind w:firstLine="420" w:firstLineChars="200"/>
        <w:rPr>
          <w:rFonts w:ascii="宋体" w:hAnsi="宋体"/>
          <w:szCs w:val="21"/>
          <w:highlight w:val="none"/>
        </w:rPr>
      </w:pPr>
      <w:r>
        <w:rPr>
          <w:rFonts w:hint="eastAsia" w:ascii="宋体" w:hAnsi="宋体"/>
          <w:szCs w:val="21"/>
          <w:highlight w:val="none"/>
        </w:rPr>
        <w:t>3.2站点转轨器内置自动保护装置，以避免转轨器在动作时误伤工作人员。</w:t>
      </w:r>
    </w:p>
    <w:p>
      <w:pPr>
        <w:spacing w:line="360" w:lineRule="auto"/>
        <w:ind w:firstLine="420" w:firstLineChars="200"/>
        <w:rPr>
          <w:rFonts w:ascii="宋体" w:hAnsi="宋体"/>
          <w:szCs w:val="21"/>
          <w:highlight w:val="none"/>
        </w:rPr>
      </w:pPr>
      <w:r>
        <w:rPr>
          <w:rFonts w:hint="eastAsia" w:ascii="宋体" w:hAnsi="宋体"/>
          <w:szCs w:val="21"/>
          <w:highlight w:val="none"/>
        </w:rPr>
        <w:t>3.3在小车离转轨器还有一定距离时，转轨器提前动作运行到既定位置，小车到达时无需等待转轨。</w:t>
      </w:r>
    </w:p>
    <w:p>
      <w:pPr>
        <w:spacing w:line="360" w:lineRule="auto"/>
        <w:ind w:firstLine="420" w:firstLineChars="200"/>
        <w:rPr>
          <w:rFonts w:ascii="宋体" w:hAnsi="宋体"/>
          <w:szCs w:val="21"/>
          <w:highlight w:val="none"/>
        </w:rPr>
      </w:pPr>
      <w:r>
        <w:rPr>
          <w:rFonts w:hint="eastAsia" w:ascii="宋体" w:hAnsi="宋体"/>
          <w:szCs w:val="21"/>
          <w:highlight w:val="none"/>
        </w:rPr>
        <w:t>3.4采用智能定位，转轨定位精确，运转安静。</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3.5 转轨器重复定位精度不得低于±0.2mm，与轨道高低差不得高于0.2mm，变轨位平面度不得低于0.5mm。</w:t>
      </w:r>
    </w:p>
    <w:p>
      <w:pPr>
        <w:pStyle w:val="15"/>
        <w:spacing w:after="0" w:line="360" w:lineRule="auto"/>
        <w:ind w:left="19" w:leftChars="9" w:firstLine="422" w:firstLineChars="200"/>
        <w:rPr>
          <w:rFonts w:ascii="宋体" w:hAnsi="宋体"/>
          <w:b/>
          <w:szCs w:val="21"/>
          <w:highlight w:val="none"/>
        </w:rPr>
      </w:pPr>
      <w:r>
        <w:rPr>
          <w:rFonts w:hint="eastAsia" w:ascii="宋体" w:hAnsi="宋体"/>
          <w:b/>
          <w:szCs w:val="21"/>
          <w:highlight w:val="none"/>
        </w:rPr>
        <w:t>4.站点控制平台</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4.1采用10寸及以上屏幕液晶触摸显示屏，采用直观的中文操作交互界面，可显示来车的发送站点。</w:t>
      </w:r>
    </w:p>
    <w:p>
      <w:pPr>
        <w:pStyle w:val="15"/>
        <w:spacing w:after="0" w:line="360" w:lineRule="auto"/>
        <w:ind w:left="19" w:leftChars="9" w:firstLineChars="200"/>
        <w:rPr>
          <w:rFonts w:ascii="宋体" w:hAnsi="宋体" w:cs="Arial"/>
          <w:szCs w:val="21"/>
          <w:highlight w:val="none"/>
        </w:rPr>
      </w:pPr>
      <w:r>
        <w:rPr>
          <w:rFonts w:hint="eastAsia" w:ascii="宋体" w:hAnsi="宋体"/>
          <w:szCs w:val="21"/>
          <w:highlight w:val="none"/>
        </w:rPr>
        <w:t>4.2</w:t>
      </w:r>
      <w:r>
        <w:rPr>
          <w:rFonts w:hint="eastAsia" w:ascii="宋体" w:hAnsi="宋体" w:cs="Arial"/>
          <w:szCs w:val="21"/>
          <w:highlight w:val="none"/>
        </w:rPr>
        <w:t>在站点控屏幕上显示当前驶往本站的所有小车编号以及始发站点</w:t>
      </w:r>
    </w:p>
    <w:p>
      <w:pPr>
        <w:pStyle w:val="15"/>
        <w:spacing w:after="0" w:line="360" w:lineRule="auto"/>
        <w:ind w:left="19" w:leftChars="9" w:firstLineChars="200"/>
        <w:rPr>
          <w:rFonts w:ascii="宋体" w:hAnsi="宋体" w:cs="Arial"/>
          <w:szCs w:val="21"/>
          <w:highlight w:val="none"/>
        </w:rPr>
      </w:pPr>
      <w:r>
        <w:rPr>
          <w:rFonts w:hint="eastAsia" w:ascii="宋体" w:hAnsi="宋体" w:cs="Arial"/>
          <w:szCs w:val="21"/>
          <w:highlight w:val="none"/>
        </w:rPr>
        <w:t>4.3站点操作人员可根据实际需求设定单次发送的专用密码，小车接收人只有用此密码才可打开小车车盖；</w:t>
      </w:r>
    </w:p>
    <w:p>
      <w:pPr>
        <w:pStyle w:val="15"/>
        <w:spacing w:after="0" w:line="360" w:lineRule="auto"/>
        <w:ind w:left="19" w:leftChars="9" w:firstLineChars="200"/>
        <w:rPr>
          <w:rFonts w:ascii="宋体" w:hAnsi="宋体" w:cs="Arial"/>
          <w:szCs w:val="21"/>
          <w:highlight w:val="none"/>
        </w:rPr>
      </w:pPr>
      <w:r>
        <w:rPr>
          <w:rFonts w:hint="eastAsia" w:ascii="宋体" w:hAnsi="宋体" w:cs="Arial"/>
          <w:szCs w:val="21"/>
          <w:highlight w:val="none"/>
        </w:rPr>
        <w:t>4.4动态呼叫功能：呼叫小车时，除了可以呼叫已经停在车库中的小车，优先呼叫正在运行当中的驶往停车库的空车；</w:t>
      </w:r>
    </w:p>
    <w:p>
      <w:pPr>
        <w:pStyle w:val="15"/>
        <w:spacing w:after="0" w:line="360" w:lineRule="auto"/>
        <w:ind w:left="19" w:leftChars="9" w:firstLineChars="200"/>
        <w:rPr>
          <w:rFonts w:ascii="宋体" w:hAnsi="宋体" w:cs="Arial"/>
          <w:szCs w:val="21"/>
          <w:highlight w:val="none"/>
        </w:rPr>
      </w:pPr>
      <w:r>
        <w:rPr>
          <w:rFonts w:hint="eastAsia" w:ascii="宋体" w:hAnsi="宋体" w:cs="Arial"/>
          <w:szCs w:val="21"/>
          <w:highlight w:val="none"/>
        </w:rPr>
        <w:t>4.5操作人员可关闭站点，站点关闭时其它站点向此关闭站点发送的物品会被拒绝;小车到达目的站点时，站点内所有的停车位置都被占据了，系统根据设计将该小车引导至站点配套的临时暂存轨道或临时等待循环区内，待目的站点有空位后，在临时暂存轨道内的小车可以直接进入目的站点，提高物流效率。</w:t>
      </w:r>
    </w:p>
    <w:p>
      <w:pPr>
        <w:pStyle w:val="15"/>
        <w:spacing w:after="0" w:line="360" w:lineRule="auto"/>
        <w:ind w:left="19" w:leftChars="9" w:firstLineChars="200"/>
        <w:rPr>
          <w:rFonts w:ascii="宋体" w:hAnsi="宋体" w:cs="Arial"/>
          <w:szCs w:val="21"/>
          <w:highlight w:val="none"/>
        </w:rPr>
      </w:pPr>
      <w:r>
        <w:rPr>
          <w:rFonts w:hint="eastAsia" w:ascii="宋体" w:hAnsi="宋体" w:cs="Arial"/>
          <w:szCs w:val="21"/>
          <w:highlight w:val="none"/>
        </w:rPr>
        <w:t>4.6当错发小车时，可以在站点控制屏操作进行召回小车；提供屏幕图片说明。</w:t>
      </w:r>
    </w:p>
    <w:p>
      <w:pPr>
        <w:pStyle w:val="15"/>
        <w:spacing w:after="0" w:line="360" w:lineRule="auto"/>
        <w:ind w:left="19" w:leftChars="9" w:firstLineChars="200"/>
        <w:rPr>
          <w:rFonts w:ascii="宋体" w:hAnsi="宋体" w:cs="Arial"/>
          <w:szCs w:val="21"/>
          <w:highlight w:val="none"/>
        </w:rPr>
      </w:pPr>
      <w:r>
        <w:rPr>
          <w:rFonts w:hint="eastAsia" w:ascii="宋体" w:hAnsi="宋体" w:cs="Arial"/>
          <w:szCs w:val="21"/>
          <w:highlight w:val="none"/>
        </w:rPr>
        <w:t>4.7静脉配置中心、中心供应室、中心药房站点、后勤用房、设备用房，配备超重检测装置，如物品超重该装置将报警并拒绝发送。</w:t>
      </w:r>
    </w:p>
    <w:p>
      <w:pPr>
        <w:pStyle w:val="15"/>
        <w:spacing w:after="0" w:line="360" w:lineRule="auto"/>
        <w:ind w:left="19" w:leftChars="9" w:firstLineChars="200"/>
        <w:rPr>
          <w:rFonts w:ascii="宋体" w:hAnsi="宋体" w:cs="Arial"/>
          <w:szCs w:val="21"/>
          <w:highlight w:val="none"/>
        </w:rPr>
      </w:pPr>
      <w:r>
        <w:rPr>
          <w:rFonts w:hint="eastAsia" w:ascii="宋体" w:hAnsi="宋体" w:cs="Arial"/>
          <w:szCs w:val="21"/>
          <w:highlight w:val="none"/>
        </w:rPr>
        <w:t>4.8站点智能交互系统：站点的收发状态可以通过智能化显示终端图形</w:t>
      </w:r>
    </w:p>
    <w:p>
      <w:pPr>
        <w:pStyle w:val="15"/>
        <w:spacing w:after="0" w:line="360" w:lineRule="auto"/>
        <w:ind w:left="19" w:leftChars="9" w:firstLine="0" w:firstLineChars="0"/>
        <w:rPr>
          <w:rFonts w:ascii="宋体" w:hAnsi="宋体"/>
          <w:b/>
          <w:szCs w:val="21"/>
          <w:highlight w:val="none"/>
        </w:rPr>
      </w:pPr>
      <w:r>
        <w:rPr>
          <w:rFonts w:hint="eastAsia" w:ascii="宋体" w:hAnsi="宋体" w:cs="Arial"/>
          <w:szCs w:val="21"/>
          <w:highlight w:val="none"/>
        </w:rPr>
        <w:t>化呈现，站点收发物资实现柔性化提醒，结合图形及标准国语发音，提示工作人员接收物资，取代传统的指示灯+蜂鸣器的组合，更符合医院场景的应用。</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5、消防要求</w:t>
      </w:r>
    </w:p>
    <w:p>
      <w:pPr>
        <w:pStyle w:val="15"/>
        <w:spacing w:after="0" w:line="360" w:lineRule="auto"/>
        <w:ind w:left="19" w:leftChars="9" w:firstLine="404" w:firstLineChars="200"/>
        <w:rPr>
          <w:rFonts w:ascii="宋体" w:hAnsi="宋体"/>
          <w:szCs w:val="21"/>
          <w:highlight w:val="none"/>
        </w:rPr>
      </w:pPr>
      <w:r>
        <w:rPr>
          <w:rFonts w:hint="eastAsia" w:ascii="宋体" w:hAnsi="宋体"/>
          <w:spacing w:val="-4"/>
          <w:szCs w:val="21"/>
          <w:highlight w:val="none"/>
        </w:rPr>
        <w:t>5.1根据《建筑设计防火规范》GB50016-2014 第6.1.5条规定：防火墙上不应开设门、窗、洞口，确需开设时，应设置不可开启或火灾时能自动关闭的甲级隔热防火门、窗。以上条款为《建筑设计防火规范》GB50016-2014强制性条文，必须严格执行。因此，应严格按消防规范要求，必须提供可配套轨道物流小车系统且合格的防火门、窗及相关软件组成（轨道物流的消防系统并入整个项目的消防系统的消控中心前所有设备、材料、人工、机械等费用均考虑在本次清单之内，并不得与整个项目的消防系统有冲突），确保院方顺利通过大楼整体消防验收</w:t>
      </w:r>
      <w:r>
        <w:rPr>
          <w:rFonts w:hint="eastAsia" w:ascii="宋体" w:hAnsi="宋体"/>
          <w:szCs w:val="21"/>
          <w:highlight w:val="none"/>
        </w:rPr>
        <w:t>。</w:t>
      </w:r>
    </w:p>
    <w:p>
      <w:pPr>
        <w:pStyle w:val="15"/>
        <w:spacing w:after="0" w:line="360" w:lineRule="auto"/>
        <w:ind w:left="19" w:leftChars="9" w:firstLineChars="200"/>
        <w:rPr>
          <w:rFonts w:ascii="宋体" w:hAnsi="宋体" w:cs="Arial"/>
          <w:szCs w:val="21"/>
          <w:highlight w:val="none"/>
        </w:rPr>
      </w:pPr>
      <w:r>
        <w:rPr>
          <w:rFonts w:hint="eastAsia" w:ascii="宋体" w:hAnsi="宋体"/>
          <w:szCs w:val="21"/>
          <w:highlight w:val="none"/>
        </w:rPr>
        <w:t>5.2</w:t>
      </w:r>
      <w:r>
        <w:rPr>
          <w:rFonts w:hint="eastAsia" w:ascii="宋体" w:hAnsi="宋体" w:cs="Arial"/>
          <w:szCs w:val="21"/>
          <w:highlight w:val="none"/>
        </w:rPr>
        <w:t>轨道在穿越不同防火分区的墙面开孔处时必须安装专用防火门（窗）。防火门（窗）平时常开，火灾时自动关闭；所有防火门（窗）附近必须配置专用的24V直流不间断电源作为防火门（窗）区域的备用电源，保证火灾时防火门（窗）可以正常关闭；如小车此时正好在防火门（窗）区域，保证小车驶离防火门（窗）区域以避免防火门（窗）被小车卡住，小车驶离后，防火门（窗）自动关闭。</w:t>
      </w:r>
    </w:p>
    <w:p>
      <w:pPr>
        <w:pStyle w:val="15"/>
        <w:spacing w:after="0" w:line="360" w:lineRule="auto"/>
        <w:ind w:left="19" w:leftChars="9" w:firstLineChars="200"/>
        <w:rPr>
          <w:rFonts w:ascii="宋体" w:hAnsi="宋体"/>
          <w:szCs w:val="21"/>
          <w:highlight w:val="none"/>
        </w:rPr>
      </w:pPr>
      <w:r>
        <w:rPr>
          <w:rFonts w:hint="eastAsia" w:ascii="宋体" w:hAnsi="宋体" w:cs="Arial"/>
          <w:szCs w:val="21"/>
          <w:highlight w:val="none"/>
        </w:rPr>
        <w:t>5.3根据国家《消防法》规定，消防产品必须获得公安部消防产品合格评定中心下发的相关证书方可销售。本项目中的</w:t>
      </w:r>
      <w:r>
        <w:rPr>
          <w:rFonts w:ascii="宋体" w:hAnsi="宋体" w:cs="Arial"/>
          <w:szCs w:val="21"/>
          <w:highlight w:val="none"/>
        </w:rPr>
        <w:t>防火门（窗）必须</w:t>
      </w:r>
      <w:r>
        <w:rPr>
          <w:rFonts w:hint="eastAsia" w:ascii="宋体" w:hAnsi="宋体" w:cs="Arial"/>
          <w:szCs w:val="21"/>
          <w:highlight w:val="none"/>
        </w:rPr>
        <w:t>提供经公安部</w:t>
      </w:r>
      <w:r>
        <w:rPr>
          <w:rFonts w:ascii="宋体" w:hAnsi="宋体" w:cs="Arial"/>
          <w:szCs w:val="21"/>
          <w:highlight w:val="none"/>
        </w:rPr>
        <w:t>法定</w:t>
      </w:r>
      <w:r>
        <w:rPr>
          <w:rFonts w:hint="eastAsia" w:ascii="宋体" w:hAnsi="宋体" w:cs="Arial"/>
          <w:szCs w:val="21"/>
          <w:highlight w:val="none"/>
        </w:rPr>
        <w:t>的</w:t>
      </w:r>
      <w:r>
        <w:rPr>
          <w:rFonts w:ascii="宋体" w:hAnsi="宋体" w:cs="Arial"/>
          <w:szCs w:val="21"/>
          <w:highlight w:val="none"/>
        </w:rPr>
        <w:t>相关消防质监部门</w:t>
      </w:r>
      <w:r>
        <w:rPr>
          <w:rFonts w:hint="eastAsia" w:ascii="宋体" w:hAnsi="宋体" w:cs="Arial"/>
          <w:szCs w:val="21"/>
          <w:highlight w:val="none"/>
        </w:rPr>
        <w:t>检测通过的具有“</w:t>
      </w:r>
      <w:r>
        <w:rPr>
          <w:rFonts w:ascii="宋体" w:hAnsi="宋体" w:cs="Arial"/>
          <w:szCs w:val="21"/>
          <w:highlight w:val="none"/>
        </w:rPr>
        <w:t>型式检验报告</w:t>
      </w:r>
      <w:r>
        <w:rPr>
          <w:rFonts w:hint="eastAsia" w:ascii="宋体" w:hAnsi="宋体" w:cs="Arial"/>
          <w:szCs w:val="21"/>
          <w:highlight w:val="none"/>
        </w:rPr>
        <w:t>”的钢质甲级耐火隔热防火窗/门，投标商提供的“型式检验报告”必须完整。</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6、防风门</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6.1在轨道穿墙的相应部位必须配置常闭式双向防风门，防止不同区间的空气对流。</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7、系统监控中心</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7.1系统采用集散控制原理，系统实际控制由位于各个区域的区域控制器来执行，中心监控电脑发生故障不影响系统运行；</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7.2控制系统中心采用工业电脑，预装有中文操作系统，配备至少21寸的液晶显示器、鼠标和键盘等；</w:t>
      </w:r>
      <w:r>
        <w:rPr>
          <w:rFonts w:hint="eastAsia" w:ascii="宋体" w:hAnsi="宋体" w:cs="Arial"/>
          <w:szCs w:val="21"/>
          <w:highlight w:val="none"/>
        </w:rPr>
        <w:t>预装系统专业控制软件系统，该软件系统可模拟三维效果显示小车的行车路线，包括了</w:t>
      </w:r>
      <w:r>
        <w:rPr>
          <w:rFonts w:ascii="宋体" w:hAnsi="宋体" w:cs="Arial"/>
          <w:szCs w:val="21"/>
          <w:highlight w:val="none"/>
        </w:rPr>
        <w:t>图形化软件界面监控整个系统的运行包括站点，转轨器，小车和空车存储库等的状态</w:t>
      </w:r>
      <w:r>
        <w:rPr>
          <w:rFonts w:hint="eastAsia" w:ascii="宋体" w:hAnsi="宋体" w:cs="Arial"/>
          <w:szCs w:val="21"/>
          <w:highlight w:val="none"/>
        </w:rPr>
        <w:t>。</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7.3中央监控系统可查询小车在各站点的停留时间，以便检查各站点操作人员是否遵守操作流程，在规定时间内发回小车，避免某站点长期占据小车导致其他站点无车可调。</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7.4可对运行情况做记录，可随时调用历史运输记录；</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7.5可记录动作部件（如小车和转轨器等）的运行时间和动作次数以方便预防性维护。</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7.6对系统部件发生的任何故障进行报警提示；并且当系统出现报警信息，会自动以短信形式发送到指定维护人员手机，实现远程报警；（可提供报警信息图片）</w:t>
      </w:r>
    </w:p>
    <w:p>
      <w:pPr>
        <w:pStyle w:val="15"/>
        <w:spacing w:after="0" w:line="360" w:lineRule="auto"/>
        <w:ind w:left="19" w:leftChars="9" w:firstLineChars="200"/>
        <w:rPr>
          <w:rFonts w:ascii="宋体" w:hAnsi="宋体" w:cs="Arial"/>
          <w:szCs w:val="21"/>
          <w:highlight w:val="none"/>
        </w:rPr>
      </w:pPr>
      <w:r>
        <w:rPr>
          <w:rFonts w:hint="eastAsia" w:ascii="宋体" w:hAnsi="宋体"/>
          <w:szCs w:val="21"/>
          <w:highlight w:val="none"/>
        </w:rPr>
        <w:t xml:space="preserve">7.7 </w:t>
      </w:r>
      <w:r>
        <w:rPr>
          <w:rFonts w:hint="eastAsia" w:ascii="宋体" w:hAnsi="宋体" w:cs="Arial"/>
          <w:szCs w:val="21"/>
          <w:highlight w:val="none"/>
        </w:rPr>
        <w:t>3D监控软件：为了更直观的监控显示，要求图形化软件界面可监控整个系统的运行，包括站点、转轨器、小车和空车存储库等，可以模拟三维效果显示系统的实时行车状况。3D画面具有无级缩放功能，保证操作人员能够看清每一个细节。</w:t>
      </w:r>
    </w:p>
    <w:p>
      <w:pPr>
        <w:pStyle w:val="15"/>
        <w:spacing w:after="0" w:line="360" w:lineRule="auto"/>
        <w:ind w:left="19" w:leftChars="9" w:firstLineChars="200"/>
        <w:rPr>
          <w:rFonts w:ascii="宋体" w:hAnsi="宋体"/>
          <w:szCs w:val="21"/>
          <w:highlight w:val="none"/>
        </w:rPr>
      </w:pPr>
      <w:r>
        <w:rPr>
          <w:rFonts w:hint="eastAsia" w:ascii="宋体" w:hAnsi="宋体" w:cs="Arial"/>
          <w:szCs w:val="21"/>
          <w:highlight w:val="none"/>
        </w:rPr>
        <w:t>7.8远程监控系统，远程查询实时状态功能，并提供远程监控系统软件著作权证书。</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8、电源</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8.1系统的供电为380V三相电源,竖井照明;由投标人从地下室的配电房接出。</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8.2投标人负责提供系统内部供电用的不高于36V直流安全电源；该电源必须有短路保护。</w:t>
      </w:r>
    </w:p>
    <w:p>
      <w:pPr>
        <w:pStyle w:val="15"/>
        <w:spacing w:after="0" w:line="360" w:lineRule="auto"/>
        <w:ind w:left="19" w:leftChars="9" w:firstLine="422" w:firstLineChars="200"/>
        <w:rPr>
          <w:rFonts w:ascii="宋体" w:hAnsi="宋体"/>
          <w:b/>
          <w:bCs/>
          <w:szCs w:val="21"/>
          <w:highlight w:val="none"/>
        </w:rPr>
      </w:pPr>
      <w:r>
        <w:rPr>
          <w:rFonts w:hint="eastAsia" w:ascii="宋体" w:hAnsi="宋体"/>
          <w:b/>
          <w:bCs/>
          <w:szCs w:val="21"/>
          <w:highlight w:val="none"/>
        </w:rPr>
        <w:t>9、测试台</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提供独立于系统轨道之外的，用于小车测试、检修的轨道测试台，保证小车调试、检修不影响系统的正常运行。</w:t>
      </w:r>
    </w:p>
    <w:p>
      <w:pPr>
        <w:pStyle w:val="15"/>
        <w:spacing w:after="0" w:line="360" w:lineRule="auto"/>
        <w:ind w:left="19" w:leftChars="9" w:firstLine="422" w:firstLineChars="200"/>
        <w:rPr>
          <w:rFonts w:ascii="宋体" w:hAnsi="宋体"/>
          <w:b/>
          <w:szCs w:val="21"/>
          <w:highlight w:val="none"/>
        </w:rPr>
      </w:pPr>
      <w:r>
        <w:rPr>
          <w:rFonts w:hint="eastAsia" w:ascii="宋体" w:hAnsi="宋体"/>
          <w:b/>
          <w:szCs w:val="21"/>
          <w:highlight w:val="none"/>
        </w:rPr>
        <w:t>10.小车</w:t>
      </w:r>
    </w:p>
    <w:p>
      <w:pPr>
        <w:pStyle w:val="15"/>
        <w:spacing w:after="0" w:line="360" w:lineRule="auto"/>
        <w:ind w:left="19" w:leftChars="9" w:firstLineChars="200"/>
        <w:rPr>
          <w:rFonts w:ascii="宋体" w:hAnsi="宋体"/>
          <w:szCs w:val="21"/>
          <w:highlight w:val="none"/>
        </w:rPr>
      </w:pPr>
      <w:r>
        <w:rPr>
          <w:rFonts w:hint="eastAsia" w:ascii="宋体" w:hAnsi="宋体"/>
          <w:szCs w:val="21"/>
          <w:highlight w:val="none"/>
        </w:rPr>
        <w:t>小车配备数量为60辆</w:t>
      </w:r>
    </w:p>
    <w:p>
      <w:pPr>
        <w:pStyle w:val="3"/>
        <w:spacing w:line="360" w:lineRule="auto"/>
        <w:ind w:firstLine="0" w:firstLineChars="0"/>
        <w:jc w:val="left"/>
        <w:rPr>
          <w:rFonts w:ascii="宋体" w:hAnsi="宋体" w:cs="Arial"/>
          <w:color w:val="000000"/>
          <w:sz w:val="24"/>
          <w:highlight w:val="none"/>
        </w:rPr>
      </w:pPr>
      <w:r>
        <w:rPr>
          <w:rFonts w:hint="eastAsia" w:ascii="宋体" w:hAnsi="宋体" w:cs="Arial"/>
          <w:color w:val="000000"/>
          <w:sz w:val="24"/>
          <w:highlight w:val="none"/>
        </w:rPr>
        <w:t>三、气动物流系统配置要求</w:t>
      </w:r>
    </w:p>
    <w:p>
      <w:pPr>
        <w:widowControl/>
        <w:ind w:firstLine="308" w:firstLineChars="147"/>
        <w:jc w:val="left"/>
        <w:rPr>
          <w:rFonts w:ascii="宋体" w:hAnsi="宋体" w:cs="宋体"/>
          <w:bCs/>
          <w:kern w:val="0"/>
          <w:szCs w:val="21"/>
          <w:highlight w:val="none"/>
        </w:rPr>
      </w:pPr>
      <w:r>
        <w:rPr>
          <w:rFonts w:hint="eastAsia" w:ascii="宋体" w:hAnsi="宋体" w:cs="宋体"/>
          <w:bCs/>
          <w:kern w:val="0"/>
          <w:szCs w:val="21"/>
          <w:highlight w:val="none"/>
        </w:rPr>
        <w:t>本需求中请填写详细、正确的投标品牌型号、技术参数（配置）并完成技术规格偏离表及说明详情。</w:t>
      </w:r>
    </w:p>
    <w:p>
      <w:pPr>
        <w:rPr>
          <w:highlight w:val="none"/>
        </w:rPr>
      </w:pPr>
    </w:p>
    <w:tbl>
      <w:tblPr>
        <w:tblStyle w:val="63"/>
        <w:tblW w:w="9628" w:type="dxa"/>
        <w:jc w:val="center"/>
        <w:tblInd w:w="0" w:type="dxa"/>
        <w:tblLayout w:type="fixed"/>
        <w:tblCellMar>
          <w:top w:w="0" w:type="dxa"/>
          <w:left w:w="108" w:type="dxa"/>
          <w:bottom w:w="0" w:type="dxa"/>
          <w:right w:w="108" w:type="dxa"/>
        </w:tblCellMar>
      </w:tblPr>
      <w:tblGrid>
        <w:gridCol w:w="880"/>
        <w:gridCol w:w="5553"/>
        <w:gridCol w:w="1196"/>
        <w:gridCol w:w="1088"/>
        <w:gridCol w:w="911"/>
      </w:tblGrid>
      <w:tr>
        <w:tblPrEx>
          <w:tblLayout w:type="fixed"/>
          <w:tblCellMar>
            <w:top w:w="0" w:type="dxa"/>
            <w:left w:w="108" w:type="dxa"/>
            <w:bottom w:w="0" w:type="dxa"/>
            <w:right w:w="108" w:type="dxa"/>
          </w:tblCellMar>
        </w:tblPrEx>
        <w:trPr>
          <w:trHeight w:val="690" w:hRule="atLeast"/>
          <w:jc w:val="center"/>
        </w:trPr>
        <w:tc>
          <w:tcPr>
            <w:tcW w:w="880" w:type="dxa"/>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序号</w:t>
            </w:r>
          </w:p>
        </w:tc>
        <w:tc>
          <w:tcPr>
            <w:tcW w:w="5553" w:type="dxa"/>
            <w:tcBorders>
              <w:top w:val="single" w:color="auto" w:sz="8" w:space="0"/>
              <w:left w:val="nil"/>
              <w:bottom w:val="single" w:color="auto" w:sz="4" w:space="0"/>
              <w:right w:val="single" w:color="auto" w:sz="4"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产品规格</w:t>
            </w:r>
          </w:p>
        </w:tc>
        <w:tc>
          <w:tcPr>
            <w:tcW w:w="1196" w:type="dxa"/>
            <w:tcBorders>
              <w:top w:val="single" w:color="auto" w:sz="8" w:space="0"/>
              <w:left w:val="nil"/>
              <w:bottom w:val="single" w:color="auto" w:sz="4" w:space="0"/>
              <w:right w:val="single" w:color="auto" w:sz="4"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响应内容</w:t>
            </w:r>
          </w:p>
        </w:tc>
        <w:tc>
          <w:tcPr>
            <w:tcW w:w="1088" w:type="dxa"/>
            <w:tcBorders>
              <w:top w:val="single" w:color="auto" w:sz="8" w:space="0"/>
              <w:left w:val="nil"/>
              <w:bottom w:val="single" w:color="auto" w:sz="4" w:space="0"/>
              <w:right w:val="single" w:color="auto" w:sz="4"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偏离</w:t>
            </w:r>
          </w:p>
        </w:tc>
        <w:tc>
          <w:tcPr>
            <w:tcW w:w="911" w:type="dxa"/>
            <w:tcBorders>
              <w:top w:val="single" w:color="auto" w:sz="8" w:space="0"/>
              <w:left w:val="nil"/>
              <w:bottom w:val="single" w:color="auto" w:sz="4" w:space="0"/>
              <w:right w:val="single" w:color="auto"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说明</w:t>
            </w:r>
          </w:p>
        </w:tc>
      </w:tr>
      <w:tr>
        <w:tblPrEx>
          <w:tblLayout w:type="fixed"/>
          <w:tblCellMar>
            <w:top w:w="0" w:type="dxa"/>
            <w:left w:w="108" w:type="dxa"/>
            <w:bottom w:w="0" w:type="dxa"/>
            <w:right w:w="108" w:type="dxa"/>
          </w:tblCellMar>
        </w:tblPrEx>
        <w:trPr>
          <w:trHeight w:val="499" w:hRule="atLeast"/>
          <w:jc w:val="center"/>
        </w:trPr>
        <w:tc>
          <w:tcPr>
            <w:tcW w:w="9628" w:type="dxa"/>
            <w:gridSpan w:val="5"/>
            <w:tcBorders>
              <w:top w:val="single" w:color="auto" w:sz="4" w:space="0"/>
              <w:left w:val="single" w:color="auto" w:sz="8" w:space="0"/>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1、系统型号及制造厂</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型号：</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制造厂名称：</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原产地：</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9628" w:type="dxa"/>
            <w:gridSpan w:val="5"/>
            <w:tcBorders>
              <w:top w:val="single" w:color="auto" w:sz="4" w:space="0"/>
              <w:left w:val="single" w:color="auto" w:sz="8" w:space="0"/>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2、使用条件要求</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2.1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适于传送药品、标本、血浆、X光片、医疗器械和文件等</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2.2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适于环境温度：-10摄氏度+40摄氏度</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2.3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适于每日连续使用24小时，每周连续工作7天</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9628" w:type="dxa"/>
            <w:gridSpan w:val="5"/>
            <w:tcBorders>
              <w:top w:val="single" w:color="auto" w:sz="4" w:space="0"/>
              <w:left w:val="single" w:color="auto" w:sz="8" w:space="0"/>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3、系统的主要技术要求</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工作原理，以空气压缩机抽取及压缩空气为动力，在密封的网管中传送物品</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传输方式：</w:t>
            </w:r>
            <w:r>
              <w:rPr>
                <w:rFonts w:hint="eastAsia" w:ascii="宋体" w:hAnsi="宋体" w:cs="Arial"/>
                <w:szCs w:val="21"/>
                <w:highlight w:val="none"/>
              </w:rPr>
              <w:t>单管/双向收发气动管道传输。</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控制方式：完全由计算机实时监控系统运行，不可由其他分控制系统</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传送安全、可靠，物品不会丢失、无损伤、无质变；系统启动及停止均有缓冲，无撞击的平稳接收并说明缓冲方式。</w:t>
            </w:r>
            <w:r>
              <w:rPr>
                <w:rFonts w:hint="eastAsia" w:ascii="宋体" w:hAnsi="宋体" w:cs="宋体"/>
                <w:kern w:val="0"/>
                <w:szCs w:val="21"/>
                <w:highlight w:val="none"/>
              </w:rPr>
              <w:t>传输瓶到站点时管道内的压缩空气的排出必须通过吊顶排向室外，不可直接排放在工作站所在位置的室内，以免引起交叉感染</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正常速度：</w:t>
            </w:r>
            <w:r>
              <w:rPr>
                <w:rFonts w:hint="eastAsia" w:ascii="宋体" w:hAnsi="宋体"/>
                <w:color w:val="000000"/>
                <w:kern w:val="0"/>
                <w:szCs w:val="21"/>
                <w:highlight w:val="none"/>
              </w:rPr>
              <w:t>6</w:t>
            </w:r>
            <w:r>
              <w:rPr>
                <w:rFonts w:hint="eastAsia" w:ascii="宋体" w:hAnsi="宋体" w:cs="宋体"/>
                <w:color w:val="000000"/>
                <w:kern w:val="0"/>
                <w:szCs w:val="21"/>
                <w:highlight w:val="none"/>
              </w:rPr>
              <w:t xml:space="preserve">－8米／秒 </w:t>
            </w:r>
            <w:r>
              <w:rPr>
                <w:rFonts w:hint="eastAsia" w:ascii="宋体" w:hAnsi="宋体" w:cs="宋体"/>
                <w:color w:val="FF0000"/>
                <w:kern w:val="0"/>
                <w:szCs w:val="21"/>
                <w:highlight w:val="none"/>
              </w:rPr>
              <w:t xml:space="preserve">     </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3.6</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半速：2.5－3米／秒（可手动或由系统自动选择，</w:t>
            </w:r>
            <w:r>
              <w:rPr>
                <w:rFonts w:hint="eastAsia" w:ascii="宋体" w:hAnsi="宋体" w:cs="Arial"/>
                <w:szCs w:val="21"/>
                <w:highlight w:val="none"/>
              </w:rPr>
              <w:t>各工作站可设定传输速度。</w:t>
            </w:r>
            <w:r>
              <w:rPr>
                <w:rFonts w:hint="eastAsia" w:ascii="宋体" w:hAnsi="宋体" w:cs="宋体"/>
                <w:kern w:val="0"/>
                <w:szCs w:val="21"/>
                <w:highlight w:val="none"/>
              </w:rPr>
              <w:t>）</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3.7</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在一个多区系统内，每个工作站，每条支线，每个区甚至是多区转换系统都能够被关闭或从整个系统中隔离而不影响其他区的运行。</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3.8</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传输瓶最大载重量不小于5Kg</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3.9</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满负荷最大传输距离：1500米以上</w:t>
            </w:r>
            <w:r>
              <w:rPr>
                <w:rFonts w:hint="eastAsia" w:ascii="宋体" w:hAnsi="宋体" w:cs="Arial"/>
                <w:szCs w:val="21"/>
                <w:highlight w:val="none"/>
              </w:rPr>
              <w:t>且必须满足图纸要求的所有站点间的传送。</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3.10</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启动及停止均有缓冲，无撞击,平稳接收</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570"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3.11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Cs w:val="21"/>
                <w:highlight w:val="none"/>
                <w:u w:val="single"/>
              </w:rPr>
            </w:pPr>
            <w:r>
              <w:rPr>
                <w:rFonts w:hint="eastAsia" w:ascii="宋体" w:hAnsi="宋体" w:cs="宋体"/>
                <w:kern w:val="0"/>
                <w:szCs w:val="21"/>
                <w:highlight w:val="none"/>
              </w:rPr>
              <w:t>血液标本传送前后指标相同，</w:t>
            </w:r>
            <w:r>
              <w:rPr>
                <w:rFonts w:hint="eastAsia" w:ascii="宋体" w:hAnsi="宋体" w:cs="宋体"/>
                <w:color w:val="000000"/>
                <w:kern w:val="0"/>
                <w:szCs w:val="21"/>
                <w:highlight w:val="none"/>
              </w:rPr>
              <w:t>提供检测证明</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安装方式</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管道室内外均可安装，在室外安装时配有防露、防冻、防水、伸缩装置及措施</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管道可穿过楼板安装</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由投标人根据提供的站点分布图纸合理设计管道、承担具体的施工并需得到甲方确认，如是设计中未考虑到的补充部分由投标人承担。</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管道及部件为防火材料、系统有防火装置</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系统无气体泄露、无气体污染。收发站、转换器、三向阀内气体密封圈为特制材料制成</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4.6</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系统不对其他设备产生影响</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4.7</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可满足业主未来扩大分站数量的要求</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4.8</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系统主要控制集中于控制中心电脑，原厂控制软件易管理、易维护、易升级</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750"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4.9</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系统具有较强能力和故障恢复能力,传输中如发生断电,数据不会丟失,</w:t>
            </w:r>
            <w:r>
              <w:rPr>
                <w:rFonts w:hint="eastAsia" w:ascii="宋体" w:hAnsi="宋体" w:cs="Arial"/>
                <w:szCs w:val="21"/>
                <w:highlight w:val="none"/>
              </w:rPr>
              <w:t xml:space="preserve"> 任何没有发送完的传输任务将存储在主控单元的电池缓冲存储器中，</w:t>
            </w:r>
            <w:r>
              <w:rPr>
                <w:rFonts w:hint="eastAsia" w:ascii="宋体" w:hAnsi="宋体" w:cs="宋体"/>
                <w:kern w:val="0"/>
                <w:szCs w:val="21"/>
                <w:highlight w:val="none"/>
              </w:rPr>
              <w:t>来电后能自动恢复,</w:t>
            </w:r>
            <w:r>
              <w:rPr>
                <w:rFonts w:hint="eastAsia" w:ascii="宋体" w:hAnsi="宋体" w:cs="Arial"/>
                <w:szCs w:val="21"/>
                <w:highlight w:val="none"/>
              </w:rPr>
              <w:t xml:space="preserve"> 电源恢复后能自动执行未完成的动作或回到回收站。</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4.10</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收发站、转换器、三向阀等定位控制采用智能定位。</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4.11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整机系统具有故障自诊自动排除装置功能。</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9628" w:type="dxa"/>
            <w:gridSpan w:val="5"/>
            <w:tcBorders>
              <w:top w:val="single" w:color="auto" w:sz="4" w:space="0"/>
              <w:left w:val="single" w:color="auto" w:sz="8" w:space="0"/>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5、系统各主要组成部分及技术要求</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控制系统及机房设备：</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控制软件由基于运行稳定的单片微控制器环境的中央控制器及线路控制器组成， PC机只作</w:t>
            </w:r>
            <w:r>
              <w:rPr>
                <w:rFonts w:ascii="宋体" w:hAnsi="宋体" w:cs="Arial"/>
                <w:szCs w:val="21"/>
                <w:highlight w:val="none"/>
              </w:rPr>
              <w:t>为</w:t>
            </w:r>
            <w:r>
              <w:rPr>
                <w:rFonts w:hint="eastAsia" w:ascii="宋体" w:hAnsi="宋体" w:cs="Arial"/>
                <w:szCs w:val="21"/>
                <w:highlight w:val="none"/>
              </w:rPr>
              <w:t>系统监控使用，监控系统PC配置x86服务器,,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bCs/>
                <w:iCs/>
                <w:kern w:val="0"/>
                <w:szCs w:val="21"/>
                <w:highlight w:val="none"/>
              </w:rPr>
              <w:t>5.2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控制系统软件为原厂开发，</w:t>
            </w:r>
            <w:r>
              <w:rPr>
                <w:rFonts w:hint="eastAsia" w:ascii="宋体" w:hAnsi="宋体" w:cs="Arial"/>
                <w:szCs w:val="21"/>
                <w:highlight w:val="none"/>
              </w:rPr>
              <w:t>终身免费升级。</w:t>
            </w:r>
            <w:r>
              <w:rPr>
                <w:rFonts w:hint="eastAsia" w:ascii="宋体" w:hAnsi="宋体" w:cs="宋体"/>
                <w:kern w:val="0"/>
                <w:szCs w:val="21"/>
                <w:highlight w:val="none"/>
              </w:rPr>
              <w:t>具有全域空间显示功能，可随时观察系统连接路径图，</w:t>
            </w:r>
            <w:r>
              <w:rPr>
                <w:rFonts w:hint="eastAsia" w:ascii="宋体" w:hAnsi="宋体" w:cs="Arial"/>
                <w:szCs w:val="21"/>
                <w:highlight w:val="none"/>
              </w:rPr>
              <w:t>可控制全部系统。</w:t>
            </w:r>
            <w:r>
              <w:rPr>
                <w:rFonts w:hint="eastAsia" w:ascii="宋体" w:hAnsi="宋体" w:cs="宋体"/>
                <w:kern w:val="0"/>
                <w:szCs w:val="21"/>
                <w:highlight w:val="none"/>
              </w:rPr>
              <w:t>提供图片说明</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可显示系统的运行状况，故障反馈</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可控制全部系统内设备</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可实时监控整个系统的运转状态，</w:t>
            </w:r>
            <w:r>
              <w:rPr>
                <w:rFonts w:hint="eastAsia" w:ascii="宋体" w:hAnsi="宋体" w:cs="Arial"/>
                <w:szCs w:val="21"/>
                <w:highlight w:val="none"/>
              </w:rPr>
              <w:t>可液晶显示动态文字。</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5.6</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color w:val="000000"/>
                <w:kern w:val="0"/>
                <w:szCs w:val="21"/>
                <w:highlight w:val="none"/>
              </w:rPr>
              <w:t xml:space="preserve">可记录所有收发送记录,电脑可储存15万次以上的监控记录 </w:t>
            </w:r>
            <w:r>
              <w:rPr>
                <w:rFonts w:hint="eastAsia" w:ascii="宋体" w:hAnsi="宋体" w:cs="宋体"/>
                <w:color w:val="FF0000"/>
                <w:kern w:val="0"/>
                <w:szCs w:val="21"/>
                <w:highlight w:val="none"/>
              </w:rPr>
              <w:t xml:space="preserve">  </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5.7</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可显示故障区域及故障代码</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5.8</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若某一站或子系统有故障或关闭，不影响其它系统正常运行。</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5.9</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可满足建设方未来扩大站点数量的要求。</w:t>
            </w:r>
            <w:r>
              <w:rPr>
                <w:rFonts w:hint="eastAsia" w:ascii="宋体" w:hAnsi="宋体" w:cs="宋体"/>
                <w:kern w:val="0"/>
                <w:szCs w:val="21"/>
                <w:highlight w:val="none"/>
              </w:rPr>
              <w:t>系统扩展无需增加控制器（中央主控机）</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5.10</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可即时打印或存储打印</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可做出统计数据</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在业主机房总控室放置PC机，可与局域网连接，也可实现远程监控</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一台主控器可以控制几台空压机</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CPU不低于P4配置(双核)</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内存配置2G以上</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5.16</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配置500GB硬盘以上</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5.17</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显示动态图像和图表，能以图表形式显示24小时内每小时传输瓶传输次数，直观的掌握传输量信息及传输任务高峰时段，</w:t>
            </w:r>
            <w:r>
              <w:rPr>
                <w:rFonts w:hint="eastAsia" w:ascii="宋体" w:hAnsi="宋体" w:cs="宋体"/>
                <w:kern w:val="0"/>
                <w:szCs w:val="21"/>
                <w:highlight w:val="none"/>
              </w:rPr>
              <w:t>可以连接打印机打印输出传输数据统计</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5.18</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配置21"液晶显示器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5.19</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操作系统WINDOWSXP或以上，系统软件可与WINDOWS2000，WINXP，NETWARB等兼容</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5.20</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可通过MODEM实现INTERMET功能并可远程在线升级</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5.21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具备输出传输效率报告功能，能统计每个传输瓶在工作站点的等待时间，传输瓶在每个站点的平均等待时长，方便使用者实时监控系统传输状况，并做有针对性的改进和提高，请进行说明并提供相关图片资料。</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5.22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软件支持终端操作面板全部信息中文汉字动态显示。</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5.23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控制传感器为光电传感器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5.24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监控电脑可实现故障分析查询功能</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651"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5.25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控制信号最远可传递2000米,</w:t>
            </w:r>
            <w:r>
              <w:rPr>
                <w:rFonts w:hint="eastAsia" w:ascii="宋体" w:hAnsi="宋体" w:cs="Arial"/>
                <w:szCs w:val="21"/>
                <w:highlight w:val="none"/>
              </w:rPr>
              <w:t>无需加信号放大器。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6</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转换器</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6.1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管道间转换传输瓶的路径，</w:t>
            </w:r>
            <w:r>
              <w:rPr>
                <w:rFonts w:hint="eastAsia" w:ascii="宋体" w:hAnsi="宋体" w:cs="Arial"/>
                <w:szCs w:val="21"/>
                <w:highlight w:val="none"/>
              </w:rPr>
              <w:t>可以垂直安装</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6.2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可在系统内由一主通道分支为若干条通道</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765"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6.3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通过合理的优化设计方案，可避免使用大于三向的转换器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6.4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转换器的类型(三路转换器)，</w:t>
            </w:r>
            <w:r>
              <w:rPr>
                <w:rFonts w:hint="eastAsia" w:ascii="宋体" w:hAnsi="宋体" w:cs="Arial"/>
                <w:szCs w:val="21"/>
                <w:highlight w:val="none"/>
              </w:rPr>
              <w:t xml:space="preserve"> 预留可预见的系统扩展接口</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6.5</w:t>
            </w:r>
          </w:p>
        </w:tc>
        <w:tc>
          <w:tcPr>
            <w:tcW w:w="5553" w:type="dxa"/>
            <w:tcBorders>
              <w:top w:val="single" w:color="auto" w:sz="4" w:space="0"/>
              <w:left w:val="nil"/>
              <w:bottom w:val="single" w:color="auto" w:sz="4" w:space="0"/>
              <w:right w:val="single" w:color="auto" w:sz="4" w:space="0"/>
            </w:tcBorders>
            <w:vAlign w:val="center"/>
          </w:tcPr>
          <w:p>
            <w:pPr>
              <w:widowControl/>
              <w:ind w:left="2520" w:hanging="2520" w:hangingChars="1200"/>
              <w:jc w:val="left"/>
              <w:rPr>
                <w:rFonts w:ascii="宋体" w:hAnsi="宋体" w:cs="宋体"/>
                <w:kern w:val="0"/>
                <w:szCs w:val="21"/>
                <w:highlight w:val="none"/>
              </w:rPr>
            </w:pPr>
            <w:r>
              <w:rPr>
                <w:rFonts w:hint="eastAsia" w:ascii="宋体" w:hAnsi="宋体" w:cs="宋体"/>
                <w:color w:val="000000"/>
                <w:kern w:val="0"/>
                <w:szCs w:val="21"/>
                <w:highlight w:val="none"/>
              </w:rPr>
              <w:t xml:space="preserve">电机可运行≧20年或100万次以上         </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空压机系统</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 xml:space="preserve">产地： </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可为整个系统提供动力，</w:t>
            </w:r>
            <w:r>
              <w:rPr>
                <w:rFonts w:hint="eastAsia" w:ascii="宋体" w:hAnsi="宋体" w:cs="Arial"/>
                <w:szCs w:val="21"/>
                <w:highlight w:val="none"/>
              </w:rPr>
              <w:t>具备风机启动检测装置，可辅助系统判断风机工作状态。</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系统配套新风系统，系统风机吸气和排气都是与机房外界空气交换，杜绝交叉感染，禁止采用机房内部进行空气循环。</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高效知名品牌风机，高效节能，</w:t>
            </w:r>
            <w:r>
              <w:rPr>
                <w:rFonts w:hint="eastAsia" w:ascii="宋体" w:hAnsi="宋体" w:cs="宋体"/>
                <w:kern w:val="0"/>
                <w:szCs w:val="21"/>
                <w:highlight w:val="none"/>
              </w:rPr>
              <w:t>电源380V  AC三相。</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节能型，</w:t>
            </w:r>
            <w:r>
              <w:rPr>
                <w:rFonts w:hint="eastAsia" w:ascii="宋体" w:hAnsi="宋体" w:cs="Arial"/>
                <w:szCs w:val="21"/>
                <w:highlight w:val="none"/>
              </w:rPr>
              <w:t>气送量不低于9m3/min，最大压差不低于200mbar。</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7.6</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功率：单只功率大于等于5KW，</w:t>
            </w:r>
            <w:r>
              <w:rPr>
                <w:rFonts w:hint="eastAsia" w:ascii="宋体" w:hAnsi="宋体" w:cs="Arial"/>
                <w:szCs w:val="21"/>
                <w:highlight w:val="none"/>
              </w:rPr>
              <w:t>并为未来系统扩展留出余量。</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7.7</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具备异常检测功能，异常代码可以推送到中控系统。</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7.8</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提供专用空气过滤器，可防止异物进入</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7.9</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风机只有发送和接受时才工作，为节能型</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7.10</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可根据需要安装在楼宇的任何位置</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8</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回收站</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8.1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可设置任意一个收发站为回收站，</w:t>
            </w:r>
            <w:r>
              <w:rPr>
                <w:rFonts w:hint="eastAsia" w:ascii="宋体" w:hAnsi="宋体" w:cs="Arial"/>
                <w:szCs w:val="21"/>
                <w:highlight w:val="none"/>
              </w:rPr>
              <w:t>也可在机房专门设置一个回收站。</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8.2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当出现故障或发送的传输瓶未被接收，都将传输瓶自动转到回收站。</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9</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有空气旁路装置</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9.1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可减缓传输瓶到达目的地站时的速度，</w:t>
            </w:r>
            <w:r>
              <w:rPr>
                <w:rFonts w:hint="eastAsia" w:ascii="宋体" w:hAnsi="宋体" w:cs="Arial"/>
                <w:szCs w:val="21"/>
                <w:highlight w:val="none"/>
              </w:rPr>
              <w:t>形成气垫缓冲，与缓冲垫片双重保护，有效保护收发物品。</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9.2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材料：</w:t>
            </w:r>
            <w:r>
              <w:rPr>
                <w:rFonts w:hint="eastAsia" w:ascii="宋体" w:hAnsi="宋体" w:cs="Arial"/>
                <w:szCs w:val="21"/>
                <w:highlight w:val="none"/>
              </w:rPr>
              <w:t>必须采用优质</w:t>
            </w:r>
            <w:r>
              <w:rPr>
                <w:rFonts w:hint="eastAsia" w:ascii="宋体" w:hAnsi="宋体" w:cs="宋体"/>
                <w:kern w:val="0"/>
                <w:szCs w:val="21"/>
                <w:highlight w:val="none"/>
              </w:rPr>
              <w:t>PVC，</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收发工作站设备</w:t>
            </w:r>
          </w:p>
        </w:tc>
      </w:tr>
      <w:tr>
        <w:tblPrEx>
          <w:tblLayout w:type="fixed"/>
          <w:tblCellMar>
            <w:top w:w="0" w:type="dxa"/>
            <w:left w:w="108" w:type="dxa"/>
            <w:bottom w:w="0" w:type="dxa"/>
            <w:right w:w="108" w:type="dxa"/>
          </w:tblCellMar>
        </w:tblPrEx>
        <w:trPr>
          <w:trHeight w:val="637"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bCs/>
                <w:iCs/>
                <w:kern w:val="0"/>
                <w:szCs w:val="21"/>
                <w:highlight w:val="none"/>
              </w:rPr>
              <w:t>10</w:t>
            </w:r>
            <w:r>
              <w:rPr>
                <w:rFonts w:hint="eastAsia" w:ascii="宋体" w:hAnsi="宋体" w:cs="宋体"/>
                <w:kern w:val="0"/>
                <w:szCs w:val="21"/>
                <w:highlight w:val="none"/>
              </w:rPr>
              <w:t>.1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bCs/>
                <w:iCs/>
                <w:kern w:val="0"/>
                <w:szCs w:val="21"/>
                <w:highlight w:val="none"/>
              </w:rPr>
            </w:pPr>
            <w:r>
              <w:rPr>
                <w:rFonts w:hint="eastAsia" w:ascii="宋体" w:hAnsi="宋体"/>
                <w:bCs/>
                <w:iCs/>
                <w:kern w:val="0"/>
                <w:szCs w:val="21"/>
                <w:highlight w:val="none"/>
              </w:rPr>
              <w:t>选用便于护士操作，占用空间小，系统选用的所有站点类型都必须避免管道内空气交叉感染的风险，确保使用环境安全；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具备收发功能，无需手动开关操作；</w:t>
            </w:r>
            <w:r>
              <w:rPr>
                <w:rFonts w:hint="eastAsia" w:ascii="宋体" w:hAnsi="宋体" w:cs="Arial"/>
                <w:szCs w:val="21"/>
                <w:highlight w:val="none"/>
              </w:rPr>
              <w:t>高效双向接收功能，站点间直接传送，不需要停顿折返，彻底杜绝卡瓶故障。并可设置呼叫转移功能（即当出现某站点工作人员下班或其他原因需转发传输瓶的情况时，可设置将运送到该站点的传输瓶发送到另一指定站点）。</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b/>
                <w:bCs/>
                <w:iCs/>
                <w:kern w:val="0"/>
                <w:szCs w:val="21"/>
                <w:highlight w:val="none"/>
              </w:rPr>
              <w:t>10</w:t>
            </w:r>
            <w:r>
              <w:rPr>
                <w:rFonts w:hint="eastAsia" w:ascii="宋体" w:hAnsi="宋体" w:cs="宋体"/>
                <w:kern w:val="0"/>
                <w:szCs w:val="21"/>
                <w:highlight w:val="none"/>
              </w:rPr>
              <w:t>.3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控制面板为大尺寸及以上触摸式控制面板，</w:t>
            </w:r>
            <w:r>
              <w:rPr>
                <w:rFonts w:hint="eastAsia" w:ascii="宋体" w:hAnsi="宋体" w:cs="Arial"/>
                <w:szCs w:val="21"/>
                <w:highlight w:val="none"/>
              </w:rPr>
              <w:t>预留U</w:t>
            </w:r>
            <w:r>
              <w:rPr>
                <w:rFonts w:ascii="宋体" w:hAnsi="宋体" w:cs="Arial"/>
                <w:szCs w:val="21"/>
                <w:highlight w:val="none"/>
              </w:rPr>
              <w:t>SB</w:t>
            </w:r>
            <w:r>
              <w:rPr>
                <w:rFonts w:hint="eastAsia" w:ascii="宋体" w:hAnsi="宋体" w:cs="Arial"/>
                <w:szCs w:val="21"/>
                <w:highlight w:val="none"/>
              </w:rPr>
              <w:t>接口，可以对接条形码扫描枪，与医院H</w:t>
            </w:r>
            <w:r>
              <w:rPr>
                <w:rFonts w:ascii="宋体" w:hAnsi="宋体" w:cs="Arial"/>
                <w:szCs w:val="21"/>
                <w:highlight w:val="none"/>
              </w:rPr>
              <w:t>IS</w:t>
            </w:r>
            <w:r>
              <w:rPr>
                <w:rFonts w:hint="eastAsia" w:ascii="宋体" w:hAnsi="宋体" w:cs="Arial"/>
                <w:szCs w:val="21"/>
                <w:highlight w:val="none"/>
              </w:rPr>
              <w:t>系统对接后，可以实现自动关联目的站点</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可上下翻页自动搜索地址薄</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内置R</w:t>
            </w:r>
            <w:r>
              <w:rPr>
                <w:rFonts w:ascii="宋体" w:hAnsi="宋体" w:cs="Arial"/>
                <w:szCs w:val="21"/>
                <w:highlight w:val="none"/>
              </w:rPr>
              <w:t>FID</w:t>
            </w:r>
            <w:r>
              <w:rPr>
                <w:rFonts w:hint="eastAsia" w:ascii="宋体" w:hAnsi="宋体" w:cs="Arial"/>
                <w:szCs w:val="21"/>
                <w:highlight w:val="none"/>
              </w:rPr>
              <w:t>识别装置，自动识别目的站点，多任务发送无需逐瓶操作等待。</w:t>
            </w:r>
            <w:r>
              <w:rPr>
                <w:rFonts w:hint="eastAsia" w:ascii="宋体" w:hAnsi="宋体" w:cs="宋体"/>
                <w:kern w:val="0"/>
                <w:szCs w:val="21"/>
                <w:highlight w:val="none"/>
              </w:rPr>
              <w:t>发送遇忙可自动排队等候，</w:t>
            </w:r>
            <w:r>
              <w:rPr>
                <w:rFonts w:hint="eastAsia" w:ascii="宋体" w:hAnsi="宋体" w:cs="Arial"/>
                <w:szCs w:val="21"/>
                <w:highlight w:val="none"/>
              </w:rPr>
              <w:t>空瓶自动回传功能，不需要人工操作选择站点。</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10.6</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color w:val="000000"/>
                <w:szCs w:val="21"/>
                <w:highlight w:val="none"/>
              </w:rPr>
              <w:t xml:space="preserve">可设优先发送及优先接收及目的站转移，全套系统可设1～20个优先级，确保关键科室使用。      </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10.7</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配置高清触摸操作屏，中文动态图形界面，可以显示收发进程，显示目的站地址、系统状态、发送站地址。</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10.8</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工作站设备内部有防静电设置，</w:t>
            </w:r>
            <w:r>
              <w:rPr>
                <w:rFonts w:hint="eastAsia" w:ascii="宋体" w:hAnsi="宋体" w:cs="Arial"/>
                <w:szCs w:val="21"/>
                <w:highlight w:val="none"/>
              </w:rPr>
              <w:t>配有智能识别装置，具有防异物进入自我识别保护功能。</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505"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11</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收发站接物框</w:t>
            </w:r>
          </w:p>
        </w:tc>
      </w:tr>
      <w:tr>
        <w:tblPrEx>
          <w:tblLayout w:type="fixed"/>
          <w:tblCellMar>
            <w:top w:w="0" w:type="dxa"/>
            <w:left w:w="108" w:type="dxa"/>
            <w:bottom w:w="0" w:type="dxa"/>
            <w:right w:w="108" w:type="dxa"/>
          </w:tblCellMar>
        </w:tblPrEx>
        <w:trPr>
          <w:trHeight w:val="600"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11.1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接收到站的传输瓶</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600"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11.2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接物筐内有软垫缓冲接收传输瓶</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传输瓶</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用于装载传送的物品</w:t>
            </w:r>
            <w:r>
              <w:rPr>
                <w:rFonts w:hint="eastAsia" w:ascii="宋体" w:hAnsi="宋体" w:cs="Arial"/>
                <w:szCs w:val="21"/>
                <w:highlight w:val="none"/>
              </w:rPr>
              <w:t>，工程塑料。内置R</w:t>
            </w:r>
            <w:r>
              <w:rPr>
                <w:rFonts w:ascii="宋体" w:hAnsi="宋体" w:cs="Arial"/>
                <w:szCs w:val="21"/>
                <w:highlight w:val="none"/>
              </w:rPr>
              <w:t>FID</w:t>
            </w:r>
            <w:r>
              <w:rPr>
                <w:rFonts w:hint="eastAsia" w:ascii="宋体" w:hAnsi="宋体" w:cs="Arial"/>
                <w:szCs w:val="21"/>
                <w:highlight w:val="none"/>
              </w:rPr>
              <w:t>电子标签</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传输瓶应适用于传送物品要求；</w:t>
            </w:r>
            <w:r>
              <w:rPr>
                <w:rFonts w:hint="eastAsia" w:ascii="宋体" w:hAnsi="宋体" w:cs="宋体"/>
                <w:kern w:val="0"/>
                <w:szCs w:val="21"/>
                <w:highlight w:val="none"/>
              </w:rPr>
              <w:t>每个站点配置至少2个传输瓶</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bCs/>
                <w:iCs/>
                <w:kern w:val="0"/>
                <w:szCs w:val="21"/>
                <w:highlight w:val="none"/>
              </w:rPr>
            </w:pPr>
            <w:r>
              <w:rPr>
                <w:rFonts w:hint="eastAsia" w:ascii="宋体" w:hAnsi="宋体" w:cs="宋体"/>
                <w:kern w:val="0"/>
                <w:szCs w:val="21"/>
                <w:highlight w:val="none"/>
              </w:rPr>
              <w:t>两端有双旋盖，密封性能好</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长度330mm</w:t>
            </w:r>
            <w:r>
              <w:rPr>
                <w:rFonts w:ascii="宋体" w:hAnsi="宋体" w:cs="宋体"/>
                <w:kern w:val="0"/>
                <w:szCs w:val="21"/>
                <w:highlight w:val="none"/>
              </w:rPr>
              <w:t>—</w:t>
            </w:r>
            <w:r>
              <w:rPr>
                <w:rFonts w:hint="eastAsia" w:ascii="宋体" w:hAnsi="宋体" w:cs="宋体"/>
                <w:kern w:val="0"/>
                <w:szCs w:val="21"/>
                <w:highlight w:val="none"/>
              </w:rPr>
              <w:t>400mm</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12.5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传输瓶垫衬：为海绵体衬垫，有血液样本插孔，方便检验样本成批量且安全的在传输瓶传输。</w:t>
            </w:r>
            <w:r>
              <w:rPr>
                <w:rFonts w:hint="eastAsia" w:ascii="宋体" w:hAnsi="宋体" w:cs="宋体"/>
                <w:szCs w:val="21"/>
                <w:highlight w:val="none"/>
              </w:rPr>
              <w:t>传输瓶在管道中运行的噪音值小于45db</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PVC管道</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用于传输瓶在收发站之间传送的通道，</w:t>
            </w:r>
            <w:r>
              <w:rPr>
                <w:rFonts w:hint="eastAsia" w:ascii="宋体" w:hAnsi="宋体" w:cs="Arial"/>
                <w:szCs w:val="21"/>
                <w:highlight w:val="none"/>
              </w:rPr>
              <w:t>必须采用优质U-PVC管道，并达到国内先进物流传输系统所用管材标准以上。管道外径：160mm；管壁厚3.2mm;直径公差在+0.35～-0.50 mm。</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管道材料具有高耐磨性、防腐性、防火性、抗压性及抗静电性能的PVC管；达到《建筑材料及制品燃烧性能分级》B1级标准，适用温度-20～60℃。</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管道包括直管、弯管、连接套管，用于传输载物桶。</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弯管的转弯半径：≤800mm</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13.5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材料：UPVC材质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14</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阻火圈</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14.1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管道穿越楼层与防火分区的部位必须设置阻火圈，</w:t>
            </w:r>
            <w:r>
              <w:rPr>
                <w:rFonts w:hint="eastAsia" w:ascii="宋体" w:hAnsi="宋体" w:cs="宋体"/>
                <w:kern w:val="0"/>
                <w:szCs w:val="21"/>
                <w:highlight w:val="none"/>
              </w:rPr>
              <w:t>用于分割防火分区,</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15</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电源电缆</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15.1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电缆线是专为气动物流系统设计的，不适用于与任何主电源直接连接。电缆中所有的导线，包括通讯线，导电铜线等需有不同颜色的外皮很容易区分</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15.2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Arial"/>
                <w:szCs w:val="21"/>
                <w:highlight w:val="none"/>
              </w:rPr>
              <w:t>各收发工作站供电属‘安全特低电压’供电应≤36V（投标时请提供换向器、收发站与三向转向器实物铭牌照片并加以说明）。</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b/>
                <w:bCs/>
                <w:iCs/>
                <w:kern w:val="0"/>
                <w:szCs w:val="21"/>
                <w:highlight w:val="none"/>
              </w:rPr>
              <w:t>15</w:t>
            </w:r>
            <w:r>
              <w:rPr>
                <w:rFonts w:hint="eastAsia" w:ascii="宋体" w:hAnsi="宋体" w:cs="宋体"/>
                <w:kern w:val="0"/>
                <w:szCs w:val="21"/>
                <w:highlight w:val="none"/>
              </w:rPr>
              <w:t>.3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专用集成电缆，电源电缆和信号电缆集成在一根电缆内，内部要求具有双重屏闭功能</w:t>
            </w:r>
            <w:r>
              <w:rPr>
                <w:rFonts w:hint="eastAsia" w:ascii="宋体" w:hAnsi="宋体" w:cs="Arial"/>
                <w:szCs w:val="21"/>
                <w:highlight w:val="none"/>
              </w:rPr>
              <w:t>以防止受外界电磁干扰。</w:t>
            </w:r>
            <w:r>
              <w:rPr>
                <w:rFonts w:hint="eastAsia" w:ascii="宋体" w:hAnsi="宋体" w:cs="宋体"/>
                <w:kern w:val="0"/>
                <w:szCs w:val="21"/>
                <w:highlight w:val="none"/>
              </w:rPr>
              <w:t>提供照片说明</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16</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管路及安装材料</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16.1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管道达到建筑材料标准(国际标准B1级,适用温度-10度-+40度)</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16.2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管道具有耐磨性、防腐性</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16.3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i/>
                <w:iCs/>
                <w:kern w:val="0"/>
                <w:szCs w:val="21"/>
                <w:highlight w:val="none"/>
                <w:u w:val="single"/>
              </w:rPr>
            </w:pPr>
            <w:r>
              <w:rPr>
                <w:rFonts w:hint="eastAsia" w:ascii="宋体" w:hAnsi="宋体" w:cs="宋体"/>
                <w:kern w:val="0"/>
                <w:szCs w:val="21"/>
                <w:highlight w:val="none"/>
              </w:rPr>
              <w:t>管道可在室外安装</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17</w:t>
            </w:r>
          </w:p>
        </w:tc>
        <w:tc>
          <w:tcPr>
            <w:tcW w:w="8748" w:type="dxa"/>
            <w:gridSpan w:val="4"/>
            <w:tcBorders>
              <w:top w:val="single" w:color="auto" w:sz="4" w:space="0"/>
              <w:left w:val="nil"/>
              <w:bottom w:val="single" w:color="auto" w:sz="4" w:space="0"/>
              <w:right w:val="single" w:color="000000" w:sz="8" w:space="0"/>
            </w:tcBorders>
            <w:vAlign w:val="center"/>
          </w:tcPr>
          <w:p>
            <w:pPr>
              <w:widowControl/>
              <w:jc w:val="left"/>
              <w:rPr>
                <w:rFonts w:ascii="宋体" w:hAnsi="宋体" w:cs="宋体"/>
                <w:b/>
                <w:bCs/>
                <w:kern w:val="0"/>
                <w:szCs w:val="21"/>
                <w:highlight w:val="none"/>
              </w:rPr>
            </w:pPr>
            <w:r>
              <w:rPr>
                <w:rFonts w:hint="eastAsia" w:ascii="宋体" w:hAnsi="宋体" w:cs="宋体"/>
                <w:b/>
                <w:bCs/>
                <w:kern w:val="0"/>
                <w:szCs w:val="21"/>
                <w:highlight w:val="none"/>
              </w:rPr>
              <w:t>电源</w:t>
            </w: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17.1</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电源为电子开关电源</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17.2</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具有防雷击、防杂波、防输出短路保护功能</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17.3</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1个电源可供≥30个单元（收发站及转换器）</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17.4</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电源最远可传输1500米以上</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r>
        <w:tblPrEx>
          <w:tblLayout w:type="fixed"/>
          <w:tblCellMar>
            <w:top w:w="0" w:type="dxa"/>
            <w:left w:w="108" w:type="dxa"/>
            <w:bottom w:w="0" w:type="dxa"/>
            <w:right w:w="108" w:type="dxa"/>
          </w:tblCellMar>
        </w:tblPrEx>
        <w:trPr>
          <w:trHeight w:val="499" w:hRule="atLeast"/>
          <w:jc w:val="center"/>
        </w:trPr>
        <w:tc>
          <w:tcPr>
            <w:tcW w:w="880" w:type="dxa"/>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17.5</w:t>
            </w:r>
          </w:p>
        </w:tc>
        <w:tc>
          <w:tcPr>
            <w:tcW w:w="555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输入电压允许范围为110－270VAC  50/60Hz</w:t>
            </w:r>
          </w:p>
        </w:tc>
        <w:tc>
          <w:tcPr>
            <w:tcW w:w="1196"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108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highlight w:val="none"/>
              </w:rPr>
            </w:pPr>
          </w:p>
        </w:tc>
        <w:tc>
          <w:tcPr>
            <w:tcW w:w="911" w:type="dxa"/>
            <w:tcBorders>
              <w:top w:val="nil"/>
              <w:left w:val="nil"/>
              <w:bottom w:val="single" w:color="auto" w:sz="4" w:space="0"/>
              <w:right w:val="single" w:color="auto" w:sz="8" w:space="0"/>
            </w:tcBorders>
            <w:vAlign w:val="center"/>
          </w:tcPr>
          <w:p>
            <w:pPr>
              <w:widowControl/>
              <w:jc w:val="left"/>
              <w:rPr>
                <w:rFonts w:ascii="宋体" w:hAnsi="宋体" w:cs="宋体"/>
                <w:kern w:val="0"/>
                <w:szCs w:val="21"/>
                <w:highlight w:val="none"/>
              </w:rPr>
            </w:pPr>
          </w:p>
        </w:tc>
      </w:tr>
    </w:tbl>
    <w:p>
      <w:pPr>
        <w:pStyle w:val="3"/>
        <w:spacing w:line="360" w:lineRule="auto"/>
        <w:ind w:firstLine="0" w:firstLineChars="0"/>
        <w:jc w:val="left"/>
        <w:rPr>
          <w:rFonts w:ascii="宋体" w:hAnsi="宋体" w:cs="Arial"/>
          <w:color w:val="000000"/>
          <w:sz w:val="24"/>
          <w:highlight w:val="none"/>
        </w:rPr>
      </w:pPr>
      <w:bookmarkStart w:id="44" w:name="_Toc490824434"/>
      <w:r>
        <w:rPr>
          <w:rFonts w:hint="eastAsia" w:ascii="宋体" w:hAnsi="宋体" w:cs="Arial"/>
          <w:color w:val="000000"/>
          <w:sz w:val="24"/>
          <w:highlight w:val="none"/>
        </w:rPr>
        <w:t>四、主要零部件</w:t>
      </w:r>
    </w:p>
    <w:tbl>
      <w:tblPr>
        <w:tblStyle w:val="6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8"/>
        <w:gridCol w:w="3743"/>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4" w:type="dxa"/>
            <w:vAlign w:val="center"/>
          </w:tcPr>
          <w:p>
            <w:pPr>
              <w:widowControl/>
              <w:rPr>
                <w:rFonts w:ascii="宋体" w:hAnsi="宋体" w:cs="Arial"/>
                <w:b/>
                <w:szCs w:val="21"/>
                <w:highlight w:val="none"/>
              </w:rPr>
            </w:pPr>
            <w:r>
              <w:rPr>
                <w:rFonts w:hint="eastAsia" w:ascii="宋体" w:hAnsi="宋体" w:cs="Arial"/>
                <w:b/>
                <w:szCs w:val="21"/>
                <w:highlight w:val="none"/>
              </w:rPr>
              <w:t>序号</w:t>
            </w:r>
          </w:p>
        </w:tc>
        <w:tc>
          <w:tcPr>
            <w:tcW w:w="2238" w:type="dxa"/>
            <w:vAlign w:val="center"/>
          </w:tcPr>
          <w:p>
            <w:pPr>
              <w:widowControl/>
              <w:ind w:firstLine="241"/>
              <w:jc w:val="center"/>
              <w:rPr>
                <w:rFonts w:ascii="宋体" w:hAnsi="宋体" w:cs="Arial"/>
                <w:b/>
                <w:szCs w:val="21"/>
                <w:highlight w:val="none"/>
              </w:rPr>
            </w:pPr>
            <w:r>
              <w:rPr>
                <w:rFonts w:hint="eastAsia" w:ascii="宋体" w:hAnsi="宋体" w:cs="Arial"/>
                <w:b/>
                <w:szCs w:val="21"/>
                <w:highlight w:val="none"/>
              </w:rPr>
              <w:t>名称</w:t>
            </w:r>
          </w:p>
        </w:tc>
        <w:tc>
          <w:tcPr>
            <w:tcW w:w="3743" w:type="dxa"/>
            <w:vAlign w:val="center"/>
          </w:tcPr>
          <w:p>
            <w:pPr>
              <w:widowControl/>
              <w:ind w:firstLine="241"/>
              <w:jc w:val="center"/>
              <w:rPr>
                <w:rFonts w:ascii="宋体" w:hAnsi="宋体" w:cs="Arial"/>
                <w:b/>
                <w:szCs w:val="21"/>
                <w:highlight w:val="none"/>
              </w:rPr>
            </w:pPr>
            <w:r>
              <w:rPr>
                <w:rFonts w:hint="eastAsia" w:ascii="宋体" w:hAnsi="宋体" w:cs="Arial"/>
                <w:b/>
                <w:szCs w:val="21"/>
                <w:highlight w:val="none"/>
              </w:rPr>
              <w:t>参考品牌</w:t>
            </w:r>
          </w:p>
        </w:tc>
        <w:tc>
          <w:tcPr>
            <w:tcW w:w="2913" w:type="dxa"/>
            <w:vAlign w:val="center"/>
          </w:tcPr>
          <w:p>
            <w:pPr>
              <w:widowControl/>
              <w:ind w:firstLine="241"/>
              <w:jc w:val="center"/>
              <w:rPr>
                <w:rFonts w:ascii="宋体" w:hAnsi="宋体" w:cs="Arial"/>
                <w:b/>
                <w:szCs w:val="21"/>
                <w:highlight w:val="none"/>
              </w:rPr>
            </w:pPr>
            <w:r>
              <w:rPr>
                <w:rFonts w:hint="eastAsia" w:ascii="宋体" w:hAnsi="宋体" w:cs="Arial"/>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34" w:type="dxa"/>
            <w:vAlign w:val="center"/>
          </w:tcPr>
          <w:p>
            <w:pPr>
              <w:widowControl/>
              <w:jc w:val="center"/>
              <w:rPr>
                <w:rFonts w:ascii="宋体" w:hAnsi="宋体" w:cs="Arial"/>
                <w:szCs w:val="21"/>
                <w:highlight w:val="none"/>
              </w:rPr>
            </w:pPr>
            <w:r>
              <w:rPr>
                <w:rFonts w:ascii="宋体" w:hAnsi="宋体" w:cs="Arial"/>
                <w:szCs w:val="21"/>
                <w:highlight w:val="none"/>
              </w:rPr>
              <w:t>1</w:t>
            </w:r>
          </w:p>
        </w:tc>
        <w:tc>
          <w:tcPr>
            <w:tcW w:w="2238" w:type="dxa"/>
            <w:vAlign w:val="center"/>
          </w:tcPr>
          <w:p>
            <w:pPr>
              <w:widowControl/>
              <w:ind w:firstLine="240"/>
              <w:jc w:val="center"/>
              <w:rPr>
                <w:rFonts w:ascii="宋体" w:hAnsi="宋体" w:cs="宋体"/>
                <w:szCs w:val="21"/>
                <w:highlight w:val="none"/>
              </w:rPr>
            </w:pPr>
            <w:r>
              <w:rPr>
                <w:rFonts w:hint="eastAsia" w:ascii="宋体" w:hAnsi="宋体" w:cs="宋体"/>
                <w:szCs w:val="21"/>
                <w:highlight w:val="none"/>
              </w:rPr>
              <w:t>电机</w:t>
            </w:r>
          </w:p>
        </w:tc>
        <w:tc>
          <w:tcPr>
            <w:tcW w:w="3743" w:type="dxa"/>
            <w:vAlign w:val="center"/>
          </w:tcPr>
          <w:p>
            <w:pPr>
              <w:ind w:firstLine="240"/>
              <w:jc w:val="center"/>
              <w:rPr>
                <w:rFonts w:ascii="宋体" w:hAnsi="宋体" w:cs="Arial"/>
                <w:szCs w:val="21"/>
                <w:highlight w:val="none"/>
              </w:rPr>
            </w:pPr>
            <w:r>
              <w:rPr>
                <w:rFonts w:hint="eastAsia" w:ascii="宋体" w:hAnsi="宋体" w:cs="Arial"/>
                <w:szCs w:val="21"/>
                <w:highlight w:val="none"/>
              </w:rPr>
              <w:t>珠海运控/蒙特纳利/雷赛</w:t>
            </w:r>
          </w:p>
        </w:tc>
        <w:tc>
          <w:tcPr>
            <w:tcW w:w="2913" w:type="dxa"/>
            <w:vMerge w:val="restart"/>
            <w:vAlign w:val="center"/>
          </w:tcPr>
          <w:p>
            <w:pPr>
              <w:widowControl/>
              <w:ind w:firstLine="240"/>
              <w:jc w:val="left"/>
              <w:rPr>
                <w:rFonts w:ascii="宋体" w:hAnsi="宋体" w:cs="宋体"/>
                <w:szCs w:val="21"/>
                <w:highlight w:val="none"/>
              </w:rPr>
            </w:pPr>
            <w:r>
              <w:rPr>
                <w:rFonts w:hint="eastAsia" w:ascii="宋体" w:hAnsi="宋体"/>
                <w:szCs w:val="21"/>
                <w:highlight w:val="none"/>
              </w:rPr>
              <w:t>参考品牌只是建议性质的，欢迎投标人采用满足要求的其他产品用于本项目。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34" w:type="dxa"/>
            <w:vAlign w:val="center"/>
          </w:tcPr>
          <w:p>
            <w:pPr>
              <w:widowControl/>
              <w:jc w:val="center"/>
              <w:rPr>
                <w:rFonts w:ascii="宋体" w:hAnsi="宋体" w:cs="Arial"/>
                <w:szCs w:val="21"/>
                <w:highlight w:val="none"/>
              </w:rPr>
            </w:pPr>
            <w:r>
              <w:rPr>
                <w:rFonts w:hint="eastAsia" w:ascii="宋体" w:hAnsi="宋体" w:cs="Arial"/>
                <w:szCs w:val="21"/>
                <w:highlight w:val="none"/>
              </w:rPr>
              <w:t>2</w:t>
            </w:r>
          </w:p>
        </w:tc>
        <w:tc>
          <w:tcPr>
            <w:tcW w:w="2238" w:type="dxa"/>
            <w:vAlign w:val="center"/>
          </w:tcPr>
          <w:p>
            <w:pPr>
              <w:widowControl/>
              <w:ind w:firstLine="240"/>
              <w:jc w:val="center"/>
              <w:rPr>
                <w:rFonts w:ascii="宋体" w:hAnsi="宋体" w:cs="Arial"/>
                <w:szCs w:val="21"/>
                <w:highlight w:val="none"/>
              </w:rPr>
            </w:pPr>
            <w:r>
              <w:rPr>
                <w:rFonts w:ascii="宋体" w:hAnsi="宋体" w:cs="Arial"/>
                <w:szCs w:val="21"/>
                <w:highlight w:val="none"/>
              </w:rPr>
              <w:t>PLC</w:t>
            </w:r>
          </w:p>
        </w:tc>
        <w:tc>
          <w:tcPr>
            <w:tcW w:w="3743" w:type="dxa"/>
            <w:vAlign w:val="center"/>
          </w:tcPr>
          <w:p>
            <w:pPr>
              <w:ind w:firstLine="240"/>
              <w:jc w:val="center"/>
              <w:rPr>
                <w:rFonts w:ascii="宋体" w:hAnsi="宋体" w:cs="Arial"/>
                <w:szCs w:val="21"/>
                <w:highlight w:val="none"/>
              </w:rPr>
            </w:pPr>
            <w:r>
              <w:rPr>
                <w:rFonts w:hint="eastAsia" w:ascii="宋体" w:hAnsi="宋体" w:cs="Arial"/>
                <w:szCs w:val="21"/>
                <w:highlight w:val="none"/>
              </w:rPr>
              <w:t>SIEMENS/WAGO/Optilogic</w:t>
            </w:r>
          </w:p>
        </w:tc>
        <w:tc>
          <w:tcPr>
            <w:tcW w:w="2913" w:type="dxa"/>
            <w:vMerge w:val="continue"/>
            <w:vAlign w:val="center"/>
          </w:tcPr>
          <w:p>
            <w:pPr>
              <w:widowControl/>
              <w:ind w:firstLine="240"/>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34" w:type="dxa"/>
            <w:vAlign w:val="center"/>
          </w:tcPr>
          <w:p>
            <w:pPr>
              <w:widowControl/>
              <w:jc w:val="center"/>
              <w:rPr>
                <w:rFonts w:ascii="宋体" w:hAnsi="宋体" w:cs="Arial"/>
                <w:szCs w:val="21"/>
                <w:highlight w:val="none"/>
              </w:rPr>
            </w:pPr>
            <w:r>
              <w:rPr>
                <w:rFonts w:hint="eastAsia" w:ascii="宋体" w:hAnsi="宋体" w:cs="Arial"/>
                <w:szCs w:val="21"/>
                <w:highlight w:val="none"/>
              </w:rPr>
              <w:t>3</w:t>
            </w:r>
          </w:p>
        </w:tc>
        <w:tc>
          <w:tcPr>
            <w:tcW w:w="2238" w:type="dxa"/>
            <w:vAlign w:val="center"/>
          </w:tcPr>
          <w:p>
            <w:pPr>
              <w:widowControl/>
              <w:ind w:firstLine="240"/>
              <w:jc w:val="center"/>
              <w:rPr>
                <w:rFonts w:ascii="宋体" w:hAnsi="宋体" w:cs="宋体"/>
                <w:szCs w:val="21"/>
                <w:highlight w:val="none"/>
              </w:rPr>
            </w:pPr>
            <w:r>
              <w:rPr>
                <w:rFonts w:hint="eastAsia" w:ascii="宋体" w:hAnsi="宋体" w:cs="宋体"/>
                <w:szCs w:val="21"/>
                <w:highlight w:val="none"/>
              </w:rPr>
              <w:t>光电开关</w:t>
            </w:r>
          </w:p>
        </w:tc>
        <w:tc>
          <w:tcPr>
            <w:tcW w:w="3743" w:type="dxa"/>
            <w:vAlign w:val="center"/>
          </w:tcPr>
          <w:p>
            <w:pPr>
              <w:ind w:firstLine="240"/>
              <w:jc w:val="center"/>
              <w:rPr>
                <w:rFonts w:ascii="宋体" w:hAnsi="宋体" w:cs="Arial"/>
                <w:szCs w:val="21"/>
                <w:highlight w:val="none"/>
              </w:rPr>
            </w:pPr>
            <w:r>
              <w:rPr>
                <w:rFonts w:hint="eastAsia" w:ascii="宋体" w:hAnsi="宋体" w:cs="Arial"/>
                <w:szCs w:val="21"/>
                <w:highlight w:val="none"/>
              </w:rPr>
              <w:t>SICK/DATALOGIC/</w:t>
            </w:r>
            <w:r>
              <w:rPr>
                <w:rFonts w:hint="eastAsia" w:ascii="宋体" w:hAnsi="宋体" w:cs="宋体"/>
                <w:szCs w:val="21"/>
                <w:highlight w:val="none"/>
              </w:rPr>
              <w:t>欧姆龙</w:t>
            </w:r>
          </w:p>
        </w:tc>
        <w:tc>
          <w:tcPr>
            <w:tcW w:w="2913" w:type="dxa"/>
            <w:vMerge w:val="continue"/>
            <w:vAlign w:val="center"/>
          </w:tcPr>
          <w:p>
            <w:pPr>
              <w:widowControl/>
              <w:ind w:firstLine="240"/>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vAlign w:val="center"/>
          </w:tcPr>
          <w:p>
            <w:pPr>
              <w:widowControl/>
              <w:jc w:val="center"/>
              <w:rPr>
                <w:rFonts w:ascii="宋体" w:hAnsi="宋体" w:cs="Arial"/>
                <w:szCs w:val="21"/>
                <w:highlight w:val="none"/>
              </w:rPr>
            </w:pPr>
            <w:r>
              <w:rPr>
                <w:rFonts w:hint="eastAsia" w:ascii="宋体" w:hAnsi="宋体" w:cs="Arial"/>
                <w:szCs w:val="21"/>
                <w:highlight w:val="none"/>
              </w:rPr>
              <w:t>4</w:t>
            </w:r>
          </w:p>
        </w:tc>
        <w:tc>
          <w:tcPr>
            <w:tcW w:w="2238" w:type="dxa"/>
            <w:vAlign w:val="center"/>
          </w:tcPr>
          <w:p>
            <w:pPr>
              <w:widowControl/>
              <w:ind w:firstLine="240"/>
              <w:jc w:val="center"/>
              <w:rPr>
                <w:rFonts w:ascii="宋体" w:hAnsi="宋体" w:cs="宋体"/>
                <w:szCs w:val="21"/>
                <w:highlight w:val="none"/>
              </w:rPr>
            </w:pPr>
            <w:r>
              <w:rPr>
                <w:rFonts w:hint="eastAsia" w:ascii="宋体" w:hAnsi="宋体" w:cs="宋体"/>
                <w:szCs w:val="21"/>
                <w:highlight w:val="none"/>
              </w:rPr>
              <w:t>低压电器</w:t>
            </w:r>
          </w:p>
        </w:tc>
        <w:tc>
          <w:tcPr>
            <w:tcW w:w="3743" w:type="dxa"/>
            <w:vAlign w:val="center"/>
          </w:tcPr>
          <w:p>
            <w:pPr>
              <w:ind w:firstLine="240"/>
              <w:jc w:val="center"/>
              <w:rPr>
                <w:rFonts w:ascii="宋体" w:hAnsi="宋体" w:cs="宋体"/>
                <w:szCs w:val="21"/>
                <w:highlight w:val="none"/>
              </w:rPr>
            </w:pPr>
            <w:r>
              <w:rPr>
                <w:rFonts w:hint="eastAsia" w:ascii="宋体" w:hAnsi="宋体" w:cs="宋体"/>
                <w:szCs w:val="21"/>
                <w:highlight w:val="none"/>
              </w:rPr>
              <w:t>西门子/施耐德/</w:t>
            </w:r>
            <w:r>
              <w:rPr>
                <w:rFonts w:ascii="宋体" w:hAnsi="宋体" w:cs="宋体"/>
                <w:szCs w:val="21"/>
                <w:highlight w:val="none"/>
              </w:rPr>
              <w:t xml:space="preserve"> </w:t>
            </w:r>
            <w:r>
              <w:rPr>
                <w:rFonts w:hint="eastAsia" w:ascii="宋体" w:hAnsi="宋体" w:cs="宋体"/>
                <w:szCs w:val="21"/>
                <w:highlight w:val="none"/>
              </w:rPr>
              <w:t>德力西</w:t>
            </w:r>
          </w:p>
        </w:tc>
        <w:tc>
          <w:tcPr>
            <w:tcW w:w="2913" w:type="dxa"/>
            <w:vMerge w:val="continue"/>
            <w:vAlign w:val="center"/>
          </w:tcPr>
          <w:p>
            <w:pPr>
              <w:widowControl/>
              <w:ind w:firstLine="240"/>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4" w:type="dxa"/>
            <w:vAlign w:val="center"/>
          </w:tcPr>
          <w:p>
            <w:pPr>
              <w:widowControl/>
              <w:jc w:val="center"/>
              <w:rPr>
                <w:rFonts w:ascii="宋体" w:hAnsi="宋体" w:cs="Arial"/>
                <w:szCs w:val="21"/>
                <w:highlight w:val="none"/>
              </w:rPr>
            </w:pPr>
            <w:r>
              <w:rPr>
                <w:rFonts w:hint="eastAsia" w:ascii="宋体" w:hAnsi="宋体" w:cs="Arial"/>
                <w:szCs w:val="21"/>
                <w:highlight w:val="none"/>
              </w:rPr>
              <w:t>5</w:t>
            </w:r>
          </w:p>
        </w:tc>
        <w:tc>
          <w:tcPr>
            <w:tcW w:w="2238" w:type="dxa"/>
            <w:vAlign w:val="center"/>
          </w:tcPr>
          <w:p>
            <w:pPr>
              <w:widowControl/>
              <w:ind w:firstLine="240"/>
              <w:jc w:val="center"/>
              <w:rPr>
                <w:rFonts w:ascii="宋体" w:hAnsi="宋体" w:cs="宋体"/>
                <w:szCs w:val="21"/>
                <w:highlight w:val="none"/>
              </w:rPr>
            </w:pPr>
            <w:r>
              <w:rPr>
                <w:rFonts w:hint="eastAsia" w:ascii="宋体" w:hAnsi="宋体" w:cs="宋体"/>
                <w:szCs w:val="21"/>
                <w:highlight w:val="none"/>
              </w:rPr>
              <w:t>工作站触摸屏</w:t>
            </w:r>
          </w:p>
        </w:tc>
        <w:tc>
          <w:tcPr>
            <w:tcW w:w="3743" w:type="dxa"/>
            <w:vAlign w:val="center"/>
          </w:tcPr>
          <w:p>
            <w:pPr>
              <w:widowControl/>
              <w:ind w:firstLine="240"/>
              <w:jc w:val="center"/>
              <w:rPr>
                <w:rFonts w:ascii="宋体" w:hAnsi="宋体" w:cs="宋体"/>
                <w:szCs w:val="21"/>
                <w:highlight w:val="none"/>
              </w:rPr>
            </w:pPr>
            <w:r>
              <w:rPr>
                <w:rFonts w:hint="eastAsia" w:ascii="宋体" w:hAnsi="宋体" w:cs="宋体"/>
                <w:szCs w:val="21"/>
                <w:highlight w:val="none"/>
              </w:rPr>
              <w:t>三菱、西门子、华为</w:t>
            </w:r>
          </w:p>
        </w:tc>
        <w:tc>
          <w:tcPr>
            <w:tcW w:w="2913" w:type="dxa"/>
            <w:vMerge w:val="continue"/>
            <w:vAlign w:val="center"/>
          </w:tcPr>
          <w:p>
            <w:pPr>
              <w:widowControl/>
              <w:ind w:firstLine="240"/>
              <w:jc w:val="lef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34" w:type="dxa"/>
            <w:vAlign w:val="center"/>
          </w:tcPr>
          <w:p>
            <w:pPr>
              <w:widowControl/>
              <w:jc w:val="center"/>
              <w:rPr>
                <w:rFonts w:ascii="宋体" w:hAnsi="宋体" w:cs="Arial"/>
                <w:szCs w:val="21"/>
                <w:highlight w:val="none"/>
              </w:rPr>
            </w:pPr>
            <w:r>
              <w:rPr>
                <w:rFonts w:hint="eastAsia" w:ascii="宋体" w:hAnsi="宋体" w:cs="Arial"/>
                <w:szCs w:val="21"/>
                <w:highlight w:val="none"/>
              </w:rPr>
              <w:t>6</w:t>
            </w:r>
          </w:p>
        </w:tc>
        <w:tc>
          <w:tcPr>
            <w:tcW w:w="2238" w:type="dxa"/>
            <w:vAlign w:val="center"/>
          </w:tcPr>
          <w:p>
            <w:pPr>
              <w:widowControl/>
              <w:ind w:firstLine="240"/>
              <w:jc w:val="center"/>
              <w:rPr>
                <w:rFonts w:ascii="宋体" w:hAnsi="宋体" w:cs="宋体"/>
                <w:szCs w:val="21"/>
                <w:highlight w:val="none"/>
              </w:rPr>
            </w:pPr>
            <w:r>
              <w:rPr>
                <w:rFonts w:ascii="宋体" w:hAnsi="宋体" w:cs="宋体"/>
                <w:szCs w:val="21"/>
                <w:highlight w:val="none"/>
              </w:rPr>
              <w:t>监控摄像机</w:t>
            </w:r>
          </w:p>
        </w:tc>
        <w:tc>
          <w:tcPr>
            <w:tcW w:w="3743" w:type="dxa"/>
            <w:vAlign w:val="center"/>
          </w:tcPr>
          <w:p>
            <w:pPr>
              <w:ind w:firstLine="240"/>
              <w:jc w:val="center"/>
              <w:rPr>
                <w:rFonts w:ascii="宋体" w:hAnsi="宋体" w:cs="宋体"/>
                <w:szCs w:val="21"/>
                <w:highlight w:val="none"/>
              </w:rPr>
            </w:pPr>
            <w:r>
              <w:rPr>
                <w:rFonts w:hint="eastAsia" w:ascii="宋体" w:hAnsi="宋体" w:cs="宋体"/>
                <w:szCs w:val="21"/>
                <w:highlight w:val="none"/>
              </w:rPr>
              <w:t>三星/英飞拓/海康威视</w:t>
            </w:r>
          </w:p>
        </w:tc>
        <w:tc>
          <w:tcPr>
            <w:tcW w:w="2913" w:type="dxa"/>
            <w:vMerge w:val="continue"/>
            <w:vAlign w:val="center"/>
          </w:tcPr>
          <w:p>
            <w:pPr>
              <w:widowControl/>
              <w:ind w:firstLine="240"/>
              <w:jc w:val="left"/>
              <w:rPr>
                <w:rFonts w:ascii="宋体" w:hAnsi="宋体" w:cs="宋体"/>
                <w:szCs w:val="21"/>
                <w:highlight w:val="none"/>
              </w:rPr>
            </w:pPr>
          </w:p>
        </w:tc>
      </w:tr>
    </w:tbl>
    <w:p>
      <w:pPr>
        <w:pStyle w:val="3"/>
        <w:spacing w:line="360" w:lineRule="auto"/>
        <w:ind w:firstLine="0" w:firstLineChars="0"/>
        <w:jc w:val="left"/>
        <w:rPr>
          <w:rFonts w:ascii="宋体" w:hAnsi="宋体" w:cs="Arial"/>
          <w:color w:val="000000"/>
          <w:sz w:val="24"/>
          <w:highlight w:val="none"/>
        </w:rPr>
      </w:pPr>
      <w:r>
        <w:rPr>
          <w:rFonts w:hint="eastAsia" w:ascii="宋体" w:hAnsi="宋体" w:cs="Arial"/>
          <w:color w:val="000000"/>
          <w:sz w:val="24"/>
          <w:highlight w:val="none"/>
        </w:rPr>
        <w:t>五、点位清单</w:t>
      </w:r>
    </w:p>
    <w:tbl>
      <w:tblPr>
        <w:tblStyle w:val="63"/>
        <w:tblW w:w="9628" w:type="dxa"/>
        <w:jc w:val="center"/>
        <w:tblInd w:w="0" w:type="dxa"/>
        <w:shd w:val="clear" w:color="auto" w:fill="FFFFFF"/>
        <w:tblLayout w:type="fixed"/>
        <w:tblCellMar>
          <w:top w:w="0" w:type="dxa"/>
          <w:left w:w="108" w:type="dxa"/>
          <w:bottom w:w="0" w:type="dxa"/>
          <w:right w:w="108" w:type="dxa"/>
        </w:tblCellMar>
      </w:tblPr>
      <w:tblGrid>
        <w:gridCol w:w="636"/>
        <w:gridCol w:w="1511"/>
        <w:gridCol w:w="1997"/>
        <w:gridCol w:w="2106"/>
        <w:gridCol w:w="1056"/>
        <w:gridCol w:w="1266"/>
        <w:gridCol w:w="1056"/>
      </w:tblGrid>
      <w:tr>
        <w:tblPrEx>
          <w:shd w:val="clear" w:color="auto" w:fill="FFFFFF"/>
          <w:tblLayout w:type="fixed"/>
          <w:tblCellMar>
            <w:top w:w="0" w:type="dxa"/>
            <w:left w:w="108" w:type="dxa"/>
            <w:bottom w:w="0" w:type="dxa"/>
            <w:right w:w="108" w:type="dxa"/>
          </w:tblCellMar>
        </w:tblPrEx>
        <w:trPr>
          <w:trHeight w:val="402" w:hRule="atLeast"/>
          <w:jc w:val="center"/>
        </w:trPr>
        <w:tc>
          <w:tcPr>
            <w:tcW w:w="63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6670" w:type="dxa"/>
            <w:gridSpan w:val="4"/>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轨道物流</w:t>
            </w:r>
          </w:p>
        </w:tc>
        <w:tc>
          <w:tcPr>
            <w:tcW w:w="2322" w:type="dxa"/>
            <w:gridSpan w:val="2"/>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气动物流</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c>
          <w:tcPr>
            <w:tcW w:w="5614" w:type="dxa"/>
            <w:gridSpan w:val="3"/>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站点位置</w:t>
            </w:r>
          </w:p>
        </w:tc>
        <w:tc>
          <w:tcPr>
            <w:tcW w:w="1056"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站点数量</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站点位置</w:t>
            </w:r>
          </w:p>
        </w:tc>
        <w:tc>
          <w:tcPr>
            <w:tcW w:w="1056" w:type="dxa"/>
            <w:vMerge w:val="restart"/>
            <w:tcBorders>
              <w:top w:val="nil"/>
              <w:left w:val="single" w:color="auto" w:sz="4" w:space="0"/>
              <w:bottom w:val="single" w:color="000000" w:sz="4" w:space="0"/>
              <w:right w:val="single" w:color="auto" w:sz="4" w:space="0"/>
            </w:tcBorders>
            <w:shd w:val="clear" w:color="auto" w:fill="FFFFFF"/>
            <w:noWrap/>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站点数量</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门诊医技楼</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外科创伤中心楼</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内科楼</w:t>
            </w:r>
          </w:p>
        </w:tc>
        <w:tc>
          <w:tcPr>
            <w:tcW w:w="1056"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门诊医技楼</w:t>
            </w:r>
          </w:p>
        </w:tc>
        <w:tc>
          <w:tcPr>
            <w:tcW w:w="1056" w:type="dxa"/>
            <w:vMerge w:val="continue"/>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r>
      <w:tr>
        <w:tblPrEx>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楼层</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1#竖井</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2#竖井</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3#竖井</w:t>
            </w:r>
          </w:p>
        </w:tc>
        <w:tc>
          <w:tcPr>
            <w:tcW w:w="1056"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vMerge w:val="continue"/>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15F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VIP病房护士站</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血液肿瘤科护士站</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14F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13F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12F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11F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bCs/>
                <w:color w:val="000000"/>
                <w:kern w:val="0"/>
                <w:szCs w:val="21"/>
                <w:highlight w:val="none"/>
              </w:rPr>
            </w:pPr>
            <w:r>
              <w:rPr>
                <w:rFonts w:hint="eastAsia" w:ascii="宋体" w:hAnsi="宋体" w:cs="宋体"/>
                <w:bCs/>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510"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标准护理单元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99"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5F</w:t>
            </w:r>
          </w:p>
        </w:tc>
        <w:tc>
          <w:tcPr>
            <w:tcW w:w="1511"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脑外科病房护士站</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神经内科病房护士站</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810"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4F</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手术室、病理科 内镜中心</w:t>
            </w:r>
          </w:p>
        </w:tc>
        <w:tc>
          <w:tcPr>
            <w:tcW w:w="199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脑外科病房护士站</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ICU护士站</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126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手术室        病理科</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r>
      <w:tr>
        <w:tblPrEx>
          <w:shd w:val="clear" w:color="auto" w:fill="FFFFFF"/>
          <w:tblLayout w:type="fixed"/>
          <w:tblCellMar>
            <w:top w:w="0" w:type="dxa"/>
            <w:left w:w="108" w:type="dxa"/>
            <w:bottom w:w="0" w:type="dxa"/>
            <w:right w:w="108" w:type="dxa"/>
          </w:tblCellMar>
        </w:tblPrEx>
        <w:trPr>
          <w:trHeight w:val="1155"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3F</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静配中心（双）            中心药房（双）            血液透析护士站             输血科</w:t>
            </w:r>
          </w:p>
        </w:tc>
        <w:tc>
          <w:tcPr>
            <w:tcW w:w="199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五官科病房护士站</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肾内科病房护士站</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126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99"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2F</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检验中心（双）</w:t>
            </w:r>
          </w:p>
        </w:tc>
        <w:tc>
          <w:tcPr>
            <w:tcW w:w="199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心胸外科病房护士站</w:t>
            </w:r>
          </w:p>
        </w:tc>
        <w:tc>
          <w:tcPr>
            <w:tcW w:w="210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信息中心（中控室）</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检验科</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r>
      <w:tr>
        <w:tblPrEx>
          <w:shd w:val="clear" w:color="auto" w:fill="FFFFFF"/>
          <w:tblLayout w:type="fixed"/>
          <w:tblCellMar>
            <w:top w:w="0" w:type="dxa"/>
            <w:left w:w="108" w:type="dxa"/>
            <w:bottom w:w="0" w:type="dxa"/>
            <w:right w:w="108" w:type="dxa"/>
          </w:tblCellMar>
        </w:tblPrEx>
        <w:trPr>
          <w:trHeight w:val="844"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1F</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中心供应（双）            放射科          急诊ICU</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210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病案室</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126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急诊ICU          门诊药房          急诊药房             输液中心</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r>
      <w:tr>
        <w:tblPrEx>
          <w:shd w:val="clear" w:color="auto" w:fill="FFFFFF"/>
          <w:tblLayout w:type="fixed"/>
          <w:tblCellMar>
            <w:top w:w="0" w:type="dxa"/>
            <w:left w:w="108" w:type="dxa"/>
            <w:bottom w:w="0" w:type="dxa"/>
            <w:right w:w="108" w:type="dxa"/>
          </w:tblCellMar>
        </w:tblPrEx>
        <w:trPr>
          <w:trHeight w:val="457"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-1F</w:t>
            </w:r>
          </w:p>
        </w:tc>
        <w:tc>
          <w:tcPr>
            <w:tcW w:w="1511"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997"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后勤仓库（双）</w:t>
            </w:r>
          </w:p>
        </w:tc>
        <w:tc>
          <w:tcPr>
            <w:tcW w:w="210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266"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　</w:t>
            </w:r>
          </w:p>
        </w:tc>
        <w:tc>
          <w:tcPr>
            <w:tcW w:w="1056" w:type="dxa"/>
            <w:tcBorders>
              <w:top w:val="nil"/>
              <w:left w:val="nil"/>
              <w:bottom w:val="nil"/>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　</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36"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小计</w:t>
            </w:r>
          </w:p>
        </w:tc>
        <w:tc>
          <w:tcPr>
            <w:tcW w:w="151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11</w:t>
            </w:r>
          </w:p>
        </w:tc>
        <w:tc>
          <w:tcPr>
            <w:tcW w:w="1997"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15</w:t>
            </w:r>
          </w:p>
        </w:tc>
        <w:tc>
          <w:tcPr>
            <w:tcW w:w="210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15</w:t>
            </w:r>
          </w:p>
        </w:tc>
        <w:tc>
          <w:tcPr>
            <w:tcW w:w="1056" w:type="dxa"/>
            <w:vMerge w:val="restart"/>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41</w:t>
            </w:r>
          </w:p>
        </w:tc>
        <w:tc>
          <w:tcPr>
            <w:tcW w:w="126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FFFFFF"/>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r>
      <w:tr>
        <w:tblPrEx>
          <w:shd w:val="clear" w:color="auto" w:fill="FFFFFF"/>
          <w:tblLayout w:type="fixed"/>
          <w:tblCellMar>
            <w:top w:w="0" w:type="dxa"/>
            <w:left w:w="108" w:type="dxa"/>
            <w:bottom w:w="0" w:type="dxa"/>
            <w:right w:w="108" w:type="dxa"/>
          </w:tblCellMar>
        </w:tblPrEx>
        <w:trPr>
          <w:trHeight w:val="402" w:hRule="atLeast"/>
          <w:jc w:val="center"/>
        </w:trPr>
        <w:tc>
          <w:tcPr>
            <w:tcW w:w="6250" w:type="dxa"/>
            <w:gridSpan w:val="4"/>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注：后标（双）为轨道双轨站点。其中单轨站点有36个，双轨站点有5个，共41个站点。</w:t>
            </w:r>
          </w:p>
        </w:tc>
        <w:tc>
          <w:tcPr>
            <w:tcW w:w="1056"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p>
        </w:tc>
        <w:tc>
          <w:tcPr>
            <w:tcW w:w="1266" w:type="dxa"/>
            <w:vMerge w:val="restart"/>
            <w:tcBorders>
              <w:top w:val="nil"/>
              <w:left w:val="single" w:color="auto" w:sz="4" w:space="0"/>
              <w:bottom w:val="single" w:color="000000" w:sz="4" w:space="0"/>
              <w:right w:val="single" w:color="auto" w:sz="4" w:space="0"/>
            </w:tcBorders>
            <w:shd w:val="clear" w:color="auto" w:fill="FFFFFF"/>
            <w:noWrap/>
            <w:vAlign w:val="center"/>
          </w:tcPr>
          <w:p>
            <w:pPr>
              <w:widowControl/>
              <w:jc w:val="center"/>
              <w:rPr>
                <w:rFonts w:ascii="宋体" w:hAnsi="宋体" w:cs="宋体"/>
                <w:bCs/>
                <w:color w:val="000000"/>
                <w:kern w:val="0"/>
                <w:szCs w:val="21"/>
                <w:highlight w:val="none"/>
              </w:rPr>
            </w:pPr>
            <w:r>
              <w:rPr>
                <w:rFonts w:hint="eastAsia" w:ascii="宋体" w:hAnsi="宋体" w:cs="宋体"/>
                <w:bCs/>
                <w:color w:val="000000"/>
                <w:kern w:val="0"/>
                <w:szCs w:val="21"/>
                <w:highlight w:val="none"/>
              </w:rPr>
              <w:t>共7个站点</w:t>
            </w:r>
          </w:p>
        </w:tc>
        <w:tc>
          <w:tcPr>
            <w:tcW w:w="1056"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p>
        </w:tc>
      </w:tr>
      <w:tr>
        <w:tblPrEx>
          <w:tblLayout w:type="fixed"/>
          <w:tblCellMar>
            <w:top w:w="0" w:type="dxa"/>
            <w:left w:w="108" w:type="dxa"/>
            <w:bottom w:w="0" w:type="dxa"/>
            <w:right w:w="108" w:type="dxa"/>
          </w:tblCellMar>
        </w:tblPrEx>
        <w:trPr>
          <w:trHeight w:val="402" w:hRule="atLeast"/>
          <w:jc w:val="center"/>
        </w:trPr>
        <w:tc>
          <w:tcPr>
            <w:tcW w:w="6250" w:type="dxa"/>
            <w:gridSpan w:val="4"/>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widowControl/>
              <w:jc w:val="left"/>
              <w:rPr>
                <w:rFonts w:ascii="宋体" w:hAnsi="宋体" w:cs="宋体"/>
                <w:bCs/>
                <w:color w:val="000000"/>
                <w:kern w:val="0"/>
                <w:szCs w:val="21"/>
                <w:highlight w:val="none"/>
              </w:rPr>
            </w:pPr>
          </w:p>
        </w:tc>
        <w:tc>
          <w:tcPr>
            <w:tcW w:w="1056" w:type="dxa"/>
            <w:vMerge w:val="continue"/>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p>
        </w:tc>
        <w:tc>
          <w:tcPr>
            <w:tcW w:w="1266" w:type="dxa"/>
            <w:vMerge w:val="continue"/>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hAnsi="宋体" w:cs="宋体"/>
                <w:bCs/>
                <w:color w:val="000000"/>
                <w:kern w:val="0"/>
                <w:szCs w:val="21"/>
                <w:highlight w:val="none"/>
              </w:rPr>
            </w:pPr>
          </w:p>
        </w:tc>
        <w:tc>
          <w:tcPr>
            <w:tcW w:w="1056"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rPr>
                <w:rFonts w:ascii="宋体" w:hAnsi="宋体" w:cs="宋体"/>
                <w:color w:val="000000"/>
                <w:kern w:val="0"/>
                <w:szCs w:val="21"/>
                <w:highlight w:val="none"/>
              </w:rPr>
            </w:pPr>
          </w:p>
        </w:tc>
      </w:tr>
    </w:tbl>
    <w:p>
      <w:pPr>
        <w:pStyle w:val="3"/>
        <w:spacing w:line="360" w:lineRule="auto"/>
        <w:ind w:firstLine="0" w:firstLineChars="0"/>
        <w:jc w:val="left"/>
        <w:rPr>
          <w:rFonts w:ascii="宋体" w:hAnsi="宋体" w:cs="Arial"/>
          <w:color w:val="000000"/>
          <w:sz w:val="24"/>
          <w:highlight w:val="none"/>
        </w:rPr>
      </w:pPr>
      <w:r>
        <w:rPr>
          <w:rFonts w:hint="eastAsia" w:ascii="宋体" w:hAnsi="宋体" w:cs="Arial"/>
          <w:color w:val="000000"/>
          <w:sz w:val="24"/>
          <w:highlight w:val="none"/>
        </w:rPr>
        <w:t>六、报价要求</w:t>
      </w:r>
    </w:p>
    <w:p>
      <w:pPr>
        <w:tabs>
          <w:tab w:val="left" w:pos="656"/>
        </w:tabs>
        <w:spacing w:line="360" w:lineRule="auto"/>
        <w:ind w:firstLine="424" w:firstLineChars="201"/>
        <w:rPr>
          <w:rFonts w:ascii="宋体" w:hAnsi="宋体"/>
          <w:szCs w:val="21"/>
          <w:highlight w:val="none"/>
        </w:rPr>
      </w:pPr>
      <w:r>
        <w:rPr>
          <w:rFonts w:hint="eastAsia" w:ascii="宋体" w:hAnsi="宋体"/>
          <w:b/>
          <w:szCs w:val="21"/>
          <w:highlight w:val="none"/>
        </w:rPr>
        <w:t>1、</w:t>
      </w:r>
      <w:r>
        <w:rPr>
          <w:rFonts w:hint="eastAsia" w:ascii="宋体" w:hAnsi="宋体"/>
          <w:szCs w:val="21"/>
          <w:highlight w:val="none"/>
        </w:rPr>
        <w:t>本招标工程采取</w:t>
      </w:r>
      <w:r>
        <w:rPr>
          <w:rFonts w:hint="eastAsia" w:ascii="宋体" w:hAnsi="宋体"/>
          <w:b/>
          <w:szCs w:val="21"/>
          <w:highlight w:val="none"/>
          <w:u w:val="single"/>
        </w:rPr>
        <w:t>固定站点综合单价承包（即系统站点的综合单价不变，所有的费用均综合考虑到每个站点的综合单价中）。</w:t>
      </w:r>
      <w:r>
        <w:rPr>
          <w:rFonts w:hint="eastAsia" w:ascii="宋体" w:hAnsi="宋体"/>
          <w:szCs w:val="21"/>
          <w:highlight w:val="none"/>
        </w:rPr>
        <w:t>本次招标为交钥匙工程，工程报价必须包括但不限于物流传输系统的设计费、采购代理服务费、设备制造费、材料费、管线费、安装、调试费、检测检验费、税金、工程保险费、装卸费、运输及运输保险费、质保期内维修保护费、特殊工艺费、设计院图纸审核费（如发生此费用）、国内外运杂费、国内外保险费、关税、商检、维修保护费、增值税、海关费、进口手续费、售后服务费、施工水电费、培训费、验收费、利润、人工费、质量技术监督部门检验费及政策性文件规定的各项应有费用及合同中明示或不可预见的所有风险、责任等各项应有费用；以及最少24个月质保期内如维修耗材、验收检测等可能产生的一切费用。投标人认为为完成本招标文件规定的工程内容所需发生的一切费用均应计入报价，凡未列入的，将被认为均已包含在投标总报价中。</w:t>
      </w:r>
    </w:p>
    <w:p>
      <w:pPr>
        <w:tabs>
          <w:tab w:val="left" w:pos="656"/>
        </w:tabs>
        <w:spacing w:line="360" w:lineRule="auto"/>
        <w:ind w:firstLine="422" w:firstLineChars="201"/>
        <w:rPr>
          <w:rFonts w:ascii="宋体" w:hAnsi="宋体"/>
          <w:bCs/>
          <w:szCs w:val="21"/>
          <w:highlight w:val="none"/>
        </w:rPr>
      </w:pPr>
      <w:r>
        <w:rPr>
          <w:rFonts w:hint="eastAsia" w:ascii="宋体" w:hAnsi="宋体"/>
          <w:szCs w:val="21"/>
          <w:highlight w:val="none"/>
        </w:rPr>
        <w:t>投标人的中标价在合同实施期间不作调整，一次包死，中标人不得以任何理由予以变更，除非招标人提出的设计变更（设计变更仅指系统点位数发生变化），</w:t>
      </w:r>
      <w:r>
        <w:rPr>
          <w:rFonts w:hint="eastAsia" w:ascii="宋体" w:hAnsi="宋体"/>
          <w:b/>
          <w:szCs w:val="21"/>
          <w:highlight w:val="none"/>
        </w:rPr>
        <w:t>如因为招标人调整系统站点点位，则根据投标时的站点综合单价及实际站点数按实结算</w:t>
      </w:r>
      <w:r>
        <w:rPr>
          <w:rFonts w:hint="eastAsia" w:ascii="宋体" w:hAnsi="宋体"/>
          <w:szCs w:val="21"/>
          <w:highlight w:val="none"/>
        </w:rPr>
        <w:t>。</w:t>
      </w:r>
    </w:p>
    <w:p>
      <w:pPr>
        <w:spacing w:line="360" w:lineRule="auto"/>
        <w:ind w:firstLine="424" w:firstLineChars="201"/>
        <w:rPr>
          <w:rFonts w:ascii="宋体" w:hAnsi="宋体"/>
          <w:szCs w:val="21"/>
          <w:highlight w:val="none"/>
        </w:rPr>
      </w:pPr>
      <w:r>
        <w:rPr>
          <w:rFonts w:hint="eastAsia" w:ascii="宋体" w:hAnsi="宋体"/>
          <w:b/>
          <w:szCs w:val="21"/>
          <w:highlight w:val="none"/>
        </w:rPr>
        <w:t>2、</w:t>
      </w:r>
      <w:r>
        <w:rPr>
          <w:rFonts w:ascii="宋体" w:hAnsi="宋体"/>
          <w:szCs w:val="21"/>
          <w:highlight w:val="none"/>
        </w:rPr>
        <w:t>投标人</w:t>
      </w:r>
      <w:r>
        <w:rPr>
          <w:rFonts w:hint="eastAsia" w:ascii="宋体" w:hAnsi="宋体"/>
          <w:szCs w:val="21"/>
          <w:highlight w:val="none"/>
        </w:rPr>
        <w:t>应</w:t>
      </w:r>
      <w:r>
        <w:rPr>
          <w:rFonts w:ascii="宋体" w:hAnsi="宋体"/>
          <w:szCs w:val="21"/>
          <w:highlight w:val="none"/>
        </w:rPr>
        <w:t>到工地踏勘以充分了解工地位置、情况、道路、装卸</w:t>
      </w:r>
      <w:r>
        <w:rPr>
          <w:rFonts w:hint="eastAsia" w:ascii="宋体" w:hAnsi="宋体"/>
          <w:szCs w:val="21"/>
          <w:highlight w:val="none"/>
        </w:rPr>
        <w:t>运输</w:t>
      </w:r>
      <w:r>
        <w:rPr>
          <w:rFonts w:ascii="宋体" w:hAnsi="宋体"/>
          <w:szCs w:val="21"/>
          <w:highlight w:val="none"/>
        </w:rPr>
        <w:t>限制及任何其他足以影响</w:t>
      </w:r>
      <w:r>
        <w:rPr>
          <w:rFonts w:hint="eastAsia" w:ascii="宋体" w:hAnsi="宋体"/>
          <w:szCs w:val="21"/>
          <w:highlight w:val="none"/>
        </w:rPr>
        <w:t>其报</w:t>
      </w:r>
      <w:r>
        <w:rPr>
          <w:rFonts w:ascii="宋体" w:hAnsi="宋体"/>
          <w:szCs w:val="21"/>
          <w:highlight w:val="none"/>
        </w:rPr>
        <w:t>价的情况，任何因忽视或误解工地情况而导致的索赔或工期延长申请将不被批准。</w:t>
      </w:r>
    </w:p>
    <w:p>
      <w:pPr>
        <w:spacing w:line="360" w:lineRule="auto"/>
        <w:ind w:firstLine="424" w:firstLineChars="201"/>
        <w:rPr>
          <w:rFonts w:ascii="宋体" w:hAnsi="宋体"/>
          <w:szCs w:val="21"/>
          <w:highlight w:val="none"/>
        </w:rPr>
      </w:pPr>
      <w:r>
        <w:rPr>
          <w:rFonts w:hint="eastAsia" w:ascii="宋体" w:hAnsi="宋体"/>
          <w:b/>
          <w:szCs w:val="21"/>
          <w:highlight w:val="none"/>
        </w:rPr>
        <w:t>3、</w:t>
      </w:r>
      <w:r>
        <w:rPr>
          <w:rFonts w:hint="eastAsia" w:ascii="宋体" w:hAnsi="宋体"/>
          <w:szCs w:val="21"/>
          <w:highlight w:val="none"/>
        </w:rPr>
        <w:t>投标人的报价不仅应包括招标文件提供的技术条款和图纸上所标明的，还应包括任何未明确标出的（如：①小车经过自动挡烟垂臂时，需采取相应的措施以满足消防验收的要求，投标人在投标报价时需自行考虑此部分成本；②后期如因业主要求调整轨道线路，如此调整涉及穿防火分区而需增加防火门（窗、卷帘）等防火装置时，中标人不得另行增加费用），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pPr>
        <w:tabs>
          <w:tab w:val="left" w:pos="656"/>
        </w:tabs>
        <w:spacing w:line="360" w:lineRule="auto"/>
        <w:ind w:firstLine="424" w:firstLineChars="201"/>
        <w:rPr>
          <w:rFonts w:ascii="宋体" w:hAnsi="宋体"/>
          <w:szCs w:val="21"/>
          <w:highlight w:val="none"/>
        </w:rPr>
      </w:pPr>
      <w:r>
        <w:rPr>
          <w:rFonts w:hint="eastAsia" w:ascii="宋体" w:hAnsi="宋体"/>
          <w:b/>
          <w:szCs w:val="21"/>
          <w:highlight w:val="none"/>
        </w:rPr>
        <w:t>4、</w:t>
      </w:r>
      <w:r>
        <w:rPr>
          <w:rFonts w:ascii="宋体" w:hAnsi="宋体"/>
          <w:szCs w:val="21"/>
          <w:highlight w:val="none"/>
        </w:rPr>
        <w:t>投标人在投标过程中应仔细核对土建设计图纸（平面图、剖面图等）是否满足</w:t>
      </w:r>
      <w:r>
        <w:rPr>
          <w:rFonts w:hint="eastAsia" w:ascii="宋体" w:hAnsi="宋体"/>
          <w:szCs w:val="21"/>
          <w:highlight w:val="none"/>
        </w:rPr>
        <w:t>系统</w:t>
      </w:r>
      <w:r>
        <w:rPr>
          <w:rFonts w:ascii="宋体" w:hAnsi="宋体"/>
          <w:szCs w:val="21"/>
          <w:highlight w:val="none"/>
        </w:rPr>
        <w:t>安装相关规范要求，如发现在建筑或结构方面存在问题，应及时给予书面意见提出，并提供解决措施以便招标人参考；进场施工过程中，由于上述方面存在问题，不能满足</w:t>
      </w:r>
      <w:r>
        <w:rPr>
          <w:rFonts w:hint="eastAsia" w:ascii="宋体" w:hAnsi="宋体"/>
          <w:szCs w:val="21"/>
          <w:highlight w:val="none"/>
        </w:rPr>
        <w:t>系统</w:t>
      </w:r>
      <w:r>
        <w:rPr>
          <w:rFonts w:ascii="宋体" w:hAnsi="宋体"/>
          <w:szCs w:val="21"/>
          <w:highlight w:val="none"/>
        </w:rPr>
        <w:t>安装相关规范要求，需要做建筑其他方面调整的，</w:t>
      </w:r>
      <w:r>
        <w:rPr>
          <w:rFonts w:hint="eastAsia" w:ascii="宋体" w:hAnsi="宋体"/>
          <w:szCs w:val="21"/>
          <w:highlight w:val="none"/>
        </w:rPr>
        <w:t>由</w:t>
      </w:r>
      <w:r>
        <w:rPr>
          <w:rFonts w:ascii="宋体" w:hAnsi="宋体"/>
          <w:szCs w:val="21"/>
          <w:highlight w:val="none"/>
        </w:rPr>
        <w:t>此而引起的变更费用及责任均由中标人承担。</w:t>
      </w:r>
    </w:p>
    <w:p>
      <w:pPr>
        <w:tabs>
          <w:tab w:val="left" w:pos="656"/>
        </w:tabs>
        <w:spacing w:line="360" w:lineRule="auto"/>
        <w:ind w:firstLine="424" w:firstLineChars="201"/>
        <w:rPr>
          <w:rFonts w:ascii="宋体" w:hAnsi="宋体"/>
          <w:szCs w:val="21"/>
          <w:highlight w:val="none"/>
        </w:rPr>
      </w:pPr>
      <w:r>
        <w:rPr>
          <w:rFonts w:hint="eastAsia" w:ascii="宋体" w:hAnsi="宋体"/>
          <w:b/>
          <w:szCs w:val="21"/>
          <w:highlight w:val="none"/>
        </w:rPr>
        <w:t>5、</w:t>
      </w:r>
      <w:r>
        <w:rPr>
          <w:rFonts w:hint="eastAsia" w:ascii="宋体" w:hAnsi="宋体"/>
          <w:szCs w:val="21"/>
          <w:highlight w:val="none"/>
        </w:rPr>
        <w:t>招标人除提供设备存放场地以外，设备装卸、安装时所需的水电、脚手架及其他所需费用全部包括在投标报价内。若投标书中未作详细说明，均属视为优惠。</w:t>
      </w:r>
    </w:p>
    <w:p>
      <w:pPr>
        <w:tabs>
          <w:tab w:val="left" w:pos="656"/>
        </w:tabs>
        <w:spacing w:line="360" w:lineRule="auto"/>
        <w:ind w:firstLine="424" w:firstLineChars="201"/>
        <w:rPr>
          <w:rFonts w:ascii="宋体" w:hAnsi="宋体"/>
          <w:szCs w:val="21"/>
          <w:highlight w:val="none"/>
        </w:rPr>
      </w:pPr>
      <w:r>
        <w:rPr>
          <w:rFonts w:hint="eastAsia" w:ascii="宋体" w:hAnsi="宋体"/>
          <w:b/>
          <w:szCs w:val="21"/>
          <w:highlight w:val="none"/>
        </w:rPr>
        <w:t>6、</w:t>
      </w:r>
      <w:r>
        <w:rPr>
          <w:rFonts w:hint="eastAsia" w:ascii="宋体" w:hAnsi="宋体"/>
          <w:szCs w:val="21"/>
          <w:highlight w:val="none"/>
        </w:rPr>
        <w:t>安装调试过程中的电缆、桥架等由投标人提供（需搬运到指定地点）并安装。</w:t>
      </w:r>
    </w:p>
    <w:p>
      <w:pPr>
        <w:pStyle w:val="3"/>
        <w:spacing w:line="360" w:lineRule="auto"/>
        <w:ind w:firstLine="0" w:firstLineChars="0"/>
        <w:jc w:val="left"/>
        <w:rPr>
          <w:rFonts w:ascii="宋体" w:hAnsi="宋体" w:cs="Arial"/>
          <w:color w:val="000000"/>
          <w:sz w:val="24"/>
          <w:highlight w:val="none"/>
        </w:rPr>
      </w:pPr>
      <w:r>
        <w:rPr>
          <w:rFonts w:hint="eastAsia" w:ascii="宋体" w:hAnsi="宋体" w:cs="Arial"/>
          <w:color w:val="000000"/>
          <w:sz w:val="24"/>
          <w:highlight w:val="none"/>
        </w:rPr>
        <w:t>七、项目实施要求</w:t>
      </w:r>
      <w:bookmarkEnd w:id="44"/>
    </w:p>
    <w:p>
      <w:pPr>
        <w:spacing w:line="360" w:lineRule="auto"/>
        <w:ind w:firstLine="424" w:firstLineChars="202"/>
        <w:rPr>
          <w:rFonts w:ascii="宋体" w:hAnsi="宋体"/>
          <w:szCs w:val="21"/>
          <w:highlight w:val="none"/>
        </w:rPr>
      </w:pPr>
      <w:r>
        <w:rPr>
          <w:rFonts w:hint="eastAsia" w:ascii="宋体" w:hAnsi="宋体"/>
          <w:szCs w:val="21"/>
          <w:highlight w:val="none"/>
        </w:rPr>
        <w:t>1、设计、制造、安装</w:t>
      </w:r>
    </w:p>
    <w:p>
      <w:pPr>
        <w:spacing w:line="360" w:lineRule="auto"/>
        <w:ind w:firstLine="424" w:firstLineChars="202"/>
        <w:rPr>
          <w:rFonts w:ascii="宋体" w:hAnsi="宋体"/>
          <w:szCs w:val="21"/>
          <w:highlight w:val="none"/>
        </w:rPr>
      </w:pPr>
      <w:r>
        <w:rPr>
          <w:rFonts w:hint="eastAsia" w:ascii="宋体" w:hAnsi="宋体"/>
          <w:szCs w:val="21"/>
          <w:highlight w:val="none"/>
        </w:rPr>
        <w:t>投标人须根据招标文件要求提供的完成项目所需设备并提供以下工作服务但不仅限于以下：</w:t>
      </w:r>
    </w:p>
    <w:p>
      <w:pPr>
        <w:spacing w:line="360" w:lineRule="auto"/>
        <w:ind w:firstLine="424" w:firstLineChars="202"/>
        <w:rPr>
          <w:rFonts w:ascii="宋体" w:hAnsi="宋体"/>
          <w:szCs w:val="21"/>
          <w:highlight w:val="none"/>
        </w:rPr>
      </w:pPr>
      <w:r>
        <w:rPr>
          <w:rFonts w:hint="eastAsia" w:ascii="宋体" w:hAnsi="宋体"/>
          <w:szCs w:val="21"/>
          <w:highlight w:val="none"/>
        </w:rPr>
        <w:t>（1）设计：</w:t>
      </w:r>
    </w:p>
    <w:p>
      <w:pPr>
        <w:spacing w:line="360" w:lineRule="auto"/>
        <w:ind w:firstLine="424" w:firstLineChars="202"/>
        <w:rPr>
          <w:rFonts w:ascii="宋体" w:hAnsi="宋体"/>
          <w:szCs w:val="21"/>
          <w:highlight w:val="none"/>
        </w:rPr>
      </w:pPr>
      <w:r>
        <w:rPr>
          <w:rFonts w:hint="eastAsia" w:ascii="宋体" w:hAnsi="宋体"/>
          <w:szCs w:val="21"/>
          <w:highlight w:val="none"/>
        </w:rPr>
        <w:t>投标人在中标后根据招标文件要求提供项目深化设计资料，包括项目设计的修改，设计方案须经招标人认可。</w:t>
      </w:r>
    </w:p>
    <w:p>
      <w:pPr>
        <w:spacing w:line="360" w:lineRule="auto"/>
        <w:ind w:firstLine="424" w:firstLineChars="202"/>
        <w:rPr>
          <w:rFonts w:ascii="宋体" w:hAnsi="宋体"/>
          <w:szCs w:val="21"/>
          <w:highlight w:val="none"/>
        </w:rPr>
      </w:pPr>
      <w:r>
        <w:rPr>
          <w:rFonts w:hint="eastAsia" w:ascii="宋体" w:hAnsi="宋体"/>
          <w:szCs w:val="21"/>
          <w:highlight w:val="none"/>
        </w:rPr>
        <w:t>（2）制造、包装、运输：</w:t>
      </w:r>
    </w:p>
    <w:p>
      <w:pPr>
        <w:spacing w:line="360" w:lineRule="auto"/>
        <w:ind w:firstLine="424" w:firstLineChars="202"/>
        <w:rPr>
          <w:rFonts w:ascii="宋体" w:hAnsi="宋体"/>
          <w:szCs w:val="21"/>
          <w:highlight w:val="none"/>
        </w:rPr>
      </w:pPr>
      <w:r>
        <w:rPr>
          <w:rFonts w:hint="eastAsia" w:ascii="宋体" w:hAnsi="宋体"/>
          <w:szCs w:val="21"/>
          <w:highlight w:val="none"/>
        </w:rPr>
        <w:t>按招标人认可的方案和材料进行加工、制造、供货，负责设备运输至招标人建设工地，并负责卸货，包括安装过程中的二次搬运吊装。设备的各个部件须防火、耐压、耐用、漏电保护，易清洗及易维修，并符合有关规定。</w:t>
      </w:r>
    </w:p>
    <w:p>
      <w:pPr>
        <w:spacing w:line="360" w:lineRule="auto"/>
        <w:ind w:firstLine="424" w:firstLineChars="202"/>
        <w:rPr>
          <w:rFonts w:ascii="宋体" w:hAnsi="宋体"/>
          <w:szCs w:val="21"/>
          <w:highlight w:val="none"/>
        </w:rPr>
      </w:pPr>
      <w:r>
        <w:rPr>
          <w:rFonts w:hint="eastAsia" w:ascii="宋体" w:hAnsi="宋体"/>
          <w:szCs w:val="21"/>
          <w:highlight w:val="none"/>
        </w:rPr>
        <w:t>投标人在投标时间须提供所供设备与材料的的具体防护措施供招标人认可，并对此工作负责。机组及器材外表面应洁净，无折皱和剥落等。不油漆且易腐蚀的零部件应涂上高熔点或防酸或其它保护功能的油脂以得到保护，并妥善包装后固定。机组及器材所有开口处应封闭保护起来，以防止在运输及搬运过程中异物进入。</w:t>
      </w:r>
    </w:p>
    <w:p>
      <w:pPr>
        <w:spacing w:line="360" w:lineRule="auto"/>
        <w:ind w:firstLine="424" w:firstLineChars="202"/>
        <w:rPr>
          <w:rFonts w:ascii="宋体" w:hAnsi="宋体"/>
          <w:szCs w:val="21"/>
          <w:highlight w:val="none"/>
        </w:rPr>
      </w:pPr>
      <w:r>
        <w:rPr>
          <w:rFonts w:hint="eastAsia" w:ascii="宋体" w:hAnsi="宋体"/>
          <w:szCs w:val="21"/>
          <w:highlight w:val="none"/>
        </w:rPr>
        <w:t>所有器材应合理、有效地包装，以使其有效防止各种损坏，如受潮、受热、剥落、腐蚀、变形等。备品备件、易损件、检测维修工具等应单独包装。这些箱盒应适合于储存，储存年限应在包装上予以说明。包装费应包括在合同总价中，这些包装材料应属于招标人所有。在包装箱中，应附有产品合格证书（包括设备合格证、部件合格证、材料合格证等）、产品说明书、装箱单、易损件备件及专用工具清单，一套完整的经批准的图纸及有关的技术文件资料。包装箱外面应注明数量、设备名称、编号及起吊位置、防潮、防震、防尘等警示标记及外形尺寸、毛重等。随包装箱带的文件、资料应防潮密封，并放置在包装箱内明显地方。</w:t>
      </w:r>
    </w:p>
    <w:p>
      <w:pPr>
        <w:spacing w:line="360" w:lineRule="auto"/>
        <w:ind w:firstLine="424" w:firstLineChars="202"/>
        <w:rPr>
          <w:rFonts w:ascii="宋体" w:hAnsi="宋体"/>
          <w:szCs w:val="21"/>
          <w:highlight w:val="none"/>
        </w:rPr>
      </w:pPr>
      <w:r>
        <w:rPr>
          <w:rFonts w:hint="eastAsia" w:ascii="宋体" w:hAnsi="宋体"/>
          <w:szCs w:val="21"/>
          <w:highlight w:val="none"/>
        </w:rPr>
        <w:t>每台设备都应有铭牌，其应标明在金属板上，并牢固地置于设备上，其应清楚的标明至少下列内容：制造商名称、设备名称及型号、制造年月、主要技术规格和参数、制造编号等。</w:t>
      </w:r>
    </w:p>
    <w:p>
      <w:pPr>
        <w:spacing w:line="360" w:lineRule="auto"/>
        <w:ind w:firstLine="424" w:firstLineChars="202"/>
        <w:rPr>
          <w:rFonts w:ascii="宋体" w:hAnsi="宋体"/>
          <w:szCs w:val="21"/>
          <w:highlight w:val="none"/>
        </w:rPr>
      </w:pPr>
      <w:r>
        <w:rPr>
          <w:rFonts w:hint="eastAsia" w:ascii="宋体" w:hAnsi="宋体"/>
          <w:szCs w:val="21"/>
          <w:highlight w:val="none"/>
        </w:rPr>
        <w:t>（3）到货查验：</w:t>
      </w:r>
    </w:p>
    <w:p>
      <w:pPr>
        <w:spacing w:line="360" w:lineRule="auto"/>
        <w:ind w:firstLine="424" w:firstLineChars="202"/>
        <w:rPr>
          <w:rFonts w:ascii="宋体" w:hAnsi="宋体"/>
          <w:szCs w:val="21"/>
          <w:highlight w:val="none"/>
        </w:rPr>
      </w:pPr>
      <w:r>
        <w:rPr>
          <w:rFonts w:hint="eastAsia" w:ascii="宋体" w:hAnsi="宋体"/>
          <w:szCs w:val="21"/>
          <w:highlight w:val="none"/>
        </w:rPr>
        <w:t>供货人在所供设备到工地时应通知招标人到场进行到货查验。若发现任何损坏及质量问题，供货人应负责更换。并妥善处理直至甲方满意。此工作所发生费用就由供货人自行承担。</w:t>
      </w:r>
    </w:p>
    <w:p>
      <w:pPr>
        <w:spacing w:line="360" w:lineRule="auto"/>
        <w:ind w:firstLine="424" w:firstLineChars="202"/>
        <w:rPr>
          <w:rFonts w:ascii="宋体" w:hAnsi="宋体"/>
          <w:szCs w:val="21"/>
          <w:highlight w:val="none"/>
        </w:rPr>
      </w:pPr>
      <w:r>
        <w:rPr>
          <w:rFonts w:hint="eastAsia" w:ascii="宋体" w:hAnsi="宋体"/>
          <w:szCs w:val="21"/>
          <w:highlight w:val="none"/>
        </w:rPr>
        <w:t>（4）安装工作</w:t>
      </w:r>
    </w:p>
    <w:p>
      <w:pPr>
        <w:spacing w:line="360" w:lineRule="auto"/>
        <w:ind w:firstLine="424" w:firstLineChars="202"/>
        <w:rPr>
          <w:rFonts w:ascii="宋体" w:hAnsi="宋体"/>
          <w:szCs w:val="21"/>
          <w:highlight w:val="none"/>
        </w:rPr>
      </w:pPr>
      <w:r>
        <w:rPr>
          <w:rFonts w:hint="eastAsia" w:ascii="宋体" w:hAnsi="宋体"/>
          <w:szCs w:val="21"/>
          <w:highlight w:val="none"/>
        </w:rPr>
        <w:t>投标人对安装、调试、试运行等负责，直至拿到相关部门验收证书。验收费用包括在总价中。设备的各个部件须防火、耐压、漏电保护，易清洗及易维修，并符合有关规定。</w:t>
      </w:r>
    </w:p>
    <w:p>
      <w:pPr>
        <w:numPr>
          <w:ilvl w:val="1"/>
          <w:numId w:val="8"/>
        </w:numPr>
        <w:spacing w:line="360" w:lineRule="auto"/>
        <w:rPr>
          <w:rFonts w:ascii="宋体" w:hAnsi="宋体"/>
          <w:szCs w:val="21"/>
          <w:highlight w:val="none"/>
        </w:rPr>
      </w:pPr>
      <w:r>
        <w:rPr>
          <w:rFonts w:hint="eastAsia" w:ascii="宋体" w:hAnsi="宋体"/>
          <w:szCs w:val="21"/>
          <w:highlight w:val="none"/>
        </w:rPr>
        <w:t>任何在土建结构内的挖掘，都须在具体施工图中标明，并提交招标人认可。</w:t>
      </w:r>
    </w:p>
    <w:p>
      <w:pPr>
        <w:numPr>
          <w:ilvl w:val="1"/>
          <w:numId w:val="8"/>
        </w:numPr>
        <w:spacing w:line="360" w:lineRule="auto"/>
        <w:rPr>
          <w:rFonts w:ascii="宋体" w:hAnsi="宋体"/>
          <w:szCs w:val="21"/>
          <w:highlight w:val="none"/>
        </w:rPr>
      </w:pPr>
      <w:r>
        <w:rPr>
          <w:rFonts w:hint="eastAsia" w:ascii="宋体" w:hAnsi="宋体"/>
          <w:szCs w:val="21"/>
          <w:highlight w:val="none"/>
        </w:rPr>
        <w:t>系统中各类设备的制造须取得有关部门的认可，中标人有责任提供相关的认可文件及证书。</w:t>
      </w:r>
    </w:p>
    <w:p>
      <w:pPr>
        <w:numPr>
          <w:ilvl w:val="1"/>
          <w:numId w:val="8"/>
        </w:numPr>
        <w:spacing w:line="360" w:lineRule="auto"/>
        <w:rPr>
          <w:rFonts w:ascii="宋体" w:hAnsi="宋体"/>
          <w:szCs w:val="21"/>
          <w:highlight w:val="none"/>
        </w:rPr>
      </w:pPr>
      <w:r>
        <w:rPr>
          <w:rFonts w:hint="eastAsia" w:ascii="宋体" w:hAnsi="宋体"/>
          <w:szCs w:val="21"/>
          <w:highlight w:val="none"/>
        </w:rPr>
        <w:t>保证设备在起吊、运输装卸过程中的安全。</w:t>
      </w:r>
    </w:p>
    <w:p>
      <w:pPr>
        <w:numPr>
          <w:ilvl w:val="1"/>
          <w:numId w:val="8"/>
        </w:numPr>
        <w:spacing w:line="360" w:lineRule="auto"/>
        <w:rPr>
          <w:rFonts w:ascii="宋体" w:hAnsi="宋体"/>
          <w:szCs w:val="21"/>
          <w:highlight w:val="none"/>
        </w:rPr>
      </w:pPr>
      <w:r>
        <w:rPr>
          <w:rFonts w:hint="eastAsia" w:ascii="宋体" w:hAnsi="宋体"/>
          <w:szCs w:val="21"/>
          <w:highlight w:val="none"/>
        </w:rPr>
        <w:t>在交货期间，中标人负责运输、卸货、就位中需要的起重、运输所需辅助设备，所有这些设备都须符合安全作业要求。</w:t>
      </w:r>
    </w:p>
    <w:p>
      <w:pPr>
        <w:numPr>
          <w:ilvl w:val="1"/>
          <w:numId w:val="8"/>
        </w:numPr>
        <w:spacing w:line="360" w:lineRule="auto"/>
        <w:rPr>
          <w:rFonts w:ascii="宋体" w:hAnsi="宋体"/>
          <w:szCs w:val="21"/>
          <w:highlight w:val="none"/>
        </w:rPr>
      </w:pPr>
      <w:r>
        <w:rPr>
          <w:rFonts w:hint="eastAsia" w:ascii="宋体" w:hAnsi="宋体"/>
          <w:szCs w:val="21"/>
          <w:highlight w:val="none"/>
        </w:rPr>
        <w:t>在进入完工之前，所有不需要特殊装修并且是暴露的钢制件应在表面进行除锈防腐处理，若是非暴露的零件、部件、机器等，可在制造时进行除锈、防腐蚀处理，其防腐蚀措施必须得到招标人的认可。</w:t>
      </w:r>
    </w:p>
    <w:p>
      <w:pPr>
        <w:spacing w:line="360" w:lineRule="auto"/>
        <w:ind w:firstLine="424" w:firstLineChars="202"/>
        <w:rPr>
          <w:rFonts w:ascii="宋体" w:hAnsi="宋体"/>
          <w:szCs w:val="21"/>
          <w:highlight w:val="none"/>
        </w:rPr>
      </w:pPr>
      <w:r>
        <w:rPr>
          <w:rFonts w:hint="eastAsia" w:ascii="宋体" w:hAnsi="宋体"/>
          <w:szCs w:val="21"/>
          <w:highlight w:val="none"/>
        </w:rPr>
        <w:t>2、测试和试运行</w:t>
      </w:r>
    </w:p>
    <w:p>
      <w:pPr>
        <w:spacing w:line="360" w:lineRule="auto"/>
        <w:ind w:firstLine="424" w:firstLineChars="202"/>
        <w:rPr>
          <w:rFonts w:ascii="宋体" w:hAnsi="宋体"/>
          <w:szCs w:val="21"/>
          <w:highlight w:val="none"/>
        </w:rPr>
      </w:pPr>
      <w:r>
        <w:rPr>
          <w:rFonts w:hint="eastAsia" w:ascii="宋体" w:hAnsi="宋体"/>
          <w:szCs w:val="21"/>
          <w:highlight w:val="none"/>
        </w:rPr>
        <w:t>(1) 工具、材料、仪器设备和劳务人员</w:t>
      </w:r>
    </w:p>
    <w:p>
      <w:pPr>
        <w:spacing w:line="360" w:lineRule="auto"/>
        <w:ind w:firstLine="424" w:firstLineChars="202"/>
        <w:rPr>
          <w:rFonts w:ascii="宋体" w:hAnsi="宋体"/>
          <w:szCs w:val="21"/>
          <w:highlight w:val="none"/>
        </w:rPr>
      </w:pPr>
      <w:r>
        <w:rPr>
          <w:rFonts w:hint="eastAsia" w:ascii="宋体" w:hAnsi="宋体"/>
          <w:szCs w:val="21"/>
          <w:highlight w:val="none"/>
        </w:rPr>
        <w:t>中标人应派有五年以上工作经验的工程师在现场负责测试和调试，以检测其设计、制造、运行效果等。并提供所有测试和调试所需的工具、材料、仪器和劳务人员。</w:t>
      </w:r>
    </w:p>
    <w:p>
      <w:pPr>
        <w:spacing w:line="360" w:lineRule="auto"/>
        <w:ind w:firstLine="424" w:firstLineChars="202"/>
        <w:rPr>
          <w:rFonts w:ascii="宋体" w:hAnsi="宋体"/>
          <w:szCs w:val="21"/>
          <w:highlight w:val="none"/>
        </w:rPr>
      </w:pPr>
      <w:r>
        <w:rPr>
          <w:rFonts w:hint="eastAsia" w:ascii="宋体" w:hAnsi="宋体"/>
          <w:szCs w:val="21"/>
          <w:highlight w:val="none"/>
        </w:rPr>
        <w:t>(2) 程序和表格</w:t>
      </w:r>
    </w:p>
    <w:p>
      <w:pPr>
        <w:spacing w:line="360" w:lineRule="auto"/>
        <w:ind w:firstLine="424" w:firstLineChars="202"/>
        <w:rPr>
          <w:rFonts w:ascii="宋体" w:hAnsi="宋体"/>
          <w:szCs w:val="21"/>
          <w:highlight w:val="none"/>
        </w:rPr>
      </w:pPr>
      <w:r>
        <w:rPr>
          <w:rFonts w:hint="eastAsia" w:ascii="宋体" w:hAnsi="宋体"/>
          <w:szCs w:val="21"/>
          <w:highlight w:val="none"/>
        </w:rPr>
        <w:t>中标人须在安装结束前4 个星期，提交测试和调试方法及记录表格给招标人。</w:t>
      </w:r>
    </w:p>
    <w:p>
      <w:pPr>
        <w:spacing w:line="360" w:lineRule="auto"/>
        <w:ind w:firstLine="424" w:firstLineChars="202"/>
        <w:rPr>
          <w:rFonts w:ascii="宋体" w:hAnsi="宋体"/>
          <w:szCs w:val="21"/>
          <w:highlight w:val="none"/>
        </w:rPr>
      </w:pPr>
      <w:r>
        <w:rPr>
          <w:rFonts w:hint="eastAsia" w:ascii="宋体" w:hAnsi="宋体"/>
          <w:szCs w:val="21"/>
          <w:highlight w:val="none"/>
        </w:rPr>
        <w:t>(3) 测试</w:t>
      </w:r>
    </w:p>
    <w:p>
      <w:pPr>
        <w:spacing w:line="360" w:lineRule="auto"/>
        <w:ind w:firstLine="424" w:firstLineChars="202"/>
        <w:rPr>
          <w:rFonts w:ascii="宋体" w:hAnsi="宋体"/>
          <w:szCs w:val="21"/>
          <w:highlight w:val="none"/>
        </w:rPr>
      </w:pPr>
      <w:r>
        <w:rPr>
          <w:rFonts w:hint="eastAsia" w:ascii="宋体" w:hAnsi="宋体"/>
          <w:szCs w:val="21"/>
          <w:highlight w:val="none"/>
        </w:rPr>
        <w:t>部分或全部测试需根据实际情况在安装期内或后进行，中标人在调试测试后5 个工作日内提交测试报告给招标人。如招标人对测试报告有疑问，招标人有权指定有关部门进行测试，如所疑属实，测试费用由中标方负责，中标方负责处理问题，直至合格。如所疑不实，测试费用由招标人自负。</w:t>
      </w:r>
    </w:p>
    <w:p>
      <w:pPr>
        <w:spacing w:line="360" w:lineRule="auto"/>
        <w:ind w:firstLine="424" w:firstLineChars="202"/>
        <w:rPr>
          <w:rFonts w:ascii="宋体" w:hAnsi="宋体"/>
          <w:szCs w:val="21"/>
          <w:highlight w:val="none"/>
        </w:rPr>
      </w:pPr>
      <w:r>
        <w:rPr>
          <w:rFonts w:hint="eastAsia" w:ascii="宋体" w:hAnsi="宋体"/>
          <w:szCs w:val="21"/>
          <w:highlight w:val="none"/>
        </w:rPr>
        <w:t>(4) 试运行</w:t>
      </w:r>
    </w:p>
    <w:p>
      <w:pPr>
        <w:spacing w:line="360" w:lineRule="auto"/>
        <w:ind w:firstLine="424" w:firstLineChars="202"/>
        <w:rPr>
          <w:rFonts w:ascii="宋体" w:hAnsi="宋体"/>
          <w:szCs w:val="21"/>
          <w:highlight w:val="none"/>
        </w:rPr>
      </w:pPr>
      <w:r>
        <w:rPr>
          <w:rFonts w:hint="eastAsia" w:ascii="宋体" w:hAnsi="宋体"/>
          <w:szCs w:val="21"/>
          <w:highlight w:val="none"/>
        </w:rPr>
        <w:t>设备试运行应在有关部门及招标人的监督下进行。</w:t>
      </w:r>
    </w:p>
    <w:p>
      <w:pPr>
        <w:spacing w:line="360" w:lineRule="auto"/>
        <w:ind w:firstLine="424" w:firstLineChars="202"/>
        <w:rPr>
          <w:rFonts w:ascii="宋体" w:hAnsi="宋体"/>
          <w:szCs w:val="21"/>
          <w:highlight w:val="none"/>
        </w:rPr>
      </w:pPr>
      <w:r>
        <w:rPr>
          <w:rFonts w:hint="eastAsia" w:ascii="宋体" w:hAnsi="宋体"/>
          <w:szCs w:val="21"/>
          <w:highlight w:val="none"/>
        </w:rPr>
        <w:t>3、验收</w:t>
      </w:r>
    </w:p>
    <w:p>
      <w:pPr>
        <w:spacing w:line="360" w:lineRule="auto"/>
        <w:ind w:firstLine="424" w:firstLineChars="202"/>
        <w:rPr>
          <w:rFonts w:ascii="宋体" w:hAnsi="宋体"/>
          <w:szCs w:val="21"/>
          <w:highlight w:val="none"/>
        </w:rPr>
      </w:pPr>
      <w:r>
        <w:rPr>
          <w:rFonts w:hint="eastAsia" w:ascii="宋体" w:hAnsi="宋体"/>
          <w:szCs w:val="21"/>
          <w:highlight w:val="none"/>
        </w:rPr>
        <w:t>(1) 产品保护</w:t>
      </w:r>
    </w:p>
    <w:p>
      <w:pPr>
        <w:spacing w:line="360" w:lineRule="auto"/>
        <w:ind w:firstLine="424" w:firstLineChars="202"/>
        <w:rPr>
          <w:rFonts w:ascii="宋体" w:hAnsi="宋体"/>
          <w:szCs w:val="21"/>
          <w:highlight w:val="none"/>
        </w:rPr>
      </w:pPr>
      <w:r>
        <w:rPr>
          <w:rFonts w:hint="eastAsia" w:ascii="宋体" w:hAnsi="宋体"/>
          <w:szCs w:val="21"/>
          <w:highlight w:val="none"/>
        </w:rPr>
        <w:t>工程完成后，中标人须负责全部设备的保护和清洁工作，直至设备验收合格并正常运行后为止。在安装过程中，如由于中标方原因导致建筑结构或其它设备被损坏，中标人将要负责修理或赔偿损失。</w:t>
      </w:r>
    </w:p>
    <w:p>
      <w:pPr>
        <w:spacing w:line="360" w:lineRule="auto"/>
        <w:ind w:firstLine="424" w:firstLineChars="202"/>
        <w:rPr>
          <w:rFonts w:ascii="宋体" w:hAnsi="宋体"/>
          <w:szCs w:val="21"/>
          <w:highlight w:val="none"/>
        </w:rPr>
      </w:pPr>
      <w:r>
        <w:rPr>
          <w:rFonts w:hint="eastAsia" w:ascii="宋体" w:hAnsi="宋体"/>
          <w:szCs w:val="21"/>
          <w:highlight w:val="none"/>
        </w:rPr>
        <w:t>(2) 验收合格条件</w:t>
      </w:r>
    </w:p>
    <w:p>
      <w:pPr>
        <w:spacing w:line="360" w:lineRule="auto"/>
        <w:ind w:firstLine="424" w:firstLineChars="202"/>
        <w:rPr>
          <w:rFonts w:ascii="宋体" w:hAnsi="宋体"/>
          <w:szCs w:val="21"/>
          <w:highlight w:val="none"/>
        </w:rPr>
      </w:pPr>
      <w:r>
        <w:rPr>
          <w:rFonts w:hint="eastAsia" w:ascii="宋体" w:hAnsi="宋体"/>
          <w:szCs w:val="21"/>
          <w:highlight w:val="none"/>
        </w:rPr>
        <w:t>a．运行结果符合产品标准和技术规格书及合同要求。</w:t>
      </w:r>
    </w:p>
    <w:p>
      <w:pPr>
        <w:spacing w:line="360" w:lineRule="auto"/>
        <w:ind w:firstLine="424" w:firstLineChars="202"/>
        <w:rPr>
          <w:rFonts w:ascii="宋体" w:hAnsi="宋体"/>
          <w:szCs w:val="21"/>
          <w:highlight w:val="none"/>
        </w:rPr>
      </w:pPr>
      <w:r>
        <w:rPr>
          <w:rFonts w:hint="eastAsia" w:ascii="宋体" w:hAnsi="宋体"/>
          <w:szCs w:val="21"/>
          <w:highlight w:val="none"/>
        </w:rPr>
        <w:t>b．在进行测试和验收运行过程中发生的故障已被消除并得到招标人的认可。</w:t>
      </w:r>
    </w:p>
    <w:p>
      <w:pPr>
        <w:spacing w:line="360" w:lineRule="auto"/>
        <w:ind w:firstLine="424" w:firstLineChars="202"/>
        <w:rPr>
          <w:rFonts w:ascii="宋体" w:hAnsi="宋体"/>
          <w:szCs w:val="21"/>
          <w:highlight w:val="none"/>
        </w:rPr>
      </w:pPr>
      <w:r>
        <w:rPr>
          <w:rFonts w:hint="eastAsia" w:ascii="宋体" w:hAnsi="宋体"/>
          <w:szCs w:val="21"/>
          <w:highlight w:val="none"/>
        </w:rPr>
        <w:t>c．所有合同中规定的货物和材料都已提交。</w:t>
      </w:r>
    </w:p>
    <w:p>
      <w:pPr>
        <w:spacing w:line="360" w:lineRule="auto"/>
        <w:ind w:firstLine="424" w:firstLineChars="202"/>
        <w:rPr>
          <w:rFonts w:ascii="宋体" w:hAnsi="宋体"/>
          <w:szCs w:val="21"/>
          <w:highlight w:val="none"/>
        </w:rPr>
      </w:pPr>
      <w:r>
        <w:rPr>
          <w:rFonts w:hint="eastAsia" w:ascii="宋体" w:hAnsi="宋体"/>
          <w:szCs w:val="21"/>
          <w:highlight w:val="none"/>
        </w:rPr>
        <w:t>d．设备在交由招标人使用之前已通过技术监督局及有关部门的验收并得到使用证书。</w:t>
      </w:r>
    </w:p>
    <w:p>
      <w:pPr>
        <w:spacing w:line="360" w:lineRule="auto"/>
        <w:ind w:firstLine="424" w:firstLineChars="202"/>
        <w:rPr>
          <w:rFonts w:ascii="宋体" w:hAnsi="宋体"/>
          <w:szCs w:val="21"/>
          <w:highlight w:val="none"/>
        </w:rPr>
      </w:pPr>
      <w:r>
        <w:rPr>
          <w:rFonts w:hint="eastAsia" w:ascii="宋体" w:hAnsi="宋体"/>
          <w:szCs w:val="21"/>
          <w:highlight w:val="none"/>
        </w:rPr>
        <w:t>e．整套设备图纸及技术文件都已提交并得到接受。</w:t>
      </w:r>
    </w:p>
    <w:p>
      <w:pPr>
        <w:spacing w:line="360" w:lineRule="auto"/>
        <w:ind w:firstLine="424" w:firstLineChars="202"/>
        <w:rPr>
          <w:rFonts w:ascii="宋体" w:hAnsi="宋体"/>
          <w:szCs w:val="21"/>
          <w:highlight w:val="none"/>
        </w:rPr>
      </w:pPr>
      <w:r>
        <w:rPr>
          <w:rFonts w:hint="eastAsia" w:ascii="宋体" w:hAnsi="宋体"/>
          <w:szCs w:val="21"/>
          <w:highlight w:val="none"/>
        </w:rPr>
        <w:t>4、售后服务</w:t>
      </w:r>
    </w:p>
    <w:p>
      <w:pPr>
        <w:spacing w:line="360" w:lineRule="auto"/>
        <w:ind w:firstLine="424" w:firstLineChars="202"/>
        <w:rPr>
          <w:rFonts w:ascii="宋体" w:hAnsi="宋体"/>
          <w:szCs w:val="21"/>
          <w:highlight w:val="none"/>
        </w:rPr>
      </w:pPr>
      <w:r>
        <w:rPr>
          <w:rFonts w:hint="eastAsia" w:ascii="宋体" w:hAnsi="宋体"/>
          <w:szCs w:val="21"/>
          <w:highlight w:val="none"/>
        </w:rPr>
        <w:t>(1) 中标品牌的投标人具备24 小时服务和承担所有维修服务的能力。维修人员接到维修电话后须在2 小时内赶到现场，并提供不间断的服务直到结束。维修点需提供足够的备件以适应维修需求。</w:t>
      </w:r>
    </w:p>
    <w:p>
      <w:pPr>
        <w:spacing w:line="360" w:lineRule="auto"/>
        <w:ind w:firstLine="424" w:firstLineChars="202"/>
        <w:rPr>
          <w:rFonts w:ascii="宋体" w:hAnsi="宋体"/>
          <w:szCs w:val="21"/>
          <w:highlight w:val="none"/>
        </w:rPr>
      </w:pPr>
      <w:r>
        <w:rPr>
          <w:rFonts w:hint="eastAsia" w:ascii="宋体" w:hAnsi="宋体"/>
          <w:szCs w:val="21"/>
          <w:highlight w:val="none"/>
        </w:rPr>
        <w:t>(2) 中标人须对合同中规定的整套系统提供至少24 个月的质保期及免费维修和保养，时间从验收通过、招标人接受并使用之日算起。</w:t>
      </w:r>
    </w:p>
    <w:p>
      <w:pPr>
        <w:spacing w:line="360" w:lineRule="auto"/>
        <w:ind w:firstLine="424" w:firstLineChars="202"/>
        <w:rPr>
          <w:rFonts w:ascii="宋体" w:hAnsi="宋体"/>
          <w:szCs w:val="21"/>
          <w:highlight w:val="none"/>
        </w:rPr>
      </w:pPr>
      <w:r>
        <w:rPr>
          <w:rFonts w:hint="eastAsia" w:ascii="宋体" w:hAnsi="宋体"/>
          <w:szCs w:val="21"/>
          <w:highlight w:val="none"/>
        </w:rPr>
        <w:t>(3) 在质保期内的工作应包括对所有设备进行常规检查、调整和润滑。具体的操作程序和内容须在投标时说明。</w:t>
      </w:r>
    </w:p>
    <w:p>
      <w:pPr>
        <w:spacing w:line="360" w:lineRule="auto"/>
        <w:ind w:firstLine="424" w:firstLineChars="202"/>
        <w:rPr>
          <w:rFonts w:ascii="宋体" w:hAnsi="宋体"/>
          <w:szCs w:val="21"/>
          <w:highlight w:val="none"/>
        </w:rPr>
      </w:pPr>
      <w:r>
        <w:rPr>
          <w:rFonts w:hint="eastAsia" w:ascii="宋体" w:hAnsi="宋体"/>
          <w:szCs w:val="21"/>
          <w:highlight w:val="none"/>
        </w:rPr>
        <w:t>(4) 质保期内投标人须自行付费，负责修理和替换任何由于设备自身的质量问题造成的损坏及故障。</w:t>
      </w:r>
    </w:p>
    <w:p>
      <w:pPr>
        <w:spacing w:line="360" w:lineRule="auto"/>
        <w:ind w:firstLine="424" w:firstLineChars="202"/>
        <w:rPr>
          <w:rFonts w:ascii="宋体" w:hAnsi="宋体"/>
          <w:szCs w:val="21"/>
          <w:highlight w:val="none"/>
        </w:rPr>
      </w:pPr>
      <w:r>
        <w:rPr>
          <w:rFonts w:hint="eastAsia" w:ascii="宋体" w:hAnsi="宋体"/>
          <w:szCs w:val="21"/>
          <w:highlight w:val="none"/>
        </w:rPr>
        <w:t>5、备件供应</w:t>
      </w:r>
    </w:p>
    <w:p>
      <w:pPr>
        <w:spacing w:line="360" w:lineRule="auto"/>
        <w:ind w:firstLine="424" w:firstLineChars="202"/>
        <w:rPr>
          <w:rFonts w:ascii="宋体" w:hAnsi="宋体"/>
          <w:szCs w:val="21"/>
          <w:highlight w:val="none"/>
        </w:rPr>
      </w:pPr>
      <w:r>
        <w:rPr>
          <w:rFonts w:hint="eastAsia" w:ascii="宋体" w:hAnsi="宋体"/>
          <w:szCs w:val="21"/>
          <w:highlight w:val="none"/>
        </w:rPr>
        <w:t>供应商对各种型号的设备须提供足够的备件、附件和易损件并保证是原厂生产的产品，以满足设备正常运行的需要。</w:t>
      </w:r>
    </w:p>
    <w:p>
      <w:pPr>
        <w:spacing w:line="360" w:lineRule="auto"/>
        <w:ind w:firstLine="424" w:firstLineChars="202"/>
        <w:rPr>
          <w:rFonts w:ascii="宋体" w:hAnsi="宋体"/>
          <w:szCs w:val="21"/>
          <w:highlight w:val="none"/>
        </w:rPr>
      </w:pPr>
      <w:r>
        <w:rPr>
          <w:rFonts w:hint="eastAsia" w:ascii="宋体" w:hAnsi="宋体"/>
          <w:szCs w:val="21"/>
          <w:highlight w:val="none"/>
        </w:rPr>
        <w:t>6、检验和维修设备及工具</w:t>
      </w:r>
    </w:p>
    <w:p>
      <w:pPr>
        <w:spacing w:line="360" w:lineRule="auto"/>
        <w:ind w:firstLine="424" w:firstLineChars="202"/>
        <w:rPr>
          <w:rFonts w:ascii="宋体" w:hAnsi="宋体"/>
          <w:szCs w:val="21"/>
          <w:highlight w:val="none"/>
        </w:rPr>
      </w:pPr>
      <w:r>
        <w:rPr>
          <w:rFonts w:hint="eastAsia" w:ascii="宋体" w:hAnsi="宋体"/>
          <w:szCs w:val="21"/>
          <w:highlight w:val="none"/>
        </w:rPr>
        <w:t>(1) 须提供足够的常用检修设备。推荐的检修设备须在投标书中说明。这些设备及工具不能在安装时使用。</w:t>
      </w:r>
    </w:p>
    <w:p>
      <w:pPr>
        <w:spacing w:line="360" w:lineRule="auto"/>
        <w:ind w:firstLine="424" w:firstLineChars="202"/>
        <w:rPr>
          <w:rFonts w:ascii="宋体" w:hAnsi="宋体"/>
          <w:szCs w:val="21"/>
          <w:highlight w:val="none"/>
        </w:rPr>
      </w:pPr>
      <w:r>
        <w:rPr>
          <w:rFonts w:hint="eastAsia" w:ascii="宋体" w:hAnsi="宋体"/>
          <w:szCs w:val="21"/>
          <w:highlight w:val="none"/>
        </w:rPr>
        <w:t>(2) 所有测试需要的附件、零部件和中文操作维修手册应与检修设备一并免费提供。</w:t>
      </w:r>
    </w:p>
    <w:p>
      <w:pPr>
        <w:spacing w:line="360" w:lineRule="auto"/>
        <w:ind w:firstLine="424" w:firstLineChars="202"/>
        <w:rPr>
          <w:rFonts w:ascii="宋体" w:hAnsi="宋体"/>
          <w:szCs w:val="21"/>
          <w:highlight w:val="none"/>
        </w:rPr>
      </w:pPr>
      <w:r>
        <w:rPr>
          <w:rFonts w:hint="eastAsia" w:ascii="宋体" w:hAnsi="宋体"/>
          <w:szCs w:val="21"/>
          <w:highlight w:val="none"/>
        </w:rPr>
        <w:t>(3) 所有检修设备使用的交流电应为50Hz、220V、单相、三线，并能在±7%的压差下正常运行。</w:t>
      </w:r>
    </w:p>
    <w:p>
      <w:pPr>
        <w:spacing w:line="360" w:lineRule="auto"/>
        <w:ind w:firstLine="424" w:firstLineChars="202"/>
        <w:rPr>
          <w:rFonts w:ascii="宋体" w:hAnsi="宋体"/>
          <w:szCs w:val="21"/>
          <w:highlight w:val="none"/>
        </w:rPr>
      </w:pPr>
      <w:r>
        <w:rPr>
          <w:rFonts w:hint="eastAsia" w:ascii="宋体" w:hAnsi="宋体"/>
          <w:szCs w:val="21"/>
          <w:highlight w:val="none"/>
        </w:rPr>
        <w:t>7、商标与铭牌</w:t>
      </w:r>
    </w:p>
    <w:p>
      <w:pPr>
        <w:spacing w:line="360" w:lineRule="auto"/>
        <w:ind w:firstLine="424" w:firstLineChars="202"/>
        <w:rPr>
          <w:rFonts w:ascii="宋体" w:hAnsi="宋体"/>
          <w:szCs w:val="21"/>
          <w:highlight w:val="none"/>
        </w:rPr>
      </w:pPr>
      <w:r>
        <w:rPr>
          <w:rFonts w:hint="eastAsia" w:ascii="宋体" w:hAnsi="宋体"/>
          <w:szCs w:val="21"/>
          <w:highlight w:val="none"/>
        </w:rPr>
        <w:t>供应商提供的设备，其铭牌、使用标记、警示标记都应表示清楚。</w:t>
      </w:r>
    </w:p>
    <w:p>
      <w:pPr>
        <w:spacing w:line="360" w:lineRule="auto"/>
        <w:ind w:firstLine="424" w:firstLineChars="202"/>
        <w:rPr>
          <w:rFonts w:ascii="宋体" w:hAnsi="宋体"/>
          <w:szCs w:val="21"/>
          <w:highlight w:val="none"/>
        </w:rPr>
      </w:pPr>
      <w:r>
        <w:rPr>
          <w:rFonts w:hint="eastAsia" w:ascii="宋体" w:hAnsi="宋体"/>
          <w:szCs w:val="21"/>
          <w:highlight w:val="none"/>
        </w:rPr>
        <w:t>8、培训</w:t>
      </w:r>
    </w:p>
    <w:p>
      <w:pPr>
        <w:spacing w:line="360" w:lineRule="auto"/>
        <w:ind w:firstLine="424" w:firstLineChars="202"/>
        <w:rPr>
          <w:rFonts w:ascii="宋体" w:hAnsi="宋体"/>
          <w:szCs w:val="21"/>
          <w:highlight w:val="none"/>
        </w:rPr>
        <w:sectPr>
          <w:pgSz w:w="11906" w:h="16838"/>
          <w:pgMar w:top="1440" w:right="1247" w:bottom="1440" w:left="1247" w:header="1021" w:footer="1021" w:gutter="0"/>
          <w:cols w:space="720" w:num="1"/>
          <w:titlePg/>
          <w:docGrid w:linePitch="312" w:charSpace="0"/>
        </w:sectPr>
      </w:pPr>
      <w:r>
        <w:rPr>
          <w:rFonts w:hint="eastAsia" w:ascii="宋体" w:hAnsi="宋体"/>
          <w:szCs w:val="21"/>
          <w:highlight w:val="none"/>
        </w:rPr>
        <w:t>免费为甲方的维修人员提供现场培训，使受培训人员至少达到以下水平：掌握一般运行原理、使用方法、紧急救援及日常维护等常用技能。</w:t>
      </w:r>
    </w:p>
    <w:p>
      <w:pPr>
        <w:pStyle w:val="2"/>
        <w:spacing w:line="360" w:lineRule="auto"/>
        <w:rPr>
          <w:rFonts w:ascii="宋体" w:hAnsi="宋体" w:eastAsia="宋体" w:cs="Arial"/>
          <w:color w:val="000000"/>
          <w:sz w:val="36"/>
          <w:szCs w:val="36"/>
          <w:highlight w:val="none"/>
        </w:rPr>
      </w:pPr>
      <w:bookmarkStart w:id="45" w:name="_Toc31151_WPSOffice_Level1"/>
      <w:bookmarkStart w:id="46" w:name="_Toc25000045"/>
      <w:r>
        <w:rPr>
          <w:rFonts w:ascii="宋体" w:hAnsi="宋体" w:eastAsia="宋体" w:cs="Arial"/>
          <w:color w:val="000000"/>
          <w:sz w:val="36"/>
          <w:szCs w:val="36"/>
          <w:highlight w:val="none"/>
        </w:rPr>
        <w:t xml:space="preserve">第四章  </w:t>
      </w:r>
      <w:bookmarkEnd w:id="13"/>
      <w:bookmarkEnd w:id="14"/>
      <w:bookmarkEnd w:id="15"/>
      <w:r>
        <w:rPr>
          <w:rFonts w:hint="eastAsia" w:ascii="宋体" w:hAnsi="宋体" w:eastAsia="宋体" w:cs="Arial"/>
          <w:color w:val="000000"/>
          <w:sz w:val="36"/>
          <w:szCs w:val="36"/>
          <w:highlight w:val="none"/>
        </w:rPr>
        <w:t>合同文本</w:t>
      </w:r>
      <w:bookmarkEnd w:id="45"/>
      <w:bookmarkEnd w:id="46"/>
    </w:p>
    <w:p>
      <w:pPr>
        <w:pStyle w:val="4"/>
        <w:spacing w:line="360" w:lineRule="auto"/>
        <w:ind w:firstLine="0" w:firstLineChars="0"/>
        <w:jc w:val="center"/>
        <w:rPr>
          <w:rFonts w:ascii="宋体" w:hAnsi="宋体" w:cs="Arial"/>
          <w:color w:val="000000"/>
          <w:sz w:val="28"/>
          <w:szCs w:val="21"/>
          <w:highlight w:val="none"/>
        </w:rPr>
      </w:pPr>
      <w:r>
        <w:rPr>
          <w:rFonts w:hint="eastAsia" w:ascii="宋体" w:hAnsi="宋体" w:cs="Arial"/>
          <w:color w:val="000000"/>
          <w:sz w:val="28"/>
          <w:szCs w:val="21"/>
          <w:highlight w:val="none"/>
        </w:rPr>
        <w:t>一、</w:t>
      </w:r>
      <w:r>
        <w:rPr>
          <w:rFonts w:ascii="宋体" w:hAnsi="宋体" w:cs="Arial"/>
          <w:color w:val="000000"/>
          <w:sz w:val="28"/>
          <w:szCs w:val="21"/>
          <w:highlight w:val="none"/>
        </w:rPr>
        <w:t>合同协议</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u w:val="single"/>
        </w:rPr>
        <w:t xml:space="preserve">         　　　     </w:t>
      </w:r>
      <w:r>
        <w:rPr>
          <w:rFonts w:ascii="Arial" w:hAnsi="Arial" w:cs="Arial"/>
          <w:color w:val="000000"/>
          <w:szCs w:val="21"/>
          <w:highlight w:val="none"/>
        </w:rPr>
        <w:t>(甲方)</w:t>
      </w:r>
      <w:r>
        <w:rPr>
          <w:rFonts w:ascii="Arial" w:hAnsi="Arial" w:cs="Arial"/>
          <w:color w:val="000000"/>
          <w:szCs w:val="21"/>
          <w:highlight w:val="none"/>
          <w:u w:val="single"/>
        </w:rPr>
        <w:t xml:space="preserve">        　　　</w:t>
      </w:r>
      <w:r>
        <w:rPr>
          <w:rFonts w:ascii="Arial" w:hAnsi="Arial" w:cs="Arial"/>
          <w:color w:val="000000"/>
          <w:szCs w:val="21"/>
          <w:highlight w:val="none"/>
        </w:rPr>
        <w:t>(项目名称)中所需</w:t>
      </w:r>
      <w:r>
        <w:rPr>
          <w:rFonts w:ascii="Arial" w:hAnsi="Arial" w:cs="Arial"/>
          <w:color w:val="000000"/>
          <w:szCs w:val="21"/>
          <w:highlight w:val="none"/>
          <w:u w:val="single"/>
        </w:rPr>
        <w:t xml:space="preserve"> 　　  　</w:t>
      </w:r>
      <w:r>
        <w:rPr>
          <w:rFonts w:ascii="Arial" w:hAnsi="Arial" w:cs="Arial"/>
          <w:color w:val="000000"/>
          <w:szCs w:val="21"/>
          <w:highlight w:val="none"/>
        </w:rPr>
        <w:t>(标项内容)经(采购人)以招标文件（招标项目编号：）进行公开招标。经评标委员会评定</w:t>
      </w:r>
      <w:r>
        <w:rPr>
          <w:rFonts w:ascii="Arial" w:hAnsi="Arial" w:cs="Arial"/>
          <w:color w:val="000000"/>
          <w:szCs w:val="21"/>
          <w:highlight w:val="none"/>
          <w:u w:val="single"/>
        </w:rPr>
        <w:t xml:space="preserve"> 　　　　　  </w:t>
      </w:r>
      <w:r>
        <w:rPr>
          <w:rFonts w:ascii="Arial" w:hAnsi="Arial" w:cs="Arial"/>
          <w:color w:val="000000"/>
          <w:szCs w:val="21"/>
          <w:highlight w:val="none"/>
        </w:rPr>
        <w:t>(乙方)为中标人。甲、乙双方依据《中华人民共和国政府采购法》、《中华人民共和国合同法》，在平等自愿的基础上，同意按照下面的条款和条件，签署本合同。</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下列文件构成本合同的组成部分，应该认为是一个整体，彼此相互解释，相互补充。组成合同的多个文件的优先支配地位的次序如下：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a.</w:t>
      </w:r>
      <w:r>
        <w:rPr>
          <w:rFonts w:ascii="Arial" w:hAnsi="Arial" w:cs="Arial"/>
          <w:color w:val="000000"/>
          <w:szCs w:val="21"/>
          <w:highlight w:val="none"/>
        </w:rPr>
        <w:tab/>
      </w:r>
      <w:r>
        <w:rPr>
          <w:rFonts w:ascii="Arial" w:hAnsi="Arial" w:cs="Arial"/>
          <w:color w:val="000000"/>
          <w:szCs w:val="21"/>
          <w:highlight w:val="none"/>
        </w:rPr>
        <w:t xml:space="preserve"> 本合同书　</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b.</w:t>
      </w:r>
      <w:r>
        <w:rPr>
          <w:rFonts w:ascii="Arial" w:hAnsi="Arial" w:cs="Arial"/>
          <w:color w:val="000000"/>
          <w:szCs w:val="21"/>
          <w:highlight w:val="none"/>
        </w:rPr>
        <w:tab/>
      </w:r>
      <w:r>
        <w:rPr>
          <w:rFonts w:ascii="Arial" w:hAnsi="Arial" w:cs="Arial"/>
          <w:color w:val="000000"/>
          <w:szCs w:val="21"/>
          <w:highlight w:val="none"/>
        </w:rPr>
        <w:t xml:space="preserve"> 中标通知书</w:t>
      </w:r>
      <w:r>
        <w:rPr>
          <w:rFonts w:ascii="Arial" w:hAnsi="Arial" w:cs="Arial"/>
          <w:color w:val="000000"/>
          <w:szCs w:val="21"/>
          <w:highlight w:val="none"/>
        </w:rPr>
        <w:tab/>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c.</w:t>
      </w:r>
      <w:r>
        <w:rPr>
          <w:rFonts w:ascii="Arial" w:hAnsi="Arial" w:cs="Arial"/>
          <w:color w:val="000000"/>
          <w:szCs w:val="21"/>
          <w:highlight w:val="none"/>
        </w:rPr>
        <w:tab/>
      </w:r>
      <w:r>
        <w:rPr>
          <w:rFonts w:ascii="Arial" w:hAnsi="Arial" w:cs="Arial"/>
          <w:color w:val="000000"/>
          <w:szCs w:val="21"/>
          <w:highlight w:val="none"/>
        </w:rPr>
        <w:t xml:space="preserve"> 投标文件</w:t>
      </w:r>
      <w:r>
        <w:rPr>
          <w:rFonts w:ascii="Arial" w:hAnsi="Arial" w:cs="Arial"/>
          <w:color w:val="000000"/>
          <w:szCs w:val="21"/>
          <w:highlight w:val="none"/>
        </w:rPr>
        <w:tab/>
      </w:r>
      <w:r>
        <w:rPr>
          <w:rFonts w:ascii="Arial" w:hAnsi="Arial" w:cs="Arial"/>
          <w:color w:val="000000"/>
          <w:szCs w:val="21"/>
          <w:highlight w:val="none"/>
        </w:rPr>
        <w:tab/>
      </w:r>
      <w:r>
        <w:rPr>
          <w:rFonts w:ascii="Arial" w:hAnsi="Arial" w:cs="Arial"/>
          <w:color w:val="000000"/>
          <w:szCs w:val="21"/>
          <w:highlight w:val="none"/>
        </w:rPr>
        <w:tab/>
      </w:r>
      <w:r>
        <w:rPr>
          <w:rFonts w:ascii="Arial" w:hAnsi="Arial" w:cs="Arial"/>
          <w:color w:val="000000"/>
          <w:szCs w:val="21"/>
          <w:highlight w:val="none"/>
        </w:rPr>
        <w:tab/>
      </w:r>
      <w:r>
        <w:rPr>
          <w:rFonts w:ascii="Arial" w:hAnsi="Arial" w:cs="Arial"/>
          <w:color w:val="000000"/>
          <w:szCs w:val="21"/>
          <w:highlight w:val="none"/>
        </w:rPr>
        <w:t>(含询标澄清文件)</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d.</w:t>
      </w:r>
      <w:r>
        <w:rPr>
          <w:rFonts w:ascii="Arial" w:hAnsi="Arial" w:cs="Arial"/>
          <w:color w:val="000000"/>
          <w:szCs w:val="21"/>
          <w:highlight w:val="none"/>
        </w:rPr>
        <w:tab/>
      </w:r>
      <w:r>
        <w:rPr>
          <w:rFonts w:ascii="Arial" w:hAnsi="Arial" w:cs="Arial"/>
          <w:color w:val="000000"/>
          <w:szCs w:val="21"/>
          <w:highlight w:val="none"/>
        </w:rPr>
        <w:t xml:space="preserve"> 招标文件</w:t>
      </w:r>
      <w:r>
        <w:rPr>
          <w:rFonts w:ascii="Arial" w:hAnsi="Arial" w:cs="Arial"/>
          <w:color w:val="000000"/>
          <w:szCs w:val="21"/>
          <w:highlight w:val="none"/>
        </w:rPr>
        <w:tab/>
      </w:r>
      <w:r>
        <w:rPr>
          <w:rFonts w:ascii="Arial" w:hAnsi="Arial" w:cs="Arial"/>
          <w:color w:val="000000"/>
          <w:szCs w:val="21"/>
          <w:highlight w:val="none"/>
        </w:rPr>
        <w:tab/>
      </w:r>
      <w:r>
        <w:rPr>
          <w:rFonts w:ascii="Arial" w:hAnsi="Arial" w:cs="Arial"/>
          <w:color w:val="000000"/>
          <w:szCs w:val="21"/>
          <w:highlight w:val="none"/>
        </w:rPr>
        <w:tab/>
      </w:r>
      <w:r>
        <w:rPr>
          <w:rFonts w:ascii="Arial" w:hAnsi="Arial" w:cs="Arial"/>
          <w:color w:val="000000"/>
          <w:szCs w:val="21"/>
          <w:highlight w:val="none"/>
        </w:rPr>
        <w:tab/>
      </w:r>
      <w:r>
        <w:rPr>
          <w:rFonts w:ascii="Arial" w:hAnsi="Arial" w:cs="Arial"/>
          <w:color w:val="000000"/>
          <w:szCs w:val="21"/>
          <w:highlight w:val="none"/>
        </w:rPr>
        <w:t>(含招标文件补充)</w:t>
      </w:r>
    </w:p>
    <w:p>
      <w:pPr>
        <w:snapToGrid w:val="0"/>
        <w:spacing w:line="300" w:lineRule="auto"/>
        <w:ind w:firstLine="422" w:firstLineChars="200"/>
        <w:rPr>
          <w:rFonts w:ascii="Arial" w:hAnsi="Arial" w:cs="Arial"/>
          <w:color w:val="000000"/>
          <w:szCs w:val="21"/>
          <w:highlight w:val="none"/>
        </w:rPr>
      </w:pPr>
      <w:r>
        <w:rPr>
          <w:rFonts w:ascii="Arial" w:hAnsi="Arial" w:cs="Arial"/>
          <w:b/>
          <w:color w:val="000000"/>
          <w:szCs w:val="21"/>
          <w:highlight w:val="none"/>
        </w:rPr>
        <w:t>2、合同标的物</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本合同标的物名称及数量：</w:t>
      </w:r>
      <w:r>
        <w:rPr>
          <w:rFonts w:ascii="Arial" w:hAnsi="Arial" w:cs="Arial"/>
          <w:color w:val="000000"/>
          <w:szCs w:val="21"/>
          <w:highlight w:val="none"/>
          <w:u w:val="single"/>
        </w:rPr>
        <w:t>　　　　　　　　　　　　</w:t>
      </w:r>
    </w:p>
    <w:p>
      <w:pPr>
        <w:snapToGrid w:val="0"/>
        <w:spacing w:line="300" w:lineRule="auto"/>
        <w:ind w:firstLine="422" w:firstLineChars="200"/>
        <w:rPr>
          <w:rFonts w:ascii="Arial" w:hAnsi="Arial" w:cs="Arial"/>
          <w:color w:val="000000"/>
          <w:szCs w:val="21"/>
          <w:highlight w:val="none"/>
        </w:rPr>
      </w:pPr>
      <w:r>
        <w:rPr>
          <w:rFonts w:ascii="Arial" w:hAnsi="Arial" w:cs="Arial"/>
          <w:b/>
          <w:color w:val="000000"/>
          <w:szCs w:val="21"/>
          <w:highlight w:val="none"/>
        </w:rPr>
        <w:t>3、合同总价</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本合同总价为</w:t>
      </w:r>
      <w:r>
        <w:rPr>
          <w:rFonts w:ascii="Arial" w:hAnsi="Arial" w:cs="Arial"/>
          <w:color w:val="000000"/>
          <w:szCs w:val="21"/>
          <w:highlight w:val="none"/>
          <w:u w:val="single"/>
        </w:rPr>
        <w:t xml:space="preserve">    　　   </w:t>
      </w:r>
      <w:r>
        <w:rPr>
          <w:rFonts w:ascii="Arial" w:hAnsi="Arial" w:cs="Arial"/>
          <w:color w:val="000000"/>
          <w:szCs w:val="21"/>
          <w:highlight w:val="none"/>
        </w:rPr>
        <w:t>元人民币。</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分项价格：</w:t>
      </w:r>
      <w:r>
        <w:rPr>
          <w:rFonts w:ascii="Arial" w:hAnsi="Arial" w:cs="Arial"/>
          <w:color w:val="000000"/>
          <w:szCs w:val="21"/>
          <w:highlight w:val="none"/>
          <w:u w:val="single"/>
        </w:rPr>
        <w:t>　　　　　　　　　　　　</w:t>
      </w:r>
    </w:p>
    <w:p>
      <w:pPr>
        <w:snapToGrid w:val="0"/>
        <w:spacing w:line="300" w:lineRule="auto"/>
        <w:ind w:firstLine="422" w:firstLineChars="200"/>
        <w:rPr>
          <w:rFonts w:ascii="Arial" w:hAnsi="Arial" w:cs="Arial"/>
          <w:color w:val="000000"/>
          <w:szCs w:val="21"/>
          <w:highlight w:val="none"/>
        </w:rPr>
      </w:pPr>
      <w:r>
        <w:rPr>
          <w:rFonts w:ascii="Arial" w:hAnsi="Arial" w:cs="Arial"/>
          <w:b/>
          <w:color w:val="000000"/>
          <w:szCs w:val="21"/>
          <w:highlight w:val="none"/>
        </w:rPr>
        <w:t>4、付款方式</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本合同的付款方式为：</w:t>
      </w:r>
      <w:r>
        <w:rPr>
          <w:rFonts w:ascii="Arial" w:hAnsi="Arial" w:cs="Arial"/>
          <w:color w:val="000000"/>
          <w:szCs w:val="21"/>
          <w:highlight w:val="none"/>
          <w:u w:val="single"/>
        </w:rPr>
        <w:t>见合同条款</w:t>
      </w:r>
    </w:p>
    <w:p>
      <w:pPr>
        <w:snapToGrid w:val="0"/>
        <w:spacing w:line="300" w:lineRule="auto"/>
        <w:ind w:firstLine="422" w:firstLineChars="200"/>
        <w:rPr>
          <w:rFonts w:ascii="Arial" w:hAnsi="Arial" w:cs="Arial"/>
          <w:color w:val="000000"/>
          <w:szCs w:val="21"/>
          <w:highlight w:val="none"/>
        </w:rPr>
      </w:pPr>
      <w:r>
        <w:rPr>
          <w:rFonts w:ascii="Arial" w:hAnsi="Arial" w:cs="Arial"/>
          <w:b/>
          <w:color w:val="000000"/>
          <w:szCs w:val="21"/>
          <w:highlight w:val="none"/>
        </w:rPr>
        <w:t>5、本合同标的物的实施周期</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实施周期：</w:t>
      </w:r>
      <w:r>
        <w:rPr>
          <w:rFonts w:ascii="Arial" w:hAnsi="Arial" w:cs="Arial"/>
          <w:color w:val="000000"/>
          <w:szCs w:val="21"/>
          <w:highlight w:val="none"/>
          <w:u w:val="single"/>
        </w:rPr>
        <w:t>　　　　　　　　　　　　　　　　</w:t>
      </w:r>
    </w:p>
    <w:p>
      <w:pPr>
        <w:snapToGrid w:val="0"/>
        <w:spacing w:line="300" w:lineRule="auto"/>
        <w:ind w:firstLine="422" w:firstLineChars="200"/>
        <w:rPr>
          <w:rFonts w:ascii="Arial" w:hAnsi="Arial" w:cs="Arial"/>
          <w:b/>
          <w:color w:val="000000"/>
          <w:szCs w:val="21"/>
          <w:highlight w:val="none"/>
        </w:rPr>
      </w:pPr>
      <w:r>
        <w:rPr>
          <w:rFonts w:ascii="Arial" w:hAnsi="Arial" w:cs="Arial"/>
          <w:b/>
          <w:color w:val="000000"/>
          <w:szCs w:val="21"/>
          <w:highlight w:val="none"/>
        </w:rPr>
        <w:t>6、本合同标的物的交货地点及安装地点</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交货地点：</w:t>
      </w:r>
      <w:r>
        <w:rPr>
          <w:rFonts w:ascii="Arial" w:hAnsi="Arial" w:cs="Arial"/>
          <w:color w:val="000000"/>
          <w:szCs w:val="21"/>
          <w:highlight w:val="none"/>
          <w:u w:val="single"/>
        </w:rPr>
        <w:t>　　　　　　　　　　　　　　　　</w:t>
      </w:r>
    </w:p>
    <w:p>
      <w:pPr>
        <w:snapToGrid w:val="0"/>
        <w:spacing w:line="300" w:lineRule="auto"/>
        <w:ind w:firstLine="420" w:firstLineChars="200"/>
        <w:rPr>
          <w:rFonts w:ascii="Arial" w:hAnsi="Arial" w:cs="Arial"/>
          <w:b/>
          <w:color w:val="000000"/>
          <w:szCs w:val="21"/>
          <w:highlight w:val="none"/>
        </w:rPr>
      </w:pPr>
      <w:r>
        <w:rPr>
          <w:rFonts w:ascii="Arial" w:hAnsi="Arial" w:cs="Arial"/>
          <w:color w:val="000000"/>
          <w:szCs w:val="21"/>
          <w:highlight w:val="none"/>
        </w:rPr>
        <w:t>安装地点：</w:t>
      </w:r>
      <w:r>
        <w:rPr>
          <w:rFonts w:ascii="Arial" w:hAnsi="Arial" w:cs="Arial"/>
          <w:color w:val="000000"/>
          <w:szCs w:val="21"/>
          <w:highlight w:val="none"/>
          <w:u w:val="single"/>
        </w:rPr>
        <w:t>　　　　　　　　　　　　　　　　</w:t>
      </w:r>
    </w:p>
    <w:p>
      <w:pPr>
        <w:snapToGrid w:val="0"/>
        <w:spacing w:line="300" w:lineRule="auto"/>
        <w:ind w:firstLine="422" w:firstLineChars="200"/>
        <w:rPr>
          <w:rFonts w:ascii="Arial" w:hAnsi="Arial" w:cs="Arial"/>
          <w:color w:val="000000"/>
          <w:szCs w:val="21"/>
          <w:highlight w:val="none"/>
        </w:rPr>
      </w:pPr>
      <w:r>
        <w:rPr>
          <w:rFonts w:ascii="Arial" w:hAnsi="Arial" w:cs="Arial"/>
          <w:b/>
          <w:color w:val="000000"/>
          <w:szCs w:val="21"/>
          <w:highlight w:val="none"/>
        </w:rPr>
        <w:t>7、合同的生效。</w:t>
      </w:r>
    </w:p>
    <w:p>
      <w:pPr>
        <w:snapToGrid w:val="0"/>
        <w:spacing w:line="300" w:lineRule="auto"/>
        <w:ind w:firstLine="420" w:firstLineChars="200"/>
        <w:rPr>
          <w:rFonts w:ascii="Arial" w:hAnsi="Arial" w:cs="Arial"/>
          <w:color w:val="000000"/>
          <w:szCs w:val="21"/>
          <w:highlight w:val="none"/>
        </w:rPr>
      </w:pPr>
      <w:r>
        <w:rPr>
          <w:rFonts w:ascii="Arial" w:hAnsi="Arial" w:cs="Arial"/>
          <w:color w:val="000000"/>
          <w:szCs w:val="21"/>
          <w:highlight w:val="none"/>
        </w:rPr>
        <w:t>本合同经双方全权代表签署、加盖单位章并由乙方提交履约保证金后生效。授权代表签署的后附法定代表人授权书</w:t>
      </w:r>
    </w:p>
    <w:tbl>
      <w:tblPr>
        <w:tblStyle w:val="63"/>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5"/>
        <w:gridCol w:w="4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 xml:space="preserve">甲方(单位章)： </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法定代表人（签字或盖章）：</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或授权代表(签字)：</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地　　址：</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邮政编码：</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电　　话：</w:t>
            </w:r>
            <w:r>
              <w:rPr>
                <w:rFonts w:ascii="Arial" w:hAnsi="Arial" w:cs="Arial"/>
                <w:color w:val="000000"/>
                <w:szCs w:val="21"/>
                <w:highlight w:val="none"/>
                <w:u w:val="single"/>
              </w:rPr>
              <w:tab/>
            </w:r>
            <w:r>
              <w:rPr>
                <w:rFonts w:ascii="Arial" w:hAnsi="Arial" w:cs="Arial"/>
                <w:color w:val="000000"/>
                <w:szCs w:val="21"/>
                <w:highlight w:val="none"/>
                <w:u w:val="single"/>
              </w:rPr>
              <w:tab/>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电　　话：</w:t>
            </w:r>
            <w:r>
              <w:rPr>
                <w:rFonts w:ascii="Arial" w:hAnsi="Arial" w:cs="Arial"/>
                <w:color w:val="000000"/>
                <w:szCs w:val="21"/>
                <w:highlight w:val="none"/>
                <w:u w:val="single"/>
              </w:rPr>
              <w:tab/>
            </w:r>
            <w:r>
              <w:rPr>
                <w:rFonts w:ascii="Arial" w:hAnsi="Arial" w:cs="Arial"/>
                <w:color w:val="000000"/>
                <w:szCs w:val="21"/>
                <w:highlight w:val="none"/>
                <w:u w:val="singl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 xml:space="preserve">开户银行： </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 xml:space="preserve">账　　号： </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税号：</w:t>
            </w:r>
          </w:p>
        </w:tc>
        <w:tc>
          <w:tcPr>
            <w:tcW w:w="4666" w:type="dxa"/>
            <w:vAlign w:val="center"/>
          </w:tcPr>
          <w:p>
            <w:pPr>
              <w:snapToGrid w:val="0"/>
              <w:spacing w:line="300" w:lineRule="auto"/>
              <w:rPr>
                <w:rFonts w:ascii="Arial" w:hAnsi="Arial" w:cs="Arial"/>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735"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签订时间：   年　月　日</w:t>
            </w:r>
          </w:p>
        </w:tc>
        <w:tc>
          <w:tcPr>
            <w:tcW w:w="4666" w:type="dxa"/>
            <w:vAlign w:val="center"/>
          </w:tcPr>
          <w:p>
            <w:pPr>
              <w:snapToGrid w:val="0"/>
              <w:spacing w:line="300" w:lineRule="auto"/>
              <w:rPr>
                <w:rFonts w:ascii="Arial" w:hAnsi="Arial" w:cs="Arial"/>
                <w:color w:val="000000"/>
                <w:szCs w:val="21"/>
                <w:highlight w:val="none"/>
              </w:rPr>
            </w:pPr>
            <w:r>
              <w:rPr>
                <w:rFonts w:ascii="Arial" w:hAnsi="Arial" w:cs="Arial"/>
                <w:color w:val="000000"/>
                <w:szCs w:val="21"/>
                <w:highlight w:val="none"/>
              </w:rPr>
              <w:t>签订时间：   年　月　日</w:t>
            </w:r>
          </w:p>
        </w:tc>
      </w:tr>
    </w:tbl>
    <w:p>
      <w:pPr>
        <w:snapToGrid w:val="0"/>
        <w:spacing w:line="300" w:lineRule="auto"/>
        <w:rPr>
          <w:rFonts w:ascii="Arial" w:hAnsi="Arial" w:cs="Arial"/>
          <w:color w:val="000000"/>
          <w:szCs w:val="21"/>
          <w:highlight w:val="none"/>
        </w:rPr>
      </w:pPr>
      <w:r>
        <w:rPr>
          <w:rFonts w:ascii="Arial" w:hAnsi="Arial" w:cs="Arial"/>
          <w:color w:val="000000"/>
          <w:szCs w:val="21"/>
          <w:highlight w:val="none"/>
        </w:rPr>
        <w:t>签约地点：</w:t>
      </w:r>
    </w:p>
    <w:p>
      <w:pPr>
        <w:pStyle w:val="4"/>
        <w:spacing w:line="360" w:lineRule="auto"/>
        <w:ind w:firstLine="0" w:firstLineChars="0"/>
        <w:jc w:val="center"/>
        <w:rPr>
          <w:rFonts w:ascii="宋体" w:hAnsi="宋体" w:cs="Arial"/>
          <w:color w:val="000000"/>
          <w:sz w:val="28"/>
          <w:szCs w:val="21"/>
          <w:highlight w:val="none"/>
        </w:rPr>
      </w:pPr>
      <w:r>
        <w:rPr>
          <w:rFonts w:hint="eastAsia" w:ascii="宋体" w:hAnsi="宋体" w:cs="Arial"/>
          <w:color w:val="000000"/>
          <w:sz w:val="28"/>
          <w:szCs w:val="21"/>
          <w:highlight w:val="none"/>
        </w:rPr>
        <w:t>二、</w:t>
      </w:r>
      <w:r>
        <w:rPr>
          <w:rFonts w:ascii="宋体" w:hAnsi="宋体" w:cs="Arial"/>
          <w:color w:val="000000"/>
          <w:sz w:val="28"/>
          <w:szCs w:val="21"/>
          <w:highlight w:val="none"/>
        </w:rPr>
        <w:t>合同条款</w:t>
      </w:r>
    </w:p>
    <w:p>
      <w:pPr>
        <w:spacing w:line="360" w:lineRule="auto"/>
        <w:rPr>
          <w:kern w:val="0"/>
          <w:szCs w:val="21"/>
          <w:highlight w:val="none"/>
        </w:rPr>
      </w:pPr>
      <w:r>
        <w:rPr>
          <w:rFonts w:hint="eastAsia"/>
          <w:kern w:val="0"/>
          <w:szCs w:val="21"/>
          <w:highlight w:val="none"/>
        </w:rPr>
        <w:t>一、产品及服务：</w:t>
      </w:r>
    </w:p>
    <w:p>
      <w:pPr>
        <w:spacing w:line="360" w:lineRule="auto"/>
        <w:ind w:firstLine="420" w:firstLineChars="200"/>
        <w:rPr>
          <w:kern w:val="0"/>
          <w:szCs w:val="21"/>
          <w:highlight w:val="none"/>
        </w:rPr>
      </w:pPr>
      <w:r>
        <w:rPr>
          <w:rFonts w:hint="eastAsia"/>
          <w:kern w:val="0"/>
          <w:szCs w:val="21"/>
          <w:highlight w:val="none"/>
        </w:rPr>
        <w:t>乙方提供项目的设计、供货、安装及售后服务，负责承担相关费用。</w:t>
      </w:r>
    </w:p>
    <w:p>
      <w:pPr>
        <w:spacing w:line="360" w:lineRule="auto"/>
        <w:ind w:firstLine="420" w:firstLineChars="200"/>
        <w:rPr>
          <w:kern w:val="0"/>
          <w:szCs w:val="21"/>
          <w:highlight w:val="none"/>
        </w:rPr>
      </w:pPr>
      <w:r>
        <w:rPr>
          <w:rFonts w:hint="eastAsia"/>
          <w:kern w:val="0"/>
          <w:szCs w:val="21"/>
          <w:highlight w:val="none"/>
        </w:rPr>
        <w:t>乙方按其投标文件提供的设备，数量及技术性能必须满足招标文件的各项要求。设备清单见合同附件（包括中标通知书、招标文件、答疑纪要及附件、投标文件及附件、经双方协商一致达成的补充协议）。</w:t>
      </w:r>
    </w:p>
    <w:p>
      <w:pPr>
        <w:spacing w:line="360" w:lineRule="auto"/>
        <w:ind w:firstLine="420" w:firstLineChars="200"/>
        <w:rPr>
          <w:kern w:val="0"/>
          <w:szCs w:val="21"/>
          <w:highlight w:val="none"/>
        </w:rPr>
      </w:pPr>
      <w:r>
        <w:rPr>
          <w:rFonts w:hint="eastAsia"/>
          <w:kern w:val="0"/>
          <w:szCs w:val="21"/>
          <w:highlight w:val="none"/>
        </w:rPr>
        <w:t>乙方提供的服务不得低于招标文件的要求及投标文件承诺的标准。</w:t>
      </w:r>
    </w:p>
    <w:p>
      <w:pPr>
        <w:spacing w:line="360" w:lineRule="auto"/>
        <w:rPr>
          <w:kern w:val="0"/>
          <w:szCs w:val="21"/>
          <w:highlight w:val="none"/>
        </w:rPr>
      </w:pPr>
      <w:r>
        <w:rPr>
          <w:rFonts w:hint="eastAsia"/>
          <w:kern w:val="0"/>
          <w:szCs w:val="21"/>
          <w:highlight w:val="none"/>
        </w:rPr>
        <w:t>二、</w:t>
      </w:r>
      <w:bookmarkStart w:id="47" w:name="_Toc267251461"/>
      <w:bookmarkStart w:id="48" w:name="_Toc292559411"/>
      <w:bookmarkStart w:id="49" w:name="_Toc292559916"/>
      <w:bookmarkStart w:id="50" w:name="_Toc296346707"/>
      <w:bookmarkStart w:id="51" w:name="_Toc296944545"/>
      <w:bookmarkStart w:id="52" w:name="_Toc297120506"/>
      <w:bookmarkStart w:id="53" w:name="_Toc296891246"/>
      <w:bookmarkStart w:id="54" w:name="_Toc297048392"/>
      <w:bookmarkStart w:id="55" w:name="_Toc296503206"/>
      <w:bookmarkStart w:id="56" w:name="_Toc296891034"/>
      <w:bookmarkStart w:id="57" w:name="_Toc296347205"/>
      <w:bookmarkStart w:id="58" w:name="_Toc300935003"/>
      <w:bookmarkStart w:id="59" w:name="_Toc297216212"/>
      <w:bookmarkStart w:id="60" w:name="_Toc304295580"/>
      <w:bookmarkStart w:id="61" w:name="_Toc312678041"/>
      <w:bookmarkStart w:id="62" w:name="_Toc303539160"/>
      <w:bookmarkStart w:id="63" w:name="_Toc297123553"/>
      <w:r>
        <w:rPr>
          <w:rFonts w:hint="eastAsia"/>
          <w:kern w:val="0"/>
          <w:szCs w:val="21"/>
          <w:highlight w:val="none"/>
        </w:rPr>
        <w:t>合</w:t>
      </w:r>
      <w:bookmarkEnd w:id="47"/>
      <w:bookmarkEnd w:id="48"/>
      <w:bookmarkEnd w:id="49"/>
      <w:r>
        <w:rPr>
          <w:rFonts w:hint="eastAsia"/>
          <w:kern w:val="0"/>
          <w:szCs w:val="21"/>
          <w:highlight w:val="none"/>
        </w:rPr>
        <w:t>同价</w:t>
      </w:r>
      <w:bookmarkEnd w:id="50"/>
      <w:bookmarkEnd w:id="51"/>
      <w:bookmarkEnd w:id="52"/>
      <w:bookmarkEnd w:id="53"/>
      <w:bookmarkEnd w:id="54"/>
      <w:bookmarkEnd w:id="55"/>
      <w:bookmarkEnd w:id="56"/>
      <w:bookmarkEnd w:id="57"/>
      <w:r>
        <w:rPr>
          <w:rFonts w:hint="eastAsia"/>
          <w:kern w:val="0"/>
          <w:szCs w:val="21"/>
          <w:highlight w:val="none"/>
        </w:rPr>
        <w:t>格</w:t>
      </w:r>
    </w:p>
    <w:bookmarkEnd w:id="58"/>
    <w:bookmarkEnd w:id="59"/>
    <w:bookmarkEnd w:id="60"/>
    <w:bookmarkEnd w:id="61"/>
    <w:bookmarkEnd w:id="62"/>
    <w:bookmarkEnd w:id="63"/>
    <w:p>
      <w:pPr>
        <w:spacing w:line="360" w:lineRule="auto"/>
        <w:ind w:firstLine="420" w:firstLineChars="200"/>
        <w:jc w:val="left"/>
        <w:rPr>
          <w:kern w:val="0"/>
          <w:szCs w:val="21"/>
          <w:highlight w:val="none"/>
        </w:rPr>
      </w:pPr>
      <w:r>
        <w:rPr>
          <w:rFonts w:hint="eastAsia"/>
          <w:kern w:val="0"/>
          <w:szCs w:val="21"/>
          <w:highlight w:val="none"/>
        </w:rPr>
        <w:t>本合同采用固定综合单价合同。</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、综合单价为包含完成本合同义务而发生的所有费用（包括但不限于）：</w:t>
      </w:r>
    </w:p>
    <w:p>
      <w:pPr>
        <w:spacing w:line="360" w:lineRule="auto"/>
        <w:jc w:val="left"/>
        <w:rPr>
          <w:kern w:val="0"/>
          <w:szCs w:val="21"/>
          <w:highlight w:val="none"/>
        </w:rPr>
      </w:pPr>
      <w:r>
        <w:rPr>
          <w:rFonts w:hint="eastAsia"/>
          <w:kern w:val="0"/>
          <w:szCs w:val="21"/>
          <w:highlight w:val="none"/>
        </w:rPr>
        <w:t>（</w:t>
      </w:r>
      <w:r>
        <w:rPr>
          <w:kern w:val="0"/>
          <w:szCs w:val="21"/>
          <w:highlight w:val="none"/>
        </w:rPr>
        <w:t>1</w:t>
      </w:r>
      <w:r>
        <w:rPr>
          <w:rFonts w:hint="eastAsia"/>
          <w:kern w:val="0"/>
          <w:szCs w:val="21"/>
          <w:highlight w:val="none"/>
        </w:rPr>
        <w:t>）设备费：</w:t>
      </w:r>
    </w:p>
    <w:p>
      <w:pPr>
        <w:spacing w:line="360" w:lineRule="auto"/>
        <w:ind w:firstLine="420" w:firstLineChars="200"/>
        <w:rPr>
          <w:kern w:val="0"/>
          <w:szCs w:val="21"/>
          <w:highlight w:val="none"/>
        </w:rPr>
      </w:pPr>
      <w:r>
        <w:rPr>
          <w:rFonts w:hint="eastAsia"/>
          <w:kern w:val="0"/>
          <w:szCs w:val="21"/>
          <w:highlight w:val="none"/>
        </w:rPr>
        <w:t>①</w:t>
      </w:r>
      <w:r>
        <w:rPr>
          <w:kern w:val="0"/>
          <w:szCs w:val="21"/>
          <w:highlight w:val="none"/>
        </w:rPr>
        <w:t xml:space="preserve"> </w:t>
      </w:r>
      <w:r>
        <w:rPr>
          <w:rFonts w:hint="eastAsia"/>
          <w:kern w:val="0"/>
          <w:szCs w:val="21"/>
          <w:highlight w:val="none"/>
        </w:rPr>
        <w:t>设备设计、制造及包装费；</w:t>
      </w:r>
    </w:p>
    <w:p>
      <w:pPr>
        <w:spacing w:line="360" w:lineRule="auto"/>
        <w:ind w:firstLine="420" w:firstLineChars="200"/>
        <w:rPr>
          <w:kern w:val="0"/>
          <w:szCs w:val="21"/>
          <w:highlight w:val="none"/>
        </w:rPr>
      </w:pPr>
      <w:r>
        <w:rPr>
          <w:rFonts w:hint="eastAsia"/>
          <w:kern w:val="0"/>
          <w:szCs w:val="21"/>
          <w:highlight w:val="none"/>
        </w:rPr>
        <w:t>②</w:t>
      </w:r>
      <w:r>
        <w:rPr>
          <w:kern w:val="0"/>
          <w:szCs w:val="21"/>
          <w:highlight w:val="none"/>
        </w:rPr>
        <w:t xml:space="preserve"> </w:t>
      </w:r>
      <w:r>
        <w:rPr>
          <w:rFonts w:hint="eastAsia"/>
          <w:kern w:val="0"/>
          <w:szCs w:val="21"/>
          <w:highlight w:val="none"/>
        </w:rPr>
        <w:t>试运行及两年正式运行期间所需专用工具、备品备件和消耗件的价格；专用安装、运行、维护用的实验设备费；</w:t>
      </w:r>
      <w:r>
        <w:rPr>
          <w:kern w:val="0"/>
          <w:szCs w:val="21"/>
          <w:highlight w:val="none"/>
        </w:rPr>
        <w:br w:type="textWrapping"/>
      </w:r>
      <w:r>
        <w:rPr>
          <w:kern w:val="0"/>
          <w:szCs w:val="21"/>
          <w:highlight w:val="none"/>
        </w:rPr>
        <w:t xml:space="preserve">    </w:t>
      </w:r>
      <w:r>
        <w:rPr>
          <w:rFonts w:hint="eastAsia"/>
          <w:kern w:val="0"/>
          <w:szCs w:val="21"/>
          <w:highlight w:val="none"/>
        </w:rPr>
        <w:t>③</w:t>
      </w:r>
      <w:r>
        <w:rPr>
          <w:kern w:val="0"/>
          <w:szCs w:val="21"/>
          <w:highlight w:val="none"/>
        </w:rPr>
        <w:t xml:space="preserve"> </w:t>
      </w:r>
      <w:r>
        <w:rPr>
          <w:rFonts w:hint="eastAsia"/>
          <w:kern w:val="0"/>
          <w:szCs w:val="21"/>
          <w:highlight w:val="none"/>
        </w:rPr>
        <w:t>技术文件费</w:t>
      </w:r>
      <w:r>
        <w:rPr>
          <w:kern w:val="0"/>
          <w:szCs w:val="21"/>
          <w:highlight w:val="none"/>
        </w:rPr>
        <w:t>(</w:t>
      </w:r>
      <w:r>
        <w:rPr>
          <w:rFonts w:hint="eastAsia"/>
          <w:kern w:val="0"/>
          <w:szCs w:val="21"/>
          <w:highlight w:val="none"/>
        </w:rPr>
        <w:t>包括提供样本、软件、技术规格说明书、安装图和操作及维修手册等相关资料、深化图纸设计费、提交并协助制作竣工图</w:t>
      </w:r>
      <w:r>
        <w:rPr>
          <w:kern w:val="0"/>
          <w:szCs w:val="21"/>
          <w:highlight w:val="none"/>
        </w:rPr>
        <w:t>)</w:t>
      </w:r>
      <w:r>
        <w:rPr>
          <w:rFonts w:hint="eastAsia"/>
          <w:kern w:val="0"/>
          <w:szCs w:val="21"/>
          <w:highlight w:val="none"/>
        </w:rPr>
        <w:t>；</w:t>
      </w:r>
    </w:p>
    <w:p>
      <w:pPr>
        <w:spacing w:line="360" w:lineRule="auto"/>
        <w:ind w:left="315" w:leftChars="150" w:firstLine="105" w:firstLineChars="50"/>
        <w:rPr>
          <w:kern w:val="0"/>
          <w:szCs w:val="21"/>
          <w:highlight w:val="none"/>
        </w:rPr>
      </w:pPr>
      <w:r>
        <w:rPr>
          <w:rFonts w:hint="eastAsia"/>
          <w:kern w:val="0"/>
          <w:szCs w:val="21"/>
          <w:highlight w:val="none"/>
        </w:rPr>
        <w:t>④设备运行监控系统硬件、软件的价格；</w:t>
      </w:r>
    </w:p>
    <w:p>
      <w:pPr>
        <w:spacing w:line="360" w:lineRule="auto"/>
        <w:rPr>
          <w:kern w:val="0"/>
          <w:szCs w:val="21"/>
          <w:highlight w:val="none"/>
        </w:rPr>
      </w:pPr>
      <w:r>
        <w:rPr>
          <w:rFonts w:hint="eastAsia"/>
          <w:kern w:val="0"/>
          <w:szCs w:val="21"/>
          <w:highlight w:val="none"/>
        </w:rPr>
        <w:t>（</w:t>
      </w:r>
      <w:r>
        <w:rPr>
          <w:kern w:val="0"/>
          <w:szCs w:val="21"/>
          <w:highlight w:val="none"/>
        </w:rPr>
        <w:t>2</w:t>
      </w:r>
      <w:r>
        <w:rPr>
          <w:rFonts w:hint="eastAsia"/>
          <w:kern w:val="0"/>
          <w:szCs w:val="21"/>
          <w:highlight w:val="none"/>
        </w:rPr>
        <w:t>）安装费：除设备费和运输（含保险）费外其他费用均含在安装费内：</w:t>
      </w:r>
    </w:p>
    <w:p>
      <w:pPr>
        <w:spacing w:line="360" w:lineRule="auto"/>
        <w:ind w:left="315" w:leftChars="150" w:firstLine="105" w:firstLineChars="50"/>
        <w:rPr>
          <w:kern w:val="0"/>
          <w:szCs w:val="21"/>
          <w:highlight w:val="none"/>
        </w:rPr>
      </w:pPr>
      <w:r>
        <w:rPr>
          <w:rFonts w:hint="eastAsia"/>
          <w:kern w:val="0"/>
          <w:szCs w:val="21"/>
          <w:highlight w:val="none"/>
        </w:rPr>
        <w:t>①</w:t>
      </w:r>
      <w:r>
        <w:rPr>
          <w:kern w:val="0"/>
          <w:szCs w:val="21"/>
          <w:highlight w:val="none"/>
        </w:rPr>
        <w:t xml:space="preserve"> </w:t>
      </w:r>
      <w:r>
        <w:rPr>
          <w:rFonts w:hint="eastAsia"/>
          <w:kern w:val="0"/>
          <w:szCs w:val="21"/>
          <w:highlight w:val="none"/>
        </w:rPr>
        <w:t>设备搬运、吊装（含二次搬运及吊装）、安装及调试费用；</w:t>
      </w:r>
    </w:p>
    <w:p>
      <w:pPr>
        <w:spacing w:line="360" w:lineRule="auto"/>
        <w:ind w:left="315" w:leftChars="150" w:firstLine="105" w:firstLineChars="50"/>
        <w:rPr>
          <w:kern w:val="0"/>
          <w:szCs w:val="21"/>
          <w:highlight w:val="none"/>
        </w:rPr>
      </w:pPr>
      <w:r>
        <w:rPr>
          <w:rFonts w:hint="eastAsia"/>
          <w:kern w:val="0"/>
          <w:szCs w:val="21"/>
          <w:highlight w:val="none"/>
        </w:rPr>
        <w:t>②设备安装用脚手架、组装台架、施工平台；</w:t>
      </w:r>
    </w:p>
    <w:p>
      <w:pPr>
        <w:spacing w:line="360" w:lineRule="auto"/>
        <w:ind w:firstLine="420" w:firstLineChars="200"/>
        <w:rPr>
          <w:kern w:val="0"/>
          <w:szCs w:val="21"/>
          <w:highlight w:val="none"/>
        </w:rPr>
      </w:pPr>
      <w:r>
        <w:rPr>
          <w:rFonts w:hint="eastAsia"/>
          <w:kern w:val="0"/>
          <w:szCs w:val="21"/>
          <w:highlight w:val="none"/>
        </w:rPr>
        <w:t>③</w:t>
      </w:r>
      <w:r>
        <w:rPr>
          <w:kern w:val="0"/>
          <w:szCs w:val="21"/>
          <w:highlight w:val="none"/>
        </w:rPr>
        <w:t xml:space="preserve"> </w:t>
      </w:r>
      <w:r>
        <w:rPr>
          <w:rFonts w:hint="eastAsia"/>
          <w:kern w:val="0"/>
          <w:szCs w:val="21"/>
          <w:highlight w:val="none"/>
        </w:rPr>
        <w:t>设备安装时采用的安全措施所需费用；</w:t>
      </w:r>
    </w:p>
    <w:p>
      <w:pPr>
        <w:spacing w:line="360" w:lineRule="auto"/>
        <w:ind w:firstLine="420" w:firstLineChars="200"/>
        <w:rPr>
          <w:kern w:val="0"/>
          <w:szCs w:val="21"/>
          <w:highlight w:val="none"/>
        </w:rPr>
      </w:pPr>
      <w:r>
        <w:rPr>
          <w:rFonts w:hint="eastAsia"/>
          <w:kern w:val="0"/>
          <w:szCs w:val="21"/>
          <w:highlight w:val="none"/>
        </w:rPr>
        <w:t>④在设备安装、测试过程中从指定的电源接驳点（单体指定位置）到安装现场所需临时电缆费用；</w:t>
      </w:r>
    </w:p>
    <w:p>
      <w:pPr>
        <w:spacing w:line="360" w:lineRule="auto"/>
        <w:ind w:left="105" w:leftChars="50" w:firstLine="315" w:firstLineChars="150"/>
        <w:rPr>
          <w:kern w:val="0"/>
          <w:szCs w:val="21"/>
          <w:highlight w:val="none"/>
        </w:rPr>
      </w:pPr>
      <w:r>
        <w:rPr>
          <w:rFonts w:hint="eastAsia"/>
          <w:kern w:val="0"/>
          <w:szCs w:val="21"/>
          <w:highlight w:val="none"/>
        </w:rPr>
        <w:t>⑤设备安装期间所需的水电费用；</w:t>
      </w:r>
      <w:r>
        <w:rPr>
          <w:kern w:val="0"/>
          <w:szCs w:val="21"/>
          <w:highlight w:val="none"/>
        </w:rPr>
        <w:t xml:space="preserve"> </w:t>
      </w:r>
    </w:p>
    <w:p>
      <w:pPr>
        <w:spacing w:line="360" w:lineRule="auto"/>
        <w:ind w:left="105" w:leftChars="50" w:firstLine="315" w:firstLineChars="150"/>
        <w:rPr>
          <w:kern w:val="0"/>
          <w:szCs w:val="21"/>
          <w:highlight w:val="none"/>
        </w:rPr>
      </w:pPr>
      <w:r>
        <w:rPr>
          <w:rFonts w:hint="eastAsia"/>
          <w:kern w:val="0"/>
          <w:szCs w:val="21"/>
          <w:highlight w:val="none"/>
        </w:rPr>
        <w:t>⑥垃圾清运费：施工期间及竣工后清理及运走所有与本工程有关的废料和垃圾至工地现场指定地点；</w:t>
      </w:r>
    </w:p>
    <w:p>
      <w:pPr>
        <w:spacing w:line="360" w:lineRule="auto"/>
        <w:ind w:left="315" w:leftChars="150" w:firstLine="105" w:firstLineChars="50"/>
        <w:jc w:val="left"/>
        <w:rPr>
          <w:kern w:val="0"/>
          <w:szCs w:val="21"/>
          <w:highlight w:val="none"/>
        </w:rPr>
      </w:pPr>
      <w:r>
        <w:rPr>
          <w:rFonts w:hint="eastAsia"/>
          <w:kern w:val="0"/>
          <w:szCs w:val="21"/>
          <w:highlight w:val="none"/>
        </w:rPr>
        <w:t>⑦当地相关法定检验机构竣工验收时及两年保修期的检验费（监检费）；</w:t>
      </w:r>
    </w:p>
    <w:p>
      <w:pPr>
        <w:spacing w:line="360" w:lineRule="auto"/>
        <w:ind w:left="315" w:leftChars="150" w:firstLine="105" w:firstLineChars="50"/>
        <w:jc w:val="left"/>
        <w:rPr>
          <w:kern w:val="0"/>
          <w:szCs w:val="21"/>
          <w:highlight w:val="none"/>
        </w:rPr>
      </w:pPr>
      <w:r>
        <w:rPr>
          <w:rFonts w:hint="eastAsia"/>
          <w:kern w:val="0"/>
          <w:szCs w:val="21"/>
          <w:highlight w:val="none"/>
        </w:rPr>
        <w:t>⑧技术服务费</w:t>
      </w:r>
      <w:r>
        <w:rPr>
          <w:kern w:val="0"/>
          <w:szCs w:val="21"/>
          <w:highlight w:val="none"/>
        </w:rPr>
        <w:t>(</w:t>
      </w:r>
      <w:r>
        <w:rPr>
          <w:rFonts w:hint="eastAsia"/>
          <w:kern w:val="0"/>
          <w:szCs w:val="21"/>
          <w:highlight w:val="none"/>
        </w:rPr>
        <w:t>包括安装调试、试运行指导以及相关技术人员的差旅费</w:t>
      </w:r>
      <w:r>
        <w:rPr>
          <w:kern w:val="0"/>
          <w:szCs w:val="21"/>
          <w:highlight w:val="none"/>
        </w:rPr>
        <w:t>)</w:t>
      </w:r>
      <w:r>
        <w:rPr>
          <w:rFonts w:hint="eastAsia"/>
          <w:kern w:val="0"/>
          <w:szCs w:val="21"/>
          <w:highlight w:val="none"/>
        </w:rPr>
        <w:t>；</w:t>
      </w:r>
    </w:p>
    <w:p>
      <w:pPr>
        <w:spacing w:line="360" w:lineRule="auto"/>
        <w:ind w:left="315" w:leftChars="150" w:firstLine="105" w:firstLineChars="50"/>
        <w:jc w:val="left"/>
        <w:rPr>
          <w:kern w:val="0"/>
          <w:szCs w:val="21"/>
          <w:highlight w:val="none"/>
        </w:rPr>
      </w:pPr>
      <w:r>
        <w:rPr>
          <w:rFonts w:hint="eastAsia"/>
          <w:kern w:val="0"/>
          <w:szCs w:val="21"/>
          <w:highlight w:val="none"/>
        </w:rPr>
        <w:t>⑨对甲方人所属项目公司及其物业管理公司人员进行的培训费；</w:t>
      </w:r>
      <w:r>
        <w:rPr>
          <w:kern w:val="0"/>
          <w:szCs w:val="21"/>
          <w:highlight w:val="none"/>
        </w:rPr>
        <w:t xml:space="preserve">  </w:t>
      </w:r>
    </w:p>
    <w:p>
      <w:pPr>
        <w:spacing w:line="360" w:lineRule="auto"/>
        <w:ind w:firstLine="420" w:firstLineChars="200"/>
        <w:jc w:val="left"/>
        <w:rPr>
          <w:kern w:val="0"/>
          <w:szCs w:val="21"/>
          <w:highlight w:val="none"/>
        </w:rPr>
      </w:pPr>
      <w:r>
        <w:rPr>
          <w:rFonts w:hint="eastAsia"/>
          <w:kern w:val="0"/>
          <w:szCs w:val="21"/>
          <w:highlight w:val="none"/>
        </w:rPr>
        <w:t>⑩特殊工具、设备正式运行始至两年免费保修期结束期间所需的例行检查、维修、保养和测试服务费；</w:t>
      </w:r>
    </w:p>
    <w:p>
      <w:pPr>
        <w:spacing w:line="360" w:lineRule="auto"/>
        <w:ind w:firstLine="420" w:firstLineChars="200"/>
        <w:rPr>
          <w:kern w:val="0"/>
          <w:szCs w:val="21"/>
          <w:highlight w:val="none"/>
        </w:rPr>
      </w:pPr>
      <w:r>
        <w:rPr>
          <w:rFonts w:hint="eastAsia" w:ascii="MS Mincho" w:hAnsi="MS Mincho" w:eastAsia="MS Mincho" w:cs="MS Mincho"/>
          <w:kern w:val="0"/>
          <w:szCs w:val="21"/>
          <w:highlight w:val="none"/>
        </w:rPr>
        <w:t>⑪</w:t>
      </w:r>
      <w:r>
        <w:rPr>
          <w:rFonts w:hint="eastAsia"/>
          <w:kern w:val="0"/>
          <w:szCs w:val="21"/>
          <w:highlight w:val="none"/>
        </w:rPr>
        <w:t>乙方须负责办理验收监检的所有手续，包括从设备进场的检测、安装、监检，负责办理安装检测报告、验收、取得相关验收合格证等全部手续和费用。</w:t>
      </w:r>
      <w:r>
        <w:rPr>
          <w:kern w:val="0"/>
          <w:szCs w:val="21"/>
          <w:highlight w:val="none"/>
        </w:rPr>
        <w:t xml:space="preserve">                                                                                                                                                                                              </w:t>
      </w:r>
    </w:p>
    <w:p>
      <w:pPr>
        <w:spacing w:line="360" w:lineRule="auto"/>
        <w:ind w:firstLine="105" w:firstLineChars="50"/>
        <w:rPr>
          <w:kern w:val="0"/>
          <w:szCs w:val="21"/>
          <w:highlight w:val="none"/>
        </w:rPr>
      </w:pPr>
      <w:r>
        <w:rPr>
          <w:rFonts w:hint="eastAsia"/>
          <w:kern w:val="0"/>
          <w:szCs w:val="21"/>
          <w:highlight w:val="none"/>
        </w:rPr>
        <w:t>（</w:t>
      </w:r>
      <w:r>
        <w:rPr>
          <w:kern w:val="0"/>
          <w:szCs w:val="21"/>
          <w:highlight w:val="none"/>
        </w:rPr>
        <w:t>3</w:t>
      </w:r>
      <w:r>
        <w:rPr>
          <w:rFonts w:hint="eastAsia"/>
          <w:kern w:val="0"/>
          <w:szCs w:val="21"/>
          <w:highlight w:val="none"/>
        </w:rPr>
        <w:t>）包含在上述（</w:t>
      </w:r>
      <w:r>
        <w:rPr>
          <w:kern w:val="0"/>
          <w:szCs w:val="21"/>
          <w:highlight w:val="none"/>
        </w:rPr>
        <w:t>1</w:t>
      </w:r>
      <w:r>
        <w:rPr>
          <w:rFonts w:hint="eastAsia"/>
          <w:kern w:val="0"/>
          <w:szCs w:val="21"/>
          <w:highlight w:val="none"/>
        </w:rPr>
        <w:t>）、（</w:t>
      </w:r>
      <w:r>
        <w:rPr>
          <w:kern w:val="0"/>
          <w:szCs w:val="21"/>
          <w:highlight w:val="none"/>
        </w:rPr>
        <w:t>2</w:t>
      </w:r>
      <w:r>
        <w:rPr>
          <w:rFonts w:hint="eastAsia"/>
          <w:kern w:val="0"/>
          <w:szCs w:val="21"/>
          <w:highlight w:val="none"/>
        </w:rPr>
        <w:t>）两条内设备安装调试、机械费、脚手架、卸吊费、竣工验收前成品保护费、施工临时水电费、施工措施费、规费、二次搬运费、垃圾清理费、赶工费、辅助工作的开槽、打洞费、保险费、设备就位费、检验、管理费、技术人员现场指导费、人员场外住宿费、验收费、利润、税金等一切所需费用。</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、价格调整：</w:t>
      </w:r>
    </w:p>
    <w:p>
      <w:pPr>
        <w:spacing w:line="360" w:lineRule="auto"/>
        <w:ind w:firstLine="420" w:firstLineChars="200"/>
        <w:rPr>
          <w:kern w:val="0"/>
          <w:szCs w:val="21"/>
          <w:highlight w:val="none"/>
        </w:rPr>
      </w:pPr>
      <w:r>
        <w:rPr>
          <w:rFonts w:hint="eastAsia"/>
          <w:kern w:val="0"/>
          <w:szCs w:val="21"/>
          <w:highlight w:val="none"/>
        </w:rPr>
        <w:t>（</w:t>
      </w:r>
      <w:r>
        <w:rPr>
          <w:kern w:val="0"/>
          <w:szCs w:val="21"/>
          <w:highlight w:val="none"/>
        </w:rPr>
        <w:t>1</w:t>
      </w:r>
      <w:r>
        <w:rPr>
          <w:rFonts w:hint="eastAsia"/>
          <w:kern w:val="0"/>
          <w:szCs w:val="21"/>
          <w:highlight w:val="none"/>
        </w:rPr>
        <w:t>）无论工程量增减，结算时站点综合单价固定不变，工程量以有效的竣工资料时的站点数为准按实计算。</w:t>
      </w:r>
      <w:r>
        <w:rPr>
          <w:kern w:val="0"/>
          <w:szCs w:val="21"/>
          <w:highlight w:val="none"/>
        </w:rPr>
        <w:t xml:space="preserve"> </w:t>
      </w:r>
    </w:p>
    <w:p>
      <w:pPr>
        <w:spacing w:line="360" w:lineRule="auto"/>
        <w:ind w:firstLine="420" w:firstLineChars="200"/>
        <w:rPr>
          <w:kern w:val="0"/>
          <w:szCs w:val="21"/>
          <w:highlight w:val="none"/>
        </w:rPr>
      </w:pPr>
      <w:r>
        <w:rPr>
          <w:rFonts w:hint="eastAsia"/>
          <w:kern w:val="0"/>
          <w:szCs w:val="21"/>
          <w:highlight w:val="none"/>
        </w:rPr>
        <w:t>（2）工程实施过程中，如果该项目根据甲方要求取消，则该项目价款不予计取。</w:t>
      </w:r>
    </w:p>
    <w:p>
      <w:pPr>
        <w:spacing w:line="360" w:lineRule="auto"/>
        <w:ind w:firstLine="420" w:firstLineChars="200"/>
        <w:rPr>
          <w:kern w:val="0"/>
          <w:szCs w:val="21"/>
          <w:highlight w:val="none"/>
        </w:rPr>
      </w:pPr>
      <w:r>
        <w:rPr>
          <w:rFonts w:hint="eastAsia"/>
          <w:kern w:val="0"/>
          <w:szCs w:val="21"/>
          <w:highlight w:val="none"/>
        </w:rPr>
        <w:t>（3）综合单价已考虑施工期间政府调价以及材料市场价格波动等风险因素，结算时不得以任何理由进行调整。</w:t>
      </w:r>
    </w:p>
    <w:p>
      <w:pPr>
        <w:spacing w:line="360" w:lineRule="auto"/>
        <w:ind w:firstLine="420" w:firstLineChars="200"/>
        <w:rPr>
          <w:kern w:val="0"/>
          <w:szCs w:val="21"/>
          <w:highlight w:val="none"/>
        </w:rPr>
      </w:pPr>
      <w:r>
        <w:rPr>
          <w:rFonts w:hint="eastAsia"/>
          <w:kern w:val="0"/>
          <w:szCs w:val="21"/>
          <w:highlight w:val="none"/>
        </w:rPr>
        <w:t>三、付款方式：</w:t>
      </w:r>
    </w:p>
    <w:p>
      <w:pPr>
        <w:spacing w:line="360" w:lineRule="auto"/>
        <w:ind w:firstLine="420" w:firstLineChars="200"/>
        <w:rPr>
          <w:kern w:val="0"/>
          <w:szCs w:val="21"/>
          <w:highlight w:val="none"/>
        </w:rPr>
      </w:pPr>
      <w:r>
        <w:rPr>
          <w:rFonts w:hint="eastAsia"/>
          <w:kern w:val="0"/>
          <w:szCs w:val="21"/>
          <w:highlight w:val="none"/>
        </w:rPr>
        <w:t>1、合同签订后14日历天内，乙方提供机房基建图和机房外输送管路系统平面图，经甲方确认且收到乙方的增值税专用发票后，甲方支付合同总价的30</w:t>
      </w:r>
      <w:r>
        <w:rPr>
          <w:kern w:val="0"/>
          <w:szCs w:val="21"/>
          <w:highlight w:val="none"/>
        </w:rPr>
        <w:t>%</w:t>
      </w:r>
      <w:r>
        <w:rPr>
          <w:rFonts w:hint="eastAsia"/>
          <w:kern w:val="0"/>
          <w:szCs w:val="21"/>
          <w:highlight w:val="none"/>
        </w:rPr>
        <w:t>的预付款。</w:t>
      </w:r>
    </w:p>
    <w:p>
      <w:pPr>
        <w:spacing w:line="360" w:lineRule="auto"/>
        <w:ind w:firstLine="420" w:firstLineChars="200"/>
        <w:rPr>
          <w:kern w:val="0"/>
          <w:szCs w:val="21"/>
          <w:highlight w:val="none"/>
        </w:rPr>
      </w:pPr>
      <w:r>
        <w:rPr>
          <w:rFonts w:hint="eastAsia"/>
          <w:kern w:val="0"/>
          <w:szCs w:val="21"/>
          <w:highlight w:val="none"/>
        </w:rPr>
        <w:t>2、乙方将机房外全部管阀件送到现场并经甲方或甲方委派的监理从到货的品质、数量、外观等相关要素与投标书承诺的符合性进行初步验收合格并安装且收到乙方的增值税专用发票后14日历天内支付至合同总价的3</w:t>
      </w:r>
      <w:r>
        <w:rPr>
          <w:kern w:val="0"/>
          <w:szCs w:val="21"/>
          <w:highlight w:val="none"/>
        </w:rPr>
        <w:t>0%</w:t>
      </w:r>
      <w:r>
        <w:rPr>
          <w:rFonts w:hint="eastAsia"/>
          <w:kern w:val="0"/>
          <w:szCs w:val="21"/>
          <w:highlight w:val="none"/>
        </w:rPr>
        <w:t>。</w:t>
      </w:r>
    </w:p>
    <w:p>
      <w:pPr>
        <w:spacing w:line="360" w:lineRule="auto"/>
        <w:ind w:firstLine="420" w:firstLineChars="200"/>
        <w:rPr>
          <w:kern w:val="0"/>
          <w:szCs w:val="21"/>
          <w:highlight w:val="none"/>
        </w:rPr>
      </w:pPr>
      <w:r>
        <w:rPr>
          <w:rFonts w:hint="eastAsia"/>
          <w:kern w:val="0"/>
          <w:szCs w:val="21"/>
          <w:highlight w:val="none"/>
        </w:rPr>
        <w:t>3、乙方将机房内设备送到现场并经甲方或甲方委派的监理从到货的品质、数量、外观等相关要素与投标书承诺的符合性进行确认</w:t>
      </w:r>
      <w:r>
        <w:rPr>
          <w:kern w:val="0"/>
          <w:szCs w:val="21"/>
          <w:highlight w:val="none"/>
        </w:rPr>
        <w:t>，</w:t>
      </w:r>
      <w:r>
        <w:rPr>
          <w:rFonts w:hint="eastAsia"/>
          <w:kern w:val="0"/>
          <w:szCs w:val="21"/>
          <w:highlight w:val="none"/>
        </w:rPr>
        <w:t>整个系统安装完成并初步验收合格且收到乙方的增值税专用发票后14天内支付至合同总价的80</w:t>
      </w:r>
      <w:r>
        <w:rPr>
          <w:kern w:val="0"/>
          <w:szCs w:val="21"/>
          <w:highlight w:val="none"/>
        </w:rPr>
        <w:t>%</w:t>
      </w:r>
      <w:r>
        <w:rPr>
          <w:rFonts w:hint="eastAsia"/>
          <w:kern w:val="0"/>
          <w:szCs w:val="21"/>
          <w:highlight w:val="none"/>
        </w:rPr>
        <w:t>。</w:t>
      </w:r>
    </w:p>
    <w:p>
      <w:pPr>
        <w:spacing w:line="360" w:lineRule="auto"/>
        <w:ind w:firstLine="420" w:firstLineChars="200"/>
        <w:rPr>
          <w:kern w:val="0"/>
          <w:szCs w:val="21"/>
          <w:highlight w:val="none"/>
        </w:rPr>
      </w:pPr>
      <w:r>
        <w:rPr>
          <w:rFonts w:hint="eastAsia"/>
          <w:kern w:val="0"/>
          <w:szCs w:val="21"/>
          <w:highlight w:val="none"/>
        </w:rPr>
        <w:t>4、甲方或甲方委派的监理在乙方提供验收申请后14日历天内对系统组织最终验收。验收合格、经结算审核完成且收到乙方的增值税专用发票后14日历天内，支付至结算总价的</w:t>
      </w:r>
      <w:r>
        <w:rPr>
          <w:rFonts w:hint="eastAsia"/>
          <w:kern w:val="0"/>
          <w:szCs w:val="21"/>
          <w:highlight w:val="none"/>
          <w:lang w:val="en-US" w:eastAsia="zh-CN"/>
        </w:rPr>
        <w:t>100</w:t>
      </w:r>
      <w:r>
        <w:rPr>
          <w:kern w:val="0"/>
          <w:szCs w:val="21"/>
          <w:highlight w:val="none"/>
        </w:rPr>
        <w:t>%</w:t>
      </w:r>
      <w:r>
        <w:rPr>
          <w:rFonts w:hint="eastAsia"/>
          <w:kern w:val="0"/>
          <w:szCs w:val="21"/>
          <w:highlight w:val="none"/>
        </w:rPr>
        <w:t>，同时退还履约保证金（无息）。</w:t>
      </w:r>
    </w:p>
    <w:p>
      <w:pPr>
        <w:spacing w:line="360" w:lineRule="auto"/>
        <w:ind w:firstLine="420" w:firstLineChars="200"/>
        <w:rPr>
          <w:kern w:val="0"/>
          <w:szCs w:val="21"/>
          <w:highlight w:val="none"/>
        </w:rPr>
      </w:pPr>
      <w:r>
        <w:rPr>
          <w:rFonts w:hint="eastAsia"/>
          <w:kern w:val="0"/>
          <w:szCs w:val="21"/>
          <w:highlight w:val="none"/>
        </w:rPr>
        <w:t>5、甲方付款采用银行转账方式，乙方必须提供相应的正式增值税发票。</w:t>
      </w:r>
    </w:p>
    <w:p>
      <w:pPr>
        <w:spacing w:line="360" w:lineRule="auto"/>
        <w:ind w:firstLine="420" w:firstLineChars="200"/>
        <w:rPr>
          <w:kern w:val="0"/>
          <w:szCs w:val="21"/>
          <w:highlight w:val="none"/>
        </w:rPr>
      </w:pPr>
      <w:r>
        <w:rPr>
          <w:rFonts w:hint="eastAsia"/>
          <w:kern w:val="0"/>
          <w:szCs w:val="21"/>
          <w:highlight w:val="none"/>
        </w:rPr>
        <w:t>6、现场施工用水电费、生活用水电费由乙方向总包单位直接支付，乙方每次在要求甲方支付进度款时，必须出示当期水电费用交纳凭证，否则甲方有权延期向乙方支付该期工程进度款，直至具备该水电费用交纳凭证。</w:t>
      </w:r>
    </w:p>
    <w:p>
      <w:pPr>
        <w:spacing w:line="360" w:lineRule="auto"/>
        <w:ind w:firstLine="420" w:firstLineChars="200"/>
        <w:rPr>
          <w:kern w:val="0"/>
          <w:szCs w:val="21"/>
          <w:highlight w:val="none"/>
        </w:rPr>
      </w:pPr>
      <w:r>
        <w:rPr>
          <w:rFonts w:hint="eastAsia"/>
          <w:kern w:val="0"/>
          <w:szCs w:val="21"/>
          <w:highlight w:val="none"/>
        </w:rPr>
        <w:t>四、交货期：</w:t>
      </w:r>
    </w:p>
    <w:p>
      <w:pPr>
        <w:spacing w:line="360" w:lineRule="auto"/>
        <w:ind w:firstLine="420" w:firstLineChars="200"/>
        <w:rPr>
          <w:kern w:val="0"/>
          <w:szCs w:val="21"/>
          <w:highlight w:val="none"/>
        </w:rPr>
      </w:pPr>
      <w:r>
        <w:rPr>
          <w:rFonts w:hint="eastAsia"/>
          <w:kern w:val="0"/>
          <w:szCs w:val="21"/>
          <w:highlight w:val="none"/>
        </w:rPr>
        <w:t>本项目施工安装须按照甲方的进度计划实施。甲方有权根据施工总进度要求调整供货施工期限。</w:t>
      </w:r>
    </w:p>
    <w:p>
      <w:pPr>
        <w:spacing w:line="360" w:lineRule="auto"/>
        <w:ind w:firstLine="420" w:firstLineChars="200"/>
        <w:rPr>
          <w:kern w:val="0"/>
          <w:szCs w:val="21"/>
          <w:highlight w:val="none"/>
        </w:rPr>
      </w:pPr>
      <w:r>
        <w:rPr>
          <w:rFonts w:hint="eastAsia"/>
          <w:kern w:val="0"/>
          <w:szCs w:val="21"/>
          <w:highlight w:val="none"/>
        </w:rPr>
        <w:t>五、产品和权利担保：</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、乙方保证所提供货物均为全新的未使用过的，并完全符合甲方招标文件要求及乙方投标文件承诺的质量、规格标准；</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、乙方提供的货物与装箱清单一致。</w:t>
      </w:r>
    </w:p>
    <w:p>
      <w:pPr>
        <w:spacing w:line="360" w:lineRule="auto"/>
        <w:ind w:firstLine="420" w:firstLineChars="200"/>
        <w:rPr>
          <w:kern w:val="0"/>
          <w:szCs w:val="21"/>
          <w:highlight w:val="none"/>
        </w:rPr>
      </w:pPr>
      <w:r>
        <w:rPr>
          <w:kern w:val="0"/>
          <w:szCs w:val="21"/>
          <w:highlight w:val="none"/>
        </w:rPr>
        <w:t>3</w:t>
      </w:r>
      <w:r>
        <w:rPr>
          <w:rFonts w:hint="eastAsia"/>
          <w:kern w:val="0"/>
          <w:szCs w:val="21"/>
          <w:highlight w:val="none"/>
        </w:rPr>
        <w:t>、乙方提供的货物必须保证通过验收。</w:t>
      </w:r>
    </w:p>
    <w:p>
      <w:pPr>
        <w:spacing w:line="360" w:lineRule="auto"/>
        <w:ind w:firstLine="420" w:firstLineChars="200"/>
        <w:rPr>
          <w:kern w:val="0"/>
          <w:szCs w:val="21"/>
          <w:highlight w:val="none"/>
        </w:rPr>
      </w:pPr>
      <w:r>
        <w:rPr>
          <w:kern w:val="0"/>
          <w:szCs w:val="21"/>
          <w:highlight w:val="none"/>
        </w:rPr>
        <w:t>4</w:t>
      </w:r>
      <w:r>
        <w:rPr>
          <w:rFonts w:hint="eastAsia"/>
          <w:kern w:val="0"/>
          <w:szCs w:val="21"/>
          <w:highlight w:val="none"/>
        </w:rPr>
        <w:t>、乙方保证，甲方在使用本合同项下货物时，免受第三方提出的侵犯其专利权、商标权、著作权或其他知识产权的起诉。</w:t>
      </w:r>
    </w:p>
    <w:p>
      <w:pPr>
        <w:spacing w:line="360" w:lineRule="auto"/>
        <w:ind w:firstLine="420" w:firstLineChars="200"/>
        <w:rPr>
          <w:kern w:val="0"/>
          <w:szCs w:val="21"/>
          <w:highlight w:val="none"/>
        </w:rPr>
      </w:pPr>
      <w:r>
        <w:rPr>
          <w:rFonts w:hint="eastAsia"/>
          <w:kern w:val="0"/>
          <w:szCs w:val="21"/>
          <w:highlight w:val="none"/>
        </w:rPr>
        <w:t>六、技术资料：</w:t>
      </w:r>
    </w:p>
    <w:p>
      <w:pPr>
        <w:spacing w:line="360" w:lineRule="auto"/>
        <w:ind w:firstLine="420" w:firstLineChars="200"/>
        <w:rPr>
          <w:kern w:val="0"/>
          <w:szCs w:val="21"/>
          <w:highlight w:val="none"/>
        </w:rPr>
      </w:pPr>
      <w:r>
        <w:rPr>
          <w:rFonts w:hint="eastAsia"/>
          <w:kern w:val="0"/>
          <w:szCs w:val="21"/>
          <w:highlight w:val="none"/>
        </w:rPr>
        <w:t>乙方需向甲方提供下述技术资料：</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、产品出厂检验合格证书；</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、质量保证书；</w:t>
      </w:r>
    </w:p>
    <w:p>
      <w:pPr>
        <w:spacing w:line="360" w:lineRule="auto"/>
        <w:ind w:firstLine="420" w:firstLineChars="200"/>
        <w:rPr>
          <w:kern w:val="0"/>
          <w:szCs w:val="21"/>
          <w:highlight w:val="none"/>
        </w:rPr>
      </w:pPr>
      <w:r>
        <w:rPr>
          <w:kern w:val="0"/>
          <w:szCs w:val="21"/>
          <w:highlight w:val="none"/>
        </w:rPr>
        <w:t>3</w:t>
      </w:r>
      <w:r>
        <w:rPr>
          <w:rFonts w:hint="eastAsia"/>
          <w:kern w:val="0"/>
          <w:szCs w:val="21"/>
          <w:highlight w:val="none"/>
        </w:rPr>
        <w:t>、与货物使用、维护或检验等相关的其他文件。</w:t>
      </w:r>
    </w:p>
    <w:p>
      <w:pPr>
        <w:spacing w:line="360" w:lineRule="auto"/>
        <w:ind w:firstLine="420" w:firstLineChars="200"/>
        <w:rPr>
          <w:kern w:val="0"/>
          <w:szCs w:val="21"/>
          <w:highlight w:val="none"/>
        </w:rPr>
      </w:pPr>
      <w:r>
        <w:rPr>
          <w:rFonts w:hint="eastAsia"/>
          <w:kern w:val="0"/>
          <w:szCs w:val="21"/>
          <w:highlight w:val="none"/>
        </w:rPr>
        <w:t>乙方需将上述资料在供货时交给甲方。</w:t>
      </w:r>
    </w:p>
    <w:p>
      <w:pPr>
        <w:spacing w:line="360" w:lineRule="auto"/>
        <w:ind w:firstLine="420" w:firstLineChars="200"/>
        <w:rPr>
          <w:kern w:val="0"/>
          <w:szCs w:val="21"/>
          <w:highlight w:val="none"/>
        </w:rPr>
      </w:pPr>
      <w:r>
        <w:rPr>
          <w:rFonts w:hint="eastAsia"/>
          <w:kern w:val="0"/>
          <w:szCs w:val="21"/>
          <w:highlight w:val="none"/>
        </w:rPr>
        <w:t>七、包装：</w:t>
      </w:r>
    </w:p>
    <w:p>
      <w:pPr>
        <w:spacing w:line="360" w:lineRule="auto"/>
        <w:ind w:firstLine="420" w:firstLineChars="200"/>
        <w:rPr>
          <w:kern w:val="0"/>
          <w:szCs w:val="21"/>
          <w:highlight w:val="none"/>
        </w:rPr>
      </w:pPr>
      <w:r>
        <w:rPr>
          <w:rFonts w:hint="eastAsia"/>
          <w:kern w:val="0"/>
          <w:szCs w:val="21"/>
          <w:highlight w:val="none"/>
        </w:rPr>
        <w:t>由乙方提供符合本合同项下货物运输的必要包装方式，防潮物品箱内提供防潮遮盖物，包装物不予回收。</w:t>
      </w:r>
    </w:p>
    <w:p>
      <w:pPr>
        <w:spacing w:line="360" w:lineRule="auto"/>
        <w:ind w:firstLine="420" w:firstLineChars="200"/>
        <w:rPr>
          <w:kern w:val="0"/>
          <w:szCs w:val="21"/>
          <w:highlight w:val="none"/>
        </w:rPr>
      </w:pPr>
      <w:r>
        <w:rPr>
          <w:rFonts w:hint="eastAsia"/>
          <w:kern w:val="0"/>
          <w:szCs w:val="21"/>
          <w:highlight w:val="none"/>
        </w:rPr>
        <w:t>包装物材料及包装方式必须同时符合国家有关强制性要求，否则可能导致的延误由乙方承担责任。</w:t>
      </w:r>
    </w:p>
    <w:p>
      <w:pPr>
        <w:spacing w:line="360" w:lineRule="auto"/>
        <w:ind w:firstLine="420" w:firstLineChars="200"/>
        <w:rPr>
          <w:kern w:val="0"/>
          <w:szCs w:val="21"/>
          <w:highlight w:val="none"/>
        </w:rPr>
      </w:pPr>
      <w:r>
        <w:rPr>
          <w:rFonts w:hint="eastAsia"/>
          <w:kern w:val="0"/>
          <w:szCs w:val="21"/>
          <w:highlight w:val="none"/>
        </w:rPr>
        <w:t>八、运输和保险：</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、乙方在下列地址交货：</w:t>
      </w:r>
    </w:p>
    <w:p>
      <w:pPr>
        <w:spacing w:line="360" w:lineRule="auto"/>
        <w:ind w:firstLine="420" w:firstLineChars="200"/>
        <w:rPr>
          <w:kern w:val="0"/>
          <w:szCs w:val="21"/>
          <w:highlight w:val="none"/>
        </w:rPr>
      </w:pPr>
      <w:r>
        <w:rPr>
          <w:rFonts w:hint="eastAsia"/>
          <w:kern w:val="0"/>
          <w:szCs w:val="21"/>
          <w:highlight w:val="none"/>
        </w:rPr>
        <w:t>收货单位：　　　　　邮编：</w:t>
      </w:r>
    </w:p>
    <w:p>
      <w:pPr>
        <w:spacing w:line="360" w:lineRule="auto"/>
        <w:ind w:firstLine="420" w:firstLineChars="200"/>
        <w:rPr>
          <w:kern w:val="0"/>
          <w:szCs w:val="21"/>
          <w:highlight w:val="none"/>
        </w:rPr>
      </w:pPr>
      <w:r>
        <w:rPr>
          <w:rFonts w:hint="eastAsia"/>
          <w:kern w:val="0"/>
          <w:szCs w:val="21"/>
          <w:highlight w:val="none"/>
        </w:rPr>
        <w:t>收货地址：（卸货地点由甲方指定）</w:t>
      </w:r>
    </w:p>
    <w:p>
      <w:pPr>
        <w:spacing w:line="360" w:lineRule="auto"/>
        <w:ind w:firstLine="420" w:firstLineChars="200"/>
        <w:rPr>
          <w:kern w:val="0"/>
          <w:szCs w:val="21"/>
          <w:highlight w:val="none"/>
        </w:rPr>
      </w:pPr>
      <w:r>
        <w:rPr>
          <w:rFonts w:hint="eastAsia"/>
          <w:kern w:val="0"/>
          <w:szCs w:val="21"/>
          <w:highlight w:val="none"/>
        </w:rPr>
        <w:t>联系人：联系电话：</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、乙方应当购买运输保险并承担运输风险。</w:t>
      </w:r>
    </w:p>
    <w:p>
      <w:pPr>
        <w:spacing w:line="360" w:lineRule="auto"/>
        <w:ind w:firstLine="420" w:firstLineChars="200"/>
        <w:rPr>
          <w:kern w:val="0"/>
          <w:szCs w:val="21"/>
          <w:highlight w:val="none"/>
        </w:rPr>
      </w:pPr>
      <w:r>
        <w:rPr>
          <w:kern w:val="0"/>
          <w:szCs w:val="21"/>
          <w:highlight w:val="none"/>
        </w:rPr>
        <w:t>3</w:t>
      </w:r>
      <w:r>
        <w:rPr>
          <w:rFonts w:hint="eastAsia"/>
          <w:kern w:val="0"/>
          <w:szCs w:val="21"/>
          <w:highlight w:val="none"/>
        </w:rPr>
        <w:t>、乙方负责将货物卸至甲方指定地点，费用由乙方承担。</w:t>
      </w:r>
    </w:p>
    <w:p>
      <w:pPr>
        <w:spacing w:line="360" w:lineRule="auto"/>
        <w:ind w:firstLine="420" w:firstLineChars="200"/>
        <w:rPr>
          <w:kern w:val="0"/>
          <w:szCs w:val="21"/>
          <w:highlight w:val="none"/>
        </w:rPr>
      </w:pPr>
      <w:r>
        <w:rPr>
          <w:rFonts w:hint="eastAsia"/>
          <w:kern w:val="0"/>
          <w:szCs w:val="21"/>
          <w:highlight w:val="none"/>
        </w:rPr>
        <w:t>九、交货查验</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、使用说明书、质量检验证明书、随配附件和工具以及清单一并附于货物内。</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乙方应在发货之前，对货物的有关内在和外观质量、规格、性能、数量和重量进行准确的和全面的检验，并出具其货物符合合同规定的质量证书。但该证书不应视为是对质量、规格、性能、数量或重量的最终确认。质量证书应附有写明制造商检验的细节和结果的说明。</w:t>
      </w:r>
    </w:p>
    <w:p>
      <w:pPr>
        <w:spacing w:line="360" w:lineRule="auto"/>
        <w:ind w:firstLine="420" w:firstLineChars="200"/>
        <w:rPr>
          <w:kern w:val="0"/>
          <w:szCs w:val="21"/>
          <w:highlight w:val="none"/>
        </w:rPr>
      </w:pPr>
      <w:r>
        <w:rPr>
          <w:kern w:val="0"/>
          <w:szCs w:val="21"/>
          <w:highlight w:val="none"/>
        </w:rPr>
        <w:t>3</w:t>
      </w:r>
      <w:r>
        <w:rPr>
          <w:rFonts w:hint="eastAsia"/>
          <w:kern w:val="0"/>
          <w:szCs w:val="21"/>
          <w:highlight w:val="none"/>
        </w:rPr>
        <w:t>、甲方对乙方提交的货物依据招、投标文件上的技术规格要求和国家有关质量标准进行现场初步验收，外观、说明书符合招标文件技术要求的，给予签收，初步验收不合格的不予签收。</w:t>
      </w:r>
    </w:p>
    <w:p>
      <w:pPr>
        <w:spacing w:line="360" w:lineRule="auto"/>
        <w:ind w:firstLine="420" w:firstLineChars="200"/>
        <w:rPr>
          <w:kern w:val="0"/>
          <w:szCs w:val="21"/>
          <w:highlight w:val="none"/>
        </w:rPr>
      </w:pPr>
      <w:r>
        <w:rPr>
          <w:kern w:val="0"/>
          <w:szCs w:val="21"/>
          <w:highlight w:val="none"/>
        </w:rPr>
        <w:t>4</w:t>
      </w:r>
      <w:r>
        <w:rPr>
          <w:rFonts w:hint="eastAsia"/>
          <w:kern w:val="0"/>
          <w:szCs w:val="21"/>
          <w:highlight w:val="none"/>
        </w:rPr>
        <w:t>、甲方有权对乙方提供的货物进行破坏性检验。如果检测结果符合产品有关标准及甲方要求，检测费用由甲方承担。如果检测结果达不到产品有关标准及甲方要求，检测费用由乙方承担，且乙方必须重新更换符合甲方要求的产品。</w:t>
      </w:r>
    </w:p>
    <w:p>
      <w:pPr>
        <w:spacing w:line="360" w:lineRule="auto"/>
        <w:ind w:firstLine="420" w:firstLineChars="200"/>
        <w:rPr>
          <w:kern w:val="0"/>
          <w:szCs w:val="21"/>
          <w:highlight w:val="none"/>
        </w:rPr>
      </w:pPr>
      <w:r>
        <w:rPr>
          <w:kern w:val="0"/>
          <w:szCs w:val="21"/>
          <w:highlight w:val="none"/>
        </w:rPr>
        <w:t>5</w:t>
      </w:r>
      <w:r>
        <w:rPr>
          <w:rFonts w:hint="eastAsia"/>
          <w:kern w:val="0"/>
          <w:szCs w:val="21"/>
          <w:highlight w:val="none"/>
        </w:rPr>
        <w:t>、乙方应接受甲方或其代表对产品质量检验，服从甲方或其代表在产品制造期间的质量监督。</w:t>
      </w:r>
    </w:p>
    <w:p>
      <w:pPr>
        <w:spacing w:line="360" w:lineRule="auto"/>
        <w:ind w:firstLine="420" w:firstLineChars="200"/>
        <w:rPr>
          <w:kern w:val="0"/>
          <w:szCs w:val="21"/>
          <w:highlight w:val="none"/>
        </w:rPr>
      </w:pPr>
      <w:r>
        <w:rPr>
          <w:kern w:val="0"/>
          <w:szCs w:val="21"/>
          <w:highlight w:val="none"/>
        </w:rPr>
        <w:t>6</w:t>
      </w:r>
      <w:r>
        <w:rPr>
          <w:rFonts w:hint="eastAsia"/>
          <w:kern w:val="0"/>
          <w:szCs w:val="21"/>
          <w:highlight w:val="none"/>
        </w:rPr>
        <w:t>、进口的原材料需提供相关进口证明材料。</w:t>
      </w:r>
    </w:p>
    <w:p>
      <w:pPr>
        <w:spacing w:line="360" w:lineRule="auto"/>
        <w:ind w:firstLine="420" w:firstLineChars="200"/>
        <w:rPr>
          <w:kern w:val="0"/>
          <w:szCs w:val="21"/>
          <w:highlight w:val="none"/>
        </w:rPr>
      </w:pPr>
      <w:r>
        <w:rPr>
          <w:kern w:val="0"/>
          <w:szCs w:val="21"/>
          <w:highlight w:val="none"/>
        </w:rPr>
        <w:t>7</w:t>
      </w:r>
      <w:r>
        <w:rPr>
          <w:rFonts w:hint="eastAsia"/>
          <w:kern w:val="0"/>
          <w:szCs w:val="21"/>
          <w:highlight w:val="none"/>
        </w:rPr>
        <w:t>、交货查验的进行并不免除乙方的货物质量保证义务和其他合同义务。</w:t>
      </w:r>
    </w:p>
    <w:p>
      <w:pPr>
        <w:spacing w:line="360" w:lineRule="auto"/>
        <w:ind w:firstLine="420" w:firstLineChars="200"/>
        <w:rPr>
          <w:kern w:val="0"/>
          <w:szCs w:val="21"/>
          <w:highlight w:val="none"/>
        </w:rPr>
      </w:pPr>
      <w:r>
        <w:rPr>
          <w:rFonts w:hint="eastAsia"/>
          <w:kern w:val="0"/>
          <w:szCs w:val="21"/>
          <w:highlight w:val="none"/>
        </w:rPr>
        <w:t>十、产品的保管：</w:t>
      </w:r>
    </w:p>
    <w:p>
      <w:pPr>
        <w:spacing w:line="360" w:lineRule="auto"/>
        <w:ind w:firstLine="420" w:firstLineChars="200"/>
        <w:rPr>
          <w:kern w:val="0"/>
          <w:szCs w:val="21"/>
          <w:highlight w:val="none"/>
        </w:rPr>
      </w:pPr>
      <w:r>
        <w:rPr>
          <w:rFonts w:hint="eastAsia"/>
          <w:kern w:val="0"/>
          <w:szCs w:val="21"/>
          <w:highlight w:val="none"/>
        </w:rPr>
        <w:t>产品运抵现场后至进场安装前，乙方负责保管，甲方予以配合；保管期间（直至安装调试验收合格交付甲方使用前），产生的风险由乙方承担。</w:t>
      </w:r>
    </w:p>
    <w:p>
      <w:pPr>
        <w:spacing w:line="360" w:lineRule="auto"/>
        <w:ind w:firstLine="420" w:firstLineChars="200"/>
        <w:rPr>
          <w:kern w:val="0"/>
          <w:szCs w:val="21"/>
          <w:highlight w:val="none"/>
        </w:rPr>
      </w:pPr>
      <w:r>
        <w:rPr>
          <w:rFonts w:hint="eastAsia"/>
          <w:kern w:val="0"/>
          <w:szCs w:val="21"/>
          <w:highlight w:val="none"/>
        </w:rPr>
        <w:t>十一、产品的安装调试及培训：</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、乙方负责对产品的安装和调试，进行试运行，对产品所要求的各项指标进行测试，保证通过竣工验收。</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、乙方应安排甲方进行技术培训。</w:t>
      </w:r>
    </w:p>
    <w:p>
      <w:pPr>
        <w:tabs>
          <w:tab w:val="left" w:pos="1896"/>
          <w:tab w:val="left" w:pos="9291"/>
        </w:tabs>
        <w:spacing w:line="360" w:lineRule="auto"/>
        <w:ind w:firstLine="420" w:firstLineChars="200"/>
        <w:rPr>
          <w:kern w:val="0"/>
          <w:szCs w:val="21"/>
          <w:highlight w:val="none"/>
        </w:rPr>
      </w:pPr>
      <w:r>
        <w:rPr>
          <w:kern w:val="0"/>
          <w:szCs w:val="21"/>
          <w:highlight w:val="none"/>
        </w:rPr>
        <w:t>3</w:t>
      </w:r>
      <w:r>
        <w:rPr>
          <w:rFonts w:hint="eastAsia"/>
          <w:kern w:val="0"/>
          <w:szCs w:val="21"/>
          <w:highlight w:val="none"/>
        </w:rPr>
        <w:t>、所有产品均应在安装后，按技术规范的规定，由甲方提供现场负载进行测试、调试、试运行和性能测试，以证明产品对现场负载的适用性和保证值。最终验收以招标文件为依据进行。</w:t>
      </w:r>
    </w:p>
    <w:p>
      <w:pPr>
        <w:spacing w:line="360" w:lineRule="auto"/>
        <w:ind w:firstLine="420" w:firstLineChars="200"/>
        <w:rPr>
          <w:kern w:val="0"/>
          <w:szCs w:val="21"/>
          <w:highlight w:val="none"/>
        </w:rPr>
      </w:pPr>
      <w:r>
        <w:rPr>
          <w:rFonts w:hint="eastAsia"/>
          <w:kern w:val="0"/>
          <w:szCs w:val="21"/>
          <w:highlight w:val="none"/>
        </w:rPr>
        <w:t>如果产品的任何部分未能通过技术规范规定的试验，该部分的试验根据甲方的要求可在十五日内按同样条件重复进行一次，重复试验所需的直接费用由乙方负责。</w:t>
      </w:r>
    </w:p>
    <w:p>
      <w:pPr>
        <w:spacing w:line="360" w:lineRule="auto"/>
        <w:ind w:firstLine="420" w:firstLineChars="200"/>
        <w:rPr>
          <w:kern w:val="0"/>
          <w:szCs w:val="21"/>
          <w:highlight w:val="none"/>
        </w:rPr>
      </w:pPr>
      <w:r>
        <w:rPr>
          <w:rFonts w:hint="eastAsia"/>
          <w:kern w:val="0"/>
          <w:szCs w:val="21"/>
          <w:highlight w:val="none"/>
        </w:rPr>
        <w:t>十二、质保和费用</w:t>
      </w:r>
    </w:p>
    <w:p>
      <w:pPr>
        <w:spacing w:line="360" w:lineRule="auto"/>
        <w:ind w:firstLine="420" w:firstLineChars="200"/>
        <w:rPr>
          <w:kern w:val="0"/>
          <w:szCs w:val="21"/>
          <w:highlight w:val="none"/>
        </w:rPr>
      </w:pPr>
      <w:r>
        <w:rPr>
          <w:rFonts w:hint="eastAsia"/>
          <w:kern w:val="0"/>
          <w:szCs w:val="21"/>
          <w:highlight w:val="none"/>
        </w:rPr>
        <w:t>1、质量</w:t>
      </w:r>
      <w:r>
        <w:rPr>
          <w:kern w:val="0"/>
          <w:szCs w:val="21"/>
          <w:highlight w:val="none"/>
        </w:rPr>
        <w:t>保证范围</w:t>
      </w:r>
    </w:p>
    <w:p>
      <w:pPr>
        <w:spacing w:line="360" w:lineRule="auto"/>
        <w:ind w:firstLine="420" w:firstLineChars="200"/>
        <w:rPr>
          <w:kern w:val="0"/>
          <w:szCs w:val="21"/>
          <w:highlight w:val="none"/>
        </w:rPr>
      </w:pPr>
      <w:r>
        <w:rPr>
          <w:rFonts w:hint="eastAsia"/>
          <w:kern w:val="0"/>
          <w:szCs w:val="21"/>
          <w:highlight w:val="none"/>
        </w:rPr>
        <w:t>（1）</w:t>
      </w:r>
      <w:r>
        <w:rPr>
          <w:kern w:val="0"/>
          <w:szCs w:val="21"/>
          <w:highlight w:val="none"/>
        </w:rPr>
        <w:t>乙方应保证其提供的货物是全新的、未使用过的，采用的是</w:t>
      </w:r>
      <w:r>
        <w:rPr>
          <w:rFonts w:hint="eastAsia"/>
          <w:kern w:val="0"/>
          <w:szCs w:val="21"/>
          <w:highlight w:val="none"/>
        </w:rPr>
        <w:t>符合标准的</w:t>
      </w:r>
      <w:r>
        <w:rPr>
          <w:kern w:val="0"/>
          <w:szCs w:val="21"/>
          <w:highlight w:val="none"/>
        </w:rPr>
        <w:t>材料和工艺设计和制造，并经</w:t>
      </w:r>
      <w:r>
        <w:rPr>
          <w:rFonts w:hint="eastAsia"/>
          <w:kern w:val="0"/>
          <w:szCs w:val="21"/>
          <w:highlight w:val="none"/>
        </w:rPr>
        <w:t>检验</w:t>
      </w:r>
      <w:r>
        <w:rPr>
          <w:kern w:val="0"/>
          <w:szCs w:val="21"/>
          <w:highlight w:val="none"/>
        </w:rPr>
        <w:t>、</w:t>
      </w:r>
      <w:r>
        <w:rPr>
          <w:rFonts w:hint="eastAsia"/>
          <w:kern w:val="0"/>
          <w:szCs w:val="21"/>
          <w:highlight w:val="none"/>
        </w:rPr>
        <w:t>测试</w:t>
      </w:r>
      <w:r>
        <w:rPr>
          <w:kern w:val="0"/>
          <w:szCs w:val="21"/>
          <w:highlight w:val="none"/>
        </w:rPr>
        <w:t>完全合格，并在各个方面符合合同规定的质量、规格和性能要求。</w:t>
      </w:r>
    </w:p>
    <w:p>
      <w:pPr>
        <w:spacing w:line="360" w:lineRule="auto"/>
        <w:ind w:firstLine="420" w:firstLineChars="200"/>
        <w:rPr>
          <w:kern w:val="0"/>
          <w:szCs w:val="21"/>
          <w:highlight w:val="none"/>
        </w:rPr>
      </w:pPr>
      <w:r>
        <w:rPr>
          <w:rFonts w:hint="eastAsia"/>
          <w:kern w:val="0"/>
          <w:szCs w:val="21"/>
          <w:highlight w:val="none"/>
        </w:rPr>
        <w:t>（2）</w:t>
      </w:r>
      <w:r>
        <w:rPr>
          <w:kern w:val="0"/>
          <w:szCs w:val="21"/>
          <w:highlight w:val="none"/>
        </w:rPr>
        <w:t>乙方保证所提供的技术资料（含软件）完整正确，数据和资料准确无误，能够保证设备按时正确</w:t>
      </w:r>
      <w:r>
        <w:rPr>
          <w:rFonts w:hint="eastAsia"/>
          <w:kern w:val="0"/>
          <w:szCs w:val="21"/>
          <w:highlight w:val="none"/>
        </w:rPr>
        <w:t>的</w:t>
      </w:r>
      <w:r>
        <w:rPr>
          <w:kern w:val="0"/>
          <w:szCs w:val="21"/>
          <w:highlight w:val="none"/>
        </w:rPr>
        <w:t>安装、调试和验收，并能满足正常运行和维修保养的需要。</w:t>
      </w:r>
    </w:p>
    <w:p>
      <w:pPr>
        <w:spacing w:line="360" w:lineRule="auto"/>
        <w:ind w:firstLine="420" w:firstLineChars="200"/>
        <w:rPr>
          <w:kern w:val="0"/>
          <w:szCs w:val="21"/>
          <w:highlight w:val="none"/>
        </w:rPr>
      </w:pPr>
      <w:r>
        <w:rPr>
          <w:rFonts w:hint="eastAsia"/>
          <w:kern w:val="0"/>
          <w:szCs w:val="21"/>
          <w:highlight w:val="none"/>
        </w:rPr>
        <w:t>（3）质量</w:t>
      </w:r>
      <w:r>
        <w:rPr>
          <w:kern w:val="0"/>
          <w:szCs w:val="21"/>
          <w:highlight w:val="none"/>
        </w:rPr>
        <w:t>保证范围不包括由于甲方管理不善，不遵守操作、维修及其他说明书中的有关规定，操作不当和正常磨损所引起的设备损坏</w:t>
      </w:r>
      <w:r>
        <w:rPr>
          <w:rFonts w:hint="eastAsia"/>
          <w:kern w:val="0"/>
          <w:szCs w:val="21"/>
          <w:highlight w:val="none"/>
        </w:rPr>
        <w:t>。</w:t>
      </w:r>
    </w:p>
    <w:p>
      <w:pPr>
        <w:spacing w:line="360" w:lineRule="auto"/>
        <w:ind w:firstLine="420" w:firstLineChars="200"/>
        <w:rPr>
          <w:kern w:val="0"/>
          <w:szCs w:val="21"/>
          <w:highlight w:val="none"/>
        </w:rPr>
      </w:pPr>
      <w:r>
        <w:rPr>
          <w:rFonts w:hint="eastAsia"/>
          <w:kern w:val="0"/>
          <w:szCs w:val="21"/>
          <w:highlight w:val="none"/>
        </w:rPr>
        <w:t>2、</w:t>
      </w:r>
      <w:r>
        <w:rPr>
          <w:kern w:val="0"/>
          <w:szCs w:val="21"/>
          <w:highlight w:val="none"/>
        </w:rPr>
        <w:t>质量保证期</w:t>
      </w:r>
      <w:r>
        <w:rPr>
          <w:rFonts w:hint="eastAsia"/>
          <w:kern w:val="0"/>
          <w:szCs w:val="21"/>
          <w:highlight w:val="none"/>
        </w:rPr>
        <w:t>：</w:t>
      </w:r>
      <w:r>
        <w:rPr>
          <w:kern w:val="0"/>
          <w:szCs w:val="21"/>
          <w:highlight w:val="none"/>
        </w:rPr>
        <w:t>从买卖双方签署竣工验收合格证书之日起</w:t>
      </w:r>
      <w:r>
        <w:rPr>
          <w:rFonts w:hint="eastAsia"/>
          <w:kern w:val="0"/>
          <w:szCs w:val="21"/>
          <w:highlight w:val="none"/>
        </w:rPr>
        <w:t>贰</w:t>
      </w:r>
      <w:r>
        <w:rPr>
          <w:kern w:val="0"/>
          <w:szCs w:val="21"/>
          <w:highlight w:val="none"/>
        </w:rPr>
        <w:t>年。</w:t>
      </w:r>
    </w:p>
    <w:p>
      <w:pPr>
        <w:spacing w:line="360" w:lineRule="auto"/>
        <w:ind w:firstLine="420" w:firstLineChars="200"/>
        <w:rPr>
          <w:kern w:val="0"/>
          <w:szCs w:val="21"/>
          <w:highlight w:val="none"/>
        </w:rPr>
      </w:pPr>
      <w:r>
        <w:rPr>
          <w:rFonts w:hint="eastAsia"/>
          <w:kern w:val="0"/>
          <w:szCs w:val="21"/>
          <w:highlight w:val="none"/>
        </w:rPr>
        <w:t>3、</w:t>
      </w:r>
      <w:r>
        <w:rPr>
          <w:kern w:val="0"/>
          <w:szCs w:val="21"/>
          <w:highlight w:val="none"/>
        </w:rPr>
        <w:t>在</w:t>
      </w:r>
      <w:r>
        <w:rPr>
          <w:rFonts w:hint="eastAsia"/>
          <w:kern w:val="0"/>
          <w:szCs w:val="21"/>
          <w:highlight w:val="none"/>
        </w:rPr>
        <w:t>质量保证期</w:t>
      </w:r>
      <w:r>
        <w:rPr>
          <w:kern w:val="0"/>
          <w:szCs w:val="21"/>
          <w:highlight w:val="none"/>
        </w:rPr>
        <w:t>内</w:t>
      </w:r>
      <w:r>
        <w:rPr>
          <w:rFonts w:hint="eastAsia"/>
          <w:kern w:val="0"/>
          <w:szCs w:val="21"/>
          <w:highlight w:val="none"/>
        </w:rPr>
        <w:t>：</w:t>
      </w:r>
      <w:r>
        <w:rPr>
          <w:kern w:val="0"/>
          <w:szCs w:val="21"/>
          <w:highlight w:val="none"/>
        </w:rPr>
        <w:t>乙方对所提供的全部设备</w:t>
      </w:r>
      <w:r>
        <w:rPr>
          <w:rFonts w:hint="eastAsia"/>
          <w:kern w:val="0"/>
          <w:szCs w:val="21"/>
          <w:highlight w:val="none"/>
        </w:rPr>
        <w:t>及时</w:t>
      </w:r>
      <w:r>
        <w:rPr>
          <w:kern w:val="0"/>
          <w:szCs w:val="21"/>
          <w:highlight w:val="none"/>
        </w:rPr>
        <w:t>提供免费保修</w:t>
      </w:r>
      <w:r>
        <w:rPr>
          <w:rFonts w:hint="eastAsia"/>
          <w:kern w:val="0"/>
          <w:szCs w:val="21"/>
          <w:highlight w:val="none"/>
        </w:rPr>
        <w:t>、</w:t>
      </w:r>
      <w:r>
        <w:rPr>
          <w:kern w:val="0"/>
          <w:szCs w:val="21"/>
          <w:highlight w:val="none"/>
        </w:rPr>
        <w:t>保养，在此期间，除人为损坏或不可抗力以外，乙方免费提供所有</w:t>
      </w:r>
      <w:r>
        <w:rPr>
          <w:rFonts w:hint="eastAsia"/>
          <w:kern w:val="0"/>
          <w:szCs w:val="21"/>
          <w:highlight w:val="none"/>
        </w:rPr>
        <w:t>需更换的</w:t>
      </w:r>
      <w:r>
        <w:rPr>
          <w:kern w:val="0"/>
          <w:szCs w:val="21"/>
          <w:highlight w:val="none"/>
        </w:rPr>
        <w:t>零部件。乙方派遣具有充分素质和经验的人员进驻现场追踪设备的运行性能</w:t>
      </w:r>
      <w:r>
        <w:rPr>
          <w:rFonts w:hint="eastAsia"/>
          <w:kern w:val="0"/>
          <w:szCs w:val="21"/>
          <w:highlight w:val="none"/>
        </w:rPr>
        <w:t>，并</w:t>
      </w:r>
      <w:r>
        <w:rPr>
          <w:kern w:val="0"/>
          <w:szCs w:val="21"/>
          <w:highlight w:val="none"/>
        </w:rPr>
        <w:t>定期对设备进行例检和维护</w:t>
      </w:r>
      <w:r>
        <w:rPr>
          <w:rFonts w:hint="eastAsia"/>
          <w:kern w:val="0"/>
          <w:szCs w:val="21"/>
          <w:highlight w:val="none"/>
        </w:rPr>
        <w:t>，</w:t>
      </w:r>
      <w:r>
        <w:rPr>
          <w:kern w:val="0"/>
          <w:szCs w:val="21"/>
          <w:highlight w:val="none"/>
        </w:rPr>
        <w:t>保证设备正常运行。</w:t>
      </w:r>
      <w:r>
        <w:rPr>
          <w:rFonts w:hint="eastAsia"/>
          <w:kern w:val="0"/>
          <w:szCs w:val="21"/>
          <w:highlight w:val="none"/>
        </w:rPr>
        <w:t>甲方应提供满足乙方驻场人员工作条件的工作场所。</w:t>
      </w:r>
      <w:r>
        <w:rPr>
          <w:kern w:val="0"/>
          <w:szCs w:val="21"/>
          <w:highlight w:val="none"/>
        </w:rPr>
        <w:t>甲方</w:t>
      </w:r>
      <w:r>
        <w:rPr>
          <w:rFonts w:hint="eastAsia"/>
          <w:kern w:val="0"/>
          <w:szCs w:val="21"/>
          <w:highlight w:val="none"/>
        </w:rPr>
        <w:t>在使用过程中如发生质量问题，甲方应</w:t>
      </w:r>
      <w:r>
        <w:rPr>
          <w:kern w:val="0"/>
          <w:szCs w:val="21"/>
          <w:highlight w:val="none"/>
        </w:rPr>
        <w:t>尽快通知乙方，乙方应在接到通知后</w:t>
      </w:r>
      <w:r>
        <w:rPr>
          <w:rFonts w:hint="eastAsia"/>
          <w:kern w:val="0"/>
          <w:szCs w:val="21"/>
          <w:highlight w:val="none"/>
        </w:rPr>
        <w:t>2</w:t>
      </w:r>
      <w:r>
        <w:rPr>
          <w:kern w:val="0"/>
          <w:szCs w:val="21"/>
          <w:highlight w:val="none"/>
        </w:rPr>
        <w:t>4小时内到达</w:t>
      </w:r>
      <w:r>
        <w:rPr>
          <w:rFonts w:hint="eastAsia"/>
          <w:kern w:val="0"/>
          <w:szCs w:val="21"/>
          <w:highlight w:val="none"/>
        </w:rPr>
        <w:t>甲方</w:t>
      </w:r>
      <w:r>
        <w:rPr>
          <w:kern w:val="0"/>
          <w:szCs w:val="21"/>
          <w:highlight w:val="none"/>
        </w:rPr>
        <w:t>现场</w:t>
      </w:r>
      <w:r>
        <w:rPr>
          <w:rFonts w:hint="eastAsia"/>
          <w:kern w:val="0"/>
          <w:szCs w:val="21"/>
          <w:highlight w:val="none"/>
        </w:rPr>
        <w:t>处理</w:t>
      </w:r>
      <w:r>
        <w:rPr>
          <w:kern w:val="0"/>
          <w:szCs w:val="21"/>
          <w:highlight w:val="none"/>
        </w:rPr>
        <w:t>。</w:t>
      </w:r>
    </w:p>
    <w:p>
      <w:pPr>
        <w:spacing w:line="360" w:lineRule="auto"/>
        <w:ind w:firstLine="420" w:firstLineChars="200"/>
        <w:rPr>
          <w:kern w:val="0"/>
          <w:szCs w:val="21"/>
          <w:highlight w:val="none"/>
        </w:rPr>
      </w:pPr>
      <w:r>
        <w:rPr>
          <w:rFonts w:hint="eastAsia"/>
          <w:kern w:val="0"/>
          <w:szCs w:val="21"/>
          <w:highlight w:val="none"/>
        </w:rPr>
        <w:t>4、在质保期外，甲方有权要求乙方提供维修服务，维修费用及方式另行商定，但维修费用按投标文件中承诺的条款执行。</w:t>
      </w:r>
    </w:p>
    <w:p>
      <w:pPr>
        <w:spacing w:line="360" w:lineRule="auto"/>
        <w:ind w:firstLine="420" w:firstLineChars="200"/>
        <w:rPr>
          <w:kern w:val="0"/>
          <w:szCs w:val="21"/>
          <w:highlight w:val="none"/>
        </w:rPr>
      </w:pPr>
      <w:r>
        <w:rPr>
          <w:rFonts w:hint="eastAsia"/>
          <w:kern w:val="0"/>
          <w:szCs w:val="21"/>
          <w:highlight w:val="none"/>
        </w:rPr>
        <w:t>十三、工期</w:t>
      </w:r>
    </w:p>
    <w:p>
      <w:pPr>
        <w:spacing w:line="360" w:lineRule="auto"/>
        <w:ind w:firstLine="420" w:firstLineChars="200"/>
        <w:rPr>
          <w:kern w:val="0"/>
          <w:szCs w:val="21"/>
          <w:highlight w:val="none"/>
        </w:rPr>
      </w:pPr>
      <w:r>
        <w:rPr>
          <w:rFonts w:hint="eastAsia"/>
          <w:kern w:val="0"/>
          <w:szCs w:val="21"/>
          <w:highlight w:val="none"/>
        </w:rPr>
        <w:t>由于乙方原因逾期交货或交付使用，逾期五天之内的，每逾期一天由乙方向甲方赔偿合同总价</w:t>
      </w:r>
      <w:r>
        <w:rPr>
          <w:kern w:val="0"/>
          <w:szCs w:val="21"/>
          <w:highlight w:val="none"/>
        </w:rPr>
        <w:t>1‰</w:t>
      </w:r>
      <w:r>
        <w:rPr>
          <w:rFonts w:hint="eastAsia"/>
          <w:kern w:val="0"/>
          <w:szCs w:val="21"/>
          <w:highlight w:val="none"/>
        </w:rPr>
        <w:t>的违约金，逾期六至十天内的（含前面五天），每逾期一天由乙方向甲方赔偿合同总价</w:t>
      </w:r>
      <w:r>
        <w:rPr>
          <w:kern w:val="0"/>
          <w:szCs w:val="21"/>
          <w:highlight w:val="none"/>
        </w:rPr>
        <w:t>3‰</w:t>
      </w:r>
      <w:r>
        <w:rPr>
          <w:rFonts w:hint="eastAsia"/>
          <w:kern w:val="0"/>
          <w:szCs w:val="21"/>
          <w:highlight w:val="none"/>
        </w:rPr>
        <w:t>的违约金，逾期超过十天的（含前面十天），每逾期一天由乙方向甲方赔偿合同总价</w:t>
      </w:r>
      <w:r>
        <w:rPr>
          <w:kern w:val="0"/>
          <w:szCs w:val="21"/>
          <w:highlight w:val="none"/>
        </w:rPr>
        <w:t>5‰</w:t>
      </w:r>
      <w:r>
        <w:rPr>
          <w:rFonts w:hint="eastAsia"/>
          <w:kern w:val="0"/>
          <w:szCs w:val="21"/>
          <w:highlight w:val="none"/>
        </w:rPr>
        <w:t>的违约金，逾期交货的违约赔偿最高限度为合同总价的</w:t>
      </w:r>
      <w:r>
        <w:rPr>
          <w:kern w:val="0"/>
          <w:szCs w:val="21"/>
          <w:highlight w:val="none"/>
        </w:rPr>
        <w:t>6</w:t>
      </w:r>
      <w:r>
        <w:rPr>
          <w:rFonts w:hint="eastAsia"/>
          <w:kern w:val="0"/>
          <w:szCs w:val="21"/>
          <w:highlight w:val="none"/>
        </w:rPr>
        <w:t>％，如违约金达到最高限额时乙方仍不能交货，按不能交货处理，乙方应向甲方偿付违约金，违约金按合同总价的</w:t>
      </w:r>
      <w:r>
        <w:rPr>
          <w:kern w:val="0"/>
          <w:szCs w:val="21"/>
          <w:highlight w:val="none"/>
        </w:rPr>
        <w:t>30</w:t>
      </w:r>
      <w:r>
        <w:rPr>
          <w:rFonts w:hint="eastAsia"/>
          <w:kern w:val="0"/>
          <w:szCs w:val="21"/>
          <w:highlight w:val="none"/>
        </w:rPr>
        <w:t>％计算。上述违约金在履约保证金中扣除，不足的从货款中扣除或由乙方赔付。</w:t>
      </w:r>
    </w:p>
    <w:p>
      <w:pPr>
        <w:spacing w:line="360" w:lineRule="auto"/>
        <w:ind w:firstLine="420" w:firstLineChars="200"/>
        <w:rPr>
          <w:kern w:val="0"/>
          <w:szCs w:val="21"/>
          <w:highlight w:val="none"/>
        </w:rPr>
      </w:pPr>
      <w:r>
        <w:rPr>
          <w:rFonts w:hint="eastAsia"/>
          <w:kern w:val="0"/>
          <w:szCs w:val="21"/>
          <w:highlight w:val="none"/>
        </w:rPr>
        <w:t>由于不可抗力因素（指火灾、地震、台风、洪水、战争等）使乙方不能在合同规定的期限内交货时，乙方必须立即以书面形式通知甲方，并以书面形式向甲方提供有关部门所出具的不可抗力因素证明。</w:t>
      </w:r>
    </w:p>
    <w:p>
      <w:pPr>
        <w:spacing w:line="360" w:lineRule="auto"/>
        <w:ind w:firstLine="420" w:firstLineChars="200"/>
        <w:rPr>
          <w:kern w:val="0"/>
          <w:szCs w:val="21"/>
          <w:highlight w:val="none"/>
        </w:rPr>
      </w:pPr>
      <w:r>
        <w:rPr>
          <w:rFonts w:hint="eastAsia"/>
          <w:kern w:val="0"/>
          <w:szCs w:val="21"/>
          <w:highlight w:val="none"/>
        </w:rPr>
        <w:t>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w:t>
      </w:r>
      <w:r>
        <w:rPr>
          <w:kern w:val="0"/>
          <w:szCs w:val="21"/>
          <w:highlight w:val="none"/>
        </w:rPr>
        <w:t>90</w:t>
      </w:r>
      <w:r>
        <w:rPr>
          <w:rFonts w:hint="eastAsia"/>
          <w:kern w:val="0"/>
          <w:szCs w:val="21"/>
          <w:highlight w:val="none"/>
        </w:rPr>
        <w:t>天内不能恢复履约，则任何一方可提出终止合同。在这种情况下，双方应协商解决合同终止以前双方应得的利益问题。</w:t>
      </w:r>
    </w:p>
    <w:p>
      <w:pPr>
        <w:spacing w:line="360" w:lineRule="auto"/>
        <w:ind w:firstLine="420" w:firstLineChars="200"/>
        <w:rPr>
          <w:kern w:val="0"/>
          <w:szCs w:val="21"/>
          <w:highlight w:val="none"/>
        </w:rPr>
      </w:pPr>
      <w:r>
        <w:rPr>
          <w:rFonts w:hint="eastAsia"/>
          <w:kern w:val="0"/>
          <w:szCs w:val="21"/>
          <w:highlight w:val="none"/>
        </w:rPr>
        <w:t>十四、其他违约责任</w:t>
      </w:r>
    </w:p>
    <w:p>
      <w:pPr>
        <w:spacing w:line="360" w:lineRule="auto"/>
        <w:ind w:firstLine="420" w:firstLineChars="200"/>
        <w:rPr>
          <w:kern w:val="0"/>
          <w:szCs w:val="21"/>
          <w:highlight w:val="none"/>
        </w:rPr>
      </w:pPr>
      <w:r>
        <w:rPr>
          <w:kern w:val="0"/>
          <w:szCs w:val="21"/>
          <w:highlight w:val="none"/>
        </w:rPr>
        <w:t>1</w:t>
      </w:r>
      <w:r>
        <w:rPr>
          <w:rFonts w:hint="eastAsia"/>
          <w:kern w:val="0"/>
          <w:szCs w:val="21"/>
          <w:highlight w:val="none"/>
        </w:rPr>
        <w:t>、产品质量达不到合同约定的要求，或因质量低劣不能如期通过验收，则由乙方无偿返工，并承担逾期交货的责任；返工后仍不能达到要求的，乙方除应支付合同总价的</w:t>
      </w:r>
      <w:r>
        <w:rPr>
          <w:kern w:val="0"/>
          <w:szCs w:val="21"/>
          <w:highlight w:val="none"/>
        </w:rPr>
        <w:t>30%</w:t>
      </w:r>
      <w:r>
        <w:rPr>
          <w:rFonts w:hint="eastAsia"/>
          <w:kern w:val="0"/>
          <w:szCs w:val="21"/>
          <w:highlight w:val="none"/>
        </w:rPr>
        <w:t>作为违约金外，还应赔偿甲方的实际损失。</w:t>
      </w:r>
    </w:p>
    <w:p>
      <w:pPr>
        <w:spacing w:line="360" w:lineRule="auto"/>
        <w:ind w:firstLine="420" w:firstLineChars="200"/>
        <w:rPr>
          <w:kern w:val="0"/>
          <w:szCs w:val="21"/>
          <w:highlight w:val="none"/>
        </w:rPr>
      </w:pPr>
      <w:r>
        <w:rPr>
          <w:kern w:val="0"/>
          <w:szCs w:val="21"/>
          <w:highlight w:val="none"/>
        </w:rPr>
        <w:t>2</w:t>
      </w:r>
      <w:r>
        <w:rPr>
          <w:rFonts w:hint="eastAsia"/>
          <w:kern w:val="0"/>
          <w:szCs w:val="21"/>
          <w:highlight w:val="none"/>
        </w:rPr>
        <w:t>、产品采用材质与投标时提交的样品材料不一致，或达不到合同约定的要求，乙方除应支付合同总价的</w:t>
      </w:r>
      <w:r>
        <w:rPr>
          <w:kern w:val="0"/>
          <w:szCs w:val="21"/>
          <w:highlight w:val="none"/>
        </w:rPr>
        <w:t>30%</w:t>
      </w:r>
      <w:r>
        <w:rPr>
          <w:rFonts w:hint="eastAsia"/>
          <w:kern w:val="0"/>
          <w:szCs w:val="21"/>
          <w:highlight w:val="none"/>
        </w:rPr>
        <w:t>作为违约金外，还应赔偿甲方的实际损失。</w:t>
      </w:r>
    </w:p>
    <w:p>
      <w:pPr>
        <w:spacing w:line="360" w:lineRule="auto"/>
        <w:ind w:firstLine="420" w:firstLineChars="200"/>
        <w:rPr>
          <w:kern w:val="0"/>
          <w:szCs w:val="21"/>
          <w:highlight w:val="none"/>
        </w:rPr>
      </w:pPr>
      <w:r>
        <w:rPr>
          <w:kern w:val="0"/>
          <w:szCs w:val="21"/>
          <w:highlight w:val="none"/>
        </w:rPr>
        <w:t>3</w:t>
      </w:r>
      <w:r>
        <w:rPr>
          <w:rFonts w:hint="eastAsia"/>
          <w:kern w:val="0"/>
          <w:szCs w:val="21"/>
          <w:highlight w:val="none"/>
        </w:rPr>
        <w:t>、产品质保期为</w:t>
      </w:r>
      <w:r>
        <w:rPr>
          <w:kern w:val="0"/>
          <w:szCs w:val="21"/>
          <w:highlight w:val="none"/>
        </w:rPr>
        <w:t>2</w:t>
      </w:r>
      <w:r>
        <w:rPr>
          <w:rFonts w:hint="eastAsia"/>
          <w:kern w:val="0"/>
          <w:szCs w:val="21"/>
          <w:highlight w:val="none"/>
        </w:rPr>
        <w:t>年，在质保期内发生的质量问题，由乙方在甲方提出的合理期限内无偿给予调换或重做；若乙方拒绝调换或重做或超出甲方提出的合理期限调换或重做的，则甲方有权自行重做，重做费由乙方承担。</w:t>
      </w:r>
    </w:p>
    <w:p>
      <w:pPr>
        <w:spacing w:line="360" w:lineRule="auto"/>
        <w:ind w:firstLine="420" w:firstLineChars="200"/>
        <w:rPr>
          <w:kern w:val="0"/>
          <w:szCs w:val="21"/>
          <w:highlight w:val="none"/>
        </w:rPr>
      </w:pPr>
      <w:r>
        <w:rPr>
          <w:kern w:val="0"/>
          <w:szCs w:val="21"/>
          <w:highlight w:val="none"/>
        </w:rPr>
        <w:t>4</w:t>
      </w:r>
      <w:r>
        <w:rPr>
          <w:rFonts w:hint="eastAsia"/>
          <w:kern w:val="0"/>
          <w:szCs w:val="21"/>
          <w:highlight w:val="none"/>
        </w:rPr>
        <w:t>、如因产品的设计局限或缺陷、选用材料设备不合格、达不到正常安全使用寿命等原因，存在安全使用隐患必须召回的，乙方须承担全部召回费用和因召回给甲方造成损失的赔偿。</w:t>
      </w:r>
    </w:p>
    <w:p>
      <w:pPr>
        <w:spacing w:line="360" w:lineRule="auto"/>
        <w:ind w:firstLine="420" w:firstLineChars="200"/>
        <w:rPr>
          <w:kern w:val="0"/>
          <w:szCs w:val="21"/>
          <w:highlight w:val="none"/>
        </w:rPr>
      </w:pPr>
      <w:r>
        <w:rPr>
          <w:kern w:val="0"/>
          <w:szCs w:val="21"/>
          <w:highlight w:val="none"/>
        </w:rPr>
        <w:t>5</w:t>
      </w:r>
      <w:r>
        <w:rPr>
          <w:rFonts w:hint="eastAsia"/>
          <w:kern w:val="0"/>
          <w:szCs w:val="21"/>
          <w:highlight w:val="none"/>
        </w:rPr>
        <w:t>、甲方逾期支付进度款的违约金的计算方式：按同期银行贷款利率向承包人支付利息，逾期付款的违约赔偿最高限度为合同总价的</w:t>
      </w:r>
      <w:r>
        <w:rPr>
          <w:kern w:val="0"/>
          <w:szCs w:val="21"/>
          <w:highlight w:val="none"/>
        </w:rPr>
        <w:t>5</w:t>
      </w:r>
      <w:r>
        <w:rPr>
          <w:rFonts w:hint="eastAsia"/>
          <w:kern w:val="0"/>
          <w:szCs w:val="21"/>
          <w:highlight w:val="none"/>
        </w:rPr>
        <w:t>％，如违约金达到最高限额时甲方仍不能付款，按中途退货处理，甲方应向乙方偿付违约金，违约金的计算方法与乙方违约相同。</w:t>
      </w:r>
    </w:p>
    <w:p>
      <w:pPr>
        <w:spacing w:line="360" w:lineRule="auto"/>
        <w:ind w:firstLine="420" w:firstLineChars="200"/>
        <w:rPr>
          <w:kern w:val="0"/>
          <w:szCs w:val="21"/>
          <w:highlight w:val="none"/>
        </w:rPr>
      </w:pPr>
      <w:r>
        <w:rPr>
          <w:kern w:val="0"/>
          <w:szCs w:val="21"/>
          <w:highlight w:val="none"/>
        </w:rPr>
        <w:t>6</w:t>
      </w:r>
      <w:r>
        <w:rPr>
          <w:rFonts w:hint="eastAsia"/>
          <w:kern w:val="0"/>
          <w:szCs w:val="21"/>
          <w:highlight w:val="none"/>
        </w:rPr>
        <w:t>、若该产品实际生产工厂、技术规格及性能与投标文件所列不符，若甲方接受的，乙方支付合同总额的</w:t>
      </w:r>
      <w:r>
        <w:rPr>
          <w:kern w:val="0"/>
          <w:szCs w:val="21"/>
          <w:highlight w:val="none"/>
        </w:rPr>
        <w:t>10</w:t>
      </w:r>
      <w:r>
        <w:rPr>
          <w:rFonts w:hint="eastAsia"/>
          <w:kern w:val="0"/>
          <w:szCs w:val="21"/>
          <w:highlight w:val="none"/>
        </w:rPr>
        <w:t>％作为违约金予甲方；若甲方不接受的，按乙方不能交货处理，并由乙方支付合同总额的</w:t>
      </w:r>
      <w:r>
        <w:rPr>
          <w:kern w:val="0"/>
          <w:szCs w:val="21"/>
          <w:highlight w:val="none"/>
        </w:rPr>
        <w:t>30%</w:t>
      </w:r>
      <w:r>
        <w:rPr>
          <w:rFonts w:hint="eastAsia"/>
          <w:kern w:val="0"/>
          <w:szCs w:val="21"/>
          <w:highlight w:val="none"/>
        </w:rPr>
        <w:t>作为违约金予甲方。上述违约金在履约保证金中扣除，不足的从货款中扣除或由乙方赔付。</w:t>
      </w:r>
    </w:p>
    <w:p>
      <w:pPr>
        <w:spacing w:line="360" w:lineRule="auto"/>
        <w:ind w:firstLine="420" w:firstLineChars="200"/>
        <w:rPr>
          <w:kern w:val="0"/>
          <w:szCs w:val="21"/>
          <w:highlight w:val="none"/>
        </w:rPr>
      </w:pPr>
      <w:r>
        <w:rPr>
          <w:rFonts w:hint="eastAsia"/>
          <w:kern w:val="0"/>
          <w:szCs w:val="21"/>
          <w:highlight w:val="none"/>
        </w:rPr>
        <w:t>十五、履约担保</w:t>
      </w:r>
    </w:p>
    <w:p>
      <w:pPr>
        <w:spacing w:line="360" w:lineRule="auto"/>
        <w:ind w:firstLine="420" w:firstLineChars="200"/>
        <w:jc w:val="left"/>
        <w:rPr>
          <w:kern w:val="0"/>
          <w:szCs w:val="21"/>
          <w:highlight w:val="none"/>
        </w:rPr>
      </w:pPr>
      <w:r>
        <w:rPr>
          <w:kern w:val="0"/>
          <w:szCs w:val="21"/>
          <w:highlight w:val="none"/>
        </w:rPr>
        <w:t>1</w:t>
      </w:r>
      <w:r>
        <w:rPr>
          <w:rFonts w:hint="eastAsia"/>
          <w:kern w:val="0"/>
          <w:szCs w:val="21"/>
          <w:highlight w:val="none"/>
        </w:rPr>
        <w:t>、承包人提供履约担保的形式、金额及期限的：在签订合同前，承包人应向发包人提供合同总价的</w:t>
      </w:r>
      <w:r>
        <w:rPr>
          <w:kern w:val="0"/>
          <w:szCs w:val="21"/>
          <w:highlight w:val="none"/>
        </w:rPr>
        <w:t>5%</w:t>
      </w:r>
      <w:r>
        <w:rPr>
          <w:rFonts w:hint="eastAsia"/>
          <w:kern w:val="0"/>
          <w:szCs w:val="21"/>
          <w:highlight w:val="none"/>
        </w:rPr>
        <w:t>作为履约保证金，缴纳至甲方指定账户。</w:t>
      </w:r>
    </w:p>
    <w:p>
      <w:pPr>
        <w:spacing w:line="360" w:lineRule="auto"/>
        <w:ind w:firstLine="420" w:firstLineChars="200"/>
        <w:jc w:val="left"/>
        <w:rPr>
          <w:kern w:val="0"/>
          <w:szCs w:val="21"/>
          <w:highlight w:val="none"/>
        </w:rPr>
      </w:pPr>
      <w:r>
        <w:rPr>
          <w:kern w:val="0"/>
          <w:szCs w:val="21"/>
          <w:highlight w:val="none"/>
        </w:rPr>
        <w:t>2</w:t>
      </w:r>
      <w:r>
        <w:rPr>
          <w:rFonts w:hint="eastAsia"/>
          <w:kern w:val="0"/>
          <w:szCs w:val="21"/>
          <w:highlight w:val="none"/>
        </w:rPr>
        <w:t>、履约保证金在单位工程通过竣工验收后</w:t>
      </w:r>
      <w:r>
        <w:rPr>
          <w:kern w:val="0"/>
          <w:szCs w:val="21"/>
          <w:highlight w:val="none"/>
        </w:rPr>
        <w:t>10</w:t>
      </w:r>
      <w:r>
        <w:rPr>
          <w:rFonts w:hint="eastAsia"/>
          <w:kern w:val="0"/>
          <w:szCs w:val="21"/>
          <w:highlight w:val="none"/>
        </w:rPr>
        <w:t>天内退还给乙方，不计利息。如合同履行过程中乙方违约的，则甲方只负责向乙方退还扣除乙方相应违约行为应支付的违约金后的余额，如履约保证金不足以支付违约金的，甲方还有权就不足部分向乙方追索。</w:t>
      </w:r>
    </w:p>
    <w:p>
      <w:pPr>
        <w:spacing w:line="360" w:lineRule="auto"/>
        <w:ind w:firstLine="420" w:firstLineChars="200"/>
        <w:rPr>
          <w:kern w:val="0"/>
          <w:szCs w:val="21"/>
          <w:highlight w:val="none"/>
        </w:rPr>
      </w:pPr>
      <w:r>
        <w:rPr>
          <w:rFonts w:hint="eastAsia"/>
          <w:kern w:val="0"/>
          <w:szCs w:val="21"/>
          <w:highlight w:val="none"/>
        </w:rPr>
        <w:t>十六、争议解决</w:t>
      </w:r>
    </w:p>
    <w:p>
      <w:pPr>
        <w:spacing w:line="360" w:lineRule="auto"/>
        <w:ind w:firstLine="420" w:firstLineChars="200"/>
        <w:rPr>
          <w:kern w:val="0"/>
          <w:szCs w:val="21"/>
          <w:highlight w:val="none"/>
        </w:rPr>
      </w:pPr>
      <w:r>
        <w:rPr>
          <w:rFonts w:hint="eastAsia"/>
          <w:kern w:val="0"/>
          <w:szCs w:val="21"/>
          <w:highlight w:val="none"/>
        </w:rPr>
        <w:t>凡有关本合同或执行本合同而发生的一切争执应通过双方友好协商解决，如不能解决，双方均可将争议提交项目所在地人民法院裁决。合同其它部分仍继续履行。</w:t>
      </w:r>
    </w:p>
    <w:p>
      <w:pPr>
        <w:spacing w:line="360" w:lineRule="auto"/>
        <w:ind w:firstLine="420" w:firstLineChars="200"/>
        <w:rPr>
          <w:kern w:val="0"/>
          <w:szCs w:val="21"/>
          <w:highlight w:val="none"/>
        </w:rPr>
      </w:pPr>
      <w:r>
        <w:rPr>
          <w:rFonts w:hint="eastAsia"/>
          <w:kern w:val="0"/>
          <w:szCs w:val="21"/>
          <w:highlight w:val="none"/>
        </w:rPr>
        <w:t>十七、</w:t>
      </w:r>
      <w:r>
        <w:rPr>
          <w:kern w:val="0"/>
          <w:szCs w:val="21"/>
          <w:highlight w:val="none"/>
        </w:rPr>
        <w:t xml:space="preserve"> </w:t>
      </w:r>
      <w:r>
        <w:rPr>
          <w:rFonts w:hint="eastAsia"/>
          <w:kern w:val="0"/>
          <w:szCs w:val="21"/>
          <w:highlight w:val="none"/>
        </w:rPr>
        <w:t>其他补充条款：</w:t>
      </w:r>
      <w:r>
        <w:rPr>
          <w:kern w:val="0"/>
          <w:szCs w:val="21"/>
          <w:highlight w:val="none"/>
        </w:rPr>
        <w:t xml:space="preserve">/     </w:t>
      </w:r>
    </w:p>
    <w:p>
      <w:pPr>
        <w:widowControl/>
        <w:jc w:val="left"/>
        <w:rPr>
          <w:rFonts w:ascii="宋体" w:hAnsi="宋体" w:cs="仿宋_GB2312"/>
          <w:b/>
          <w:color w:val="000000"/>
          <w:sz w:val="36"/>
          <w:szCs w:val="36"/>
          <w:highlight w:val="none"/>
        </w:rPr>
      </w:pPr>
      <w:bookmarkStart w:id="64" w:name="_Toc25000046"/>
      <w:r>
        <w:rPr>
          <w:rFonts w:ascii="宋体" w:hAnsi="宋体" w:cs="仿宋_GB2312"/>
          <w:color w:val="000000"/>
          <w:sz w:val="36"/>
          <w:szCs w:val="36"/>
          <w:highlight w:val="none"/>
        </w:rPr>
        <w:br w:type="page"/>
      </w:r>
    </w:p>
    <w:p>
      <w:pPr>
        <w:pStyle w:val="2"/>
        <w:rPr>
          <w:rFonts w:ascii="宋体" w:hAnsi="宋体" w:eastAsia="宋体" w:cs="Arial"/>
          <w:color w:val="000000"/>
          <w:highlight w:val="none"/>
        </w:rPr>
      </w:pPr>
      <w:bookmarkStart w:id="65" w:name="_Toc28927_WPSOffice_Level1"/>
      <w:r>
        <w:rPr>
          <w:rFonts w:ascii="宋体" w:hAnsi="宋体" w:eastAsia="宋体" w:cs="仿宋_GB2312"/>
          <w:color w:val="000000"/>
          <w:sz w:val="36"/>
          <w:szCs w:val="36"/>
          <w:highlight w:val="none"/>
        </w:rPr>
        <w:t xml:space="preserve">第五章  </w:t>
      </w:r>
      <w:r>
        <w:rPr>
          <w:rFonts w:hint="eastAsia" w:ascii="宋体" w:hAnsi="宋体" w:eastAsia="宋体" w:cs="仿宋_GB2312"/>
          <w:color w:val="000000"/>
          <w:sz w:val="36"/>
          <w:szCs w:val="36"/>
          <w:highlight w:val="none"/>
        </w:rPr>
        <w:t>评标方法及评分标准</w:t>
      </w:r>
      <w:bookmarkEnd w:id="64"/>
      <w:bookmarkEnd w:id="65"/>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评标方法</w:t>
      </w:r>
    </w:p>
    <w:p>
      <w:pPr>
        <w:spacing w:line="360" w:lineRule="auto"/>
        <w:ind w:firstLine="411" w:firstLineChars="196"/>
        <w:rPr>
          <w:rFonts w:ascii="宋体" w:hAnsi="宋体" w:cs="Arial"/>
          <w:color w:val="000000"/>
          <w:kern w:val="0"/>
          <w:highlight w:val="none"/>
        </w:rPr>
      </w:pPr>
      <w:r>
        <w:rPr>
          <w:rFonts w:hint="eastAsia" w:ascii="宋体" w:hAnsi="宋体" w:cs="Arial"/>
          <w:color w:val="000000"/>
          <w:kern w:val="0"/>
          <w:highlight w:val="none"/>
        </w:rPr>
        <w:t>综合评分法，是指投标文件满足招标文件全部实质性要求，且按照评审因素的量化指标评审得分最高的投标人为中标候选人的评标方法。</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评标委员会的组建</w:t>
      </w:r>
    </w:p>
    <w:p>
      <w:pPr>
        <w:snapToGrid w:val="0"/>
        <w:spacing w:line="360" w:lineRule="auto"/>
        <w:ind w:firstLine="411" w:firstLineChars="196"/>
        <w:rPr>
          <w:rFonts w:ascii="宋体" w:hAnsi="宋体" w:cs="Arial"/>
          <w:color w:val="000000"/>
          <w:kern w:val="0"/>
          <w:highlight w:val="none"/>
        </w:rPr>
      </w:pPr>
      <w:r>
        <w:rPr>
          <w:rFonts w:hint="eastAsia" w:ascii="宋体" w:hAnsi="宋体" w:cs="Arial"/>
          <w:color w:val="000000"/>
          <w:kern w:val="0"/>
          <w:highlight w:val="none"/>
        </w:rPr>
        <w:t>2.1</w:t>
      </w:r>
      <w:r>
        <w:rPr>
          <w:rFonts w:ascii="宋体" w:hAnsi="宋体" w:cs="Arial"/>
          <w:color w:val="000000"/>
          <w:kern w:val="0"/>
          <w:highlight w:val="none"/>
        </w:rPr>
        <w:t>评标委员会由采购人代表和评审专家组成，成员人数为</w:t>
      </w:r>
      <w:r>
        <w:rPr>
          <w:rFonts w:hint="eastAsia" w:ascii="宋体" w:hAnsi="宋体" w:cs="Arial"/>
          <w:color w:val="000000"/>
          <w:kern w:val="0"/>
          <w:highlight w:val="none"/>
        </w:rPr>
        <w:t>7</w:t>
      </w:r>
      <w:r>
        <w:rPr>
          <w:rFonts w:ascii="宋体" w:hAnsi="宋体" w:cs="Arial"/>
          <w:color w:val="000000"/>
          <w:kern w:val="0"/>
          <w:highlight w:val="none"/>
        </w:rPr>
        <w:t>人</w:t>
      </w:r>
      <w:r>
        <w:rPr>
          <w:rFonts w:hint="eastAsia" w:ascii="宋体" w:hAnsi="宋体" w:cs="Arial"/>
          <w:color w:val="000000"/>
          <w:kern w:val="0"/>
          <w:highlight w:val="none"/>
        </w:rPr>
        <w:t>及</w:t>
      </w:r>
      <w:r>
        <w:rPr>
          <w:rFonts w:ascii="宋体" w:hAnsi="宋体" w:cs="Arial"/>
          <w:color w:val="000000"/>
          <w:kern w:val="0"/>
          <w:highlight w:val="none"/>
        </w:rPr>
        <w:t>以上单数，其中评审专家不少于成员总数的三分之二。</w:t>
      </w:r>
    </w:p>
    <w:p>
      <w:pPr>
        <w:snapToGrid w:val="0"/>
        <w:spacing w:line="360" w:lineRule="auto"/>
        <w:ind w:firstLine="411" w:firstLineChars="196"/>
        <w:rPr>
          <w:rFonts w:ascii="宋体" w:hAnsi="宋体" w:cs="Arial"/>
          <w:color w:val="000000"/>
          <w:kern w:val="0"/>
          <w:highlight w:val="none"/>
        </w:rPr>
      </w:pPr>
      <w:r>
        <w:rPr>
          <w:rFonts w:hint="eastAsia" w:ascii="宋体" w:hAnsi="宋体" w:cs="Arial"/>
          <w:color w:val="000000"/>
          <w:kern w:val="0"/>
          <w:highlight w:val="none"/>
        </w:rPr>
        <w:t>2.2评标委员会成员名单在评审结果（采购结果）公告前保密。</w:t>
      </w:r>
    </w:p>
    <w:p>
      <w:pPr>
        <w:pStyle w:val="103"/>
        <w:spacing w:before="0"/>
        <w:ind w:firstLine="413" w:firstLineChars="196"/>
        <w:rPr>
          <w:rFonts w:ascii="宋体" w:hAnsi="宋体" w:cs="Arial"/>
          <w:color w:val="000000"/>
          <w:kern w:val="0"/>
          <w:sz w:val="21"/>
          <w:highlight w:val="none"/>
        </w:rPr>
      </w:pPr>
      <w:r>
        <w:rPr>
          <w:rFonts w:hint="eastAsia" w:ascii="宋体" w:hAnsi="宋体" w:cs="Arial"/>
          <w:b/>
          <w:color w:val="000000"/>
          <w:kern w:val="0"/>
          <w:sz w:val="21"/>
          <w:highlight w:val="none"/>
        </w:rPr>
        <w:t>2.3.评</w:t>
      </w:r>
      <w:r>
        <w:rPr>
          <w:rFonts w:hint="eastAsia" w:ascii="宋体" w:hAnsi="宋体" w:cs="Arial"/>
          <w:b/>
          <w:color w:val="000000"/>
          <w:kern w:val="0"/>
          <w:sz w:val="21"/>
          <w:szCs w:val="24"/>
          <w:highlight w:val="none"/>
        </w:rPr>
        <w:t>标委员会的组成人员的回避。</w:t>
      </w:r>
      <w:r>
        <w:rPr>
          <w:rFonts w:hint="eastAsia" w:ascii="宋体" w:hAnsi="宋体" w:cs="Arial"/>
          <w:color w:val="000000"/>
          <w:kern w:val="0"/>
          <w:sz w:val="21"/>
          <w:highlight w:val="none"/>
        </w:rPr>
        <w:t>在政府采购活动中，评标委员会的组成人员与供应商有下列利害关系之一的，应当回避：</w:t>
      </w:r>
    </w:p>
    <w:p>
      <w:pPr>
        <w:pStyle w:val="103"/>
        <w:numPr>
          <w:ilvl w:val="0"/>
          <w:numId w:val="10"/>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参加采购活动前3年内与供应商存在劳动关系；</w:t>
      </w:r>
    </w:p>
    <w:p>
      <w:pPr>
        <w:pStyle w:val="103"/>
        <w:numPr>
          <w:ilvl w:val="0"/>
          <w:numId w:val="10"/>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参加采购活动前3年内担任供应商的董事、监事；</w:t>
      </w:r>
    </w:p>
    <w:p>
      <w:pPr>
        <w:pStyle w:val="103"/>
        <w:numPr>
          <w:ilvl w:val="0"/>
          <w:numId w:val="10"/>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参加采购活动前3年内是供应商的控股股东或者实际控制人；</w:t>
      </w:r>
    </w:p>
    <w:p>
      <w:pPr>
        <w:pStyle w:val="103"/>
        <w:numPr>
          <w:ilvl w:val="0"/>
          <w:numId w:val="10"/>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与供应商的法定代表人或者负责人有夫妻、直系血亲、三代以内旁系血亲或者近姻亲关系；</w:t>
      </w:r>
    </w:p>
    <w:p>
      <w:pPr>
        <w:pStyle w:val="103"/>
        <w:numPr>
          <w:ilvl w:val="0"/>
          <w:numId w:val="10"/>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与供应商有其他可能影响政府采购活动公平、公正进行的关系。</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评标委员会的职责</w:t>
      </w:r>
    </w:p>
    <w:p>
      <w:pPr>
        <w:pStyle w:val="103"/>
        <w:spacing w:before="0"/>
        <w:ind w:firstLine="413" w:firstLineChars="196"/>
        <w:rPr>
          <w:rFonts w:ascii="宋体" w:hAnsi="宋体" w:cs="Arial"/>
          <w:b/>
          <w:color w:val="000000"/>
          <w:kern w:val="0"/>
          <w:sz w:val="21"/>
          <w:szCs w:val="24"/>
          <w:highlight w:val="none"/>
        </w:rPr>
      </w:pPr>
      <w:r>
        <w:rPr>
          <w:rFonts w:hint="eastAsia" w:ascii="宋体" w:hAnsi="宋体" w:cs="Arial"/>
          <w:b/>
          <w:color w:val="000000"/>
          <w:kern w:val="0"/>
          <w:sz w:val="21"/>
          <w:szCs w:val="24"/>
          <w:highlight w:val="none"/>
        </w:rPr>
        <w:t>3.1</w:t>
      </w:r>
      <w:r>
        <w:rPr>
          <w:rFonts w:ascii="宋体" w:hAnsi="宋体" w:cs="Arial"/>
          <w:b/>
          <w:color w:val="000000"/>
          <w:kern w:val="0"/>
          <w:sz w:val="21"/>
          <w:szCs w:val="24"/>
          <w:highlight w:val="none"/>
        </w:rPr>
        <w:t>评标委员会负责具体评标事务，并独立履行下列职责：</w:t>
      </w:r>
    </w:p>
    <w:p>
      <w:pPr>
        <w:pStyle w:val="103"/>
        <w:numPr>
          <w:ilvl w:val="0"/>
          <w:numId w:val="11"/>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审查、评价投标文件是否符合招标文件的商务、技术等实质性要求；</w:t>
      </w:r>
    </w:p>
    <w:p>
      <w:pPr>
        <w:pStyle w:val="103"/>
        <w:numPr>
          <w:ilvl w:val="0"/>
          <w:numId w:val="11"/>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要求投标人对投标文件有关事项作出澄清或者说明；</w:t>
      </w:r>
    </w:p>
    <w:p>
      <w:pPr>
        <w:pStyle w:val="103"/>
        <w:numPr>
          <w:ilvl w:val="0"/>
          <w:numId w:val="11"/>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对投标文件进行比较和评价；</w:t>
      </w:r>
    </w:p>
    <w:p>
      <w:pPr>
        <w:pStyle w:val="103"/>
        <w:numPr>
          <w:ilvl w:val="0"/>
          <w:numId w:val="11"/>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确定中标候选人名单，以及根据采购人委托直接确定中标人；</w:t>
      </w:r>
    </w:p>
    <w:p>
      <w:pPr>
        <w:pStyle w:val="103"/>
        <w:numPr>
          <w:ilvl w:val="0"/>
          <w:numId w:val="11"/>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向采购人、采购代理机构或者有关部门报告评标中发现的违法行为；</w:t>
      </w:r>
    </w:p>
    <w:p>
      <w:pPr>
        <w:pStyle w:val="103"/>
        <w:numPr>
          <w:ilvl w:val="0"/>
          <w:numId w:val="11"/>
        </w:numPr>
        <w:spacing w:before="0"/>
        <w:ind w:left="0" w:firstLine="420"/>
        <w:rPr>
          <w:rFonts w:ascii="宋体" w:hAnsi="宋体" w:cs="Arial"/>
          <w:color w:val="000000"/>
          <w:kern w:val="0"/>
          <w:sz w:val="21"/>
          <w:highlight w:val="none"/>
        </w:rPr>
      </w:pPr>
      <w:r>
        <w:rPr>
          <w:rFonts w:hint="eastAsia" w:ascii="宋体" w:hAnsi="宋体" w:cs="Arial"/>
          <w:color w:val="000000"/>
          <w:kern w:val="0"/>
          <w:sz w:val="21"/>
          <w:highlight w:val="none"/>
        </w:rPr>
        <w:t>法律、法规、规章、招标文件等规定的其它事项。</w:t>
      </w:r>
    </w:p>
    <w:p>
      <w:pPr>
        <w:pStyle w:val="103"/>
        <w:spacing w:before="0"/>
        <w:ind w:firstLine="413" w:firstLineChars="196"/>
        <w:rPr>
          <w:rFonts w:ascii="宋体" w:hAnsi="宋体" w:cs="Arial"/>
          <w:b/>
          <w:color w:val="000000"/>
          <w:kern w:val="0"/>
          <w:sz w:val="21"/>
          <w:szCs w:val="24"/>
          <w:highlight w:val="none"/>
        </w:rPr>
      </w:pPr>
      <w:r>
        <w:rPr>
          <w:rFonts w:hint="eastAsia" w:ascii="宋体" w:hAnsi="宋体" w:cs="Arial"/>
          <w:b/>
          <w:color w:val="000000"/>
          <w:kern w:val="0"/>
          <w:sz w:val="21"/>
          <w:szCs w:val="24"/>
          <w:highlight w:val="none"/>
        </w:rPr>
        <w:t>3.2.</w:t>
      </w:r>
      <w:r>
        <w:rPr>
          <w:rFonts w:ascii="宋体" w:hAnsi="宋体" w:cs="Arial"/>
          <w:b/>
          <w:color w:val="000000"/>
          <w:kern w:val="0"/>
          <w:sz w:val="21"/>
          <w:szCs w:val="24"/>
          <w:highlight w:val="none"/>
        </w:rPr>
        <w:t>评标委员会及其成员不得有下列行为：</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确定参与评标至评标结束前私自接触投标人；</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接受投标人提出的与投标文件不一致的澄清或者说明，本办法第五十一条规定的情形除外；</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违反评标纪律发表倾向性意见或者征询采购人的倾向性意见；</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对需要专业判断的主观评审因素协商评分；</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在评标过程中擅离职守，影响评标程序正常进行的；</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记录、复制或者带走任何评标资料；</w:t>
      </w:r>
    </w:p>
    <w:p>
      <w:pPr>
        <w:pStyle w:val="103"/>
        <w:numPr>
          <w:ilvl w:val="0"/>
          <w:numId w:val="12"/>
        </w:numPr>
        <w:spacing w:before="0"/>
        <w:ind w:left="0" w:firstLine="420"/>
        <w:rPr>
          <w:rFonts w:ascii="宋体" w:hAnsi="宋体" w:cs="Arial"/>
          <w:color w:val="000000"/>
          <w:kern w:val="0"/>
          <w:sz w:val="21"/>
          <w:highlight w:val="none"/>
        </w:rPr>
      </w:pPr>
      <w:r>
        <w:rPr>
          <w:rFonts w:ascii="宋体" w:hAnsi="宋体" w:cs="Arial"/>
          <w:color w:val="000000"/>
          <w:kern w:val="0"/>
          <w:sz w:val="21"/>
          <w:highlight w:val="none"/>
        </w:rPr>
        <w:t>其他不遵守评标纪律的行为。</w:t>
      </w:r>
    </w:p>
    <w:p>
      <w:pPr>
        <w:pStyle w:val="103"/>
        <w:spacing w:before="0"/>
        <w:ind w:firstLine="420" w:firstLineChars="0"/>
        <w:rPr>
          <w:rFonts w:ascii="宋体" w:hAnsi="宋体" w:cs="Arial"/>
          <w:color w:val="000000"/>
          <w:kern w:val="0"/>
          <w:sz w:val="21"/>
          <w:highlight w:val="none"/>
        </w:rPr>
      </w:pPr>
      <w:r>
        <w:rPr>
          <w:rFonts w:ascii="宋体" w:hAnsi="宋体" w:cs="Arial"/>
          <w:color w:val="000000"/>
          <w:kern w:val="0"/>
          <w:sz w:val="21"/>
          <w:highlight w:val="none"/>
        </w:rPr>
        <w:t>评标委员会成员有</w:t>
      </w:r>
      <w:r>
        <w:rPr>
          <w:rFonts w:hint="eastAsia" w:ascii="宋体" w:hAnsi="宋体" w:cs="Arial"/>
          <w:color w:val="000000"/>
          <w:kern w:val="0"/>
          <w:sz w:val="21"/>
          <w:highlight w:val="none"/>
        </w:rPr>
        <w:t>（1）-（5）</w:t>
      </w:r>
      <w:r>
        <w:rPr>
          <w:rFonts w:ascii="宋体" w:hAnsi="宋体" w:cs="Arial"/>
          <w:color w:val="000000"/>
          <w:kern w:val="0"/>
          <w:sz w:val="21"/>
          <w:highlight w:val="none"/>
        </w:rPr>
        <w:t>行为之一的，其评审意见无效，并不得获取评审劳务报酬和报销异地评审差旅费。</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评审原则</w:t>
      </w:r>
    </w:p>
    <w:p>
      <w:pPr>
        <w:snapToGrid w:val="0"/>
        <w:spacing w:line="360" w:lineRule="auto"/>
        <w:ind w:firstLine="420" w:firstLineChars="200"/>
        <w:jc w:val="left"/>
        <w:rPr>
          <w:rFonts w:ascii="宋体" w:hAnsi="宋体" w:cs="Arial"/>
          <w:color w:val="000000"/>
          <w:kern w:val="0"/>
          <w:szCs w:val="20"/>
          <w:highlight w:val="none"/>
        </w:rPr>
      </w:pPr>
      <w:r>
        <w:rPr>
          <w:rFonts w:hint="eastAsia" w:ascii="宋体" w:hAnsi="宋体" w:cs="Arial"/>
          <w:color w:val="000000"/>
          <w:kern w:val="0"/>
          <w:szCs w:val="20"/>
          <w:highlight w:val="none"/>
        </w:rPr>
        <w:t>4.1评审原则：评标委员会按照客观、公正、审慎、择优的原则，根据招标文件规定的评审程序、评审方法和评审标准进行独立评审。</w:t>
      </w:r>
    </w:p>
    <w:p>
      <w:pPr>
        <w:snapToGrid w:val="0"/>
        <w:spacing w:line="360" w:lineRule="auto"/>
        <w:ind w:firstLine="420" w:firstLineChars="200"/>
        <w:jc w:val="left"/>
        <w:rPr>
          <w:rFonts w:ascii="宋体" w:hAnsi="宋体" w:cs="Arial"/>
          <w:color w:val="000000"/>
          <w:kern w:val="0"/>
          <w:szCs w:val="20"/>
          <w:highlight w:val="none"/>
        </w:rPr>
      </w:pPr>
      <w:r>
        <w:rPr>
          <w:rFonts w:hint="eastAsia" w:ascii="宋体" w:hAnsi="宋体" w:cs="Arial"/>
          <w:color w:val="000000"/>
          <w:kern w:val="0"/>
          <w:szCs w:val="20"/>
          <w:highlight w:val="none"/>
        </w:rPr>
        <w:t>4.2评审工作将依据招标文件、投标文件及招标文件中事先已列明的内容进行（如现场方案讲解、演示等）。</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评审意见的争议处理</w:t>
      </w:r>
    </w:p>
    <w:p>
      <w:pPr>
        <w:snapToGrid w:val="0"/>
        <w:spacing w:line="360" w:lineRule="auto"/>
        <w:ind w:firstLine="420" w:firstLineChars="200"/>
        <w:jc w:val="left"/>
        <w:rPr>
          <w:rFonts w:ascii="宋体" w:hAnsi="宋体" w:cs="Arial"/>
          <w:color w:val="000000"/>
          <w:kern w:val="0"/>
          <w:szCs w:val="20"/>
          <w:highlight w:val="none"/>
        </w:rPr>
      </w:pPr>
      <w:r>
        <w:rPr>
          <w:rFonts w:hint="eastAsia" w:ascii="宋体" w:hAnsi="宋体" w:cs="Arial"/>
          <w:color w:val="000000"/>
          <w:kern w:val="0"/>
          <w:szCs w:val="20"/>
          <w:highlight w:val="none"/>
        </w:rPr>
        <w:t>5.1评标委员会成员对需要共同认定的事项存在争议的，按照少数服从多数的原则作出结论。持不同意见的评标委员会成员应当在评审报告上签署不同意见及理由，否则视为同意评审报告。</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评委纪律</w:t>
      </w:r>
    </w:p>
    <w:p>
      <w:pPr>
        <w:snapToGrid w:val="0"/>
        <w:spacing w:line="360" w:lineRule="auto"/>
        <w:ind w:firstLine="420" w:firstLineChars="200"/>
        <w:jc w:val="left"/>
        <w:rPr>
          <w:rFonts w:ascii="宋体" w:hAnsi="宋体" w:cs="仿宋_GB2312"/>
          <w:b/>
          <w:color w:val="000000"/>
          <w:sz w:val="24"/>
          <w:highlight w:val="none"/>
        </w:rPr>
      </w:pPr>
      <w:r>
        <w:rPr>
          <w:rFonts w:hint="eastAsia" w:ascii="宋体" w:hAnsi="宋体" w:cs="Arial"/>
          <w:color w:val="000000"/>
          <w:kern w:val="0"/>
          <w:szCs w:val="20"/>
          <w:highlight w:val="none"/>
        </w:rPr>
        <w:t>6.1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评审流程及内容</w:t>
      </w:r>
    </w:p>
    <w:p>
      <w:pPr>
        <w:snapToGrid w:val="0"/>
        <w:spacing w:line="360" w:lineRule="auto"/>
        <w:ind w:firstLine="420" w:firstLineChars="200"/>
        <w:jc w:val="left"/>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本项目具体的评审事务由评标委员会负责，评审流程及内容如下：</w:t>
      </w:r>
    </w:p>
    <w:p>
      <w:pPr>
        <w:snapToGrid w:val="0"/>
        <w:spacing w:line="360" w:lineRule="auto"/>
        <w:ind w:firstLine="422" w:firstLineChars="200"/>
        <w:jc w:val="left"/>
        <w:rPr>
          <w:rFonts w:ascii="宋体" w:hAnsi="宋体" w:cs="Arial"/>
          <w:b/>
          <w:bCs/>
          <w:color w:val="000000"/>
          <w:kern w:val="0"/>
          <w:szCs w:val="20"/>
          <w:highlight w:val="none"/>
        </w:rPr>
      </w:pPr>
      <w:r>
        <w:rPr>
          <w:rFonts w:hint="eastAsia" w:ascii="宋体" w:hAnsi="宋体" w:cs="Arial"/>
          <w:b/>
          <w:bCs/>
          <w:color w:val="000000"/>
          <w:kern w:val="0"/>
          <w:szCs w:val="20"/>
          <w:highlight w:val="none"/>
        </w:rPr>
        <w:t>7.1 评审前准备</w:t>
      </w:r>
    </w:p>
    <w:p>
      <w:pPr>
        <w:snapToGrid w:val="0"/>
        <w:spacing w:line="360" w:lineRule="auto"/>
        <w:ind w:firstLine="420" w:firstLineChars="200"/>
        <w:jc w:val="left"/>
        <w:rPr>
          <w:rFonts w:ascii="宋体" w:hAnsi="宋体" w:cs="Arial"/>
          <w:color w:val="000000"/>
          <w:kern w:val="0"/>
          <w:szCs w:val="20"/>
          <w:highlight w:val="none"/>
        </w:rPr>
      </w:pPr>
      <w:r>
        <w:rPr>
          <w:rFonts w:hint="eastAsia" w:ascii="宋体" w:hAnsi="宋体" w:cs="Arial"/>
          <w:color w:val="000000"/>
          <w:kern w:val="0"/>
          <w:szCs w:val="20"/>
          <w:highlight w:val="none"/>
        </w:rPr>
        <w:t>7.1.1由评审专家推选评审小组组长，采购人代表不得担任评审小组组长。</w:t>
      </w:r>
    </w:p>
    <w:p>
      <w:pPr>
        <w:snapToGrid w:val="0"/>
        <w:spacing w:line="360" w:lineRule="auto"/>
        <w:ind w:firstLine="420" w:firstLineChars="200"/>
        <w:jc w:val="left"/>
        <w:rPr>
          <w:rFonts w:ascii="宋体" w:hAnsi="宋体" w:cs="Arial"/>
          <w:color w:val="000000"/>
          <w:kern w:val="0"/>
          <w:szCs w:val="20"/>
          <w:highlight w:val="none"/>
        </w:rPr>
      </w:pPr>
      <w:r>
        <w:rPr>
          <w:rFonts w:hint="eastAsia" w:ascii="宋体" w:hAnsi="宋体" w:cs="Arial"/>
          <w:color w:val="000000"/>
          <w:kern w:val="0"/>
          <w:szCs w:val="20"/>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snapToGrid w:val="0"/>
        <w:spacing w:line="360" w:lineRule="auto"/>
        <w:ind w:firstLine="420" w:firstLineChars="200"/>
        <w:jc w:val="left"/>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7.2投标文件的初步审查、符合性审查</w:t>
      </w:r>
    </w:p>
    <w:p>
      <w:pPr>
        <w:snapToGrid w:val="0"/>
        <w:spacing w:line="360" w:lineRule="auto"/>
        <w:ind w:firstLine="420" w:firstLineChars="200"/>
        <w:jc w:val="left"/>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对所有通过资格审查的投标供应商的投标文件进行初步审查，审查、评价投标文件是否符合招标文件的商务、技术、服务等实质性要求。</w:t>
      </w:r>
    </w:p>
    <w:p>
      <w:pPr>
        <w:snapToGrid w:val="0"/>
        <w:spacing w:line="360" w:lineRule="auto"/>
        <w:ind w:firstLine="420" w:firstLineChars="200"/>
        <w:jc w:val="left"/>
        <w:rPr>
          <w:rFonts w:ascii="黑体" w:hAnsi="黑体" w:eastAsia="黑体" w:cs="黑体"/>
          <w:color w:val="000000"/>
          <w:kern w:val="0"/>
          <w:szCs w:val="20"/>
          <w:highlight w:val="none"/>
        </w:rPr>
      </w:pPr>
      <w:r>
        <w:rPr>
          <w:rFonts w:hint="eastAsia" w:ascii="宋体" w:hAnsi="宋体" w:cs="Arial"/>
          <w:color w:val="000000"/>
          <w:kern w:val="0"/>
          <w:szCs w:val="20"/>
          <w:highlight w:val="none"/>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snapToGrid w:val="0"/>
        <w:spacing w:line="360" w:lineRule="auto"/>
        <w:ind w:firstLine="422" w:firstLineChars="200"/>
        <w:jc w:val="left"/>
        <w:rPr>
          <w:rFonts w:ascii="宋体" w:hAnsi="宋体" w:cs="Arial"/>
          <w:b/>
          <w:bCs/>
          <w:color w:val="000000"/>
          <w:kern w:val="0"/>
          <w:szCs w:val="20"/>
          <w:highlight w:val="none"/>
        </w:rPr>
      </w:pPr>
      <w:r>
        <w:rPr>
          <w:rFonts w:hint="eastAsia" w:ascii="宋体" w:hAnsi="宋体" w:cs="Arial"/>
          <w:b/>
          <w:bCs/>
          <w:color w:val="000000"/>
          <w:kern w:val="0"/>
          <w:szCs w:val="20"/>
          <w:highlight w:val="none"/>
        </w:rPr>
        <w:t>7.3投标人澄清、说明或者补正。</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pStyle w:val="103"/>
        <w:spacing w:before="0"/>
        <w:ind w:firstLine="422"/>
        <w:rPr>
          <w:rFonts w:ascii="宋体" w:hAnsi="宋体" w:cs="Arial"/>
          <w:b/>
          <w:color w:val="000000"/>
          <w:kern w:val="0"/>
          <w:sz w:val="21"/>
          <w:szCs w:val="24"/>
          <w:highlight w:val="none"/>
        </w:rPr>
      </w:pPr>
      <w:r>
        <w:rPr>
          <w:rFonts w:hint="eastAsia" w:ascii="宋体" w:hAnsi="宋体" w:cs="Arial"/>
          <w:b/>
          <w:color w:val="000000"/>
          <w:kern w:val="0"/>
          <w:sz w:val="21"/>
          <w:szCs w:val="24"/>
          <w:highlight w:val="none"/>
        </w:rPr>
        <w:t>7.4 投标文件的错误修正</w:t>
      </w:r>
    </w:p>
    <w:p>
      <w:pPr>
        <w:pStyle w:val="103"/>
        <w:spacing w:before="0"/>
        <w:ind w:firstLine="420"/>
        <w:rPr>
          <w:rFonts w:ascii="黑体" w:hAnsi="黑体" w:eastAsia="黑体" w:cs="黑体"/>
          <w:color w:val="000000"/>
          <w:kern w:val="0"/>
          <w:sz w:val="21"/>
          <w:highlight w:val="none"/>
        </w:rPr>
      </w:pPr>
      <w:r>
        <w:rPr>
          <w:rFonts w:hint="eastAsia" w:ascii="黑体" w:hAnsi="黑体" w:eastAsia="黑体" w:cs="黑体"/>
          <w:color w:val="000000"/>
          <w:kern w:val="0"/>
          <w:sz w:val="21"/>
          <w:highlight w:val="none"/>
        </w:rPr>
        <w:t>7.4.1《投标文件》如果出现计算或表达上的错误，修正错误的原则如下：</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（1）投标文件中开标一览表（报价表）内容与投标文件中相应内容不一致的，以开标一览表（报价表）为准。</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（2）《投标文件》的大写金额和小写金额不一致的，以大写金额为准；</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（3）单价金额小数点或者百分比有明显错位的，应以开标一览表（报价表）的总价为准，并修改单价；</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（4）总价金额与按单价汇总金额不一致的，以单价金额计算结果为准。</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同时出现两种以上不一致的，按照前款规定的顺序修正。修正后的报价经投标人确认后产生约束力，投标人不确认的，其投标无效。</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7.4.2对不同文字文本《投标文件》的解释发生异议的，以中文文本为准。</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投标文件有下列情况之一者将视为无效</w:t>
      </w:r>
    </w:p>
    <w:p>
      <w:pPr>
        <w:pStyle w:val="103"/>
        <w:spacing w:before="0"/>
        <w:ind w:firstLine="420"/>
        <w:rPr>
          <w:rFonts w:ascii="黑体" w:hAnsi="黑体" w:eastAsia="黑体" w:cs="黑体"/>
          <w:color w:val="000000"/>
          <w:kern w:val="0"/>
          <w:sz w:val="21"/>
          <w:highlight w:val="none"/>
        </w:rPr>
      </w:pPr>
      <w:r>
        <w:rPr>
          <w:rFonts w:hint="eastAsia" w:ascii="黑体" w:hAnsi="黑体" w:eastAsia="黑体" w:cs="黑体"/>
          <w:color w:val="000000"/>
          <w:kern w:val="0"/>
          <w:sz w:val="21"/>
          <w:highlight w:val="none"/>
        </w:rPr>
        <w:t>8.1商务、技术文件符合性审查中，存在下列情形之一的，经评标委员会认定后作无效标处理：</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（1）投标文件未有效授权，法定代表人授权委托书等填写不完整或有涂改的；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（2）投标文件没有对本招标文件作出实质性响应的，或不满足（不响应）本招标文件中标注“▲”的实质性要求条款的，或存在招标文件中明确规定的其他无效标情形的；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（3）投标文件存在一个或一个以上备选（替代）投标方案的；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（4）仅提交“备份投标文件”的；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（5）文件组成内容不齐全，本招标文件规定必须提供而未提供的（属于资格审查范围的除外）；</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（6）投标文件标注的响应或偏离情况与事实不符，或提供了虚假材料的；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（7）不响应或擅自改变本招标文件要求或投标文件有采购人不能接受的附加条件的；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（8）参加同一合同项下政府采购活动的不同供应商之间存在利害关系并且存在影响政府采购公平竞争行为的；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（9）采购人拟采购的产品如属于品目清单范围内的强制采购品目的，投标人未能在响应文件中提供国家确定的认证机构出具的、处于有效期之内的该产品节能产品、环境标志产品认证证书；</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（10）违反国家或政府部门相关法律、法规、文件规定的。</w:t>
      </w:r>
    </w:p>
    <w:p>
      <w:pPr>
        <w:pStyle w:val="103"/>
        <w:spacing w:before="0"/>
        <w:ind w:firstLine="420"/>
        <w:rPr>
          <w:rFonts w:ascii="黑体" w:hAnsi="黑体" w:eastAsia="黑体" w:cs="黑体"/>
          <w:color w:val="000000"/>
          <w:kern w:val="0"/>
          <w:sz w:val="21"/>
          <w:highlight w:val="none"/>
        </w:rPr>
      </w:pPr>
      <w:r>
        <w:rPr>
          <w:rFonts w:hint="eastAsia" w:ascii="黑体" w:hAnsi="黑体" w:eastAsia="黑体" w:cs="黑体"/>
          <w:color w:val="000000"/>
          <w:kern w:val="0"/>
          <w:sz w:val="21"/>
          <w:highlight w:val="none"/>
        </w:rPr>
        <w:t>8.2报价文件符合性审查中，存在下列情形之一的，经评标委员会认定后作无效标处理：</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（1）投标文件没有对本招标文件作出实质性响应的，或不满足（不响应）本招标文件中标注“▲”的实质性要求条款的，或存在招标文件中明确规定的其他无效标情形的；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（2）投标文件存在一个或一个以上备选（替代）投标方案的；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（3）未按照招标文件标明的币种报价的，或者投标报价涵盖的内容不符合招标文件要求的；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（4）《开标一览表》内容与《投标报价明细表》内容不一致且拒不接受修正的；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（5）投标报价具有选择性，唱标价格与《投标文件》承诺的优惠（折扣）后价格不一致的；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（6）投标报价超过采购预算（或最高限价）的；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（7）仅提交“备份投标文件”的；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（8）投标文件组成内容不齐全，本招标文件规定必须提供而未提供的（属于资格审查范围的除外）；</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（9）投标文件标注的响应或偏离情况与事实不符，或提供了虚假材料的；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（10）不响应或擅自改变本招标文件要求或投标文件有采购人不能接受的附加条件的；</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11）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pPr>
        <w:pStyle w:val="103"/>
        <w:spacing w:before="0"/>
        <w:ind w:firstLine="420"/>
        <w:rPr>
          <w:rFonts w:ascii="宋体" w:hAnsi="宋体" w:cs="Arial"/>
          <w:color w:val="000000"/>
          <w:kern w:val="0"/>
          <w:sz w:val="21"/>
          <w:highlight w:val="none"/>
        </w:rPr>
      </w:pPr>
      <w:r>
        <w:rPr>
          <w:rFonts w:hint="eastAsia" w:ascii="宋体" w:hAnsi="宋体" w:cs="Arial"/>
          <w:color w:val="000000"/>
          <w:kern w:val="0"/>
          <w:sz w:val="21"/>
          <w:highlight w:val="none"/>
        </w:rPr>
        <w:t>（12）违反国家或政府部门相关法律、法规、文件规定的。</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投标文件的评估、比较、评分</w:t>
      </w:r>
    </w:p>
    <w:p>
      <w:pPr>
        <w:spacing w:line="360" w:lineRule="auto"/>
        <w:ind w:firstLine="420" w:firstLineChars="200"/>
        <w:rPr>
          <w:rFonts w:ascii="宋体" w:hAnsi="宋体" w:cs="Arial"/>
          <w:color w:val="000000"/>
          <w:kern w:val="0"/>
          <w:szCs w:val="20"/>
          <w:highlight w:val="none"/>
        </w:rPr>
      </w:pPr>
      <w:r>
        <w:rPr>
          <w:rFonts w:hint="eastAsia" w:ascii="宋体" w:hAnsi="宋体" w:cs="Arial"/>
          <w:color w:val="000000"/>
          <w:kern w:val="0"/>
          <w:szCs w:val="20"/>
          <w:highlight w:val="none"/>
        </w:rPr>
        <w:t xml:space="preserve">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 </w:t>
      </w:r>
    </w:p>
    <w:p>
      <w:pPr>
        <w:spacing w:line="360" w:lineRule="auto"/>
        <w:ind w:firstLine="371" w:firstLineChars="177"/>
        <w:rPr>
          <w:rFonts w:ascii="宋体" w:hAnsi="宋体" w:cs="Arial"/>
          <w:color w:val="000000"/>
          <w:kern w:val="0"/>
          <w:szCs w:val="20"/>
          <w:highlight w:val="none"/>
        </w:rPr>
      </w:pPr>
      <w:r>
        <w:rPr>
          <w:rFonts w:hint="eastAsia" w:ascii="宋体" w:hAnsi="宋体" w:cs="Arial"/>
          <w:color w:val="000000"/>
          <w:kern w:val="0"/>
          <w:szCs w:val="20"/>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修改评审结果</w:t>
      </w:r>
    </w:p>
    <w:p>
      <w:pPr>
        <w:spacing w:line="360" w:lineRule="auto"/>
        <w:ind w:firstLine="371" w:firstLineChars="177"/>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10.1评标结果汇总完成后，除下列情形外，任何人不得修改评标结果：</w:t>
      </w:r>
    </w:p>
    <w:p>
      <w:pPr>
        <w:spacing w:line="360" w:lineRule="auto"/>
        <w:ind w:firstLine="371" w:firstLineChars="177"/>
        <w:rPr>
          <w:rFonts w:ascii="宋体" w:hAnsi="宋体" w:cs="Arial"/>
          <w:color w:val="000000"/>
          <w:kern w:val="0"/>
          <w:szCs w:val="20"/>
          <w:highlight w:val="none"/>
        </w:rPr>
      </w:pPr>
      <w:r>
        <w:rPr>
          <w:rFonts w:hint="eastAsia" w:ascii="宋体" w:hAnsi="宋体" w:cs="Arial"/>
          <w:color w:val="000000"/>
          <w:kern w:val="0"/>
          <w:szCs w:val="20"/>
          <w:highlight w:val="none"/>
        </w:rPr>
        <w:t>（1）分值汇总计算错误的；</w:t>
      </w:r>
    </w:p>
    <w:p>
      <w:pPr>
        <w:spacing w:line="360" w:lineRule="auto"/>
        <w:ind w:firstLine="371" w:firstLineChars="177"/>
        <w:rPr>
          <w:rFonts w:ascii="宋体" w:hAnsi="宋体" w:cs="Arial"/>
          <w:color w:val="000000"/>
          <w:kern w:val="0"/>
          <w:szCs w:val="20"/>
          <w:highlight w:val="none"/>
        </w:rPr>
      </w:pPr>
      <w:r>
        <w:rPr>
          <w:rFonts w:hint="eastAsia" w:ascii="宋体" w:hAnsi="宋体" w:cs="Arial"/>
          <w:color w:val="000000"/>
          <w:kern w:val="0"/>
          <w:szCs w:val="20"/>
          <w:highlight w:val="none"/>
        </w:rPr>
        <w:t>（2）分项评分超出评分标准范围的；</w:t>
      </w:r>
    </w:p>
    <w:p>
      <w:pPr>
        <w:spacing w:line="360" w:lineRule="auto"/>
        <w:ind w:firstLine="371" w:firstLineChars="177"/>
        <w:rPr>
          <w:rFonts w:ascii="宋体" w:hAnsi="宋体" w:cs="Arial"/>
          <w:color w:val="000000"/>
          <w:kern w:val="0"/>
          <w:szCs w:val="20"/>
          <w:highlight w:val="none"/>
        </w:rPr>
      </w:pPr>
      <w:r>
        <w:rPr>
          <w:rFonts w:hint="eastAsia" w:ascii="宋体" w:hAnsi="宋体" w:cs="Arial"/>
          <w:color w:val="000000"/>
          <w:kern w:val="0"/>
          <w:szCs w:val="20"/>
          <w:highlight w:val="none"/>
        </w:rPr>
        <w:t>（3）评标委员会成员对客观评审因素评分不一致的；</w:t>
      </w:r>
    </w:p>
    <w:p>
      <w:pPr>
        <w:spacing w:line="360" w:lineRule="auto"/>
        <w:ind w:firstLine="371" w:firstLineChars="177"/>
        <w:rPr>
          <w:rFonts w:ascii="宋体" w:hAnsi="宋体" w:cs="Arial"/>
          <w:color w:val="000000"/>
          <w:kern w:val="0"/>
          <w:szCs w:val="20"/>
          <w:highlight w:val="none"/>
        </w:rPr>
      </w:pPr>
      <w:r>
        <w:rPr>
          <w:rFonts w:hint="eastAsia" w:ascii="宋体" w:hAnsi="宋体" w:cs="Arial"/>
          <w:color w:val="000000"/>
          <w:kern w:val="0"/>
          <w:szCs w:val="20"/>
          <w:highlight w:val="none"/>
        </w:rPr>
        <w:t>（4）经评标委员会认定评分畸高、畸低的。</w:t>
      </w:r>
    </w:p>
    <w:p>
      <w:pPr>
        <w:spacing w:line="360" w:lineRule="auto"/>
        <w:ind w:firstLine="371" w:firstLineChars="177"/>
        <w:rPr>
          <w:rFonts w:ascii="宋体" w:hAnsi="宋体" w:cs="Arial"/>
          <w:b/>
          <w:bCs/>
          <w:color w:val="000000"/>
          <w:kern w:val="0"/>
          <w:szCs w:val="20"/>
          <w:highlight w:val="none"/>
        </w:rPr>
      </w:pPr>
      <w:r>
        <w:rPr>
          <w:rFonts w:hint="eastAsia" w:ascii="黑体" w:hAnsi="黑体" w:eastAsia="黑体" w:cs="黑体"/>
          <w:color w:val="000000"/>
          <w:kern w:val="0"/>
          <w:szCs w:val="20"/>
          <w:highlight w:val="none"/>
        </w:rPr>
        <w:t>10.2评标报告签署前，经复核发现存在以上情形之一的，评标委员会将当场修改评标结果，并在评标报告中记载</w:t>
      </w:r>
      <w:r>
        <w:rPr>
          <w:rFonts w:hint="eastAsia" w:ascii="宋体" w:hAnsi="宋体" w:cs="Arial"/>
          <w:b/>
          <w:bCs/>
          <w:color w:val="000000"/>
          <w:kern w:val="0"/>
          <w:szCs w:val="20"/>
          <w:highlight w:val="none"/>
        </w:rPr>
        <w:t>。</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供应商排序及推荐中标（成交）候选供应商</w:t>
      </w:r>
    </w:p>
    <w:p>
      <w:pPr>
        <w:spacing w:line="360" w:lineRule="auto"/>
        <w:ind w:firstLine="420" w:firstLineChars="200"/>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评标委员会根据以下规定确定供应商排名并推荐中标（成交）候选供应商。</w:t>
      </w:r>
    </w:p>
    <w:p>
      <w:pPr>
        <w:spacing w:line="360" w:lineRule="auto"/>
        <w:ind w:firstLine="420" w:firstLineChars="200"/>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11.1评标委员会根据各投标供应商的综合得分（商务技术分与报价得分之和）从高到低依次进行排名排序。特殊情形按以下原则处理：</w:t>
      </w:r>
    </w:p>
    <w:p>
      <w:pPr>
        <w:spacing w:line="360" w:lineRule="auto"/>
        <w:ind w:firstLine="420" w:firstLineChars="200"/>
        <w:rPr>
          <w:rFonts w:ascii="宋体" w:hAnsi="宋体" w:cs="Arial"/>
          <w:color w:val="000000"/>
          <w:kern w:val="0"/>
          <w:szCs w:val="20"/>
          <w:highlight w:val="none"/>
        </w:rPr>
      </w:pPr>
      <w:r>
        <w:rPr>
          <w:rFonts w:hint="eastAsia" w:ascii="宋体" w:hAnsi="宋体" w:cs="Arial"/>
          <w:color w:val="000000"/>
          <w:kern w:val="0"/>
          <w:szCs w:val="20"/>
          <w:highlight w:val="none"/>
        </w:rPr>
        <w:t>（1）综合得分相同的，按投标报价低的优先原则确定排名；</w:t>
      </w:r>
    </w:p>
    <w:p>
      <w:pPr>
        <w:spacing w:line="360" w:lineRule="auto"/>
        <w:ind w:firstLine="420" w:firstLineChars="200"/>
        <w:rPr>
          <w:rFonts w:ascii="宋体" w:hAnsi="宋体" w:cs="Arial"/>
          <w:color w:val="000000"/>
          <w:kern w:val="0"/>
          <w:szCs w:val="20"/>
          <w:highlight w:val="none"/>
        </w:rPr>
      </w:pPr>
      <w:r>
        <w:rPr>
          <w:rFonts w:hint="eastAsia" w:ascii="宋体" w:hAnsi="宋体" w:cs="Arial"/>
          <w:color w:val="000000"/>
          <w:kern w:val="0"/>
          <w:szCs w:val="20"/>
          <w:highlight w:val="none"/>
        </w:rPr>
        <w:t>（2）综合得分和投标报价均相同的并列。</w:t>
      </w:r>
    </w:p>
    <w:p>
      <w:pPr>
        <w:spacing w:line="360" w:lineRule="auto"/>
        <w:ind w:firstLine="420" w:firstLineChars="200"/>
        <w:rPr>
          <w:rFonts w:ascii="黑体" w:hAnsi="黑体" w:eastAsia="黑体" w:cs="黑体"/>
          <w:color w:val="000000"/>
          <w:kern w:val="0"/>
          <w:szCs w:val="20"/>
          <w:highlight w:val="none"/>
        </w:rPr>
      </w:pPr>
      <w:r>
        <w:rPr>
          <w:rFonts w:hint="eastAsia" w:ascii="黑体" w:hAnsi="黑体" w:eastAsia="黑体" w:cs="黑体"/>
          <w:color w:val="000000"/>
          <w:kern w:val="0"/>
          <w:szCs w:val="20"/>
          <w:highlight w:val="none"/>
        </w:rPr>
        <w:t>11.2根据最终得分排序，通过书面评审报告的形式，向采购人推荐排名第一的投标供应商为中标（成交）候选供应商。</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起草、签署评审报告</w:t>
      </w:r>
    </w:p>
    <w:p>
      <w:pPr>
        <w:spacing w:line="360" w:lineRule="auto"/>
        <w:ind w:firstLine="420" w:firstLineChars="200"/>
        <w:rPr>
          <w:rFonts w:ascii="宋体" w:hAnsi="宋体" w:cs="Arial"/>
          <w:color w:val="000000"/>
          <w:kern w:val="0"/>
          <w:szCs w:val="20"/>
          <w:highlight w:val="none"/>
        </w:rPr>
      </w:pPr>
      <w:r>
        <w:rPr>
          <w:rFonts w:hint="eastAsia" w:ascii="宋体" w:hAnsi="宋体" w:cs="Arial"/>
          <w:color w:val="000000"/>
          <w:kern w:val="0"/>
          <w:szCs w:val="20"/>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numPr>
          <w:ilvl w:val="0"/>
          <w:numId w:val="9"/>
        </w:numPr>
        <w:snapToGrid w:val="0"/>
        <w:spacing w:line="360" w:lineRule="auto"/>
        <w:jc w:val="left"/>
        <w:rPr>
          <w:rFonts w:ascii="宋体" w:hAnsi="宋体" w:cs="仿宋_GB2312"/>
          <w:b/>
          <w:color w:val="000000"/>
          <w:sz w:val="22"/>
          <w:szCs w:val="22"/>
          <w:highlight w:val="none"/>
        </w:rPr>
      </w:pPr>
      <w:r>
        <w:rPr>
          <w:rFonts w:hint="eastAsia" w:ascii="宋体" w:hAnsi="宋体" w:cs="仿宋_GB2312"/>
          <w:b/>
          <w:color w:val="000000"/>
          <w:sz w:val="22"/>
          <w:szCs w:val="22"/>
          <w:highlight w:val="none"/>
        </w:rPr>
        <w:t>具体评标标准</w:t>
      </w:r>
    </w:p>
    <w:p>
      <w:pPr>
        <w:spacing w:line="360" w:lineRule="auto"/>
        <w:ind w:left="105" w:leftChars="50" w:firstLine="373" w:firstLineChars="178"/>
        <w:rPr>
          <w:rFonts w:ascii="宋体" w:hAnsi="宋体" w:cs="仿宋_GB2312"/>
          <w:b/>
          <w:color w:val="000000"/>
          <w:highlight w:val="none"/>
        </w:rPr>
      </w:pPr>
      <w:r>
        <w:rPr>
          <w:rFonts w:hint="eastAsia" w:ascii="宋体" w:hAnsi="宋体" w:cs="仿宋_GB2312"/>
          <w:color w:val="000000"/>
          <w:highlight w:val="none"/>
        </w:rPr>
        <w:t>各投标人的综合得分为：投标报价得分+商务</w:t>
      </w:r>
      <w:r>
        <w:rPr>
          <w:rFonts w:hint="eastAsia" w:ascii="宋体" w:hAnsi="宋体" w:cs="仿宋_GB2312"/>
          <w:bCs/>
          <w:color w:val="000000"/>
          <w:highlight w:val="none"/>
        </w:rPr>
        <w:t>技术</w:t>
      </w:r>
      <w:r>
        <w:rPr>
          <w:rFonts w:hint="eastAsia" w:ascii="宋体" w:hAnsi="宋体" w:cs="仿宋_GB2312"/>
          <w:color w:val="000000"/>
          <w:highlight w:val="none"/>
        </w:rPr>
        <w:t>得分之和，</w:t>
      </w:r>
      <w:r>
        <w:rPr>
          <w:rFonts w:hint="eastAsia" w:ascii="宋体" w:hAnsi="宋体" w:cs="仿宋_GB2312"/>
          <w:b/>
          <w:color w:val="000000"/>
          <w:highlight w:val="none"/>
        </w:rPr>
        <w:t>总和为</w:t>
      </w:r>
      <w:r>
        <w:rPr>
          <w:rFonts w:hint="eastAsia" w:ascii="宋体" w:hAnsi="宋体" w:cs="仿宋_GB2312"/>
          <w:b/>
          <w:color w:val="000000"/>
          <w:highlight w:val="none"/>
          <w:u w:val="single"/>
        </w:rPr>
        <w:t>100</w:t>
      </w:r>
      <w:r>
        <w:rPr>
          <w:rFonts w:hint="eastAsia" w:ascii="宋体" w:hAnsi="宋体" w:cs="仿宋_GB2312"/>
          <w:b/>
          <w:color w:val="000000"/>
          <w:highlight w:val="none"/>
        </w:rPr>
        <w:t>分</w:t>
      </w:r>
      <w:r>
        <w:rPr>
          <w:rFonts w:hint="eastAsia" w:ascii="宋体" w:hAnsi="宋体" w:cs="仿宋_GB2312"/>
          <w:color w:val="000000"/>
          <w:highlight w:val="none"/>
        </w:rPr>
        <w:t>，其中：</w:t>
      </w:r>
      <w:r>
        <w:rPr>
          <w:rFonts w:hint="eastAsia" w:ascii="宋体" w:hAnsi="宋体" w:cs="仿宋_GB2312"/>
          <w:b/>
          <w:color w:val="000000"/>
          <w:highlight w:val="none"/>
        </w:rPr>
        <w:t>投标报价得分</w:t>
      </w:r>
      <w:r>
        <w:rPr>
          <w:rFonts w:hint="eastAsia" w:ascii="宋体" w:hAnsi="宋体" w:cs="仿宋_GB2312"/>
          <w:b/>
          <w:color w:val="000000"/>
          <w:highlight w:val="none"/>
          <w:u w:val="single"/>
        </w:rPr>
        <w:t>30</w:t>
      </w:r>
      <w:r>
        <w:rPr>
          <w:rFonts w:hint="eastAsia" w:ascii="宋体" w:hAnsi="宋体" w:cs="仿宋_GB2312"/>
          <w:b/>
          <w:color w:val="000000"/>
          <w:highlight w:val="none"/>
        </w:rPr>
        <w:t>分，商务</w:t>
      </w:r>
      <w:r>
        <w:rPr>
          <w:rFonts w:hint="eastAsia" w:ascii="宋体" w:hAnsi="宋体" w:cs="仿宋_GB2312"/>
          <w:b/>
          <w:bCs/>
          <w:color w:val="000000"/>
          <w:highlight w:val="none"/>
        </w:rPr>
        <w:t>技术得</w:t>
      </w:r>
      <w:r>
        <w:rPr>
          <w:rFonts w:hint="eastAsia" w:ascii="宋体" w:hAnsi="宋体" w:cs="仿宋_GB2312"/>
          <w:b/>
          <w:color w:val="000000"/>
          <w:highlight w:val="none"/>
        </w:rPr>
        <w:t>分</w:t>
      </w:r>
      <w:r>
        <w:rPr>
          <w:rFonts w:hint="eastAsia" w:ascii="宋体" w:hAnsi="宋体" w:cs="仿宋_GB2312"/>
          <w:b/>
          <w:color w:val="000000"/>
          <w:highlight w:val="none"/>
          <w:u w:val="single"/>
        </w:rPr>
        <w:t>70</w:t>
      </w:r>
      <w:r>
        <w:rPr>
          <w:rFonts w:hint="eastAsia" w:ascii="宋体" w:hAnsi="宋体" w:cs="仿宋_GB2312"/>
          <w:b/>
          <w:color w:val="000000"/>
          <w:highlight w:val="none"/>
        </w:rPr>
        <w:t>分。</w:t>
      </w:r>
    </w:p>
    <w:p>
      <w:pPr>
        <w:tabs>
          <w:tab w:val="left" w:pos="0"/>
        </w:tabs>
        <w:spacing w:line="360" w:lineRule="auto"/>
        <w:ind w:firstLine="474" w:firstLineChars="225"/>
        <w:rPr>
          <w:rFonts w:ascii="宋体" w:hAnsi="宋体" w:cs="仿宋_GB2312"/>
          <w:color w:val="000000"/>
          <w:highlight w:val="none"/>
        </w:rPr>
      </w:pPr>
      <w:r>
        <w:rPr>
          <w:rFonts w:hint="eastAsia" w:ascii="宋体" w:hAnsi="宋体" w:cs="仿宋_GB2312"/>
          <w:b/>
          <w:color w:val="000000"/>
          <w:highlight w:val="none"/>
        </w:rPr>
        <w:t>各投标人的商务</w:t>
      </w:r>
      <w:r>
        <w:rPr>
          <w:rFonts w:hint="eastAsia" w:ascii="宋体" w:hAnsi="宋体" w:cs="仿宋_GB2312"/>
          <w:b/>
          <w:bCs/>
          <w:color w:val="000000"/>
          <w:highlight w:val="none"/>
        </w:rPr>
        <w:t>技术得分</w:t>
      </w:r>
      <w:r>
        <w:rPr>
          <w:rFonts w:hint="eastAsia" w:ascii="宋体" w:hAnsi="宋体" w:cs="仿宋_GB2312"/>
          <w:b/>
          <w:color w:val="000000"/>
          <w:highlight w:val="none"/>
        </w:rPr>
        <w:t>为：</w:t>
      </w:r>
      <w:r>
        <w:rPr>
          <w:rFonts w:hint="eastAsia" w:ascii="宋体" w:hAnsi="宋体" w:cs="仿宋_GB2312"/>
          <w:color w:val="000000"/>
          <w:highlight w:val="none"/>
        </w:rPr>
        <w:t>评标委员会各成员评分的算术平均值。各投标人的投标报价得分按投标报价评分</w:t>
      </w:r>
      <w:r>
        <w:rPr>
          <w:rFonts w:hint="eastAsia" w:ascii="宋体" w:hAnsi="宋体" w:cs="仿宋_GB2312"/>
          <w:color w:val="000000"/>
          <w:kern w:val="0"/>
          <w:highlight w:val="none"/>
        </w:rPr>
        <w:t>公式计算</w:t>
      </w:r>
      <w:r>
        <w:rPr>
          <w:rFonts w:hint="eastAsia" w:ascii="宋体" w:hAnsi="宋体" w:cs="仿宋_GB2312"/>
          <w:color w:val="000000"/>
          <w:highlight w:val="none"/>
        </w:rPr>
        <w:t>。根据上述评标原则，分值安排如下：</w:t>
      </w:r>
    </w:p>
    <w:p>
      <w:pPr>
        <w:spacing w:line="360" w:lineRule="auto"/>
        <w:ind w:firstLine="422" w:firstLineChars="200"/>
        <w:rPr>
          <w:rFonts w:ascii="宋体" w:hAnsi="宋体" w:cs="仿宋_GB2312"/>
          <w:b/>
          <w:color w:val="000000"/>
          <w:highlight w:val="none"/>
        </w:rPr>
      </w:pPr>
      <w:r>
        <w:rPr>
          <w:rFonts w:hint="eastAsia" w:ascii="宋体" w:hAnsi="宋体" w:cs="仿宋_GB2312"/>
          <w:b/>
          <w:color w:val="000000"/>
          <w:highlight w:val="none"/>
        </w:rPr>
        <w:t>投标报价【A=</w:t>
      </w:r>
      <w:r>
        <w:rPr>
          <w:rFonts w:hint="eastAsia" w:ascii="宋体" w:hAnsi="宋体" w:cs="仿宋_GB2312"/>
          <w:b/>
          <w:color w:val="000000"/>
          <w:highlight w:val="none"/>
          <w:u w:val="single"/>
        </w:rPr>
        <w:t>30</w:t>
      </w:r>
      <w:r>
        <w:rPr>
          <w:rFonts w:hint="eastAsia" w:ascii="宋体" w:hAnsi="宋体" w:cs="仿宋_GB2312"/>
          <w:b/>
          <w:color w:val="000000"/>
          <w:highlight w:val="none"/>
        </w:rPr>
        <w:t>分】：</w:t>
      </w:r>
    </w:p>
    <w:p>
      <w:pPr>
        <w:autoSpaceDE w:val="0"/>
        <w:autoSpaceDN w:val="0"/>
        <w:spacing w:line="360" w:lineRule="auto"/>
        <w:ind w:firstLine="482"/>
        <w:rPr>
          <w:rFonts w:ascii="宋体" w:hAnsi="宋体" w:cs="仿宋_GB2312"/>
          <w:color w:val="000000"/>
          <w:highlight w:val="none"/>
          <w:lang w:val="zh-CN"/>
        </w:rPr>
      </w:pPr>
      <w:r>
        <w:rPr>
          <w:rFonts w:hint="eastAsia" w:ascii="宋体" w:hAnsi="宋体" w:cs="仿宋_GB2312"/>
          <w:color w:val="000000"/>
          <w:highlight w:val="none"/>
          <w:lang w:val="zh-CN"/>
        </w:rPr>
        <w:t>●投标报价的合理性：分析总报价及各个分项报价是否合理，报价范围是否完整，有否重大错漏项</w:t>
      </w:r>
      <w:r>
        <w:rPr>
          <w:rFonts w:hint="eastAsia" w:ascii="宋体" w:hAnsi="宋体" w:cs="仿宋_GB2312"/>
          <w:color w:val="000000"/>
          <w:highlight w:val="none"/>
        </w:rPr>
        <w:t>，评标委员会认为投标报价出现异常时，有权要求投标人在评标期间对投标报价的详细组成作出解释和澄清，并确认其投标报价是否有效</w:t>
      </w:r>
      <w:r>
        <w:rPr>
          <w:rFonts w:hint="eastAsia" w:ascii="宋体" w:hAnsi="宋体" w:cs="仿宋_GB2312"/>
          <w:color w:val="000000"/>
          <w:highlight w:val="none"/>
          <w:lang w:val="zh-CN"/>
        </w:rPr>
        <w:t>。</w:t>
      </w:r>
    </w:p>
    <w:p>
      <w:pPr>
        <w:snapToGrid w:val="0"/>
        <w:spacing w:line="360" w:lineRule="auto"/>
        <w:ind w:firstLine="420" w:firstLineChars="200"/>
        <w:rPr>
          <w:rFonts w:ascii="宋体" w:hAnsi="宋体" w:cs="仿宋_GB2312"/>
          <w:color w:val="000000"/>
          <w:highlight w:val="none"/>
          <w:lang w:val="zh-CN"/>
        </w:rPr>
      </w:pPr>
      <w:r>
        <w:rPr>
          <w:rFonts w:hint="eastAsia" w:ascii="宋体" w:hAnsi="宋体" w:cs="仿宋_GB2312"/>
          <w:color w:val="000000"/>
          <w:highlight w:val="none"/>
          <w:lang w:val="zh-CN"/>
        </w:rPr>
        <w:t>●投标报价得分计算方法：根据各投标人的有效投标报价，以满足招标文件要求且有效投标价格的最低的投标报价为评标基准价，其投标报价得分为</w:t>
      </w:r>
      <w:r>
        <w:rPr>
          <w:rFonts w:hint="eastAsia" w:ascii="宋体" w:hAnsi="宋体" w:cs="仿宋_GB2312"/>
          <w:color w:val="000000"/>
          <w:highlight w:val="none"/>
          <w:u w:val="single"/>
        </w:rPr>
        <w:t>30</w:t>
      </w:r>
      <w:r>
        <w:rPr>
          <w:rFonts w:hint="eastAsia" w:ascii="宋体" w:hAnsi="宋体" w:cs="仿宋_GB2312"/>
          <w:color w:val="000000"/>
          <w:highlight w:val="none"/>
        </w:rPr>
        <w:t>分</w:t>
      </w:r>
      <w:r>
        <w:rPr>
          <w:rFonts w:hint="eastAsia" w:ascii="宋体" w:hAnsi="宋体" w:cs="仿宋_GB2312"/>
          <w:color w:val="000000"/>
          <w:highlight w:val="none"/>
          <w:lang w:val="zh-CN"/>
        </w:rPr>
        <w:t>。其他投标人的投标报价得分统一按照下列公式计算：投标报价得分＝(评标基准价/有效投标报价)</w:t>
      </w:r>
      <w:r>
        <w:rPr>
          <w:rFonts w:hint="eastAsia" w:ascii="宋体" w:hAnsi="宋体" w:cs="仿宋_GB2312"/>
          <w:color w:val="000000"/>
          <w:highlight w:val="none"/>
        </w:rPr>
        <w:t>×</w:t>
      </w:r>
      <w:r>
        <w:rPr>
          <w:rFonts w:hint="eastAsia" w:ascii="宋体" w:hAnsi="宋体" w:cs="仿宋_GB2312"/>
          <w:color w:val="000000"/>
          <w:highlight w:val="none"/>
          <w:lang w:val="zh-CN"/>
        </w:rPr>
        <w:t>30(精确到小数点后二位)。</w:t>
      </w:r>
    </w:p>
    <w:p>
      <w:pPr>
        <w:snapToGrid w:val="0"/>
        <w:spacing w:line="360" w:lineRule="auto"/>
        <w:ind w:firstLine="420" w:firstLineChars="200"/>
        <w:rPr>
          <w:rFonts w:ascii="宋体" w:hAnsi="宋体" w:cs="仿宋_GB2312"/>
          <w:color w:val="000000"/>
          <w:highlight w:val="none"/>
          <w:lang w:val="zh-CN"/>
        </w:rPr>
      </w:pPr>
      <w:r>
        <w:rPr>
          <w:rFonts w:hint="eastAsia" w:ascii="宋体" w:hAnsi="宋体" w:cs="仿宋_GB2312"/>
          <w:color w:val="000000"/>
          <w:highlight w:val="none"/>
          <w:lang w:val="zh-CN"/>
        </w:rPr>
        <w:t>●</w:t>
      </w:r>
      <w:r>
        <w:rPr>
          <w:rFonts w:ascii="宋体" w:hAnsi="宋体" w:cs="仿宋_GB2312"/>
          <w:color w:val="000000"/>
          <w:highlight w:val="none"/>
          <w:lang w:val="zh-CN"/>
        </w:rPr>
        <w:t>对小型或微型企业的投标报价给予6%的扣除，并用扣除后的价格计算</w:t>
      </w:r>
      <w:r>
        <w:rPr>
          <w:rFonts w:hint="eastAsia" w:ascii="宋体" w:hAnsi="宋体" w:cs="仿宋_GB2312"/>
          <w:color w:val="000000"/>
          <w:highlight w:val="none"/>
          <w:lang w:val="zh-CN"/>
        </w:rPr>
        <w:t>投标报价得</w:t>
      </w:r>
      <w:r>
        <w:rPr>
          <w:rFonts w:ascii="宋体" w:hAnsi="宋体" w:cs="仿宋_GB2312"/>
          <w:color w:val="000000"/>
          <w:highlight w:val="none"/>
          <w:lang w:val="zh-CN"/>
        </w:rPr>
        <w:t>分。监狱企业</w:t>
      </w:r>
      <w:r>
        <w:rPr>
          <w:rFonts w:hint="eastAsia" w:ascii="宋体" w:hAnsi="宋体" w:cs="仿宋_GB2312"/>
          <w:color w:val="000000"/>
          <w:highlight w:val="none"/>
          <w:lang w:val="zh-CN"/>
        </w:rPr>
        <w:t>和</w:t>
      </w:r>
      <w:r>
        <w:rPr>
          <w:rFonts w:ascii="宋体" w:hAnsi="宋体" w:cs="仿宋_GB2312"/>
          <w:color w:val="000000"/>
          <w:highlight w:val="none"/>
          <w:lang w:val="zh-CN"/>
        </w:rPr>
        <w:t>残疾人福利性单位视为小型、微型企业</w:t>
      </w:r>
      <w:r>
        <w:rPr>
          <w:rFonts w:hint="eastAsia" w:ascii="宋体" w:hAnsi="宋体" w:cs="仿宋_GB2312"/>
          <w:color w:val="000000"/>
          <w:highlight w:val="none"/>
          <w:lang w:val="zh-CN"/>
        </w:rPr>
        <w:t>。</w:t>
      </w:r>
    </w:p>
    <w:p>
      <w:pPr>
        <w:snapToGrid w:val="0"/>
        <w:spacing w:line="360" w:lineRule="auto"/>
        <w:ind w:firstLine="422" w:firstLineChars="200"/>
        <w:rPr>
          <w:rFonts w:ascii="宋体" w:hAnsi="宋体" w:cs="仿宋_GB2312"/>
          <w:b/>
          <w:bCs/>
          <w:color w:val="000000"/>
          <w:highlight w:val="none"/>
        </w:rPr>
      </w:pPr>
      <w:r>
        <w:rPr>
          <w:rFonts w:hint="eastAsia" w:ascii="宋体" w:hAnsi="宋体" w:cs="仿宋_GB2312"/>
          <w:b/>
          <w:bCs/>
          <w:color w:val="000000"/>
          <w:highlight w:val="none"/>
        </w:rPr>
        <w:t xml:space="preserve">商务技术【B= </w:t>
      </w:r>
      <w:r>
        <w:rPr>
          <w:rFonts w:hint="eastAsia" w:ascii="宋体" w:hAnsi="宋体" w:cs="仿宋_GB2312"/>
          <w:b/>
          <w:color w:val="000000"/>
          <w:highlight w:val="none"/>
          <w:u w:val="single"/>
        </w:rPr>
        <w:t>70</w:t>
      </w:r>
      <w:r>
        <w:rPr>
          <w:rFonts w:hint="eastAsia" w:ascii="宋体" w:hAnsi="宋体" w:cs="仿宋_GB2312"/>
          <w:b/>
          <w:bCs/>
          <w:color w:val="000000"/>
          <w:highlight w:val="none"/>
        </w:rPr>
        <w:t>分】：</w:t>
      </w:r>
    </w:p>
    <w:p>
      <w:pPr>
        <w:snapToGrid w:val="0"/>
        <w:spacing w:line="360" w:lineRule="auto"/>
        <w:ind w:firstLine="420" w:firstLineChars="200"/>
        <w:rPr>
          <w:rFonts w:ascii="宋体" w:hAnsi="宋体" w:cs="仿宋_GB2312"/>
          <w:color w:val="000000"/>
          <w:highlight w:val="none"/>
        </w:rPr>
      </w:pPr>
      <w:r>
        <w:rPr>
          <w:rFonts w:hint="eastAsia" w:ascii="宋体" w:hAnsi="宋体" w:cs="仿宋_GB2312"/>
          <w:color w:val="000000"/>
          <w:highlight w:val="none"/>
          <w:lang w:val="zh-CN"/>
        </w:rPr>
        <w:t>●</w:t>
      </w:r>
      <w:r>
        <w:rPr>
          <w:rFonts w:hint="eastAsia" w:ascii="宋体" w:hAnsi="宋体" w:cs="仿宋_GB2312"/>
          <w:color w:val="000000"/>
          <w:sz w:val="15"/>
          <w:szCs w:val="18"/>
          <w:highlight w:val="none"/>
        </w:rPr>
        <w:t xml:space="preserve"> </w:t>
      </w:r>
      <w:r>
        <w:rPr>
          <w:rFonts w:hint="eastAsia" w:ascii="宋体" w:hAnsi="宋体" w:cs="仿宋_GB2312"/>
          <w:b/>
          <w:color w:val="000000"/>
          <w:highlight w:val="none"/>
        </w:rPr>
        <w:t xml:space="preserve">评分细则如下 </w:t>
      </w:r>
      <w:r>
        <w:rPr>
          <w:rFonts w:hint="eastAsia" w:ascii="宋体" w:hAnsi="宋体" w:cs="仿宋_GB2312"/>
          <w:color w:val="000000"/>
          <w:highlight w:val="none"/>
        </w:rPr>
        <w:t>：</w:t>
      </w:r>
    </w:p>
    <w:tbl>
      <w:tblPr>
        <w:tblStyle w:val="63"/>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93"/>
        <w:gridCol w:w="1186"/>
        <w:gridCol w:w="5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71" w:type="dxa"/>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序号</w:t>
            </w:r>
          </w:p>
        </w:tc>
        <w:tc>
          <w:tcPr>
            <w:tcW w:w="1693" w:type="dxa"/>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评分项目</w:t>
            </w:r>
          </w:p>
        </w:tc>
        <w:tc>
          <w:tcPr>
            <w:tcW w:w="1186" w:type="dxa"/>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分值范围</w:t>
            </w:r>
          </w:p>
        </w:tc>
        <w:tc>
          <w:tcPr>
            <w:tcW w:w="5851" w:type="dxa"/>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认证情况</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0-6分</w:t>
            </w:r>
          </w:p>
        </w:tc>
        <w:tc>
          <w:tcPr>
            <w:tcW w:w="5851" w:type="dxa"/>
            <w:vAlign w:val="bottom"/>
          </w:tcPr>
          <w:p>
            <w:pPr>
              <w:widowControl/>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rPr>
              <w:t>具有有效期内的</w:t>
            </w:r>
            <w:r>
              <w:rPr>
                <w:rFonts w:ascii="宋体" w:hAnsi="宋体" w:cs="宋体"/>
                <w:color w:val="000000"/>
                <w:szCs w:val="21"/>
                <w:highlight w:val="none"/>
              </w:rPr>
              <w:t>ISO9001质量管理体系认证、ISO14001环境管理体系认证、OHSAS28001</w:t>
            </w:r>
            <w:r>
              <w:rPr>
                <w:rFonts w:hint="eastAsia" w:ascii="宋体" w:hAnsi="宋体" w:cs="宋体"/>
                <w:color w:val="000000"/>
                <w:szCs w:val="21"/>
                <w:highlight w:val="none"/>
              </w:rPr>
              <w:t>（或OHSAS18001）</w:t>
            </w:r>
            <w:r>
              <w:rPr>
                <w:rFonts w:ascii="宋体" w:hAnsi="宋体" w:cs="宋体"/>
                <w:color w:val="000000"/>
                <w:szCs w:val="21"/>
                <w:highlight w:val="none"/>
              </w:rPr>
              <w:t>职业健康安全管理体系认证</w:t>
            </w:r>
            <w:r>
              <w:rPr>
                <w:rFonts w:hint="eastAsia" w:ascii="宋体" w:hAnsi="宋体" w:cs="宋体"/>
                <w:color w:val="000000"/>
                <w:szCs w:val="21"/>
                <w:highlight w:val="none"/>
              </w:rPr>
              <w:t>，每个得2分，没有不得分</w:t>
            </w:r>
            <w:r>
              <w:rPr>
                <w:rFonts w:hint="eastAsia" w:ascii="宋体" w:hAnsi="宋体" w:cs="宋体"/>
                <w:color w:val="000000"/>
                <w:szCs w:val="21"/>
                <w:highlight w:val="none"/>
                <w:lang w:eastAsia="zh-CN"/>
              </w:rPr>
              <w:t>。</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rPr>
              <w:t>提供认证证书复印件加盖公章</w:t>
            </w:r>
            <w:r>
              <w:rPr>
                <w:rFonts w:hint="eastAsia" w:ascii="宋体" w:hAnsi="宋体" w:cs="宋体"/>
                <w:b/>
                <w:bCs/>
                <w:color w:val="00000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类似经验</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0-8分</w:t>
            </w:r>
          </w:p>
        </w:tc>
        <w:tc>
          <w:tcPr>
            <w:tcW w:w="5851" w:type="dxa"/>
            <w:vAlign w:val="center"/>
          </w:tcPr>
          <w:p>
            <w:pPr>
              <w:widowControl/>
              <w:rPr>
                <w:rFonts w:ascii="宋体" w:hAnsi="宋体" w:cs="宋体"/>
                <w:color w:val="000000"/>
                <w:kern w:val="0"/>
                <w:szCs w:val="21"/>
                <w:highlight w:val="none"/>
              </w:rPr>
            </w:pPr>
            <w:r>
              <w:rPr>
                <w:rFonts w:hint="eastAsia" w:ascii="宋体" w:hAnsi="宋体" w:cs="宋体"/>
                <w:color w:val="000000"/>
                <w:szCs w:val="21"/>
                <w:highlight w:val="none"/>
              </w:rPr>
              <w:t>投标人或所投品牌自2016年1月1日以来</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以合同</w:t>
            </w:r>
            <w:r>
              <w:rPr>
                <w:rFonts w:hint="eastAsia" w:ascii="宋体" w:hAnsi="宋体" w:cs="宋体"/>
                <w:color w:val="000000"/>
                <w:szCs w:val="21"/>
                <w:highlight w:val="none"/>
                <w:lang w:val="en-US" w:eastAsia="zh-CN"/>
              </w:rPr>
              <w:t>签订</w:t>
            </w:r>
            <w:r>
              <w:rPr>
                <w:rFonts w:hint="eastAsia" w:ascii="宋体" w:hAnsi="宋体" w:cs="宋体"/>
                <w:color w:val="000000"/>
                <w:szCs w:val="21"/>
                <w:highlight w:val="none"/>
              </w:rPr>
              <w:t>时间为准</w:t>
            </w:r>
            <w:r>
              <w:rPr>
                <w:rFonts w:hint="eastAsia" w:ascii="宋体" w:hAnsi="宋体" w:cs="宋体"/>
                <w:color w:val="000000"/>
                <w:szCs w:val="21"/>
                <w:highlight w:val="none"/>
                <w:lang w:eastAsia="zh-CN"/>
              </w:rPr>
              <w:t>）</w:t>
            </w:r>
            <w:r>
              <w:rPr>
                <w:rFonts w:hint="eastAsia" w:ascii="宋体" w:hAnsi="宋体" w:cs="宋体"/>
                <w:color w:val="000000"/>
                <w:szCs w:val="21"/>
                <w:highlight w:val="none"/>
              </w:rPr>
              <w:t>承接过不少于30个站点的轨道物流项目的类似业绩的</w:t>
            </w:r>
            <w:r>
              <w:rPr>
                <w:rFonts w:hint="eastAsia" w:ascii="宋体" w:hAnsi="宋体" w:cs="宋体"/>
                <w:color w:val="000000"/>
                <w:szCs w:val="21"/>
                <w:highlight w:val="none"/>
                <w:lang w:val="en-US" w:eastAsia="zh-CN"/>
              </w:rPr>
              <w:t>每个</w:t>
            </w:r>
            <w:r>
              <w:rPr>
                <w:rFonts w:hint="eastAsia" w:ascii="宋体" w:hAnsi="宋体" w:cs="宋体"/>
                <w:color w:val="000000"/>
                <w:szCs w:val="21"/>
                <w:highlight w:val="none"/>
              </w:rPr>
              <w:t>加2分，最高8分</w:t>
            </w:r>
            <w:r>
              <w:rPr>
                <w:rFonts w:hint="eastAsia" w:ascii="宋体" w:hAnsi="宋体" w:cs="宋体"/>
                <w:color w:val="000000"/>
                <w:szCs w:val="21"/>
                <w:highlight w:val="none"/>
                <w:lang w:eastAsia="zh-CN"/>
              </w:rPr>
              <w:t>。</w:t>
            </w:r>
            <w:r>
              <w:rPr>
                <w:rFonts w:hint="eastAsia" w:ascii="宋体" w:hAnsi="宋体" w:cs="宋体"/>
                <w:b/>
                <w:bCs/>
                <w:color w:val="000000"/>
                <w:szCs w:val="21"/>
                <w:highlight w:val="none"/>
              </w:rPr>
              <w:t>（提供合同复印件加盖公章）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3</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技术优势</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0-2分</w:t>
            </w:r>
          </w:p>
        </w:tc>
        <w:tc>
          <w:tcPr>
            <w:tcW w:w="5851" w:type="dxa"/>
            <w:vAlign w:val="center"/>
          </w:tcPr>
          <w:p>
            <w:pPr>
              <w:widowControl/>
              <w:rPr>
                <w:rFonts w:ascii="宋体" w:hAnsi="宋体" w:cs="宋体"/>
                <w:color w:val="000000"/>
                <w:szCs w:val="21"/>
                <w:highlight w:val="none"/>
              </w:rPr>
            </w:pPr>
            <w:r>
              <w:rPr>
                <w:rFonts w:hint="eastAsia" w:ascii="宋体" w:hAnsi="宋体" w:cs="宋体"/>
                <w:color w:val="000000"/>
                <w:kern w:val="0"/>
                <w:szCs w:val="21"/>
                <w:highlight w:val="none"/>
                <w:lang w:val="en-US" w:eastAsia="zh-CN"/>
              </w:rPr>
              <w:t>投标人</w:t>
            </w:r>
            <w:r>
              <w:rPr>
                <w:rFonts w:hint="eastAsia" w:ascii="宋体" w:hAnsi="宋体" w:cs="宋体"/>
                <w:color w:val="000000"/>
                <w:kern w:val="0"/>
                <w:szCs w:val="21"/>
                <w:highlight w:val="none"/>
              </w:rPr>
              <w:t>所投轨道小车设备具有自主知识产权，获得中国发明专利同时拥有实用新型专利，每得一项加0.5</w:t>
            </w:r>
            <w:r>
              <w:rPr>
                <w:rFonts w:ascii="宋体" w:hAnsi="宋体" w:cs="宋体"/>
                <w:color w:val="000000"/>
                <w:kern w:val="0"/>
                <w:szCs w:val="21"/>
                <w:highlight w:val="none"/>
              </w:rPr>
              <w:t>分；最高</w:t>
            </w:r>
            <w:r>
              <w:rPr>
                <w:rFonts w:hint="eastAsia" w:ascii="宋体" w:hAnsi="宋体" w:cs="宋体"/>
                <w:color w:val="000000"/>
                <w:kern w:val="0"/>
                <w:szCs w:val="21"/>
                <w:highlight w:val="none"/>
              </w:rPr>
              <w:t>2</w:t>
            </w:r>
            <w:r>
              <w:rPr>
                <w:rFonts w:ascii="宋体" w:hAnsi="宋体" w:cs="宋体"/>
                <w:color w:val="000000"/>
                <w:kern w:val="0"/>
                <w:szCs w:val="21"/>
                <w:highlight w:val="none"/>
              </w:rPr>
              <w:t>分。</w:t>
            </w:r>
            <w:r>
              <w:rPr>
                <w:rFonts w:hint="eastAsia" w:ascii="宋体" w:hAnsi="宋体" w:cs="宋体"/>
                <w:b/>
                <w:bCs/>
                <w:color w:val="000000"/>
                <w:kern w:val="0"/>
                <w:szCs w:val="21"/>
                <w:highlight w:val="none"/>
              </w:rPr>
              <w:t>（提供证明材料复印件加盖公章）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噪音</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0-1分</w:t>
            </w:r>
          </w:p>
        </w:tc>
        <w:tc>
          <w:tcPr>
            <w:tcW w:w="5851" w:type="dxa"/>
            <w:vAlign w:val="center"/>
          </w:tcPr>
          <w:p>
            <w:pPr>
              <w:widowControl/>
              <w:rPr>
                <w:rFonts w:ascii="宋体" w:hAnsi="宋体" w:cs="宋体"/>
                <w:b/>
                <w:color w:val="000000"/>
                <w:kern w:val="0"/>
                <w:szCs w:val="21"/>
                <w:highlight w:val="none"/>
              </w:rPr>
            </w:pPr>
            <w:r>
              <w:rPr>
                <w:rFonts w:hint="eastAsia" w:ascii="宋体" w:hAnsi="宋体" w:cs="宋体"/>
                <w:color w:val="000000"/>
                <w:kern w:val="0"/>
                <w:szCs w:val="21"/>
                <w:highlight w:val="none"/>
                <w:lang w:val="en-US" w:eastAsia="zh-CN"/>
              </w:rPr>
              <w:t>投标人所投</w:t>
            </w:r>
            <w:r>
              <w:rPr>
                <w:rFonts w:hint="eastAsia" w:ascii="宋体" w:hAnsi="宋体" w:cs="宋体"/>
                <w:color w:val="000000"/>
                <w:kern w:val="0"/>
                <w:szCs w:val="21"/>
                <w:highlight w:val="none"/>
              </w:rPr>
              <w:t>轨道小车物流传输设备系统</w:t>
            </w:r>
            <w:r>
              <w:rPr>
                <w:rFonts w:hint="eastAsia" w:ascii="宋体" w:hAnsi="宋体" w:cs="宋体"/>
                <w:color w:val="000000"/>
                <w:szCs w:val="21"/>
                <w:highlight w:val="none"/>
              </w:rPr>
              <w:t>运行噪音≤65分贝得1分</w:t>
            </w:r>
            <w:r>
              <w:rPr>
                <w:rFonts w:hint="eastAsia" w:ascii="宋体" w:hAnsi="宋体" w:cs="宋体"/>
                <w:color w:val="000000"/>
                <w:szCs w:val="21"/>
                <w:highlight w:val="none"/>
                <w:lang w:eastAsia="zh-CN"/>
              </w:rPr>
              <w:t>。</w:t>
            </w:r>
            <w:r>
              <w:rPr>
                <w:rFonts w:hint="eastAsia" w:ascii="宋体" w:hAnsi="宋体" w:cs="宋体"/>
                <w:b/>
                <w:bCs/>
                <w:color w:val="000000"/>
                <w:szCs w:val="21"/>
                <w:highlight w:val="none"/>
              </w:rPr>
              <w:t>（提供国家质量监督部门或国家权威机构出具的第三方检测报告</w:t>
            </w:r>
            <w:r>
              <w:rPr>
                <w:rFonts w:hint="eastAsia" w:ascii="宋体" w:hAnsi="宋体" w:cs="宋体"/>
                <w:b/>
                <w:bCs/>
                <w:color w:val="000000"/>
                <w:szCs w:val="21"/>
                <w:highlight w:val="none"/>
                <w:lang w:val="en-US" w:eastAsia="zh-CN"/>
              </w:rPr>
              <w:t>复印件加盖公章</w:t>
            </w:r>
            <w:r>
              <w:rPr>
                <w:rFonts w:hint="eastAsia" w:ascii="宋体" w:hAnsi="宋体" w:cs="宋体"/>
                <w:b/>
                <w:bCs/>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实施方案</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0-6分</w:t>
            </w:r>
          </w:p>
        </w:tc>
        <w:tc>
          <w:tcPr>
            <w:tcW w:w="5851"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根据投标人针对本项目的实施方案及实施过程中的重点难点分析、安全生产等进行综合打分。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6</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综合性能</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0-8分</w:t>
            </w:r>
          </w:p>
        </w:tc>
        <w:tc>
          <w:tcPr>
            <w:tcW w:w="5851" w:type="dxa"/>
            <w:vAlign w:val="bottom"/>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根据轨道小车物流传输设备系统的综合性、智能化程度、整体指标等进行综合打分。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7</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运载小车</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0-6分</w:t>
            </w:r>
          </w:p>
        </w:tc>
        <w:tc>
          <w:tcPr>
            <w:tcW w:w="5851" w:type="dxa"/>
            <w:vAlign w:val="bottom"/>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根据运载小车的材质、性能、净重、速度、消毒等性能指标的符合性、先进性、合理性等进行综合打分。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8</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轨道配件</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0-5分</w:t>
            </w:r>
          </w:p>
        </w:tc>
        <w:tc>
          <w:tcPr>
            <w:tcW w:w="5851" w:type="dxa"/>
            <w:vAlign w:val="center"/>
          </w:tcPr>
          <w:p>
            <w:pPr>
              <w:widowControl/>
              <w:jc w:val="lef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rPr>
              <w:t>根据轨道、转轨器、防风门等配件的选型、材质等进行综合打分。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shd w:val="clear" w:color="000000" w:fill="FFFFFF"/>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9</w:t>
            </w:r>
          </w:p>
        </w:tc>
        <w:tc>
          <w:tcPr>
            <w:tcW w:w="1693" w:type="dxa"/>
            <w:shd w:val="clear" w:color="000000" w:fill="FFFFFF"/>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安全防护</w:t>
            </w:r>
          </w:p>
        </w:tc>
        <w:tc>
          <w:tcPr>
            <w:tcW w:w="1186" w:type="dxa"/>
            <w:shd w:val="clear" w:color="000000" w:fill="FFFFFF"/>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0-7分</w:t>
            </w:r>
          </w:p>
        </w:tc>
        <w:tc>
          <w:tcPr>
            <w:tcW w:w="5851" w:type="dxa"/>
            <w:shd w:val="clear" w:color="000000"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根据轨道系统的安全防护、站点控制、监控等性能的合理性、可行性、先进性等进行综合打分。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shd w:val="clear" w:color="000000" w:fill="FFFFFF"/>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w:t>
            </w:r>
          </w:p>
        </w:tc>
        <w:tc>
          <w:tcPr>
            <w:tcW w:w="1693" w:type="dxa"/>
            <w:shd w:val="clear" w:color="000000" w:fill="FFFFFF"/>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气动系统</w:t>
            </w:r>
          </w:p>
        </w:tc>
        <w:tc>
          <w:tcPr>
            <w:tcW w:w="1186" w:type="dxa"/>
            <w:shd w:val="clear" w:color="000000" w:fill="FFFFFF"/>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0-8分</w:t>
            </w:r>
          </w:p>
        </w:tc>
        <w:tc>
          <w:tcPr>
            <w:tcW w:w="5851" w:type="dxa"/>
            <w:shd w:val="clear" w:color="000000" w:fill="FFFFFF"/>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根据气动物流系统的综合性能、选材、技术指标等符合性、先进性、合理性、匹配性等进行综合打分。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11</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消防消毒安全</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0-6分</w:t>
            </w:r>
          </w:p>
        </w:tc>
        <w:tc>
          <w:tcPr>
            <w:tcW w:w="5851"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根据投标人针对本项目的系统整体消防防火安全方案设计、消防联动、消毒设施及已有项目的消防消毒经验建议等进行综合打分。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12</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售后服务</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0-6分</w:t>
            </w:r>
          </w:p>
        </w:tc>
        <w:tc>
          <w:tcPr>
            <w:tcW w:w="5851" w:type="dxa"/>
            <w:vAlign w:val="center"/>
          </w:tcPr>
          <w:p>
            <w:pPr>
              <w:widowControl/>
              <w:numPr>
                <w:ilvl w:val="0"/>
                <w:numId w:val="13"/>
              </w:numPr>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根据投标人的售后服务方案、服务机构、服务承诺、响应时间、本地化服务等进行综合打分</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0-4分</w:t>
            </w:r>
            <w:r>
              <w:rPr>
                <w:rFonts w:hint="eastAsia" w:ascii="宋体" w:hAnsi="宋体" w:cs="宋体"/>
                <w:color w:val="000000"/>
                <w:kern w:val="0"/>
                <w:szCs w:val="21"/>
                <w:highlight w:val="none"/>
                <w:lang w:eastAsia="zh-CN"/>
              </w:rPr>
              <w:t>）</w:t>
            </w:r>
          </w:p>
          <w:p>
            <w:pPr>
              <w:widowControl/>
              <w:numPr>
                <w:ilvl w:val="0"/>
                <w:numId w:val="13"/>
              </w:numPr>
              <w:jc w:val="lef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投标人</w:t>
            </w:r>
            <w:r>
              <w:rPr>
                <w:rFonts w:hint="eastAsia" w:ascii="宋体" w:hAnsi="宋体" w:cs="宋体"/>
                <w:color w:val="000000"/>
                <w:kern w:val="0"/>
                <w:szCs w:val="21"/>
                <w:highlight w:val="none"/>
              </w:rPr>
              <w:t>在质保期服务要求（24月</w:t>
            </w:r>
            <w:r>
              <w:rPr>
                <w:rFonts w:hint="eastAsia" w:ascii="宋体" w:hAnsi="宋体" w:cs="宋体"/>
                <w:color w:val="000000"/>
                <w:kern w:val="0"/>
                <w:szCs w:val="21"/>
                <w:highlight w:val="none"/>
                <w:lang w:val="en-US" w:eastAsia="zh-CN"/>
              </w:rPr>
              <w:t>)</w:t>
            </w:r>
            <w:r>
              <w:rPr>
                <w:rFonts w:hint="eastAsia" w:ascii="宋体" w:hAnsi="宋体" w:cs="宋体"/>
                <w:color w:val="000000"/>
                <w:kern w:val="0"/>
                <w:szCs w:val="21"/>
                <w:highlight w:val="none"/>
              </w:rPr>
              <w:t>此基础上</w:t>
            </w:r>
            <w:r>
              <w:rPr>
                <w:rFonts w:hint="eastAsia" w:ascii="宋体" w:hAnsi="宋体" w:cs="宋体"/>
                <w:color w:val="000000"/>
                <w:kern w:val="0"/>
                <w:szCs w:val="21"/>
                <w:highlight w:val="none"/>
                <w:lang w:val="en-US" w:eastAsia="zh-CN"/>
              </w:rPr>
              <w:t>,</w:t>
            </w:r>
            <w:r>
              <w:rPr>
                <w:rFonts w:hint="eastAsia" w:ascii="宋体" w:hAnsi="宋体" w:cs="宋体"/>
                <w:color w:val="000000"/>
                <w:kern w:val="0"/>
                <w:szCs w:val="21"/>
                <w:highlight w:val="none"/>
              </w:rPr>
              <w:t>每增</w:t>
            </w:r>
            <w:r>
              <w:rPr>
                <w:rFonts w:hint="eastAsia" w:ascii="宋体" w:hAnsi="宋体" w:cs="宋体"/>
                <w:color w:val="000000"/>
                <w:kern w:val="0"/>
                <w:szCs w:val="21"/>
                <w:highlight w:val="none"/>
                <w:lang w:val="en-US" w:eastAsia="zh-CN"/>
              </w:rPr>
              <w:t>加</w:t>
            </w:r>
            <w:r>
              <w:rPr>
                <w:rFonts w:hint="eastAsia" w:ascii="宋体" w:hAnsi="宋体" w:cs="宋体"/>
                <w:color w:val="000000"/>
                <w:kern w:val="0"/>
                <w:szCs w:val="21"/>
                <w:highlight w:val="none"/>
              </w:rPr>
              <w:t>6个月</w:t>
            </w:r>
            <w:r>
              <w:rPr>
                <w:rFonts w:hint="eastAsia" w:ascii="宋体" w:hAnsi="宋体" w:cs="宋体"/>
                <w:color w:val="000000"/>
                <w:kern w:val="0"/>
                <w:szCs w:val="21"/>
                <w:highlight w:val="none"/>
                <w:lang w:val="en-US" w:eastAsia="zh-CN"/>
              </w:rPr>
              <w:t>加</w:t>
            </w:r>
            <w:r>
              <w:rPr>
                <w:rFonts w:hint="eastAsia" w:ascii="宋体" w:hAnsi="宋体" w:cs="宋体"/>
                <w:color w:val="000000"/>
                <w:kern w:val="0"/>
                <w:szCs w:val="21"/>
                <w:highlight w:val="none"/>
              </w:rPr>
              <w:t>0.5分，最多加2分。</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0-2分</w:t>
            </w:r>
            <w:r>
              <w:rPr>
                <w:rFonts w:hint="eastAsia" w:ascii="宋体" w:hAnsi="宋体" w:cs="宋体"/>
                <w:color w:val="000000"/>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71"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13</w:t>
            </w:r>
          </w:p>
        </w:tc>
        <w:tc>
          <w:tcPr>
            <w:tcW w:w="1693"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节能环保</w:t>
            </w:r>
          </w:p>
        </w:tc>
        <w:tc>
          <w:tcPr>
            <w:tcW w:w="1186" w:type="dxa"/>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0-1分</w:t>
            </w:r>
          </w:p>
        </w:tc>
        <w:tc>
          <w:tcPr>
            <w:tcW w:w="5851" w:type="dxa"/>
            <w:vAlign w:val="center"/>
          </w:tcPr>
          <w:p>
            <w:pPr>
              <w:widowControl/>
              <w:jc w:val="left"/>
              <w:rPr>
                <w:rFonts w:ascii="宋体" w:hAnsi="宋体" w:cs="宋体"/>
                <w:color w:val="000000"/>
                <w:kern w:val="0"/>
                <w:szCs w:val="21"/>
                <w:highlight w:val="none"/>
              </w:rPr>
            </w:pPr>
            <w:r>
              <w:rPr>
                <w:rFonts w:hint="eastAsia" w:ascii="宋体" w:hAnsi="宋体" w:cs="宋体"/>
                <w:color w:val="000000"/>
                <w:kern w:val="0"/>
                <w:szCs w:val="21"/>
                <w:highlight w:val="none"/>
              </w:rPr>
              <w:t>投标人的投标产品中有采用节能产品的加0.5分，投标人投标产品中有采用环保产品的加0.5分。需提供相关证明材料。</w:t>
            </w:r>
          </w:p>
        </w:tc>
      </w:tr>
    </w:tbl>
    <w:p>
      <w:pPr>
        <w:jc w:val="left"/>
        <w:rPr>
          <w:rFonts w:ascii="宋体" w:hAnsi="宋体"/>
          <w:color w:val="000000"/>
          <w:highlight w:val="none"/>
        </w:rPr>
      </w:pPr>
    </w:p>
    <w:p>
      <w:pPr>
        <w:snapToGrid w:val="0"/>
        <w:spacing w:line="360" w:lineRule="auto"/>
        <w:ind w:firstLine="409" w:firstLineChars="194"/>
        <w:rPr>
          <w:rFonts w:ascii="宋体" w:hAnsi="宋体" w:cs="仿宋_GB2312"/>
          <w:b/>
          <w:color w:val="000000"/>
          <w:highlight w:val="none"/>
        </w:rPr>
      </w:pPr>
      <w:r>
        <w:rPr>
          <w:rFonts w:hint="eastAsia" w:ascii="宋体" w:hAnsi="宋体" w:cs="宋体"/>
          <w:b/>
          <w:color w:val="000000"/>
          <w:highlight w:val="none"/>
        </w:rPr>
        <w:t>商</w:t>
      </w:r>
      <w:r>
        <w:rPr>
          <w:rFonts w:hint="eastAsia" w:ascii="宋体" w:hAnsi="宋体" w:cs="仿宋_GB2312"/>
          <w:b/>
          <w:color w:val="000000"/>
          <w:highlight w:val="none"/>
        </w:rPr>
        <w:t>务技术得分=评标委员会所有成员评分合计数/评标委员会组成人员数</w:t>
      </w:r>
    </w:p>
    <w:p>
      <w:pPr>
        <w:snapToGrid w:val="0"/>
        <w:spacing w:line="360" w:lineRule="auto"/>
        <w:ind w:firstLine="409" w:firstLineChars="194"/>
        <w:rPr>
          <w:rFonts w:ascii="宋体" w:hAnsi="宋体" w:cs="仿宋_GB2312"/>
          <w:b/>
          <w:color w:val="000000"/>
          <w:highlight w:val="none"/>
        </w:rPr>
      </w:pPr>
      <w:r>
        <w:rPr>
          <w:rFonts w:hint="eastAsia" w:ascii="宋体" w:hAnsi="宋体" w:cs="仿宋_GB2312"/>
          <w:b/>
          <w:bCs/>
          <w:color w:val="000000"/>
          <w:highlight w:val="none"/>
        </w:rPr>
        <w:t>◆</w:t>
      </w:r>
      <w:r>
        <w:rPr>
          <w:rFonts w:hint="eastAsia" w:ascii="宋体" w:hAnsi="宋体" w:cs="仿宋_GB2312"/>
          <w:b/>
          <w:color w:val="000000"/>
          <w:highlight w:val="none"/>
        </w:rPr>
        <w:t xml:space="preserve"> 总得分=A+B</w:t>
      </w:r>
    </w:p>
    <w:p>
      <w:pPr>
        <w:pStyle w:val="26"/>
        <w:spacing w:line="360" w:lineRule="auto"/>
        <w:ind w:firstLine="411" w:firstLineChars="196"/>
        <w:rPr>
          <w:rFonts w:hAnsi="宋体" w:cs="仿宋_GB2312"/>
          <w:color w:val="000000"/>
          <w:szCs w:val="24"/>
          <w:highlight w:val="none"/>
        </w:rPr>
      </w:pPr>
      <w:r>
        <w:rPr>
          <w:rFonts w:hAnsi="宋体" w:cs="仿宋_GB2312"/>
          <w:color w:val="000000"/>
          <w:highlight w:val="none"/>
        </w:rPr>
        <w:t>评标委员会根据投标人提供的有效证明材料和采购代理机构提供的相关数据进行打分。</w:t>
      </w:r>
    </w:p>
    <w:p>
      <w:pPr>
        <w:widowControl/>
        <w:jc w:val="left"/>
        <w:rPr>
          <w:rFonts w:ascii="宋体" w:hAnsi="宋体" w:cs="Arial"/>
          <w:b/>
          <w:color w:val="000000"/>
          <w:sz w:val="32"/>
          <w:highlight w:val="none"/>
        </w:rPr>
      </w:pPr>
      <w:r>
        <w:rPr>
          <w:rFonts w:ascii="宋体" w:hAnsi="宋体" w:cs="Arial"/>
          <w:color w:val="000000"/>
          <w:highlight w:val="none"/>
        </w:rPr>
        <w:br w:type="page"/>
      </w:r>
    </w:p>
    <w:p>
      <w:pPr>
        <w:pStyle w:val="2"/>
        <w:rPr>
          <w:rFonts w:ascii="宋体" w:hAnsi="宋体" w:eastAsia="宋体" w:cs="Arial"/>
          <w:color w:val="000000"/>
          <w:sz w:val="36"/>
          <w:szCs w:val="36"/>
          <w:highlight w:val="none"/>
        </w:rPr>
      </w:pPr>
      <w:r>
        <w:rPr>
          <w:rFonts w:ascii="宋体" w:hAnsi="宋体" w:eastAsia="宋体" w:cs="Arial"/>
          <w:color w:val="000000"/>
          <w:highlight w:val="none"/>
        </w:rPr>
        <w:tab/>
      </w:r>
      <w:r>
        <w:rPr>
          <w:rFonts w:ascii="宋体" w:hAnsi="宋体" w:eastAsia="宋体" w:cs="Arial"/>
          <w:color w:val="000000"/>
          <w:highlight w:val="none"/>
        </w:rPr>
        <w:tab/>
      </w:r>
      <w:r>
        <w:rPr>
          <w:rFonts w:ascii="宋体" w:hAnsi="宋体" w:eastAsia="宋体" w:cs="Arial"/>
          <w:color w:val="000000"/>
          <w:highlight w:val="none"/>
        </w:rPr>
        <w:t xml:space="preserve"> </w:t>
      </w:r>
      <w:bookmarkStart w:id="66" w:name="_Toc82338246"/>
      <w:bookmarkStart w:id="67" w:name="_Toc211745570"/>
      <w:bookmarkStart w:id="68" w:name="_Toc25000047"/>
      <w:bookmarkStart w:id="69" w:name="_Toc82873329"/>
      <w:bookmarkStart w:id="70" w:name="_Toc26295_WPSOffice_Level1"/>
      <w:r>
        <w:rPr>
          <w:rFonts w:ascii="宋体" w:hAnsi="宋体" w:eastAsia="宋体" w:cs="Arial"/>
          <w:color w:val="000000"/>
          <w:sz w:val="36"/>
          <w:szCs w:val="36"/>
          <w:highlight w:val="none"/>
        </w:rPr>
        <w:t>第</w:t>
      </w:r>
      <w:r>
        <w:rPr>
          <w:rFonts w:hint="eastAsia" w:ascii="宋体" w:hAnsi="宋体" w:eastAsia="宋体" w:cs="Arial"/>
          <w:color w:val="000000"/>
          <w:sz w:val="36"/>
          <w:szCs w:val="36"/>
          <w:highlight w:val="none"/>
        </w:rPr>
        <w:t>六</w:t>
      </w:r>
      <w:r>
        <w:rPr>
          <w:rFonts w:ascii="宋体" w:hAnsi="宋体" w:eastAsia="宋体" w:cs="Arial"/>
          <w:color w:val="000000"/>
          <w:sz w:val="36"/>
          <w:szCs w:val="36"/>
          <w:highlight w:val="none"/>
        </w:rPr>
        <w:t>章  投标文件格式</w:t>
      </w:r>
      <w:bookmarkEnd w:id="66"/>
      <w:bookmarkEnd w:id="67"/>
      <w:bookmarkEnd w:id="68"/>
      <w:bookmarkEnd w:id="69"/>
      <w:bookmarkEnd w:id="70"/>
    </w:p>
    <w:p>
      <w:pPr>
        <w:snapToGrid w:val="0"/>
        <w:spacing w:line="360" w:lineRule="auto"/>
        <w:rPr>
          <w:rFonts w:ascii="宋体" w:hAnsi="宋体" w:cs="宋体"/>
          <w:b/>
          <w:color w:val="000000"/>
          <w:sz w:val="24"/>
          <w:highlight w:val="none"/>
        </w:rPr>
      </w:pPr>
      <w:bookmarkStart w:id="71" w:name="_Toc345575534"/>
      <w:bookmarkStart w:id="72" w:name="_Toc437953145"/>
      <w:r>
        <w:rPr>
          <w:rFonts w:hint="eastAsia" w:ascii="宋体" w:hAnsi="宋体" w:cs="宋体"/>
          <w:b/>
          <w:color w:val="000000"/>
          <w:sz w:val="24"/>
          <w:highlight w:val="none"/>
          <w:lang w:bidi="ar"/>
        </w:rPr>
        <w:t>一、投标人提交投标文件须知：</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2、所附表格中要求回答的全部问题和/或信息都必须正面回答。</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3、本声明书的签字人应保证全部声明和问题的回答是真实的和准确的。</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4、评标委员会将应用投标人提交的资料作出自己的判断。</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5、投标人提交的材料将在一定期限内被保密保存，但不退还。</w:t>
      </w:r>
    </w:p>
    <w:p>
      <w:pPr>
        <w:snapToGrid w:val="0"/>
        <w:spacing w:line="360" w:lineRule="auto"/>
        <w:ind w:firstLine="480" w:firstLineChars="200"/>
        <w:rPr>
          <w:rFonts w:ascii="宋体" w:hAnsi="宋体" w:cs="宋体"/>
          <w:b/>
          <w:color w:val="000000"/>
          <w:sz w:val="24"/>
          <w:highlight w:val="none"/>
          <w:lang w:bidi="ar"/>
        </w:rPr>
      </w:pPr>
      <w:r>
        <w:rPr>
          <w:rFonts w:hint="eastAsia" w:ascii="宋体" w:hAnsi="宋体" w:cs="宋体"/>
          <w:color w:val="000000"/>
          <w:sz w:val="24"/>
          <w:highlight w:val="none"/>
          <w:lang w:bidi="ar"/>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highlight w:val="none"/>
          <w:lang w:bidi="ar"/>
        </w:rPr>
        <w:t>将有可能被评标委员会认定为投标无效。</w:t>
      </w:r>
    </w:p>
    <w:p>
      <w:pPr>
        <w:pStyle w:val="26"/>
        <w:spacing w:line="360" w:lineRule="auto"/>
        <w:ind w:firstLine="705" w:firstLineChars="196"/>
        <w:jc w:val="center"/>
        <w:rPr>
          <w:rFonts w:hAnsi="宋体" w:cs="仿宋_GB2312"/>
          <w:color w:val="000000"/>
          <w:sz w:val="36"/>
          <w:highlight w:val="none"/>
        </w:rPr>
      </w:pPr>
      <w:r>
        <w:rPr>
          <w:rFonts w:hAnsi="宋体" w:cs="仿宋_GB2312"/>
          <w:color w:val="000000"/>
          <w:sz w:val="36"/>
          <w:highlight w:val="none"/>
        </w:rPr>
        <w:br w:type="page"/>
      </w:r>
    </w:p>
    <w:p>
      <w:pPr>
        <w:pStyle w:val="26"/>
        <w:spacing w:line="360" w:lineRule="auto"/>
        <w:ind w:firstLine="705" w:firstLineChars="196"/>
        <w:jc w:val="center"/>
        <w:rPr>
          <w:rFonts w:hAnsi="宋体" w:cs="仿宋_GB2312"/>
          <w:color w:val="000000"/>
          <w:sz w:val="36"/>
          <w:highlight w:val="none"/>
        </w:rPr>
      </w:pPr>
      <w:bookmarkStart w:id="73" w:name="_Toc18821_WPSOffice_Level1"/>
      <w:r>
        <w:rPr>
          <w:rFonts w:hAnsi="宋体" w:cs="仿宋_GB2312"/>
          <w:color w:val="000000"/>
          <w:sz w:val="36"/>
          <w:highlight w:val="none"/>
        </w:rPr>
        <w:t>▲资格文件部分</w:t>
      </w:r>
      <w:bookmarkEnd w:id="73"/>
    </w:p>
    <w:bookmarkEnd w:id="71"/>
    <w:bookmarkEnd w:id="72"/>
    <w:p>
      <w:pPr>
        <w:shd w:val="clear" w:color="auto" w:fill="FFFFFF"/>
        <w:snapToGrid w:val="0"/>
        <w:spacing w:line="360" w:lineRule="auto"/>
        <w:jc w:val="center"/>
        <w:rPr>
          <w:rFonts w:ascii="宋体" w:hAnsi="宋体" w:cs="宋体"/>
          <w:b/>
          <w:color w:val="000000"/>
          <w:kern w:val="0"/>
          <w:sz w:val="28"/>
          <w:szCs w:val="28"/>
          <w:highlight w:val="none"/>
          <w:shd w:val="clear" w:color="auto" w:fill="FFFFFF"/>
        </w:rPr>
      </w:pPr>
      <w:bookmarkStart w:id="74" w:name="_Toc4203_WPSOffice_Level1"/>
      <w:r>
        <w:rPr>
          <w:rFonts w:hint="eastAsia" w:ascii="宋体" w:hAnsi="宋体" w:cs="宋体"/>
          <w:b/>
          <w:color w:val="000000"/>
          <w:kern w:val="0"/>
          <w:sz w:val="28"/>
          <w:szCs w:val="28"/>
          <w:highlight w:val="none"/>
          <w:shd w:val="clear" w:color="auto" w:fill="FFFFFF"/>
          <w:lang w:bidi="ar"/>
        </w:rPr>
        <w:t>目录</w:t>
      </w:r>
      <w:bookmarkEnd w:id="74"/>
    </w:p>
    <w:p>
      <w:pPr>
        <w:shd w:val="clear" w:color="auto" w:fill="FFFFFF"/>
        <w:snapToGrid w:val="0"/>
        <w:spacing w:line="360" w:lineRule="auto"/>
        <w:rPr>
          <w:rFonts w:ascii="宋体" w:hAnsi="宋体" w:cs="宋体"/>
          <w:color w:val="000000"/>
          <w:kern w:val="0"/>
          <w:sz w:val="24"/>
          <w:highlight w:val="none"/>
          <w:shd w:val="clear" w:color="auto" w:fill="FFFFFF"/>
        </w:rPr>
      </w:pPr>
      <w:bookmarkStart w:id="75" w:name="_Hlk33176655"/>
      <w:r>
        <w:rPr>
          <w:rFonts w:hint="eastAsia" w:ascii="宋体" w:hAnsi="宋体" w:cs="宋体"/>
          <w:color w:val="000000"/>
          <w:kern w:val="0"/>
          <w:sz w:val="24"/>
          <w:highlight w:val="none"/>
          <w:shd w:val="clear" w:color="auto" w:fill="FFFFFF"/>
          <w:lang w:bidi="ar"/>
        </w:rPr>
        <w:t>（1）营业执照…………………………………………………………………………（页码）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（2）2018年度或2019年度资产负债表等财务报表资料文件………………………（页码）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（3）具有履行合同所必需的场地、设备和专业技术能力的承诺函………………（页码）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（4）依法缴纳税收和社会保障资金的证明材料………………………………………（页码）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（5）参加政府采购活动前三年内，在经营活动中没有重大违法记录的声明函……（页码）</w:t>
      </w:r>
    </w:p>
    <w:p>
      <w:pPr>
        <w:shd w:val="clear" w:color="auto" w:fill="FFFFFF"/>
        <w:snapToGrid w:val="0"/>
        <w:spacing w:line="360" w:lineRule="auto"/>
        <w:rPr>
          <w:rFonts w:ascii="宋体" w:hAnsi="宋体" w:cs="宋体"/>
          <w:color w:val="000000"/>
          <w:kern w:val="0"/>
          <w:sz w:val="24"/>
          <w:highlight w:val="none"/>
          <w:shd w:val="clear" w:color="auto" w:fill="FFFFFF"/>
        </w:rPr>
      </w:pPr>
      <w:r>
        <w:rPr>
          <w:rFonts w:hint="eastAsia" w:ascii="宋体" w:hAnsi="宋体" w:cs="宋体"/>
          <w:color w:val="000000"/>
          <w:kern w:val="0"/>
          <w:sz w:val="24"/>
          <w:highlight w:val="none"/>
          <w:shd w:val="clear" w:color="auto" w:fill="FFFFFF"/>
          <w:lang w:bidi="ar"/>
        </w:rPr>
        <w:t>（6）投标供应商没有失信记录承诺函…………………………………………………（页码）</w:t>
      </w:r>
    </w:p>
    <w:bookmarkEnd w:id="75"/>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numPr>
          <w:ilvl w:val="0"/>
          <w:numId w:val="14"/>
        </w:numPr>
        <w:spacing w:line="360" w:lineRule="auto"/>
        <w:jc w:val="center"/>
        <w:rPr>
          <w:rFonts w:ascii="宋体" w:hAnsi="宋体" w:cs="仿宋_GB2312"/>
          <w:b/>
          <w:color w:val="000000"/>
          <w:sz w:val="30"/>
          <w:szCs w:val="30"/>
          <w:highlight w:val="none"/>
        </w:rPr>
      </w:pPr>
      <w:r>
        <w:rPr>
          <w:rFonts w:hint="eastAsia" w:ascii="宋体" w:hAnsi="宋体" w:cs="仿宋_GB2312"/>
          <w:b/>
          <w:color w:val="000000"/>
          <w:sz w:val="30"/>
          <w:szCs w:val="30"/>
          <w:highlight w:val="none"/>
        </w:rPr>
        <w:t>营业执照（复印件）</w:t>
      </w:r>
    </w:p>
    <w:p>
      <w:pPr>
        <w:spacing w:line="360" w:lineRule="auto"/>
        <w:rPr>
          <w:rFonts w:ascii="宋体" w:hAnsi="宋体" w:cs="仿宋_GB2312"/>
          <w:b/>
          <w:color w:val="000000"/>
          <w:sz w:val="30"/>
          <w:szCs w:val="30"/>
          <w:highlight w:val="none"/>
        </w:rPr>
      </w:pPr>
    </w:p>
    <w:p>
      <w:pPr>
        <w:numPr>
          <w:ilvl w:val="0"/>
          <w:numId w:val="14"/>
        </w:numPr>
        <w:spacing w:line="360" w:lineRule="auto"/>
        <w:jc w:val="center"/>
        <w:rPr>
          <w:rFonts w:ascii="宋体" w:hAnsi="宋体" w:cs="仿宋_GB2312"/>
          <w:b/>
          <w:color w:val="000000"/>
          <w:sz w:val="30"/>
          <w:szCs w:val="30"/>
          <w:highlight w:val="none"/>
        </w:rPr>
      </w:pPr>
      <w:r>
        <w:rPr>
          <w:rFonts w:hint="eastAsia" w:ascii="宋体" w:hAnsi="宋体" w:cs="仿宋_GB2312"/>
          <w:b/>
          <w:color w:val="000000"/>
          <w:sz w:val="30"/>
          <w:szCs w:val="30"/>
          <w:highlight w:val="none"/>
        </w:rPr>
        <w:t>2018年度或2019年度资产负债表等财务报表资料文件（复印件）</w:t>
      </w:r>
    </w:p>
    <w:p>
      <w:pPr>
        <w:spacing w:line="360" w:lineRule="auto"/>
        <w:ind w:left="420"/>
        <w:rPr>
          <w:rFonts w:ascii="宋体" w:hAnsi="宋体" w:cs="仿宋_GB2312"/>
          <w:b/>
          <w:color w:val="000000"/>
          <w:sz w:val="30"/>
          <w:szCs w:val="30"/>
          <w:highlight w:val="none"/>
          <w:lang w:val="zh-CN"/>
        </w:rPr>
      </w:pPr>
    </w:p>
    <w:p>
      <w:pPr>
        <w:numPr>
          <w:ilvl w:val="0"/>
          <w:numId w:val="14"/>
        </w:numPr>
        <w:spacing w:line="360" w:lineRule="auto"/>
        <w:jc w:val="center"/>
        <w:rPr>
          <w:rFonts w:ascii="宋体" w:hAnsi="宋体" w:cs="仿宋_GB2312"/>
          <w:b/>
          <w:color w:val="000000"/>
          <w:sz w:val="30"/>
          <w:szCs w:val="30"/>
          <w:highlight w:val="none"/>
        </w:rPr>
      </w:pPr>
      <w:r>
        <w:rPr>
          <w:rFonts w:hint="eastAsia" w:ascii="宋体" w:hAnsi="宋体" w:cs="仿宋_GB2312"/>
          <w:b/>
          <w:color w:val="000000"/>
          <w:sz w:val="30"/>
          <w:szCs w:val="30"/>
          <w:highlight w:val="none"/>
        </w:rPr>
        <w:t>具有履行合同所必需的场地、设备和专业技术能力的承诺函</w:t>
      </w:r>
    </w:p>
    <w:p>
      <w:pPr>
        <w:snapToGrid w:val="0"/>
        <w:spacing w:line="360" w:lineRule="auto"/>
        <w:rPr>
          <w:rFonts w:ascii="宋体" w:hAnsi="宋体" w:cs="仿宋_GB2312"/>
          <w:color w:val="000000"/>
          <w:sz w:val="24"/>
          <w:highlight w:val="none"/>
        </w:rPr>
      </w:pPr>
    </w:p>
    <w:p>
      <w:pPr>
        <w:snapToGrid w:val="0"/>
        <w:spacing w:line="360" w:lineRule="auto"/>
        <w:rPr>
          <w:rFonts w:ascii="宋体" w:hAnsi="宋体" w:cs="仿宋_GB2312"/>
          <w:color w:val="000000"/>
          <w:sz w:val="24"/>
          <w:highlight w:val="none"/>
        </w:rPr>
      </w:pPr>
      <w:r>
        <w:rPr>
          <w:rFonts w:hint="eastAsia" w:ascii="宋体" w:hAnsi="宋体" w:cs="仿宋_GB2312"/>
          <w:color w:val="000000"/>
          <w:sz w:val="24"/>
          <w:highlight w:val="none"/>
        </w:rPr>
        <w:t>台州市第一人民医院、浙江省成套招标代理有限公司：</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我方</w:t>
      </w:r>
      <w:r>
        <w:rPr>
          <w:rFonts w:hint="eastAsia" w:ascii="宋体" w:hAnsi="宋体" w:cs="宋体"/>
          <w:color w:val="000000"/>
          <w:kern w:val="0"/>
          <w:sz w:val="24"/>
          <w:highlight w:val="none"/>
          <w:u w:val="single"/>
          <w:lang w:bidi="ar"/>
        </w:rPr>
        <w:t xml:space="preserve"> （供应商） </w:t>
      </w:r>
      <w:r>
        <w:rPr>
          <w:rFonts w:hint="eastAsia" w:ascii="宋体" w:hAnsi="宋体" w:cs="宋体"/>
          <w:color w:val="000000"/>
          <w:kern w:val="0"/>
          <w:sz w:val="24"/>
          <w:highlight w:val="none"/>
          <w:lang w:bidi="ar"/>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ascii="宋体" w:hAnsi="宋体" w:cs="仿宋_GB2312"/>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供应商名称（盖章） ：</w:t>
      </w:r>
    </w:p>
    <w:p>
      <w:pPr>
        <w:widowControl/>
        <w:snapToGrid w:val="0"/>
        <w:spacing w:line="360" w:lineRule="auto"/>
        <w:ind w:firstLine="480" w:firstLineChars="20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法定代表人或其授权代表（签字或盖章）：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日期：     年  月  日</w:t>
      </w:r>
    </w:p>
    <w:p>
      <w:pPr>
        <w:snapToGrid w:val="0"/>
        <w:spacing w:line="360" w:lineRule="auto"/>
        <w:ind w:firstLine="5160" w:firstLineChars="2150"/>
        <w:rPr>
          <w:rFonts w:ascii="宋体" w:hAnsi="宋体" w:cs="仿宋_GB2312"/>
          <w:color w:val="000000"/>
          <w:kern w:val="0"/>
          <w:sz w:val="24"/>
          <w:highlight w:val="none"/>
          <w:lang w:val="zh-CN"/>
        </w:rPr>
      </w:pPr>
    </w:p>
    <w:p>
      <w:pPr>
        <w:snapToGrid w:val="0"/>
        <w:spacing w:line="360" w:lineRule="auto"/>
        <w:ind w:right="480"/>
        <w:rPr>
          <w:rFonts w:ascii="宋体" w:hAnsi="宋体" w:cs="仿宋_GB2312"/>
          <w:b/>
          <w:color w:val="000000"/>
          <w:kern w:val="0"/>
          <w:sz w:val="32"/>
          <w:szCs w:val="32"/>
          <w:highlight w:val="none"/>
          <w:lang w:val="zh-CN"/>
        </w:rPr>
      </w:pPr>
    </w:p>
    <w:p>
      <w:pPr>
        <w:numPr>
          <w:ilvl w:val="0"/>
          <w:numId w:val="14"/>
        </w:numPr>
        <w:spacing w:line="360" w:lineRule="auto"/>
        <w:jc w:val="center"/>
        <w:rPr>
          <w:rFonts w:ascii="宋体" w:hAnsi="宋体" w:cs="仿宋_GB2312"/>
          <w:b/>
          <w:color w:val="000000"/>
          <w:sz w:val="30"/>
          <w:szCs w:val="30"/>
          <w:highlight w:val="none"/>
        </w:rPr>
      </w:pPr>
      <w:r>
        <w:rPr>
          <w:rFonts w:hint="eastAsia" w:ascii="宋体" w:hAnsi="宋体" w:cs="仿宋_GB2312"/>
          <w:b/>
          <w:color w:val="000000"/>
          <w:sz w:val="30"/>
          <w:szCs w:val="30"/>
          <w:highlight w:val="none"/>
        </w:rPr>
        <w:t>依法缴纳税收和社会保障资金的证明材料</w:t>
      </w:r>
    </w:p>
    <w:p>
      <w:pPr>
        <w:spacing w:line="360" w:lineRule="auto"/>
        <w:rPr>
          <w:rFonts w:ascii="宋体" w:hAnsi="宋体" w:cs="Arial"/>
          <w:b/>
          <w:color w:val="000000"/>
          <w:kern w:val="0"/>
          <w:sz w:val="24"/>
          <w:szCs w:val="28"/>
          <w:highlight w:val="none"/>
          <w:u w:val="single"/>
        </w:rPr>
      </w:pPr>
    </w:p>
    <w:p>
      <w:pPr>
        <w:widowControl/>
        <w:snapToGrid w:val="0"/>
        <w:spacing w:line="360" w:lineRule="auto"/>
        <w:ind w:firstLine="480" w:firstLineChars="200"/>
        <w:jc w:val="left"/>
        <w:rPr>
          <w:rFonts w:ascii="宋体" w:hAnsi="宋体" w:cs="仿宋_GB2312"/>
          <w:color w:val="000000"/>
          <w:sz w:val="24"/>
          <w:highlight w:val="none"/>
        </w:rPr>
      </w:pPr>
      <w:r>
        <w:rPr>
          <w:rFonts w:hint="eastAsia" w:ascii="宋体" w:hAnsi="宋体" w:cs="仿宋_GB2312"/>
          <w:color w:val="000000"/>
          <w:sz w:val="24"/>
          <w:highlight w:val="none"/>
        </w:rPr>
        <w:t>投标人已办理多证合一的，仅需提供《企业法人营业执照（副本）》。否则须提供由税务部门出具的最近三个月内任一时间点缴纳的纳税证明、缴纳社会保险的证明。依法免税或不需要缴纳社会保障资金的供应商，应提供相应文件证明其依法免税或不需要缴纳社会保障资金。</w:t>
      </w:r>
    </w:p>
    <w:p>
      <w:pPr>
        <w:spacing w:line="360" w:lineRule="auto"/>
        <w:jc w:val="center"/>
        <w:rPr>
          <w:rFonts w:ascii="宋体" w:hAnsi="宋体" w:cs="仿宋_GB2312"/>
          <w:b/>
          <w:color w:val="000000"/>
          <w:kern w:val="0"/>
          <w:sz w:val="32"/>
          <w:szCs w:val="32"/>
          <w:highlight w:val="none"/>
        </w:rPr>
      </w:pPr>
    </w:p>
    <w:p>
      <w:pPr>
        <w:spacing w:line="360" w:lineRule="auto"/>
        <w:jc w:val="center"/>
        <w:rPr>
          <w:rFonts w:ascii="宋体" w:hAnsi="宋体" w:cs="仿宋_GB2312"/>
          <w:b/>
          <w:color w:val="000000"/>
          <w:kern w:val="0"/>
          <w:sz w:val="32"/>
          <w:szCs w:val="32"/>
          <w:highlight w:val="none"/>
        </w:rPr>
      </w:pPr>
    </w:p>
    <w:p>
      <w:pPr>
        <w:spacing w:line="360" w:lineRule="auto"/>
        <w:jc w:val="center"/>
        <w:rPr>
          <w:rFonts w:ascii="宋体" w:hAnsi="宋体" w:cs="仿宋_GB2312"/>
          <w:b/>
          <w:color w:val="000000"/>
          <w:kern w:val="0"/>
          <w:sz w:val="32"/>
          <w:szCs w:val="32"/>
          <w:highlight w:val="none"/>
        </w:rPr>
      </w:pPr>
    </w:p>
    <w:p>
      <w:pPr>
        <w:spacing w:line="360" w:lineRule="auto"/>
        <w:jc w:val="center"/>
        <w:rPr>
          <w:rFonts w:ascii="宋体" w:hAnsi="宋体" w:cs="仿宋_GB2312"/>
          <w:b/>
          <w:color w:val="000000"/>
          <w:kern w:val="0"/>
          <w:sz w:val="32"/>
          <w:szCs w:val="32"/>
          <w:highlight w:val="none"/>
        </w:rPr>
      </w:pPr>
    </w:p>
    <w:p>
      <w:pPr>
        <w:numPr>
          <w:ilvl w:val="0"/>
          <w:numId w:val="14"/>
        </w:numPr>
        <w:spacing w:line="360" w:lineRule="auto"/>
        <w:jc w:val="center"/>
        <w:rPr>
          <w:rFonts w:ascii="宋体" w:hAnsi="宋体" w:cs="仿宋_GB2312"/>
          <w:b/>
          <w:color w:val="000000"/>
          <w:sz w:val="30"/>
          <w:szCs w:val="30"/>
          <w:highlight w:val="none"/>
          <w:lang w:val="zh-CN"/>
        </w:rPr>
      </w:pPr>
      <w:r>
        <w:rPr>
          <w:rFonts w:hint="eastAsia" w:ascii="宋体" w:hAnsi="宋体" w:cs="仿宋_GB2312"/>
          <w:b/>
          <w:color w:val="000000"/>
          <w:sz w:val="30"/>
          <w:szCs w:val="30"/>
          <w:highlight w:val="none"/>
        </w:rPr>
        <w:t>参加政府采购活动前三年内，在经营活动中没有重大违法记录的声明</w:t>
      </w:r>
    </w:p>
    <w:p>
      <w:pPr>
        <w:snapToGrid w:val="0"/>
        <w:spacing w:line="360" w:lineRule="auto"/>
        <w:rPr>
          <w:rFonts w:ascii="宋体" w:hAnsi="宋体" w:cs="仿宋_GB2312"/>
          <w:color w:val="000000"/>
          <w:kern w:val="0"/>
          <w:sz w:val="24"/>
          <w:highlight w:val="none"/>
        </w:rPr>
      </w:pPr>
      <w:r>
        <w:rPr>
          <w:rFonts w:hint="eastAsia" w:ascii="宋体" w:hAnsi="宋体" w:cs="仿宋_GB2312"/>
          <w:color w:val="000000"/>
          <w:sz w:val="24"/>
          <w:highlight w:val="none"/>
        </w:rPr>
        <w:t>台州市第一人民医院、浙江省成套招标代理有限公司</w:t>
      </w:r>
      <w:r>
        <w:rPr>
          <w:rFonts w:hint="eastAsia" w:ascii="宋体" w:hAnsi="宋体" w:cs="仿宋_GB2312"/>
          <w:color w:val="000000"/>
          <w:kern w:val="0"/>
          <w:sz w:val="24"/>
          <w:highlight w:val="none"/>
          <w:lang w:val="zh-CN"/>
        </w:rPr>
        <w:t>：</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我方</w:t>
      </w:r>
      <w:r>
        <w:rPr>
          <w:rFonts w:hint="eastAsia" w:ascii="宋体" w:hAnsi="宋体" w:cs="宋体"/>
          <w:color w:val="000000"/>
          <w:kern w:val="0"/>
          <w:sz w:val="24"/>
          <w:highlight w:val="none"/>
          <w:u w:val="single"/>
          <w:lang w:bidi="ar"/>
        </w:rPr>
        <w:t xml:space="preserve"> （供应商）</w:t>
      </w:r>
      <w:r>
        <w:rPr>
          <w:rFonts w:hint="eastAsia" w:ascii="宋体" w:hAnsi="宋体" w:cs="宋体"/>
          <w:color w:val="000000"/>
          <w:kern w:val="0"/>
          <w:sz w:val="24"/>
          <w:highlight w:val="none"/>
          <w:lang w:bidi="ar"/>
        </w:rPr>
        <w:t>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特此承诺！</w:t>
      </w:r>
    </w:p>
    <w:p>
      <w:pPr>
        <w:widowControl/>
        <w:snapToGrid w:val="0"/>
        <w:spacing w:line="360" w:lineRule="auto"/>
        <w:ind w:firstLine="480" w:firstLineChars="200"/>
        <w:jc w:val="left"/>
        <w:rPr>
          <w:rFonts w:ascii="宋体" w:hAnsi="宋体" w:cs="仿宋_GB2312"/>
          <w:color w:val="000000"/>
          <w:sz w:val="24"/>
          <w:highlight w:val="none"/>
        </w:rPr>
      </w:pPr>
      <w:r>
        <w:rPr>
          <w:rFonts w:hint="eastAsia" w:ascii="宋体" w:hAnsi="宋体" w:cs="仿宋_GB2312"/>
          <w:color w:val="000000"/>
          <w:sz w:val="24"/>
          <w:highlight w:val="none"/>
        </w:rPr>
        <w:t xml:space="preserve"> </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供应商名称（盖章） ：</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法定代表人或其授权代表（签字或盖章）：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日期：     年  月  日</w:t>
      </w:r>
    </w:p>
    <w:p>
      <w:pPr>
        <w:spacing w:line="360" w:lineRule="auto"/>
        <w:ind w:firstLine="480" w:firstLineChars="200"/>
        <w:rPr>
          <w:rFonts w:ascii="宋体" w:hAnsi="宋体" w:cs="仿宋_GB2312"/>
          <w:color w:val="000000"/>
          <w:sz w:val="24"/>
          <w:highlight w:val="none"/>
        </w:rPr>
      </w:pPr>
    </w:p>
    <w:p>
      <w:pPr>
        <w:snapToGrid w:val="0"/>
        <w:spacing w:line="360" w:lineRule="auto"/>
        <w:ind w:firstLine="5160" w:firstLineChars="2150"/>
        <w:rPr>
          <w:rFonts w:ascii="宋体" w:hAnsi="宋体" w:cs="仿宋_GB2312"/>
          <w:color w:val="000000"/>
          <w:kern w:val="0"/>
          <w:sz w:val="24"/>
          <w:highlight w:val="none"/>
          <w:lang w:val="zh-CN"/>
        </w:rPr>
      </w:pPr>
    </w:p>
    <w:p>
      <w:pPr>
        <w:snapToGrid w:val="0"/>
        <w:spacing w:line="360" w:lineRule="auto"/>
        <w:ind w:firstLine="5160" w:firstLineChars="2150"/>
        <w:rPr>
          <w:rFonts w:ascii="宋体" w:hAnsi="宋体" w:cs="仿宋_GB2312"/>
          <w:color w:val="000000"/>
          <w:kern w:val="0"/>
          <w:sz w:val="24"/>
          <w:highlight w:val="none"/>
          <w:lang w:val="zh-CN"/>
        </w:rPr>
      </w:pPr>
    </w:p>
    <w:p>
      <w:pPr>
        <w:snapToGrid w:val="0"/>
        <w:spacing w:line="360" w:lineRule="auto"/>
        <w:ind w:firstLine="1606" w:firstLineChars="500"/>
        <w:rPr>
          <w:rFonts w:ascii="宋体" w:hAnsi="宋体" w:cs="仿宋_GB2312"/>
          <w:b/>
          <w:color w:val="000000"/>
          <w:kern w:val="0"/>
          <w:sz w:val="32"/>
          <w:szCs w:val="32"/>
          <w:highlight w:val="none"/>
        </w:rPr>
      </w:pPr>
    </w:p>
    <w:p>
      <w:pPr>
        <w:spacing w:line="360" w:lineRule="auto"/>
        <w:jc w:val="center"/>
        <w:rPr>
          <w:rFonts w:ascii="宋体" w:hAnsi="宋体" w:cs="宋体"/>
          <w:b/>
          <w:color w:val="000000"/>
          <w:kern w:val="36"/>
          <w:sz w:val="32"/>
          <w:szCs w:val="28"/>
          <w:highlight w:val="none"/>
        </w:rPr>
      </w:pPr>
      <w:r>
        <w:rPr>
          <w:rFonts w:hint="eastAsia" w:ascii="宋体" w:hAnsi="宋体" w:cs="Arial"/>
          <w:b/>
          <w:color w:val="000000"/>
          <w:kern w:val="0"/>
          <w:sz w:val="32"/>
          <w:szCs w:val="32"/>
          <w:highlight w:val="none"/>
          <w:lang w:bidi="ar"/>
        </w:rPr>
        <w:t>六、</w:t>
      </w:r>
      <w:r>
        <w:rPr>
          <w:rFonts w:hint="eastAsia" w:ascii="宋体" w:hAnsi="宋体" w:cs="宋体"/>
          <w:b/>
          <w:color w:val="000000"/>
          <w:kern w:val="36"/>
          <w:sz w:val="32"/>
          <w:szCs w:val="28"/>
          <w:highlight w:val="none"/>
          <w:lang w:bidi="ar"/>
        </w:rPr>
        <w:t>投标供应商没有失信记录承诺函</w:t>
      </w:r>
    </w:p>
    <w:p>
      <w:pPr>
        <w:snapToGrid w:val="0"/>
        <w:spacing w:line="360" w:lineRule="auto"/>
        <w:rPr>
          <w:rFonts w:ascii="宋体" w:hAnsi="宋体" w:cs="宋体"/>
          <w:color w:val="000000"/>
          <w:sz w:val="24"/>
          <w:highlight w:val="none"/>
          <w:shd w:val="clear" w:color="auto" w:fill="FFFFFF"/>
        </w:rPr>
      </w:pPr>
      <w:r>
        <w:rPr>
          <w:rFonts w:hint="eastAsia" w:ascii="宋体" w:hAnsi="宋体" w:cs="仿宋_GB2312"/>
          <w:color w:val="000000"/>
          <w:sz w:val="24"/>
          <w:highlight w:val="none"/>
        </w:rPr>
        <w:t>台州市第一人民医院、浙江省成套招标代理有限公司</w:t>
      </w:r>
      <w:r>
        <w:rPr>
          <w:rFonts w:hint="eastAsia" w:ascii="宋体" w:hAnsi="宋体" w:cs="仿宋_GB2312"/>
          <w:color w:val="000000"/>
          <w:kern w:val="0"/>
          <w:sz w:val="24"/>
          <w:highlight w:val="none"/>
          <w:lang w:val="zh-CN"/>
        </w:rPr>
        <w:t>：</w:t>
      </w:r>
    </w:p>
    <w:p>
      <w:pPr>
        <w:spacing w:line="360" w:lineRule="auto"/>
        <w:ind w:firstLine="484" w:firstLineChars="202"/>
        <w:jc w:val="left"/>
        <w:rPr>
          <w:rFonts w:ascii="宋体" w:hAnsi="宋体" w:cs="宋体"/>
          <w:color w:val="000000"/>
          <w:sz w:val="24"/>
          <w:highlight w:val="none"/>
          <w:shd w:val="clear" w:color="auto" w:fill="FFFFFF"/>
        </w:rPr>
      </w:pPr>
      <w:r>
        <w:rPr>
          <w:rFonts w:hint="eastAsia" w:ascii="宋体" w:hAnsi="宋体" w:cs="Arial"/>
          <w:color w:val="000000"/>
          <w:kern w:val="0"/>
          <w:sz w:val="24"/>
          <w:highlight w:val="none"/>
          <w:lang w:bidi="ar"/>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特此承诺！</w:t>
      </w: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供应商名称（盖章） ：</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法定代表人或其授权代表（签字或盖章）：</w:t>
      </w:r>
    </w:p>
    <w:p>
      <w:pPr>
        <w:widowControl/>
        <w:adjustRightInd w:val="0"/>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日期：     年  月  日</w:t>
      </w:r>
    </w:p>
    <w:p>
      <w:pPr>
        <w:spacing w:line="360" w:lineRule="auto"/>
        <w:jc w:val="center"/>
        <w:rPr>
          <w:rFonts w:ascii="宋体" w:hAnsi="宋体" w:cs="仿宋_GB2312"/>
          <w:b/>
          <w:color w:val="000000"/>
          <w:sz w:val="30"/>
          <w:szCs w:val="30"/>
          <w:highlight w:val="none"/>
        </w:rPr>
      </w:pPr>
      <w:r>
        <w:rPr>
          <w:rFonts w:ascii="宋体" w:hAnsi="宋体" w:cs="仿宋_GB2312"/>
          <w:b/>
          <w:color w:val="000000"/>
          <w:kern w:val="0"/>
          <w:sz w:val="32"/>
          <w:szCs w:val="32"/>
          <w:highlight w:val="none"/>
        </w:rPr>
        <w:br w:type="page"/>
      </w:r>
    </w:p>
    <w:p>
      <w:pPr>
        <w:snapToGrid w:val="0"/>
        <w:spacing w:line="360" w:lineRule="auto"/>
        <w:ind w:firstLine="3240" w:firstLineChars="900"/>
        <w:rPr>
          <w:rFonts w:ascii="宋体" w:hAnsi="宋体" w:cs="仿宋_GB2312"/>
          <w:b/>
          <w:color w:val="000000"/>
          <w:kern w:val="0"/>
          <w:sz w:val="36"/>
          <w:szCs w:val="36"/>
          <w:highlight w:val="none"/>
        </w:rPr>
      </w:pPr>
      <w:r>
        <w:rPr>
          <w:rFonts w:hint="eastAsia" w:ascii="宋体" w:hAnsi="宋体" w:cs="仿宋_GB2312"/>
          <w:color w:val="000000"/>
          <w:sz w:val="36"/>
          <w:szCs w:val="36"/>
          <w:highlight w:val="none"/>
          <w:lang w:val="zh-CN"/>
        </w:rPr>
        <w:t>▲</w:t>
      </w:r>
      <w:r>
        <w:rPr>
          <w:rFonts w:hint="eastAsia" w:ascii="宋体" w:hAnsi="宋体" w:cs="仿宋_GB2312"/>
          <w:b/>
          <w:color w:val="000000"/>
          <w:kern w:val="0"/>
          <w:sz w:val="36"/>
          <w:szCs w:val="36"/>
          <w:highlight w:val="none"/>
        </w:rPr>
        <w:t>报价文件部分</w:t>
      </w:r>
    </w:p>
    <w:p>
      <w:pPr>
        <w:snapToGrid w:val="0"/>
        <w:spacing w:line="360" w:lineRule="auto"/>
        <w:ind w:firstLine="3855" w:firstLineChars="1200"/>
        <w:rPr>
          <w:rFonts w:ascii="宋体" w:hAnsi="宋体" w:cs="仿宋_GB2312"/>
          <w:b/>
          <w:color w:val="000000"/>
          <w:kern w:val="0"/>
          <w:sz w:val="36"/>
          <w:szCs w:val="36"/>
          <w:highlight w:val="none"/>
        </w:rPr>
      </w:pPr>
      <w:r>
        <w:rPr>
          <w:rFonts w:hint="eastAsia" w:ascii="宋体" w:hAnsi="宋体" w:cs="仿宋_GB2312"/>
          <w:b/>
          <w:color w:val="000000"/>
          <w:kern w:val="0"/>
          <w:sz w:val="32"/>
          <w:szCs w:val="32"/>
          <w:highlight w:val="none"/>
        </w:rPr>
        <w:t>目录</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（1）投标函…………………………………………………………………………（页码）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（2）开标一览表……………………………………………………………………（页码）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（3）投标报价组成表………………………………………………………………（页码）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（4）</w:t>
      </w:r>
      <w:r>
        <w:rPr>
          <w:rFonts w:hint="eastAsia" w:ascii="宋体" w:hAnsi="宋体" w:cs="宋体"/>
          <w:color w:val="000000"/>
          <w:sz w:val="24"/>
          <w:highlight w:val="none"/>
          <w:lang w:bidi="ar"/>
        </w:rPr>
        <w:t>中小企业声明函、监狱企业、残疾人福利性单位及其他相关的充分的证明材料</w:t>
      </w:r>
      <w:r>
        <w:rPr>
          <w:rFonts w:hint="eastAsia" w:ascii="宋体" w:hAnsi="宋体" w:cs="宋体"/>
          <w:color w:val="000000"/>
          <w:kern w:val="0"/>
          <w:sz w:val="24"/>
          <w:highlight w:val="none"/>
          <w:shd w:val="clear" w:color="auto" w:fill="FFFFFF"/>
          <w:lang w:bidi="ar"/>
        </w:rPr>
        <w:t>………………………………………………………………………………………（页码）</w:t>
      </w: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tabs>
          <w:tab w:val="left" w:pos="2580"/>
          <w:tab w:val="left" w:pos="5940"/>
        </w:tabs>
        <w:autoSpaceDE w:val="0"/>
        <w:autoSpaceDN w:val="0"/>
        <w:adjustRightInd w:val="0"/>
        <w:snapToGrid w:val="0"/>
        <w:spacing w:line="300" w:lineRule="auto"/>
        <w:jc w:val="left"/>
        <w:rPr>
          <w:rFonts w:ascii="宋体" w:hAnsi="宋体" w:cs="Arial"/>
          <w:color w:val="000000"/>
          <w:kern w:val="0"/>
          <w:sz w:val="28"/>
          <w:highlight w:val="none"/>
        </w:rPr>
      </w:pPr>
    </w:p>
    <w:p>
      <w:pPr>
        <w:pStyle w:val="3"/>
        <w:numPr>
          <w:ilvl w:val="0"/>
          <w:numId w:val="15"/>
        </w:numPr>
        <w:ind w:firstLineChars="0"/>
        <w:jc w:val="center"/>
        <w:rPr>
          <w:rFonts w:ascii="宋体" w:hAnsi="宋体" w:cs="仿宋_GB2312"/>
          <w:color w:val="000000"/>
          <w:kern w:val="0"/>
          <w:sz w:val="32"/>
          <w:highlight w:val="none"/>
        </w:rPr>
      </w:pPr>
      <w:bookmarkStart w:id="76" w:name="_Toc31800_WPSOffice_Level1"/>
      <w:r>
        <w:rPr>
          <w:rFonts w:ascii="宋体" w:hAnsi="宋体" w:cs="仿宋_GB2312"/>
          <w:color w:val="000000"/>
          <w:kern w:val="0"/>
          <w:sz w:val="32"/>
          <w:highlight w:val="none"/>
        </w:rPr>
        <w:t>投标函</w:t>
      </w:r>
      <w:bookmarkEnd w:id="76"/>
    </w:p>
    <w:p>
      <w:pPr>
        <w:pStyle w:val="26"/>
        <w:adjustRightInd w:val="0"/>
        <w:snapToGrid w:val="0"/>
        <w:spacing w:line="360" w:lineRule="auto"/>
        <w:rPr>
          <w:rFonts w:hAnsi="宋体" w:cs="Arial"/>
          <w:color w:val="000000"/>
          <w:sz w:val="24"/>
          <w:szCs w:val="24"/>
          <w:highlight w:val="none"/>
        </w:rPr>
      </w:pPr>
      <w:r>
        <w:rPr>
          <w:rFonts w:hAnsi="宋体" w:cs="仿宋_GB2312"/>
          <w:color w:val="000000"/>
          <w:sz w:val="24"/>
          <w:szCs w:val="24"/>
          <w:highlight w:val="none"/>
        </w:rPr>
        <w:t>台州市第一人民医院、浙江省成套招标代理有限公司</w:t>
      </w:r>
      <w:r>
        <w:rPr>
          <w:rFonts w:hAnsi="宋体" w:cs="Arial"/>
          <w:color w:val="000000"/>
          <w:sz w:val="24"/>
          <w:szCs w:val="24"/>
          <w:highlight w:val="none"/>
        </w:rPr>
        <w:t>：</w:t>
      </w:r>
    </w:p>
    <w:p>
      <w:pPr>
        <w:shd w:val="clear" w:color="auto" w:fill="FFFFFF"/>
        <w:snapToGrid w:val="0"/>
        <w:spacing w:line="360" w:lineRule="auto"/>
        <w:rPr>
          <w:rFonts w:ascii="宋体" w:hAnsi="宋体" w:cs="宋体"/>
          <w:color w:val="000000"/>
          <w:sz w:val="24"/>
          <w:highlight w:val="none"/>
          <w:shd w:val="clear" w:color="auto" w:fill="FFFFFF"/>
        </w:rPr>
      </w:pPr>
      <w:r>
        <w:rPr>
          <w:rFonts w:hint="eastAsia" w:ascii="宋体" w:hAnsi="宋体" w:cs="宋体"/>
          <w:color w:val="000000"/>
          <w:kern w:val="0"/>
          <w:sz w:val="24"/>
          <w:highlight w:val="none"/>
          <w:shd w:val="clear" w:color="auto" w:fill="FFFFFF"/>
          <w:lang w:val="zh-CN" w:bidi="ar"/>
        </w:rPr>
        <w:t xml:space="preserve">    </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sz w:val="24"/>
          <w:highlight w:val="none"/>
          <w:shd w:val="clear" w:color="auto" w:fill="FFFFFF"/>
          <w:lang w:bidi="ar"/>
        </w:rPr>
        <w:t>(投标人全称)授权</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sz w:val="24"/>
          <w:highlight w:val="none"/>
          <w:shd w:val="clear" w:color="auto" w:fill="FFFFFF"/>
          <w:lang w:bidi="ar"/>
        </w:rPr>
        <w:t>(全权代表姓名)</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sz w:val="24"/>
          <w:highlight w:val="none"/>
          <w:shd w:val="clear" w:color="auto" w:fill="FFFFFF"/>
          <w:lang w:bidi="ar"/>
        </w:rPr>
        <w:t>(职务、职称)为全权代表，参加贵方组织的</w:t>
      </w:r>
      <w:r>
        <w:rPr>
          <w:rFonts w:hint="eastAsia" w:ascii="宋体" w:hAnsi="宋体" w:cs="宋体"/>
          <w:color w:val="000000"/>
          <w:sz w:val="24"/>
          <w:highlight w:val="none"/>
          <w:u w:val="single"/>
          <w:shd w:val="clear" w:color="auto" w:fill="FFFFFF"/>
          <w:lang w:bidi="ar"/>
        </w:rPr>
        <w:t xml:space="preserve">  台州市第一人民医院迁建工程（一期）医用智能化轨道小车物流传输设备系统 </w:t>
      </w:r>
      <w:r>
        <w:rPr>
          <w:rFonts w:hint="eastAsia" w:ascii="宋体" w:hAnsi="宋体" w:cs="宋体"/>
          <w:color w:val="000000"/>
          <w:sz w:val="24"/>
          <w:highlight w:val="none"/>
          <w:shd w:val="clear" w:color="auto" w:fill="FFFFFF"/>
          <w:lang w:bidi="ar"/>
        </w:rPr>
        <w:t>(招标编号：</w:t>
      </w:r>
      <w:r>
        <w:rPr>
          <w:rFonts w:hint="eastAsia" w:ascii="宋体" w:hAnsi="宋体" w:cs="宋体"/>
          <w:color w:val="000000"/>
          <w:sz w:val="24"/>
          <w:highlight w:val="none"/>
          <w:u w:val="single"/>
          <w:shd w:val="clear" w:color="auto" w:fill="FFFFFF"/>
          <w:lang w:bidi="ar"/>
        </w:rPr>
        <w:t>CTZB-H191117AWZ</w:t>
      </w:r>
      <w:r>
        <w:rPr>
          <w:rFonts w:hint="eastAsia" w:ascii="宋体" w:hAnsi="宋体" w:cs="宋体"/>
          <w:color w:val="000000"/>
          <w:kern w:val="0"/>
          <w:sz w:val="24"/>
          <w:highlight w:val="none"/>
          <w:shd w:val="clear" w:color="auto" w:fill="FFFFFF"/>
          <w:lang w:val="zh-CN" w:bidi="ar"/>
        </w:rPr>
        <w:t>)</w:t>
      </w:r>
      <w:r>
        <w:rPr>
          <w:rFonts w:hint="eastAsia" w:ascii="宋体" w:hAnsi="宋体" w:cs="宋体"/>
          <w:color w:val="000000"/>
          <w:sz w:val="24"/>
          <w:highlight w:val="none"/>
          <w:shd w:val="clear" w:color="auto" w:fill="FFFFFF"/>
          <w:lang w:bidi="ar"/>
        </w:rPr>
        <w:t>招标的有关活动，并对此项目进行投标。为此：</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1、我方同意在投标人</w:t>
      </w:r>
      <w:r>
        <w:rPr>
          <w:rFonts w:hint="eastAsia" w:ascii="宋体" w:hAnsi="宋体" w:cs="宋体"/>
          <w:color w:val="000000"/>
          <w:kern w:val="44"/>
          <w:sz w:val="24"/>
          <w:highlight w:val="none"/>
          <w:shd w:val="clear" w:color="auto" w:fill="FFFFFF"/>
          <w:lang w:bidi="ar"/>
        </w:rPr>
        <w:t>编制和提交投标文件须知</w:t>
      </w:r>
      <w:r>
        <w:rPr>
          <w:rFonts w:hint="eastAsia" w:ascii="宋体" w:hAnsi="宋体" w:cs="宋体"/>
          <w:color w:val="000000"/>
          <w:sz w:val="24"/>
          <w:highlight w:val="none"/>
          <w:shd w:val="clear" w:color="auto" w:fill="FFFFFF"/>
          <w:lang w:bidi="ar"/>
        </w:rPr>
        <w:t>规定的开标日期起遵守本投标书中的承诺且在投标有效期满之前均具有约束力。</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(1)具有独立承担民事责任的能力；</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(2)遵守国家法律、行政法规，具有良好的信誉和商业道德；</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(3)具有履行合同的能力和良好的履行合同记录；</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(4)良好的资金、财务状况；</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(5)提供的产品和服务符合中国政府规定的相应标准和环保标准；</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(6)没有违反政府采购法规、政策的记录；</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(7)没有发生重大经济纠纷和走私犯罪记录。</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3、提供</w:t>
      </w:r>
      <w:r>
        <w:rPr>
          <w:rFonts w:hint="eastAsia" w:ascii="宋体" w:hAnsi="宋体" w:cs="宋体"/>
          <w:color w:val="000000"/>
          <w:kern w:val="44"/>
          <w:sz w:val="24"/>
          <w:highlight w:val="none"/>
          <w:shd w:val="clear" w:color="auto" w:fill="FFFFFF"/>
          <w:lang w:bidi="ar"/>
        </w:rPr>
        <w:t>编制和提交投标文件须知</w:t>
      </w:r>
      <w:r>
        <w:rPr>
          <w:rFonts w:hint="eastAsia" w:ascii="宋体" w:hAnsi="宋体" w:cs="宋体"/>
          <w:color w:val="000000"/>
          <w:sz w:val="24"/>
          <w:highlight w:val="none"/>
          <w:shd w:val="clear" w:color="auto" w:fill="FFFFFF"/>
          <w:lang w:bidi="ar"/>
        </w:rPr>
        <w:t>规定的全部投标文件，包括资格文件、报价文件、商务技术文件。具体内容为：</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(1)资格文件</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(2)报价文件；</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(3)</w:t>
      </w:r>
      <w:r>
        <w:rPr>
          <w:rFonts w:hint="eastAsia" w:ascii="宋体" w:hAnsi="宋体" w:cs="宋体"/>
          <w:color w:val="000000"/>
          <w:sz w:val="24"/>
          <w:highlight w:val="none"/>
          <w:shd w:val="clear" w:color="auto" w:fill="FFFFFF"/>
          <w:lang w:val="zh-CN" w:bidi="ar"/>
        </w:rPr>
        <w:t>商务</w:t>
      </w:r>
      <w:r>
        <w:rPr>
          <w:rFonts w:hint="eastAsia" w:ascii="宋体" w:hAnsi="宋体" w:cs="宋体"/>
          <w:color w:val="000000"/>
          <w:kern w:val="0"/>
          <w:sz w:val="24"/>
          <w:highlight w:val="none"/>
          <w:shd w:val="clear" w:color="auto" w:fill="FFFFFF"/>
          <w:lang w:val="zh-CN" w:bidi="ar"/>
        </w:rPr>
        <w:t>技术文件</w:t>
      </w:r>
      <w:r>
        <w:rPr>
          <w:rFonts w:hint="eastAsia" w:ascii="宋体" w:hAnsi="宋体" w:cs="宋体"/>
          <w:color w:val="000000"/>
          <w:sz w:val="24"/>
          <w:highlight w:val="none"/>
          <w:shd w:val="clear" w:color="auto" w:fill="FFFFFF"/>
          <w:lang w:bidi="ar"/>
        </w:rPr>
        <w:t>；</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(4)</w:t>
      </w:r>
      <w:r>
        <w:rPr>
          <w:rFonts w:hint="eastAsia" w:ascii="宋体" w:hAnsi="宋体" w:cs="宋体"/>
          <w:color w:val="000000"/>
          <w:kern w:val="44"/>
          <w:sz w:val="24"/>
          <w:highlight w:val="none"/>
          <w:shd w:val="clear" w:color="auto" w:fill="FFFFFF"/>
          <w:lang w:bidi="ar"/>
        </w:rPr>
        <w:t>编制和提交投标文件须知</w:t>
      </w:r>
      <w:r>
        <w:rPr>
          <w:rFonts w:hint="eastAsia" w:ascii="宋体" w:hAnsi="宋体" w:cs="宋体"/>
          <w:color w:val="000000"/>
          <w:sz w:val="24"/>
          <w:highlight w:val="none"/>
          <w:shd w:val="clear" w:color="auto" w:fill="FFFFFF"/>
          <w:lang w:bidi="ar"/>
        </w:rPr>
        <w:t>要求投标人提交的全部文件；</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(5)按招标文件要求提供和交付的货物和服务的投标报价详见开标一览表；</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(6)保证忠实地执行双方所签订的合同，并承担合同规定的责任和义务；</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(7)保证遵守招标文件中的其他有关规定。</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4、投标有效期内不撤销投标文件；强行撤销的，承诺按本项目预算金额的2%赔偿对采购代理机构造成的损失。</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5、我方完全理解贵方不一定要接受最低价的投标。</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6、如中标，按招标文件规定与采购人签订合同。如拒绝签订合同，承诺按本项目预算金额的2%对采购人进行赔偿；赔偿金额不足以弥补采购人损失的，承诺继续承担超过部分的损失。</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7、如中标，按招标文件规定的招标代理服务费标准，承诺在签订合同前向采购代理机构支付招标代理服务费。</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(1)提供虚假材料谋取中标、成交的；</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(2)采取不正当手段诋毁、排挤其他供应商的；</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(3)与采购人、其它供应商或者采购代理机构恶意串通的；</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(4)向采购人、采购代理机构行贿或者提供其他不正当利益的；</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(5)在招标采购过程中与采购人进行协商谈判的；</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(6)拒绝有关部门监督检查或提供虚假情况的。</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供应商有前款第(1)至(5)项情形之一的，中标、成交无效。</w:t>
      </w:r>
    </w:p>
    <w:p>
      <w:pPr>
        <w:shd w:val="clear" w:color="auto" w:fill="FFFFFF"/>
        <w:snapToGrid w:val="0"/>
        <w:spacing w:line="360" w:lineRule="auto"/>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480" w:firstLineChars="200"/>
        <w:rPr>
          <w:rFonts w:ascii="宋体" w:hAnsi="宋体" w:cs="宋体"/>
          <w:color w:val="000000"/>
          <w:kern w:val="0"/>
          <w:sz w:val="24"/>
          <w:highlight w:val="none"/>
          <w:shd w:val="clear" w:color="auto" w:fill="FFFFFF"/>
        </w:rPr>
      </w:pPr>
      <w:r>
        <w:rPr>
          <w:rFonts w:hint="eastAsia" w:ascii="宋体" w:hAnsi="宋体" w:cs="宋体"/>
          <w:color w:val="000000"/>
          <w:kern w:val="0"/>
          <w:sz w:val="24"/>
          <w:highlight w:val="none"/>
          <w:lang w:bidi="ar"/>
        </w:rPr>
        <w:t>法定代表人或其授权代表（签字或盖章）</w:t>
      </w:r>
      <w:r>
        <w:rPr>
          <w:rFonts w:hint="eastAsia" w:ascii="宋体" w:hAnsi="宋体" w:cs="宋体"/>
          <w:color w:val="000000"/>
          <w:kern w:val="0"/>
          <w:sz w:val="24"/>
          <w:highlight w:val="none"/>
          <w:shd w:val="clear" w:color="auto" w:fill="FFFFFF"/>
          <w:lang w:val="zh-CN" w:bidi="ar"/>
        </w:rPr>
        <w:t>：</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bidi="ar"/>
        </w:rPr>
        <w:tab/>
      </w:r>
    </w:p>
    <w:p>
      <w:pPr>
        <w:shd w:val="clear" w:color="auto" w:fill="FFFFFF"/>
        <w:snapToGrid w:val="0"/>
        <w:spacing w:line="360" w:lineRule="auto"/>
        <w:ind w:firstLine="480" w:firstLineChars="200"/>
        <w:rPr>
          <w:rFonts w:ascii="宋体" w:hAnsi="宋体" w:cs="宋体"/>
          <w:color w:val="000000"/>
          <w:kern w:val="0"/>
          <w:sz w:val="24"/>
          <w:highlight w:val="none"/>
          <w:u w:val="single"/>
          <w:shd w:val="clear" w:color="auto" w:fill="FFFFFF"/>
          <w:lang w:val="zh-CN"/>
        </w:rPr>
      </w:pPr>
      <w:r>
        <w:rPr>
          <w:rFonts w:hint="eastAsia" w:ascii="宋体" w:hAnsi="宋体" w:cs="宋体"/>
          <w:color w:val="000000"/>
          <w:kern w:val="0"/>
          <w:sz w:val="24"/>
          <w:highlight w:val="none"/>
          <w:lang w:bidi="ar"/>
        </w:rPr>
        <w:t>供应商</w:t>
      </w:r>
      <w:r>
        <w:rPr>
          <w:rFonts w:hint="eastAsia" w:ascii="宋体" w:hAnsi="宋体" w:cs="宋体"/>
          <w:color w:val="000000"/>
          <w:kern w:val="0"/>
          <w:sz w:val="24"/>
          <w:highlight w:val="none"/>
          <w:shd w:val="clear" w:color="auto" w:fill="FFFFFF"/>
          <w:lang w:val="zh-CN" w:bidi="ar"/>
        </w:rPr>
        <w:t>（盖 章）：</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bidi="ar"/>
        </w:rPr>
        <w:tab/>
      </w:r>
      <w:r>
        <w:rPr>
          <w:rFonts w:hint="eastAsia" w:ascii="宋体" w:hAnsi="宋体" w:cs="宋体"/>
          <w:color w:val="000000"/>
          <w:kern w:val="0"/>
          <w:sz w:val="24"/>
          <w:highlight w:val="none"/>
          <w:u w:val="single"/>
          <w:shd w:val="clear" w:color="auto" w:fill="FFFFFF"/>
          <w:lang w:val="zh-CN" w:bidi="ar"/>
        </w:rPr>
        <w:t xml:space="preserve">                      </w:t>
      </w:r>
    </w:p>
    <w:p>
      <w:pPr>
        <w:shd w:val="clear" w:color="auto" w:fill="FFFFFF"/>
        <w:snapToGrid w:val="0"/>
        <w:spacing w:line="360" w:lineRule="auto"/>
        <w:ind w:firstLine="480" w:firstLineChars="200"/>
        <w:rPr>
          <w:rFonts w:ascii="宋体" w:hAnsi="宋体" w:cs="宋体"/>
          <w:color w:val="000000"/>
          <w:kern w:val="0"/>
          <w:sz w:val="24"/>
          <w:highlight w:val="none"/>
          <w:shd w:val="clear" w:color="auto" w:fill="FFFFFF"/>
        </w:rPr>
      </w:pPr>
      <w:r>
        <w:rPr>
          <w:rFonts w:hint="eastAsia" w:ascii="宋体" w:hAnsi="宋体" w:cs="宋体"/>
          <w:color w:val="000000"/>
          <w:kern w:val="0"/>
          <w:sz w:val="24"/>
          <w:highlight w:val="none"/>
          <w:shd w:val="clear" w:color="auto" w:fill="FFFFFF"/>
          <w:lang w:val="zh-CN" w:bidi="ar"/>
        </w:rPr>
        <w:t>联系电话：</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传真：</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 xml:space="preserve">电子邮件： </w:t>
      </w:r>
      <w:r>
        <w:rPr>
          <w:rFonts w:hint="eastAsia" w:ascii="宋体" w:hAnsi="宋体" w:cs="宋体"/>
          <w:color w:val="000000"/>
          <w:kern w:val="0"/>
          <w:sz w:val="24"/>
          <w:highlight w:val="none"/>
          <w:u w:val="single"/>
          <w:shd w:val="clear" w:color="auto" w:fill="FFFFFF"/>
          <w:lang w:val="zh-CN" w:bidi="ar"/>
        </w:rPr>
        <w:t xml:space="preserve">              </w:t>
      </w:r>
    </w:p>
    <w:p>
      <w:pPr>
        <w:shd w:val="clear" w:color="auto" w:fill="FFFFFF"/>
        <w:snapToGrid w:val="0"/>
        <w:spacing w:line="360" w:lineRule="auto"/>
        <w:ind w:firstLine="480" w:firstLineChars="200"/>
        <w:rPr>
          <w:rFonts w:ascii="宋体" w:hAnsi="宋体" w:cs="宋体"/>
          <w:color w:val="000000"/>
          <w:kern w:val="0"/>
          <w:sz w:val="24"/>
          <w:highlight w:val="none"/>
          <w:shd w:val="clear" w:color="auto" w:fill="FFFFFF"/>
        </w:rPr>
      </w:pPr>
      <w:r>
        <w:rPr>
          <w:rFonts w:hint="eastAsia" w:ascii="宋体" w:hAnsi="宋体" w:cs="宋体"/>
          <w:color w:val="000000"/>
          <w:kern w:val="0"/>
          <w:sz w:val="24"/>
          <w:highlight w:val="none"/>
          <w:shd w:val="clear" w:color="auto" w:fill="FFFFFF"/>
          <w:lang w:val="zh-CN" w:bidi="ar"/>
        </w:rPr>
        <w:t>联系地址：</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bidi="ar"/>
        </w:rPr>
        <w:tab/>
      </w:r>
      <w:r>
        <w:rPr>
          <w:rFonts w:hint="eastAsia" w:ascii="宋体" w:hAnsi="宋体" w:cs="宋体"/>
          <w:color w:val="000000"/>
          <w:kern w:val="0"/>
          <w:sz w:val="24"/>
          <w:highlight w:val="none"/>
          <w:u w:val="single"/>
          <w:shd w:val="clear" w:color="auto" w:fill="FFFFFF"/>
          <w:lang w:val="zh-CN" w:bidi="ar"/>
        </w:rPr>
        <w:t xml:space="preserve">                                                    </w:t>
      </w:r>
    </w:p>
    <w:p>
      <w:pPr>
        <w:shd w:val="clear" w:color="auto" w:fill="FFFFFF"/>
        <w:snapToGrid w:val="0"/>
        <w:spacing w:line="360" w:lineRule="auto"/>
        <w:ind w:firstLine="480" w:firstLineChars="200"/>
        <w:rPr>
          <w:rFonts w:ascii="宋体" w:hAnsi="宋体" w:cs="宋体"/>
          <w:color w:val="000000"/>
          <w:kern w:val="0"/>
          <w:sz w:val="24"/>
          <w:highlight w:val="none"/>
          <w:shd w:val="clear" w:color="auto" w:fill="FFFFFF"/>
        </w:rPr>
      </w:pPr>
      <w:r>
        <w:rPr>
          <w:rFonts w:hint="eastAsia" w:ascii="宋体" w:hAnsi="宋体" w:cs="宋体"/>
          <w:color w:val="000000"/>
          <w:kern w:val="0"/>
          <w:sz w:val="24"/>
          <w:highlight w:val="none"/>
          <w:shd w:val="clear" w:color="auto" w:fill="FFFFFF"/>
          <w:lang w:val="zh-CN" w:bidi="ar"/>
        </w:rPr>
        <w:t>邮政编码：</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传真号码：</w:t>
      </w:r>
      <w:r>
        <w:rPr>
          <w:rFonts w:hint="eastAsia" w:ascii="宋体" w:hAnsi="宋体" w:cs="宋体"/>
          <w:color w:val="000000"/>
          <w:kern w:val="0"/>
          <w:sz w:val="24"/>
          <w:highlight w:val="none"/>
          <w:u w:val="single"/>
          <w:shd w:val="clear" w:color="auto" w:fill="FFFFFF"/>
          <w:lang w:val="zh-CN" w:bidi="ar"/>
        </w:rPr>
        <w:t xml:space="preserve">                     </w:t>
      </w:r>
    </w:p>
    <w:p>
      <w:pPr>
        <w:shd w:val="clear" w:color="auto" w:fill="FFFFFF"/>
        <w:snapToGrid w:val="0"/>
        <w:spacing w:line="360" w:lineRule="auto"/>
        <w:ind w:firstLine="480" w:firstLineChars="200"/>
        <w:rPr>
          <w:rFonts w:ascii="宋体" w:hAnsi="宋体" w:cs="宋体"/>
          <w:color w:val="000000"/>
          <w:kern w:val="0"/>
          <w:sz w:val="24"/>
          <w:highlight w:val="none"/>
          <w:u w:val="single"/>
          <w:shd w:val="clear" w:color="auto" w:fill="FFFFFF"/>
        </w:rPr>
      </w:pPr>
      <w:r>
        <w:rPr>
          <w:rFonts w:hint="eastAsia" w:ascii="宋体" w:hAnsi="宋体" w:cs="宋体"/>
          <w:color w:val="000000"/>
          <w:kern w:val="0"/>
          <w:sz w:val="24"/>
          <w:highlight w:val="none"/>
          <w:shd w:val="clear" w:color="auto" w:fill="FFFFFF"/>
          <w:lang w:val="zh-CN" w:bidi="ar"/>
        </w:rPr>
        <w:t>日</w:t>
      </w:r>
      <w:r>
        <w:rPr>
          <w:rFonts w:hint="eastAsia" w:ascii="宋体" w:hAnsi="宋体" w:cs="宋体"/>
          <w:color w:val="000000"/>
          <w:kern w:val="0"/>
          <w:sz w:val="24"/>
          <w:highlight w:val="none"/>
          <w:shd w:val="clear" w:color="auto" w:fill="FFFFFF"/>
          <w:lang w:bidi="ar"/>
        </w:rPr>
        <w:t xml:space="preserve">    </w:t>
      </w:r>
      <w:r>
        <w:rPr>
          <w:rFonts w:hint="eastAsia" w:ascii="宋体" w:hAnsi="宋体" w:cs="宋体"/>
          <w:color w:val="000000"/>
          <w:kern w:val="0"/>
          <w:sz w:val="24"/>
          <w:highlight w:val="none"/>
          <w:shd w:val="clear" w:color="auto" w:fill="FFFFFF"/>
          <w:lang w:val="zh-CN" w:bidi="ar"/>
        </w:rPr>
        <w:t>期</w:t>
      </w:r>
      <w:r>
        <w:rPr>
          <w:rFonts w:hint="eastAsia" w:ascii="宋体" w:hAnsi="宋体" w:cs="宋体"/>
          <w:color w:val="000000"/>
          <w:kern w:val="0"/>
          <w:sz w:val="24"/>
          <w:highlight w:val="none"/>
          <w:shd w:val="clear" w:color="auto" w:fill="FFFFFF"/>
          <w:lang w:bidi="ar"/>
        </w:rPr>
        <w:t xml:space="preserve">： </w:t>
      </w:r>
      <w:r>
        <w:rPr>
          <w:rFonts w:hint="eastAsia" w:ascii="宋体" w:hAnsi="宋体" w:cs="宋体"/>
          <w:color w:val="000000"/>
          <w:kern w:val="0"/>
          <w:sz w:val="24"/>
          <w:highlight w:val="none"/>
          <w:u w:val="single"/>
          <w:shd w:val="clear" w:color="auto" w:fill="FFFFFF"/>
          <w:lang w:bidi="ar"/>
        </w:rPr>
        <w:t xml:space="preserve">       </w:t>
      </w:r>
      <w:r>
        <w:rPr>
          <w:rFonts w:hint="eastAsia" w:ascii="宋体" w:hAnsi="宋体" w:cs="宋体"/>
          <w:color w:val="000000"/>
          <w:kern w:val="0"/>
          <w:sz w:val="24"/>
          <w:highlight w:val="none"/>
          <w:shd w:val="clear" w:color="auto" w:fill="FFFFFF"/>
          <w:lang w:val="zh-CN" w:bidi="ar"/>
        </w:rPr>
        <w:t>年</w:t>
      </w:r>
      <w:r>
        <w:rPr>
          <w:rFonts w:hint="eastAsia" w:ascii="宋体" w:hAnsi="宋体" w:cs="宋体"/>
          <w:color w:val="000000"/>
          <w:kern w:val="0"/>
          <w:sz w:val="24"/>
          <w:highlight w:val="none"/>
          <w:u w:val="single"/>
          <w:shd w:val="clear" w:color="auto" w:fill="FFFFFF"/>
          <w:lang w:bidi="ar"/>
        </w:rPr>
        <w:t xml:space="preserve">  </w:t>
      </w:r>
      <w:r>
        <w:rPr>
          <w:rFonts w:hint="eastAsia" w:ascii="宋体" w:hAnsi="宋体" w:cs="宋体"/>
          <w:color w:val="000000"/>
          <w:kern w:val="0"/>
          <w:sz w:val="24"/>
          <w:highlight w:val="none"/>
          <w:u w:val="single"/>
          <w:shd w:val="clear" w:color="auto" w:fill="FFFFFF"/>
          <w:lang w:bidi="ar"/>
        </w:rPr>
        <w:tab/>
      </w:r>
      <w:r>
        <w:rPr>
          <w:rFonts w:hint="eastAsia" w:ascii="宋体" w:hAnsi="宋体" w:cs="宋体"/>
          <w:color w:val="000000"/>
          <w:kern w:val="0"/>
          <w:sz w:val="24"/>
          <w:highlight w:val="none"/>
          <w:shd w:val="clear" w:color="auto" w:fill="FFFFFF"/>
          <w:lang w:val="zh-CN" w:bidi="ar"/>
        </w:rPr>
        <w:t>月</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日</w:t>
      </w:r>
    </w:p>
    <w:p>
      <w:pPr>
        <w:shd w:val="clear" w:color="auto" w:fill="FFFFFF"/>
        <w:snapToGrid w:val="0"/>
        <w:spacing w:line="360" w:lineRule="auto"/>
        <w:rPr>
          <w:rFonts w:ascii="宋体" w:hAnsi="宋体" w:cs="宋体"/>
          <w:b/>
          <w:color w:val="000000"/>
          <w:kern w:val="0"/>
          <w:sz w:val="24"/>
          <w:highlight w:val="none"/>
          <w:shd w:val="clear" w:color="auto" w:fill="FFFFFF"/>
          <w:lang w:val="zh-CN"/>
        </w:rPr>
      </w:pPr>
      <w:r>
        <w:rPr>
          <w:rFonts w:hint="eastAsia" w:ascii="宋体" w:hAnsi="宋体" w:cs="宋体"/>
          <w:b/>
          <w:color w:val="000000"/>
          <w:kern w:val="0"/>
          <w:sz w:val="24"/>
          <w:highlight w:val="none"/>
          <w:shd w:val="clear" w:color="auto" w:fill="FFFFFF"/>
          <w:lang w:val="zh-CN" w:bidi="ar"/>
        </w:rPr>
        <w:t>注：未按照本投标响应函要求填报的将被视为非实质性响应，从而可能导致该投标文件被拒绝。</w:t>
      </w:r>
    </w:p>
    <w:p>
      <w:pPr>
        <w:pStyle w:val="3"/>
        <w:ind w:firstLine="643"/>
        <w:jc w:val="center"/>
        <w:rPr>
          <w:rFonts w:ascii="宋体" w:hAnsi="宋体" w:cs="Arial"/>
          <w:bCs w:val="0"/>
          <w:color w:val="000000"/>
          <w:sz w:val="32"/>
          <w:highlight w:val="none"/>
        </w:rPr>
      </w:pPr>
      <w:bookmarkStart w:id="77" w:name="_Toc336683579"/>
      <w:bookmarkStart w:id="78" w:name="_Toc345575539"/>
      <w:bookmarkStart w:id="79" w:name="_Toc3079_WPSOffice_Level1"/>
      <w:r>
        <w:rPr>
          <w:rFonts w:ascii="宋体" w:hAnsi="宋体" w:cs="Arial"/>
          <w:bCs w:val="0"/>
          <w:color w:val="000000"/>
          <w:sz w:val="32"/>
          <w:highlight w:val="none"/>
        </w:rPr>
        <w:t>二、</w:t>
      </w:r>
      <w:bookmarkEnd w:id="77"/>
      <w:bookmarkEnd w:id="78"/>
      <w:r>
        <w:rPr>
          <w:rFonts w:ascii="宋体" w:hAnsi="宋体" w:cs="Arial"/>
          <w:bCs w:val="0"/>
          <w:color w:val="000000"/>
          <w:sz w:val="32"/>
          <w:highlight w:val="none"/>
        </w:rPr>
        <w:t>开标一览表</w:t>
      </w:r>
      <w:bookmarkEnd w:id="79"/>
    </w:p>
    <w:p>
      <w:pPr>
        <w:autoSpaceDE w:val="0"/>
        <w:autoSpaceDN w:val="0"/>
        <w:adjustRightInd w:val="0"/>
        <w:spacing w:line="360" w:lineRule="auto"/>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台州市第一人民医院、浙江省成套招标代理有限公司：</w:t>
      </w:r>
    </w:p>
    <w:p>
      <w:pPr>
        <w:spacing w:before="120" w:beforeLines="50" w:after="120" w:afterLines="50" w:line="360" w:lineRule="auto"/>
        <w:ind w:firstLine="470" w:firstLineChars="196"/>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按你方招标文件要求，</w:t>
      </w:r>
      <w:bookmarkStart w:id="80" w:name="_Hlk534740143"/>
      <w:r>
        <w:rPr>
          <w:rFonts w:hint="eastAsia" w:ascii="宋体" w:hAnsi="宋体" w:cs="宋体"/>
          <w:color w:val="000000"/>
          <w:kern w:val="0"/>
          <w:sz w:val="24"/>
          <w:highlight w:val="none"/>
          <w:lang w:val="zh-CN"/>
        </w:rPr>
        <w:t>我单位为本标书签字方</w:t>
      </w:r>
      <w:bookmarkEnd w:id="80"/>
      <w:r>
        <w:rPr>
          <w:rFonts w:hint="eastAsia" w:ascii="宋体" w:hAnsi="宋体" w:cs="宋体"/>
          <w:color w:val="000000"/>
          <w:kern w:val="0"/>
          <w:sz w:val="24"/>
          <w:highlight w:val="none"/>
          <w:lang w:val="zh-CN"/>
        </w:rPr>
        <w:t>，谨此向你方发出要约如下：如你方接受本投标，我方承诺按照如下开标一览表的价格完成编号为（</w:t>
      </w:r>
      <w:r>
        <w:rPr>
          <w:rFonts w:hint="eastAsia" w:ascii="宋体" w:hAnsi="宋体" w:cs="宋体"/>
          <w:color w:val="000000"/>
          <w:sz w:val="24"/>
          <w:highlight w:val="none"/>
          <w:u w:val="single"/>
          <w:shd w:val="clear" w:color="auto" w:fill="FFFFFF"/>
          <w:lang w:bidi="ar"/>
        </w:rPr>
        <w:t>CTZB-H191117AWZ</w:t>
      </w:r>
      <w:r>
        <w:rPr>
          <w:rFonts w:hint="eastAsia" w:ascii="宋体" w:hAnsi="宋体" w:cs="宋体"/>
          <w:color w:val="000000"/>
          <w:kern w:val="0"/>
          <w:sz w:val="24"/>
          <w:highlight w:val="none"/>
          <w:lang w:val="zh-CN"/>
        </w:rPr>
        <w:t>）的招标文件（项目名称：</w:t>
      </w:r>
      <w:r>
        <w:rPr>
          <w:rFonts w:hint="eastAsia" w:ascii="宋体" w:hAnsi="宋体" w:cs="宋体"/>
          <w:color w:val="000000"/>
          <w:sz w:val="24"/>
          <w:highlight w:val="none"/>
          <w:u w:val="single"/>
          <w:shd w:val="clear" w:color="auto" w:fill="FFFFFF"/>
          <w:lang w:bidi="ar"/>
        </w:rPr>
        <w:t xml:space="preserve">台州市第一人民医院迁建工程（一期）医用智能化轨道小车物流传输设备系统 </w:t>
      </w:r>
      <w:r>
        <w:rPr>
          <w:rFonts w:hint="eastAsia" w:ascii="宋体" w:hAnsi="宋体" w:cs="宋体"/>
          <w:color w:val="000000"/>
          <w:kern w:val="0"/>
          <w:sz w:val="24"/>
          <w:highlight w:val="none"/>
          <w:lang w:val="zh-CN"/>
        </w:rPr>
        <w:t>）的实施。</w:t>
      </w:r>
    </w:p>
    <w:p>
      <w:pPr>
        <w:pStyle w:val="195"/>
        <w:keepNext w:val="0"/>
        <w:pageBreakBefore w:val="0"/>
        <w:tabs>
          <w:tab w:val="clear" w:pos="720"/>
        </w:tabs>
        <w:spacing w:before="120" w:beforeLines="50" w:after="120" w:afterLines="50"/>
        <w:outlineLvl w:val="9"/>
        <w:rPr>
          <w:rFonts w:ascii="宋体" w:hAnsi="宋体" w:eastAsia="宋体" w:cs="宋体"/>
          <w:color w:val="000000"/>
          <w:kern w:val="0"/>
          <w:highlight w:val="none"/>
          <w:lang w:val="zh-CN"/>
        </w:rPr>
      </w:pPr>
      <w:bookmarkStart w:id="81" w:name="_Toc25000048"/>
      <w:bookmarkStart w:id="82" w:name="_Toc16501226"/>
      <w:bookmarkStart w:id="83" w:name="_Toc15274358"/>
      <w:r>
        <w:rPr>
          <w:rFonts w:hint="eastAsia" w:ascii="宋体" w:hAnsi="宋体" w:eastAsia="宋体" w:cs="宋体"/>
          <w:color w:val="000000"/>
          <w:kern w:val="0"/>
          <w:highlight w:val="none"/>
          <w:lang w:val="zh-CN"/>
        </w:rPr>
        <w:t>开标一览表</w:t>
      </w:r>
      <w:bookmarkEnd w:id="81"/>
      <w:bookmarkEnd w:id="82"/>
      <w:bookmarkEnd w:id="83"/>
    </w:p>
    <w:tbl>
      <w:tblPr>
        <w:tblStyle w:val="63"/>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37"/>
        <w:gridCol w:w="1119"/>
        <w:gridCol w:w="1658"/>
        <w:gridCol w:w="234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28" w:type="dxa"/>
            <w:vAlign w:val="center"/>
          </w:tcPr>
          <w:p>
            <w:pPr>
              <w:pStyle w:val="26"/>
              <w:jc w:val="center"/>
              <w:rPr>
                <w:rFonts w:ascii="Calibri" w:hAnsi="宋体" w:cs="Arial"/>
                <w:szCs w:val="21"/>
                <w:highlight w:val="none"/>
              </w:rPr>
            </w:pPr>
            <w:r>
              <w:rPr>
                <w:rFonts w:hint="eastAsia" w:ascii="Calibri" w:hAnsi="宋体" w:cs="Arial"/>
                <w:szCs w:val="21"/>
                <w:highlight w:val="none"/>
              </w:rPr>
              <w:t>序号</w:t>
            </w:r>
          </w:p>
        </w:tc>
        <w:tc>
          <w:tcPr>
            <w:tcW w:w="1937" w:type="dxa"/>
            <w:vAlign w:val="center"/>
          </w:tcPr>
          <w:p>
            <w:pPr>
              <w:pStyle w:val="26"/>
              <w:jc w:val="center"/>
              <w:rPr>
                <w:rFonts w:ascii="Calibri" w:hAnsi="宋体" w:cs="Arial"/>
                <w:szCs w:val="21"/>
                <w:highlight w:val="none"/>
              </w:rPr>
            </w:pPr>
            <w:r>
              <w:rPr>
                <w:rFonts w:hint="eastAsia" w:ascii="Calibri" w:hAnsi="宋体" w:cs="Arial"/>
                <w:szCs w:val="21"/>
                <w:highlight w:val="none"/>
              </w:rPr>
              <w:t>报价内容</w:t>
            </w:r>
          </w:p>
        </w:tc>
        <w:tc>
          <w:tcPr>
            <w:tcW w:w="1119" w:type="dxa"/>
            <w:vAlign w:val="center"/>
          </w:tcPr>
          <w:p>
            <w:pPr>
              <w:pStyle w:val="26"/>
              <w:jc w:val="center"/>
              <w:rPr>
                <w:rFonts w:ascii="Calibri" w:hAnsi="宋体" w:cs="Arial"/>
                <w:szCs w:val="21"/>
                <w:highlight w:val="none"/>
              </w:rPr>
            </w:pPr>
            <w:r>
              <w:rPr>
                <w:rFonts w:hint="eastAsia" w:ascii="Calibri" w:hAnsi="宋体" w:cs="Arial"/>
                <w:szCs w:val="21"/>
                <w:highlight w:val="none"/>
              </w:rPr>
              <w:t>站点数量</w:t>
            </w:r>
          </w:p>
        </w:tc>
        <w:tc>
          <w:tcPr>
            <w:tcW w:w="1658" w:type="dxa"/>
            <w:vAlign w:val="center"/>
          </w:tcPr>
          <w:p>
            <w:pPr>
              <w:pStyle w:val="26"/>
              <w:jc w:val="center"/>
              <w:rPr>
                <w:rFonts w:ascii="Calibri" w:hAnsi="宋体" w:cs="Arial"/>
                <w:szCs w:val="21"/>
                <w:highlight w:val="none"/>
              </w:rPr>
            </w:pPr>
            <w:r>
              <w:rPr>
                <w:rFonts w:hint="eastAsia" w:ascii="Calibri" w:hAnsi="宋体" w:cs="Arial"/>
                <w:szCs w:val="21"/>
                <w:highlight w:val="none"/>
              </w:rPr>
              <w:t>站点综合单价（元）</w:t>
            </w:r>
          </w:p>
        </w:tc>
        <w:tc>
          <w:tcPr>
            <w:tcW w:w="2347" w:type="dxa"/>
            <w:vAlign w:val="center"/>
          </w:tcPr>
          <w:p>
            <w:pPr>
              <w:pStyle w:val="26"/>
              <w:jc w:val="center"/>
              <w:rPr>
                <w:rFonts w:ascii="Calibri" w:hAnsi="宋体" w:cs="Arial"/>
                <w:szCs w:val="21"/>
                <w:highlight w:val="none"/>
              </w:rPr>
            </w:pPr>
            <w:r>
              <w:rPr>
                <w:rFonts w:hint="eastAsia" w:ascii="Calibri" w:hAnsi="宋体" w:cs="Arial"/>
                <w:szCs w:val="21"/>
                <w:highlight w:val="none"/>
              </w:rPr>
              <w:t>系统合计（元）</w:t>
            </w:r>
          </w:p>
          <w:p>
            <w:pPr>
              <w:pStyle w:val="26"/>
              <w:jc w:val="center"/>
              <w:rPr>
                <w:rFonts w:ascii="Calibri" w:hAnsi="宋体" w:cs="Arial"/>
                <w:szCs w:val="21"/>
                <w:highlight w:val="none"/>
              </w:rPr>
            </w:pPr>
            <w:r>
              <w:rPr>
                <w:rFonts w:hint="eastAsia" w:ascii="Calibri" w:hAnsi="宋体" w:cs="Arial"/>
                <w:szCs w:val="21"/>
                <w:highlight w:val="none"/>
              </w:rPr>
              <w:t>（单价</w:t>
            </w:r>
            <w:r>
              <w:rPr>
                <w:rFonts w:hint="eastAsia" w:hAnsi="宋体" w:cs="Arial"/>
                <w:szCs w:val="21"/>
                <w:highlight w:val="none"/>
              </w:rPr>
              <w:t>×</w:t>
            </w:r>
            <w:r>
              <w:rPr>
                <w:rFonts w:hint="eastAsia" w:ascii="Calibri" w:hAnsi="宋体" w:cs="Arial"/>
                <w:szCs w:val="21"/>
                <w:highlight w:val="none"/>
              </w:rPr>
              <w:t>站点数量）</w:t>
            </w:r>
          </w:p>
        </w:tc>
        <w:tc>
          <w:tcPr>
            <w:tcW w:w="1338" w:type="dxa"/>
            <w:vAlign w:val="center"/>
          </w:tcPr>
          <w:p>
            <w:pPr>
              <w:pStyle w:val="26"/>
              <w:jc w:val="center"/>
              <w:rPr>
                <w:rFonts w:ascii="Calibri" w:hAnsi="宋体" w:cs="Arial"/>
                <w:szCs w:val="21"/>
                <w:highlight w:val="none"/>
              </w:rPr>
            </w:pPr>
            <w:r>
              <w:rPr>
                <w:rFonts w:hint="eastAsia" w:ascii="Calibri" w:hAnsi="宋体" w:cs="Arial"/>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28" w:type="dxa"/>
            <w:vAlign w:val="center"/>
          </w:tcPr>
          <w:p>
            <w:pPr>
              <w:pStyle w:val="26"/>
              <w:jc w:val="center"/>
              <w:rPr>
                <w:rFonts w:ascii="Calibri" w:hAnsi="宋体" w:cs="Arial"/>
                <w:szCs w:val="21"/>
                <w:highlight w:val="none"/>
              </w:rPr>
            </w:pPr>
            <w:r>
              <w:rPr>
                <w:rFonts w:hint="eastAsia" w:ascii="Calibri" w:hAnsi="宋体" w:cs="Arial"/>
                <w:szCs w:val="21"/>
                <w:highlight w:val="none"/>
              </w:rPr>
              <w:t>1</w:t>
            </w:r>
          </w:p>
        </w:tc>
        <w:tc>
          <w:tcPr>
            <w:tcW w:w="1937" w:type="dxa"/>
            <w:vAlign w:val="center"/>
          </w:tcPr>
          <w:p>
            <w:pPr>
              <w:pStyle w:val="26"/>
              <w:spacing w:line="360" w:lineRule="auto"/>
              <w:jc w:val="left"/>
              <w:rPr>
                <w:rFonts w:ascii="Calibri" w:hAnsi="宋体" w:cs="Arial"/>
                <w:szCs w:val="21"/>
                <w:highlight w:val="none"/>
              </w:rPr>
            </w:pPr>
            <w:r>
              <w:rPr>
                <w:rFonts w:hint="eastAsia" w:ascii="Calibri" w:hAnsi="宋体" w:cs="Arial"/>
                <w:szCs w:val="21"/>
                <w:highlight w:val="none"/>
              </w:rPr>
              <w:t>轨道物流系统</w:t>
            </w:r>
          </w:p>
        </w:tc>
        <w:tc>
          <w:tcPr>
            <w:tcW w:w="1119" w:type="dxa"/>
            <w:vAlign w:val="center"/>
          </w:tcPr>
          <w:p>
            <w:pPr>
              <w:pStyle w:val="26"/>
              <w:spacing w:line="360" w:lineRule="auto"/>
              <w:jc w:val="center"/>
              <w:rPr>
                <w:rFonts w:ascii="Calibri" w:hAnsi="宋体" w:cs="Arial"/>
                <w:szCs w:val="21"/>
                <w:highlight w:val="none"/>
              </w:rPr>
            </w:pPr>
            <w:r>
              <w:rPr>
                <w:rFonts w:hint="eastAsia" w:ascii="Calibri" w:hAnsi="宋体" w:cs="Arial"/>
                <w:szCs w:val="21"/>
                <w:highlight w:val="none"/>
              </w:rPr>
              <w:t>41</w:t>
            </w:r>
          </w:p>
        </w:tc>
        <w:tc>
          <w:tcPr>
            <w:tcW w:w="1658" w:type="dxa"/>
            <w:vAlign w:val="center"/>
          </w:tcPr>
          <w:p>
            <w:pPr>
              <w:pStyle w:val="26"/>
              <w:spacing w:line="360" w:lineRule="auto"/>
              <w:jc w:val="center"/>
              <w:rPr>
                <w:rFonts w:ascii="Calibri" w:hAnsi="宋体" w:cs="Arial"/>
                <w:szCs w:val="21"/>
                <w:highlight w:val="none"/>
              </w:rPr>
            </w:pPr>
          </w:p>
        </w:tc>
        <w:tc>
          <w:tcPr>
            <w:tcW w:w="2347" w:type="dxa"/>
            <w:vAlign w:val="center"/>
          </w:tcPr>
          <w:p>
            <w:pPr>
              <w:pStyle w:val="26"/>
              <w:spacing w:line="360" w:lineRule="auto"/>
              <w:jc w:val="center"/>
              <w:rPr>
                <w:rFonts w:ascii="Calibri" w:hAnsi="宋体" w:cs="Arial"/>
                <w:szCs w:val="21"/>
                <w:highlight w:val="none"/>
              </w:rPr>
            </w:pPr>
          </w:p>
        </w:tc>
        <w:tc>
          <w:tcPr>
            <w:tcW w:w="1338" w:type="dxa"/>
            <w:vAlign w:val="center"/>
          </w:tcPr>
          <w:p>
            <w:pPr>
              <w:pStyle w:val="26"/>
              <w:spacing w:line="360" w:lineRule="auto"/>
              <w:jc w:val="center"/>
              <w:rPr>
                <w:rFonts w:ascii="Calibri" w:hAnsi="宋体"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028" w:type="dxa"/>
            <w:vAlign w:val="center"/>
          </w:tcPr>
          <w:p>
            <w:pPr>
              <w:pStyle w:val="26"/>
              <w:jc w:val="center"/>
              <w:rPr>
                <w:rFonts w:ascii="Calibri" w:hAnsi="宋体" w:cs="Arial"/>
                <w:szCs w:val="21"/>
                <w:highlight w:val="none"/>
              </w:rPr>
            </w:pPr>
            <w:r>
              <w:rPr>
                <w:rFonts w:hint="eastAsia" w:ascii="Calibri" w:hAnsi="宋体" w:cs="Arial"/>
                <w:szCs w:val="21"/>
                <w:highlight w:val="none"/>
              </w:rPr>
              <w:t>2</w:t>
            </w:r>
          </w:p>
        </w:tc>
        <w:tc>
          <w:tcPr>
            <w:tcW w:w="1937" w:type="dxa"/>
            <w:vAlign w:val="center"/>
          </w:tcPr>
          <w:p>
            <w:pPr>
              <w:pStyle w:val="26"/>
              <w:spacing w:line="360" w:lineRule="auto"/>
              <w:jc w:val="left"/>
              <w:rPr>
                <w:rFonts w:ascii="Calibri" w:hAnsi="宋体" w:cs="Arial"/>
                <w:szCs w:val="21"/>
                <w:highlight w:val="none"/>
              </w:rPr>
            </w:pPr>
            <w:r>
              <w:rPr>
                <w:rFonts w:hint="eastAsia" w:ascii="Calibri" w:hAnsi="宋体" w:cs="Arial"/>
                <w:szCs w:val="21"/>
                <w:highlight w:val="none"/>
              </w:rPr>
              <w:t>气动物流系统</w:t>
            </w:r>
          </w:p>
        </w:tc>
        <w:tc>
          <w:tcPr>
            <w:tcW w:w="1119" w:type="dxa"/>
            <w:vAlign w:val="center"/>
          </w:tcPr>
          <w:p>
            <w:pPr>
              <w:pStyle w:val="26"/>
              <w:spacing w:line="360" w:lineRule="auto"/>
              <w:jc w:val="center"/>
              <w:rPr>
                <w:rFonts w:ascii="Calibri" w:hAnsi="宋体" w:cs="Arial"/>
                <w:szCs w:val="21"/>
                <w:highlight w:val="none"/>
              </w:rPr>
            </w:pPr>
            <w:r>
              <w:rPr>
                <w:rFonts w:hint="eastAsia" w:ascii="Calibri" w:hAnsi="宋体" w:cs="Arial"/>
                <w:szCs w:val="21"/>
                <w:highlight w:val="none"/>
              </w:rPr>
              <w:t>7</w:t>
            </w:r>
          </w:p>
        </w:tc>
        <w:tc>
          <w:tcPr>
            <w:tcW w:w="1658" w:type="dxa"/>
            <w:vAlign w:val="center"/>
          </w:tcPr>
          <w:p>
            <w:pPr>
              <w:pStyle w:val="26"/>
              <w:spacing w:line="360" w:lineRule="auto"/>
              <w:jc w:val="center"/>
              <w:rPr>
                <w:rFonts w:ascii="Calibri" w:hAnsi="宋体" w:cs="Arial"/>
                <w:szCs w:val="21"/>
                <w:highlight w:val="none"/>
              </w:rPr>
            </w:pPr>
          </w:p>
        </w:tc>
        <w:tc>
          <w:tcPr>
            <w:tcW w:w="2347" w:type="dxa"/>
            <w:vAlign w:val="center"/>
          </w:tcPr>
          <w:p>
            <w:pPr>
              <w:pStyle w:val="26"/>
              <w:spacing w:line="360" w:lineRule="auto"/>
              <w:jc w:val="center"/>
              <w:rPr>
                <w:rFonts w:ascii="Calibri" w:hAnsi="宋体" w:cs="Arial"/>
                <w:szCs w:val="21"/>
                <w:highlight w:val="none"/>
              </w:rPr>
            </w:pPr>
          </w:p>
        </w:tc>
        <w:tc>
          <w:tcPr>
            <w:tcW w:w="1338" w:type="dxa"/>
            <w:vAlign w:val="center"/>
          </w:tcPr>
          <w:p>
            <w:pPr>
              <w:pStyle w:val="26"/>
              <w:spacing w:line="360" w:lineRule="auto"/>
              <w:jc w:val="center"/>
              <w:rPr>
                <w:rFonts w:ascii="Calibri" w:hAnsi="宋体"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65" w:type="dxa"/>
            <w:gridSpan w:val="2"/>
            <w:vMerge w:val="restart"/>
            <w:vAlign w:val="center"/>
          </w:tcPr>
          <w:p>
            <w:pPr>
              <w:pStyle w:val="26"/>
              <w:jc w:val="center"/>
              <w:rPr>
                <w:rFonts w:ascii="Calibri" w:hAnsi="宋体" w:cs="Arial"/>
                <w:szCs w:val="21"/>
                <w:highlight w:val="none"/>
              </w:rPr>
            </w:pPr>
            <w:r>
              <w:rPr>
                <w:rFonts w:hint="eastAsia" w:ascii="Calibri" w:hAnsi="宋体" w:cs="Arial"/>
                <w:szCs w:val="21"/>
                <w:highlight w:val="none"/>
              </w:rPr>
              <w:t>投标总价（1+2）</w:t>
            </w:r>
          </w:p>
        </w:tc>
        <w:tc>
          <w:tcPr>
            <w:tcW w:w="1119" w:type="dxa"/>
            <w:vAlign w:val="center"/>
          </w:tcPr>
          <w:p>
            <w:pPr>
              <w:pStyle w:val="26"/>
              <w:jc w:val="center"/>
              <w:rPr>
                <w:rFonts w:ascii="Calibri" w:hAnsi="宋体" w:cs="Arial"/>
                <w:szCs w:val="21"/>
                <w:highlight w:val="none"/>
              </w:rPr>
            </w:pPr>
            <w:r>
              <w:rPr>
                <w:rFonts w:hint="eastAsia" w:ascii="Calibri" w:hAnsi="宋体" w:cs="Arial"/>
                <w:szCs w:val="21"/>
                <w:highlight w:val="none"/>
              </w:rPr>
              <w:t>（小写）</w:t>
            </w:r>
          </w:p>
        </w:tc>
        <w:tc>
          <w:tcPr>
            <w:tcW w:w="5343" w:type="dxa"/>
            <w:gridSpan w:val="3"/>
          </w:tcPr>
          <w:p>
            <w:pPr>
              <w:pStyle w:val="26"/>
              <w:jc w:val="center"/>
              <w:rPr>
                <w:rFonts w:ascii="Calibri" w:hAnsi="宋体"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65" w:type="dxa"/>
            <w:gridSpan w:val="2"/>
            <w:vMerge w:val="continue"/>
            <w:vAlign w:val="center"/>
          </w:tcPr>
          <w:p>
            <w:pPr>
              <w:pStyle w:val="26"/>
              <w:jc w:val="center"/>
              <w:rPr>
                <w:rFonts w:ascii="Calibri" w:hAnsi="宋体" w:cs="Arial"/>
                <w:szCs w:val="21"/>
                <w:highlight w:val="none"/>
              </w:rPr>
            </w:pPr>
          </w:p>
        </w:tc>
        <w:tc>
          <w:tcPr>
            <w:tcW w:w="1119" w:type="dxa"/>
            <w:vAlign w:val="center"/>
          </w:tcPr>
          <w:p>
            <w:pPr>
              <w:pStyle w:val="26"/>
              <w:jc w:val="center"/>
              <w:rPr>
                <w:rFonts w:ascii="Calibri" w:hAnsi="宋体" w:cs="Arial"/>
                <w:szCs w:val="21"/>
                <w:highlight w:val="none"/>
              </w:rPr>
            </w:pPr>
            <w:r>
              <w:rPr>
                <w:rFonts w:hint="eastAsia" w:ascii="Calibri" w:hAnsi="宋体" w:cs="Arial"/>
                <w:szCs w:val="21"/>
                <w:highlight w:val="none"/>
              </w:rPr>
              <w:t>（大写）</w:t>
            </w:r>
          </w:p>
        </w:tc>
        <w:tc>
          <w:tcPr>
            <w:tcW w:w="5343" w:type="dxa"/>
            <w:gridSpan w:val="3"/>
          </w:tcPr>
          <w:p>
            <w:pPr>
              <w:pStyle w:val="26"/>
              <w:jc w:val="center"/>
              <w:rPr>
                <w:rFonts w:ascii="Calibri" w:hAnsi="宋体" w:cs="Arial"/>
                <w:szCs w:val="21"/>
                <w:highlight w:val="none"/>
              </w:rPr>
            </w:pPr>
          </w:p>
        </w:tc>
      </w:tr>
    </w:tbl>
    <w:p>
      <w:pPr>
        <w:spacing w:before="120" w:beforeLines="50" w:after="120" w:afterLines="50" w:line="360" w:lineRule="auto"/>
        <w:rPr>
          <w:rFonts w:ascii="宋体" w:hAnsi="宋体" w:cs="宋体"/>
          <w:color w:val="000000"/>
          <w:sz w:val="24"/>
          <w:highlight w:val="none"/>
        </w:rPr>
      </w:pPr>
    </w:p>
    <w:p>
      <w:pPr>
        <w:spacing w:before="120" w:beforeLines="50" w:after="120" w:afterLines="50" w:line="360" w:lineRule="auto"/>
        <w:rPr>
          <w:rFonts w:ascii="宋体" w:hAnsi="宋体" w:cs="宋体"/>
          <w:color w:val="000000"/>
          <w:sz w:val="24"/>
          <w:highlight w:val="none"/>
        </w:rPr>
      </w:pPr>
      <w:r>
        <w:rPr>
          <w:rFonts w:hint="eastAsia" w:ascii="宋体" w:hAnsi="宋体" w:cs="宋体"/>
          <w:color w:val="000000"/>
          <w:sz w:val="24"/>
          <w:highlight w:val="none"/>
        </w:rPr>
        <w:t>附：1、投标人需按本表格式填写，不得自行更改。</w:t>
      </w:r>
    </w:p>
    <w:p>
      <w:pPr>
        <w:spacing w:before="120" w:beforeLines="50" w:after="120" w:afterLines="50" w:line="360" w:lineRule="auto"/>
        <w:ind w:firstLine="480"/>
        <w:rPr>
          <w:rFonts w:ascii="宋体" w:hAnsi="宋体" w:cs="宋体"/>
          <w:color w:val="000000"/>
          <w:sz w:val="24"/>
          <w:highlight w:val="none"/>
        </w:rPr>
      </w:pPr>
      <w:r>
        <w:rPr>
          <w:rFonts w:hint="eastAsia" w:ascii="宋体" w:hAnsi="宋体" w:cs="宋体"/>
          <w:color w:val="000000"/>
          <w:sz w:val="24"/>
          <w:highlight w:val="none"/>
        </w:rPr>
        <w:t>2、报价单位为元。</w:t>
      </w:r>
    </w:p>
    <w:p>
      <w:pPr>
        <w:spacing w:before="120" w:beforeLines="50" w:after="120" w:afterLines="50" w:line="360" w:lineRule="auto"/>
        <w:ind w:firstLine="480"/>
        <w:rPr>
          <w:rFonts w:ascii="宋体" w:hAnsi="宋体" w:cs="宋体"/>
          <w:color w:val="000000"/>
          <w:sz w:val="24"/>
          <w:highlight w:val="none"/>
        </w:rPr>
      </w:pPr>
      <w:r>
        <w:rPr>
          <w:rFonts w:hint="eastAsia" w:ascii="宋体" w:hAnsi="宋体" w:cs="宋体"/>
          <w:color w:val="000000"/>
          <w:sz w:val="24"/>
          <w:highlight w:val="none"/>
        </w:rPr>
        <w:t>3、所需的所有费用均已含入以上项目报价中；投标价为完成该项目的所有费用。</w:t>
      </w:r>
    </w:p>
    <w:p>
      <w:pPr>
        <w:autoSpaceDE w:val="0"/>
        <w:autoSpaceDN w:val="0"/>
        <w:adjustRightInd w:val="0"/>
        <w:spacing w:before="120" w:beforeLines="50" w:after="120" w:afterLines="50" w:line="360" w:lineRule="auto"/>
        <w:ind w:firstLine="5520" w:firstLineChars="2300"/>
        <w:rPr>
          <w:rFonts w:ascii="宋体" w:hAnsi="宋体" w:cs="宋体"/>
          <w:color w:val="000000"/>
          <w:kern w:val="0"/>
          <w:sz w:val="24"/>
          <w:highlight w:val="none"/>
          <w:lang w:val="zh-CN"/>
        </w:rPr>
      </w:pP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rPr>
      </w:pPr>
      <w:r>
        <w:rPr>
          <w:rFonts w:hint="eastAsia" w:ascii="宋体" w:hAnsi="宋体" w:cs="宋体"/>
          <w:color w:val="000000"/>
          <w:kern w:val="0"/>
          <w:sz w:val="24"/>
          <w:highlight w:val="none"/>
          <w:lang w:bidi="ar"/>
        </w:rPr>
        <w:t>供应商</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盖</w:t>
      </w:r>
      <w:r>
        <w:rPr>
          <w:rFonts w:hint="eastAsia" w:ascii="宋体" w:hAnsi="宋体" w:cs="宋体"/>
          <w:color w:val="000000"/>
          <w:kern w:val="0"/>
          <w:sz w:val="24"/>
          <w:highlight w:val="none"/>
          <w:lang w:val="zh-CN"/>
        </w:rPr>
        <w:t>章）：</w:t>
      </w:r>
    </w:p>
    <w:p>
      <w:pPr>
        <w:autoSpaceDE w:val="0"/>
        <w:autoSpaceDN w:val="0"/>
        <w:adjustRightInd w:val="0"/>
        <w:spacing w:before="120" w:beforeLines="50" w:after="120" w:afterLines="50"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lang w:bidi="ar"/>
        </w:rPr>
        <w:t>法定代表人或其授权代表（签字或盖章）</w:t>
      </w:r>
      <w:r>
        <w:rPr>
          <w:rFonts w:hint="eastAsia" w:ascii="宋体" w:hAnsi="宋体" w:cs="宋体"/>
          <w:color w:val="000000"/>
          <w:kern w:val="0"/>
          <w:sz w:val="24"/>
          <w:highlight w:val="none"/>
          <w:lang w:val="zh-CN"/>
        </w:rPr>
        <w:t>：</w:t>
      </w: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autoSpaceDE w:val="0"/>
        <w:autoSpaceDN w:val="0"/>
        <w:adjustRightInd w:val="0"/>
        <w:spacing w:before="120" w:beforeLines="50" w:after="120" w:afterLines="50" w:line="360" w:lineRule="auto"/>
        <w:ind w:firstLine="5520" w:firstLineChars="2300"/>
        <w:rPr>
          <w:rFonts w:ascii="宋体" w:hAnsi="宋体" w:cs="宋体"/>
          <w:color w:val="000000"/>
          <w:kern w:val="0"/>
          <w:sz w:val="24"/>
          <w:highlight w:val="none"/>
          <w:lang w:val="zh-CN"/>
        </w:rPr>
      </w:pPr>
    </w:p>
    <w:p>
      <w:pPr>
        <w:autoSpaceDE w:val="0"/>
        <w:autoSpaceDN w:val="0"/>
        <w:adjustRightInd w:val="0"/>
        <w:spacing w:before="120" w:beforeLines="50" w:after="120" w:afterLines="50" w:line="360" w:lineRule="auto"/>
        <w:ind w:firstLine="5520" w:firstLineChars="2300"/>
        <w:rPr>
          <w:rFonts w:ascii="宋体" w:hAnsi="宋体" w:cs="宋体"/>
          <w:color w:val="000000"/>
          <w:kern w:val="0"/>
          <w:sz w:val="24"/>
          <w:highlight w:val="none"/>
          <w:lang w:val="zh-CN"/>
        </w:rPr>
      </w:pPr>
    </w:p>
    <w:p>
      <w:pPr>
        <w:pStyle w:val="3"/>
        <w:ind w:firstLine="0" w:firstLineChars="0"/>
        <w:jc w:val="center"/>
        <w:rPr>
          <w:rFonts w:ascii="宋体" w:hAnsi="宋体" w:cs="Arial"/>
          <w:bCs w:val="0"/>
          <w:color w:val="000000"/>
          <w:sz w:val="32"/>
          <w:highlight w:val="none"/>
        </w:rPr>
      </w:pPr>
      <w:bookmarkStart w:id="84" w:name="_Toc25827_WPSOffice_Level1"/>
      <w:r>
        <w:rPr>
          <w:rFonts w:hint="eastAsia" w:ascii="宋体" w:hAnsi="宋体" w:cs="Arial"/>
          <w:bCs w:val="0"/>
          <w:color w:val="000000"/>
          <w:sz w:val="32"/>
          <w:highlight w:val="none"/>
        </w:rPr>
        <w:t>三</w:t>
      </w:r>
      <w:r>
        <w:rPr>
          <w:rFonts w:ascii="宋体" w:hAnsi="宋体" w:cs="Arial"/>
          <w:bCs w:val="0"/>
          <w:color w:val="000000"/>
          <w:sz w:val="32"/>
          <w:highlight w:val="none"/>
        </w:rPr>
        <w:t>、</w:t>
      </w:r>
      <w:r>
        <w:rPr>
          <w:rFonts w:hint="eastAsia" w:ascii="宋体" w:hAnsi="宋体" w:cs="Arial"/>
          <w:bCs w:val="0"/>
          <w:color w:val="000000"/>
          <w:sz w:val="32"/>
          <w:highlight w:val="none"/>
        </w:rPr>
        <w:t>投标报价组成表</w:t>
      </w:r>
      <w:bookmarkEnd w:id="84"/>
    </w:p>
    <w:p>
      <w:pPr>
        <w:rPr>
          <w:rFonts w:ascii="宋体" w:hAnsi="宋体"/>
          <w:b/>
          <w:bCs/>
          <w:sz w:val="24"/>
          <w:highlight w:val="none"/>
        </w:rPr>
      </w:pPr>
      <w:r>
        <w:rPr>
          <w:rFonts w:hint="eastAsia" w:ascii="宋体" w:hAnsi="宋体"/>
          <w:b/>
          <w:bCs/>
          <w:sz w:val="24"/>
          <w:highlight w:val="none"/>
        </w:rPr>
        <w:t>1、轨道物流系统</w:t>
      </w:r>
    </w:p>
    <w:tbl>
      <w:tblPr>
        <w:tblStyle w:val="63"/>
        <w:tblW w:w="9628" w:type="dxa"/>
        <w:jc w:val="center"/>
        <w:tblInd w:w="0" w:type="dxa"/>
        <w:tblLayout w:type="fixed"/>
        <w:tblCellMar>
          <w:top w:w="0" w:type="dxa"/>
          <w:left w:w="108" w:type="dxa"/>
          <w:bottom w:w="0" w:type="dxa"/>
          <w:right w:w="108" w:type="dxa"/>
        </w:tblCellMar>
      </w:tblPr>
      <w:tblGrid>
        <w:gridCol w:w="682"/>
        <w:gridCol w:w="1824"/>
        <w:gridCol w:w="2460"/>
        <w:gridCol w:w="706"/>
        <w:gridCol w:w="706"/>
        <w:gridCol w:w="668"/>
        <w:gridCol w:w="1093"/>
        <w:gridCol w:w="856"/>
        <w:gridCol w:w="633"/>
      </w:tblGrid>
      <w:tr>
        <w:tblPrEx>
          <w:tblLayout w:type="fixed"/>
          <w:tblCellMar>
            <w:top w:w="0" w:type="dxa"/>
            <w:left w:w="108" w:type="dxa"/>
            <w:bottom w:w="0" w:type="dxa"/>
            <w:right w:w="108" w:type="dxa"/>
          </w:tblCellMar>
        </w:tblPrEx>
        <w:trPr>
          <w:trHeight w:val="645"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序号</w:t>
            </w:r>
          </w:p>
        </w:tc>
        <w:tc>
          <w:tcPr>
            <w:tcW w:w="18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设备材料名称</w:t>
            </w:r>
          </w:p>
        </w:tc>
        <w:tc>
          <w:tcPr>
            <w:tcW w:w="2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参考规格</w:t>
            </w:r>
            <w:r>
              <w:rPr>
                <w:rFonts w:ascii="宋体" w:hAnsi="宋体"/>
                <w:b/>
                <w:bCs/>
                <w:color w:val="000000"/>
                <w:kern w:val="0"/>
                <w:szCs w:val="21"/>
                <w:highlight w:val="none"/>
              </w:rPr>
              <w:t>/</w:t>
            </w:r>
            <w:r>
              <w:rPr>
                <w:rFonts w:hint="eastAsia" w:ascii="宋体" w:hAnsi="宋体" w:cs="宋体"/>
                <w:b/>
                <w:bCs/>
                <w:color w:val="000000"/>
                <w:kern w:val="0"/>
                <w:szCs w:val="21"/>
                <w:highlight w:val="none"/>
              </w:rPr>
              <w:t>型号</w:t>
            </w:r>
            <w:r>
              <w:rPr>
                <w:rFonts w:ascii="宋体" w:hAnsi="宋体"/>
                <w:b/>
                <w:bCs/>
                <w:color w:val="000000"/>
                <w:kern w:val="0"/>
                <w:szCs w:val="21"/>
                <w:highlight w:val="none"/>
              </w:rPr>
              <w:t>/</w:t>
            </w:r>
            <w:r>
              <w:rPr>
                <w:rFonts w:hint="eastAsia" w:ascii="宋体" w:hAnsi="宋体" w:cs="宋体"/>
                <w:b/>
                <w:bCs/>
                <w:color w:val="000000"/>
                <w:kern w:val="0"/>
                <w:szCs w:val="21"/>
                <w:highlight w:val="none"/>
              </w:rPr>
              <w:t>尺寸</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品牌</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单位</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数量</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综合单价（元）</w:t>
            </w:r>
          </w:p>
        </w:tc>
        <w:tc>
          <w:tcPr>
            <w:tcW w:w="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小计（元）</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备注</w:t>
            </w:r>
          </w:p>
        </w:tc>
      </w:tr>
      <w:tr>
        <w:tblPrEx>
          <w:tblLayout w:type="fixed"/>
          <w:tblCellMar>
            <w:top w:w="0" w:type="dxa"/>
            <w:left w:w="108" w:type="dxa"/>
            <w:bottom w:w="0" w:type="dxa"/>
            <w:right w:w="108" w:type="dxa"/>
          </w:tblCellMar>
        </w:tblPrEx>
        <w:trPr>
          <w:trHeight w:val="499"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1</w:t>
            </w:r>
          </w:p>
        </w:tc>
        <w:tc>
          <w:tcPr>
            <w:tcW w:w="1824" w:type="dxa"/>
            <w:tcBorders>
              <w:top w:val="nil"/>
              <w:left w:val="nil"/>
              <w:bottom w:val="single" w:color="auto" w:sz="4" w:space="0"/>
              <w:right w:val="single" w:color="auto" w:sz="4" w:space="0"/>
            </w:tcBorders>
            <w:vAlign w:val="bottom"/>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bottom"/>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2</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721"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3</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4</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rPr>
                <w:rFonts w:ascii="宋体" w:hAnsi="宋体" w:cs="宋体"/>
                <w:bCs/>
                <w:color w:val="000000"/>
                <w:kern w:val="0"/>
                <w:szCs w:val="21"/>
                <w:highlight w:val="none"/>
              </w:rPr>
            </w:pPr>
            <w:r>
              <w:rPr>
                <w:rFonts w:ascii="宋体" w:hAnsi="宋体" w:cs="宋体"/>
                <w:bCs/>
                <w:color w:val="000000"/>
                <w:kern w:val="0"/>
                <w:szCs w:val="21"/>
                <w:highlight w:val="none"/>
              </w:rPr>
              <w:t>……</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721"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721"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tcBorders>
              <w:top w:val="single" w:color="auto" w:sz="4" w:space="0"/>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single" w:color="auto" w:sz="4" w:space="0"/>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vMerge w:val="restart"/>
            <w:tcBorders>
              <w:top w:val="single" w:color="auto" w:sz="4" w:space="0"/>
              <w:left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vMerge w:val="restart"/>
            <w:tcBorders>
              <w:top w:val="single" w:color="auto" w:sz="4" w:space="0"/>
              <w:left w:val="nil"/>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合计</w:t>
            </w:r>
          </w:p>
        </w:tc>
        <w:tc>
          <w:tcPr>
            <w:tcW w:w="2460" w:type="dxa"/>
            <w:tcBorders>
              <w:top w:val="single" w:color="auto" w:sz="4" w:space="0"/>
              <w:left w:val="nil"/>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轨道物流系统投标价合计（同开标一览表的合计一致）</w:t>
            </w:r>
          </w:p>
        </w:tc>
        <w:tc>
          <w:tcPr>
            <w:tcW w:w="4662" w:type="dxa"/>
            <w:gridSpan w:val="6"/>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r>
      <w:tr>
        <w:tblPrEx>
          <w:tblLayout w:type="fixed"/>
          <w:tblCellMar>
            <w:top w:w="0" w:type="dxa"/>
            <w:left w:w="108" w:type="dxa"/>
            <w:bottom w:w="0" w:type="dxa"/>
            <w:right w:w="108" w:type="dxa"/>
          </w:tblCellMar>
        </w:tblPrEx>
        <w:trPr>
          <w:trHeight w:val="645" w:hRule="atLeast"/>
          <w:jc w:val="center"/>
        </w:trPr>
        <w:tc>
          <w:tcPr>
            <w:tcW w:w="682" w:type="dxa"/>
            <w:vMerge w:val="continue"/>
            <w:tcBorders>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vMerge w:val="continue"/>
            <w:tcBorders>
              <w:left w:val="nil"/>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p>
        </w:tc>
        <w:tc>
          <w:tcPr>
            <w:tcW w:w="2460" w:type="dxa"/>
            <w:tcBorders>
              <w:top w:val="single" w:color="auto" w:sz="4" w:space="0"/>
              <w:left w:val="nil"/>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每个站点综合单价</w:t>
            </w:r>
          </w:p>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（合计/41）</w:t>
            </w:r>
          </w:p>
        </w:tc>
        <w:tc>
          <w:tcPr>
            <w:tcW w:w="4662" w:type="dxa"/>
            <w:gridSpan w:val="6"/>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r>
    </w:tbl>
    <w:p>
      <w:pPr>
        <w:autoSpaceDE w:val="0"/>
        <w:autoSpaceDN w:val="0"/>
        <w:adjustRightInd w:val="0"/>
        <w:spacing w:before="120" w:beforeLines="50" w:after="120" w:afterLines="50" w:line="360" w:lineRule="auto"/>
        <w:rPr>
          <w:rFonts w:ascii="宋体" w:hAnsi="宋体" w:cs="宋体"/>
          <w:color w:val="000000"/>
          <w:kern w:val="0"/>
          <w:highlight w:val="none"/>
          <w:lang w:val="zh-CN"/>
        </w:rPr>
      </w:pPr>
      <w:r>
        <w:rPr>
          <w:rFonts w:hint="eastAsia" w:ascii="宋体" w:hAnsi="宋体" w:cs="宋体"/>
          <w:color w:val="000000"/>
          <w:kern w:val="0"/>
          <w:highlight w:val="none"/>
          <w:lang w:val="zh-CN"/>
        </w:rPr>
        <w:t>注：1、上表的产品为完全本项目物流轨道系统所需的所有设备材料，对于投标人未报或漏报的，在中标后不予增补，由投标人自行承担。</w:t>
      </w:r>
    </w:p>
    <w:p>
      <w:pPr>
        <w:autoSpaceDE w:val="0"/>
        <w:autoSpaceDN w:val="0"/>
        <w:adjustRightInd w:val="0"/>
        <w:spacing w:before="120" w:beforeLines="50" w:after="120" w:afterLines="50" w:line="360" w:lineRule="auto"/>
        <w:ind w:firstLine="420"/>
        <w:rPr>
          <w:rFonts w:ascii="宋体" w:hAnsi="宋体" w:cs="宋体"/>
          <w:color w:val="000000"/>
          <w:kern w:val="0"/>
          <w:highlight w:val="none"/>
          <w:lang w:val="zh-CN"/>
        </w:rPr>
      </w:pPr>
      <w:r>
        <w:rPr>
          <w:rFonts w:hint="eastAsia" w:ascii="宋体" w:hAnsi="宋体" w:cs="宋体"/>
          <w:color w:val="000000"/>
          <w:kern w:val="0"/>
          <w:highlight w:val="none"/>
          <w:lang w:val="zh-CN"/>
        </w:rPr>
        <w:t>2、上表格式仅供参考，如需扩展，由投标人自行负责。</w:t>
      </w:r>
    </w:p>
    <w:p>
      <w:pPr>
        <w:autoSpaceDE w:val="0"/>
        <w:autoSpaceDN w:val="0"/>
        <w:adjustRightInd w:val="0"/>
        <w:spacing w:before="120" w:beforeLines="50" w:after="120" w:afterLines="50" w:line="360" w:lineRule="auto"/>
        <w:ind w:firstLine="420"/>
        <w:rPr>
          <w:rFonts w:ascii="宋体" w:hAnsi="宋体" w:cs="宋体"/>
          <w:color w:val="000000"/>
          <w:kern w:val="0"/>
          <w:highlight w:val="none"/>
          <w:lang w:val="zh-CN"/>
        </w:rPr>
      </w:pPr>
      <w:r>
        <w:rPr>
          <w:rFonts w:hint="eastAsia" w:ascii="宋体" w:hAnsi="宋体" w:cs="宋体"/>
          <w:color w:val="000000"/>
          <w:kern w:val="0"/>
          <w:highlight w:val="none"/>
          <w:lang w:val="zh-CN"/>
        </w:rPr>
        <w:t>3、人工、税费、管理及代理等相关费用由投标人综合考虑到各设备材料综合单价中。</w:t>
      </w:r>
    </w:p>
    <w:p>
      <w:pPr>
        <w:autoSpaceDE w:val="0"/>
        <w:autoSpaceDN w:val="0"/>
        <w:adjustRightInd w:val="0"/>
        <w:spacing w:before="120" w:beforeLines="50" w:after="120" w:afterLines="50" w:line="360" w:lineRule="auto"/>
        <w:ind w:firstLine="5520" w:firstLineChars="2300"/>
        <w:rPr>
          <w:rFonts w:ascii="宋体" w:hAnsi="宋体" w:cs="宋体"/>
          <w:color w:val="000000"/>
          <w:sz w:val="24"/>
          <w:highlight w:val="none"/>
          <w:u w:val="single"/>
        </w:rPr>
      </w:pP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rPr>
      </w:pPr>
      <w:r>
        <w:rPr>
          <w:rFonts w:hint="eastAsia" w:ascii="宋体" w:hAnsi="宋体" w:cs="宋体"/>
          <w:color w:val="000000"/>
          <w:kern w:val="0"/>
          <w:sz w:val="24"/>
          <w:highlight w:val="none"/>
          <w:lang w:bidi="ar"/>
        </w:rPr>
        <w:t>供应商</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盖</w:t>
      </w:r>
      <w:r>
        <w:rPr>
          <w:rFonts w:hint="eastAsia" w:ascii="宋体" w:hAnsi="宋体" w:cs="宋体"/>
          <w:color w:val="000000"/>
          <w:kern w:val="0"/>
          <w:sz w:val="24"/>
          <w:highlight w:val="none"/>
          <w:lang w:val="zh-CN"/>
        </w:rPr>
        <w:t>章）：</w:t>
      </w:r>
    </w:p>
    <w:p>
      <w:pPr>
        <w:autoSpaceDE w:val="0"/>
        <w:autoSpaceDN w:val="0"/>
        <w:adjustRightInd w:val="0"/>
        <w:spacing w:before="120" w:beforeLines="50" w:after="120" w:afterLines="50"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lang w:bidi="ar"/>
        </w:rPr>
        <w:t>法定代表人或其授权代表（签字或盖章）</w:t>
      </w:r>
      <w:r>
        <w:rPr>
          <w:rFonts w:hint="eastAsia" w:ascii="宋体" w:hAnsi="宋体" w:cs="宋体"/>
          <w:color w:val="000000"/>
          <w:kern w:val="0"/>
          <w:sz w:val="24"/>
          <w:highlight w:val="none"/>
          <w:lang w:val="zh-CN"/>
        </w:rPr>
        <w:t>：</w:t>
      </w: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autoSpaceDE w:val="0"/>
        <w:autoSpaceDN w:val="0"/>
        <w:adjustRightInd w:val="0"/>
        <w:spacing w:before="120" w:beforeLines="50" w:after="120" w:afterLines="50" w:line="360" w:lineRule="auto"/>
        <w:ind w:firstLine="5520" w:firstLineChars="2300"/>
        <w:rPr>
          <w:rFonts w:ascii="宋体" w:hAnsi="宋体" w:cs="宋体"/>
          <w:color w:val="000000"/>
          <w:sz w:val="24"/>
          <w:highlight w:val="none"/>
          <w:u w:val="single"/>
        </w:rPr>
      </w:pPr>
    </w:p>
    <w:p>
      <w:pPr>
        <w:autoSpaceDE w:val="0"/>
        <w:autoSpaceDN w:val="0"/>
        <w:adjustRightInd w:val="0"/>
        <w:spacing w:before="120" w:beforeLines="50" w:after="120" w:afterLines="50" w:line="360" w:lineRule="auto"/>
        <w:ind w:firstLine="5520" w:firstLineChars="2300"/>
        <w:rPr>
          <w:rFonts w:ascii="宋体" w:hAnsi="宋体" w:cs="宋体"/>
          <w:color w:val="000000"/>
          <w:sz w:val="24"/>
          <w:highlight w:val="none"/>
          <w:u w:val="single"/>
        </w:rPr>
      </w:pPr>
    </w:p>
    <w:p>
      <w:pPr>
        <w:autoSpaceDE w:val="0"/>
        <w:autoSpaceDN w:val="0"/>
        <w:adjustRightInd w:val="0"/>
        <w:spacing w:before="120" w:beforeLines="50" w:after="120" w:afterLines="50" w:line="360" w:lineRule="auto"/>
        <w:rPr>
          <w:rFonts w:ascii="宋体" w:hAnsi="宋体" w:cs="宋体"/>
          <w:color w:val="000000"/>
          <w:sz w:val="24"/>
          <w:highlight w:val="none"/>
          <w:u w:val="single"/>
        </w:rPr>
      </w:pPr>
    </w:p>
    <w:p>
      <w:pPr>
        <w:rPr>
          <w:rFonts w:ascii="宋体" w:hAnsi="宋体"/>
          <w:b/>
          <w:bCs/>
          <w:sz w:val="24"/>
          <w:highlight w:val="none"/>
        </w:rPr>
      </w:pPr>
      <w:r>
        <w:rPr>
          <w:rFonts w:hint="eastAsia" w:ascii="宋体" w:hAnsi="宋体"/>
          <w:b/>
          <w:bCs/>
          <w:sz w:val="24"/>
          <w:highlight w:val="none"/>
        </w:rPr>
        <w:t>2、气动物流系统</w:t>
      </w:r>
    </w:p>
    <w:tbl>
      <w:tblPr>
        <w:tblStyle w:val="63"/>
        <w:tblW w:w="9628" w:type="dxa"/>
        <w:jc w:val="center"/>
        <w:tblInd w:w="0" w:type="dxa"/>
        <w:tblLayout w:type="fixed"/>
        <w:tblCellMar>
          <w:top w:w="0" w:type="dxa"/>
          <w:left w:w="108" w:type="dxa"/>
          <w:bottom w:w="0" w:type="dxa"/>
          <w:right w:w="108" w:type="dxa"/>
        </w:tblCellMar>
      </w:tblPr>
      <w:tblGrid>
        <w:gridCol w:w="682"/>
        <w:gridCol w:w="1824"/>
        <w:gridCol w:w="2460"/>
        <w:gridCol w:w="706"/>
        <w:gridCol w:w="706"/>
        <w:gridCol w:w="668"/>
        <w:gridCol w:w="1093"/>
        <w:gridCol w:w="856"/>
        <w:gridCol w:w="633"/>
      </w:tblGrid>
      <w:tr>
        <w:tblPrEx>
          <w:tblLayout w:type="fixed"/>
          <w:tblCellMar>
            <w:top w:w="0" w:type="dxa"/>
            <w:left w:w="108" w:type="dxa"/>
            <w:bottom w:w="0" w:type="dxa"/>
            <w:right w:w="108" w:type="dxa"/>
          </w:tblCellMar>
        </w:tblPrEx>
        <w:trPr>
          <w:trHeight w:val="645"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序号</w:t>
            </w:r>
          </w:p>
        </w:tc>
        <w:tc>
          <w:tcPr>
            <w:tcW w:w="18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设备材料名称</w:t>
            </w:r>
          </w:p>
        </w:tc>
        <w:tc>
          <w:tcPr>
            <w:tcW w:w="2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参考规格</w:t>
            </w:r>
            <w:r>
              <w:rPr>
                <w:rFonts w:ascii="宋体" w:hAnsi="宋体"/>
                <w:b/>
                <w:bCs/>
                <w:color w:val="000000"/>
                <w:kern w:val="0"/>
                <w:szCs w:val="21"/>
                <w:highlight w:val="none"/>
              </w:rPr>
              <w:t>/</w:t>
            </w:r>
            <w:r>
              <w:rPr>
                <w:rFonts w:hint="eastAsia" w:ascii="宋体" w:hAnsi="宋体" w:cs="宋体"/>
                <w:b/>
                <w:bCs/>
                <w:color w:val="000000"/>
                <w:kern w:val="0"/>
                <w:szCs w:val="21"/>
                <w:highlight w:val="none"/>
              </w:rPr>
              <w:t>型号</w:t>
            </w:r>
            <w:r>
              <w:rPr>
                <w:rFonts w:ascii="宋体" w:hAnsi="宋体"/>
                <w:b/>
                <w:bCs/>
                <w:color w:val="000000"/>
                <w:kern w:val="0"/>
                <w:szCs w:val="21"/>
                <w:highlight w:val="none"/>
              </w:rPr>
              <w:t>/</w:t>
            </w:r>
            <w:r>
              <w:rPr>
                <w:rFonts w:hint="eastAsia" w:ascii="宋体" w:hAnsi="宋体" w:cs="宋体"/>
                <w:b/>
                <w:bCs/>
                <w:color w:val="000000"/>
                <w:kern w:val="0"/>
                <w:szCs w:val="21"/>
                <w:highlight w:val="none"/>
              </w:rPr>
              <w:t>尺寸</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品牌</w:t>
            </w: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单位</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数量</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综合单价（元）</w:t>
            </w:r>
          </w:p>
        </w:tc>
        <w:tc>
          <w:tcPr>
            <w:tcW w:w="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小计（元）</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备注</w:t>
            </w:r>
          </w:p>
        </w:tc>
      </w:tr>
      <w:tr>
        <w:tblPrEx>
          <w:tblLayout w:type="fixed"/>
          <w:tblCellMar>
            <w:top w:w="0" w:type="dxa"/>
            <w:left w:w="108" w:type="dxa"/>
            <w:bottom w:w="0" w:type="dxa"/>
            <w:right w:w="108" w:type="dxa"/>
          </w:tblCellMar>
        </w:tblPrEx>
        <w:trPr>
          <w:trHeight w:val="499"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1</w:t>
            </w:r>
          </w:p>
        </w:tc>
        <w:tc>
          <w:tcPr>
            <w:tcW w:w="1824" w:type="dxa"/>
            <w:tcBorders>
              <w:top w:val="nil"/>
              <w:left w:val="nil"/>
              <w:bottom w:val="single" w:color="auto" w:sz="4" w:space="0"/>
              <w:right w:val="single" w:color="auto" w:sz="4" w:space="0"/>
            </w:tcBorders>
            <w:vAlign w:val="bottom"/>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bottom"/>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2</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721"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3</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4</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rPr>
                <w:rFonts w:ascii="宋体" w:hAnsi="宋体" w:cs="宋体"/>
                <w:bCs/>
                <w:color w:val="000000"/>
                <w:kern w:val="0"/>
                <w:szCs w:val="21"/>
                <w:highlight w:val="none"/>
              </w:rPr>
            </w:pPr>
            <w:r>
              <w:rPr>
                <w:rFonts w:ascii="宋体" w:hAnsi="宋体" w:cs="宋体"/>
                <w:bCs/>
                <w:color w:val="000000"/>
                <w:kern w:val="0"/>
                <w:szCs w:val="21"/>
                <w:highlight w:val="none"/>
              </w:rPr>
              <w:t>……</w:t>
            </w: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721"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721" w:hRule="atLeast"/>
          <w:jc w:val="center"/>
        </w:trPr>
        <w:tc>
          <w:tcPr>
            <w:tcW w:w="682" w:type="dxa"/>
            <w:tcBorders>
              <w:top w:val="nil"/>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nil"/>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tcBorders>
              <w:top w:val="single" w:color="auto" w:sz="4" w:space="0"/>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2460" w:type="dxa"/>
            <w:tcBorders>
              <w:top w:val="single" w:color="auto" w:sz="4" w:space="0"/>
              <w:left w:val="nil"/>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706" w:type="dxa"/>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668"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c>
          <w:tcPr>
            <w:tcW w:w="633" w:type="dxa"/>
            <w:tcBorders>
              <w:top w:val="single" w:color="auto" w:sz="4" w:space="0"/>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r>
              <w:rPr>
                <w:rFonts w:hint="eastAsia" w:ascii="宋体" w:hAnsi="宋体" w:cs="宋体"/>
                <w:b/>
                <w:bCs/>
                <w:color w:val="000000"/>
                <w:kern w:val="0"/>
                <w:szCs w:val="21"/>
                <w:highlight w:val="none"/>
              </w:rPr>
              <w:t>　</w:t>
            </w:r>
          </w:p>
        </w:tc>
      </w:tr>
      <w:tr>
        <w:tblPrEx>
          <w:tblLayout w:type="fixed"/>
          <w:tblCellMar>
            <w:top w:w="0" w:type="dxa"/>
            <w:left w:w="108" w:type="dxa"/>
            <w:bottom w:w="0" w:type="dxa"/>
            <w:right w:w="108" w:type="dxa"/>
          </w:tblCellMar>
        </w:tblPrEx>
        <w:trPr>
          <w:trHeight w:val="645" w:hRule="atLeast"/>
          <w:jc w:val="center"/>
        </w:trPr>
        <w:tc>
          <w:tcPr>
            <w:tcW w:w="682" w:type="dxa"/>
            <w:vMerge w:val="restart"/>
            <w:tcBorders>
              <w:top w:val="single" w:color="auto" w:sz="4" w:space="0"/>
              <w:left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vMerge w:val="restart"/>
            <w:tcBorders>
              <w:top w:val="single" w:color="auto" w:sz="4" w:space="0"/>
              <w:left w:val="nil"/>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合计</w:t>
            </w:r>
          </w:p>
        </w:tc>
        <w:tc>
          <w:tcPr>
            <w:tcW w:w="2460" w:type="dxa"/>
            <w:tcBorders>
              <w:top w:val="single" w:color="auto" w:sz="4" w:space="0"/>
              <w:left w:val="nil"/>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气动物流系统投标价合计（同开标一览表的合计一致）</w:t>
            </w:r>
          </w:p>
        </w:tc>
        <w:tc>
          <w:tcPr>
            <w:tcW w:w="4662" w:type="dxa"/>
            <w:gridSpan w:val="6"/>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r>
      <w:tr>
        <w:tblPrEx>
          <w:tblLayout w:type="fixed"/>
          <w:tblCellMar>
            <w:top w:w="0" w:type="dxa"/>
            <w:left w:w="108" w:type="dxa"/>
            <w:bottom w:w="0" w:type="dxa"/>
            <w:right w:w="108" w:type="dxa"/>
          </w:tblCellMar>
        </w:tblPrEx>
        <w:trPr>
          <w:trHeight w:val="645" w:hRule="atLeast"/>
          <w:jc w:val="center"/>
        </w:trPr>
        <w:tc>
          <w:tcPr>
            <w:tcW w:w="682" w:type="dxa"/>
            <w:vMerge w:val="continue"/>
            <w:tcBorders>
              <w:left w:val="single" w:color="auto" w:sz="4" w:space="0"/>
              <w:bottom w:val="single" w:color="auto" w:sz="4" w:space="0"/>
              <w:right w:val="single" w:color="auto" w:sz="4" w:space="0"/>
            </w:tcBorders>
            <w:vAlign w:val="center"/>
          </w:tcPr>
          <w:p>
            <w:pPr>
              <w:widowControl/>
              <w:ind w:firstLine="6"/>
              <w:rPr>
                <w:rFonts w:ascii="宋体" w:hAnsi="宋体" w:cs="宋体"/>
                <w:b/>
                <w:bCs/>
                <w:color w:val="000000"/>
                <w:kern w:val="0"/>
                <w:szCs w:val="21"/>
                <w:highlight w:val="none"/>
              </w:rPr>
            </w:pPr>
          </w:p>
        </w:tc>
        <w:tc>
          <w:tcPr>
            <w:tcW w:w="1824" w:type="dxa"/>
            <w:vMerge w:val="continue"/>
            <w:tcBorders>
              <w:left w:val="nil"/>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p>
        </w:tc>
        <w:tc>
          <w:tcPr>
            <w:tcW w:w="2460" w:type="dxa"/>
            <w:tcBorders>
              <w:top w:val="single" w:color="auto" w:sz="4" w:space="0"/>
              <w:left w:val="nil"/>
              <w:bottom w:val="single" w:color="auto" w:sz="4" w:space="0"/>
              <w:right w:val="single" w:color="auto" w:sz="4" w:space="0"/>
            </w:tcBorders>
            <w:vAlign w:val="center"/>
          </w:tcPr>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每个站点综合单价</w:t>
            </w:r>
          </w:p>
          <w:p>
            <w:pPr>
              <w:widowControl/>
              <w:ind w:firstLine="6"/>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（合计/7）</w:t>
            </w:r>
          </w:p>
        </w:tc>
        <w:tc>
          <w:tcPr>
            <w:tcW w:w="4662" w:type="dxa"/>
            <w:gridSpan w:val="6"/>
            <w:tcBorders>
              <w:top w:val="single" w:color="auto" w:sz="4" w:space="0"/>
              <w:left w:val="nil"/>
              <w:bottom w:val="single" w:color="auto" w:sz="4" w:space="0"/>
              <w:right w:val="single" w:color="auto" w:sz="4" w:space="0"/>
            </w:tcBorders>
          </w:tcPr>
          <w:p>
            <w:pPr>
              <w:widowControl/>
              <w:ind w:firstLine="6"/>
              <w:rPr>
                <w:rFonts w:ascii="宋体" w:hAnsi="宋体" w:cs="宋体"/>
                <w:b/>
                <w:bCs/>
                <w:color w:val="000000"/>
                <w:kern w:val="0"/>
                <w:szCs w:val="21"/>
                <w:highlight w:val="none"/>
              </w:rPr>
            </w:pPr>
          </w:p>
        </w:tc>
      </w:tr>
    </w:tbl>
    <w:p>
      <w:pPr>
        <w:autoSpaceDE w:val="0"/>
        <w:autoSpaceDN w:val="0"/>
        <w:adjustRightInd w:val="0"/>
        <w:spacing w:before="120" w:beforeLines="50" w:after="120" w:afterLines="50" w:line="360" w:lineRule="auto"/>
        <w:rPr>
          <w:rFonts w:ascii="宋体" w:hAnsi="宋体" w:cs="宋体"/>
          <w:color w:val="000000"/>
          <w:kern w:val="0"/>
          <w:highlight w:val="none"/>
          <w:lang w:val="zh-CN"/>
        </w:rPr>
      </w:pPr>
      <w:r>
        <w:rPr>
          <w:rFonts w:hint="eastAsia" w:ascii="宋体" w:hAnsi="宋体" w:cs="宋体"/>
          <w:color w:val="000000"/>
          <w:kern w:val="0"/>
          <w:highlight w:val="none"/>
          <w:lang w:val="zh-CN"/>
        </w:rPr>
        <w:t>注：1、上表的产品为完全本项目物流轨道系统所需的所有设备材料，对于投标人未报或漏报的，在中标后不予增补，由投标人自行承担。</w:t>
      </w:r>
    </w:p>
    <w:p>
      <w:pPr>
        <w:autoSpaceDE w:val="0"/>
        <w:autoSpaceDN w:val="0"/>
        <w:adjustRightInd w:val="0"/>
        <w:spacing w:before="120" w:beforeLines="50" w:after="120" w:afterLines="50" w:line="360" w:lineRule="auto"/>
        <w:rPr>
          <w:rFonts w:ascii="宋体" w:hAnsi="宋体" w:cs="宋体"/>
          <w:color w:val="000000"/>
          <w:kern w:val="0"/>
          <w:highlight w:val="none"/>
          <w:lang w:val="zh-CN"/>
        </w:rPr>
      </w:pPr>
      <w:r>
        <w:rPr>
          <w:rFonts w:hint="eastAsia" w:ascii="宋体" w:hAnsi="宋体" w:cs="宋体"/>
          <w:color w:val="000000"/>
          <w:kern w:val="0"/>
          <w:highlight w:val="none"/>
          <w:lang w:val="zh-CN"/>
        </w:rPr>
        <w:t xml:space="preserve">    2、上表格式仅供参考，如需扩展，由投标人自行负责。</w:t>
      </w:r>
    </w:p>
    <w:p>
      <w:pPr>
        <w:autoSpaceDE w:val="0"/>
        <w:autoSpaceDN w:val="0"/>
        <w:adjustRightInd w:val="0"/>
        <w:spacing w:before="120" w:beforeLines="50" w:after="120" w:afterLines="50" w:line="360" w:lineRule="auto"/>
        <w:ind w:firstLine="420"/>
        <w:rPr>
          <w:rFonts w:ascii="宋体" w:hAnsi="宋体" w:cs="宋体"/>
          <w:color w:val="000000"/>
          <w:kern w:val="0"/>
          <w:highlight w:val="none"/>
          <w:lang w:val="zh-CN"/>
        </w:rPr>
      </w:pPr>
      <w:r>
        <w:rPr>
          <w:rFonts w:hint="eastAsia" w:ascii="宋体" w:hAnsi="宋体" w:cs="宋体"/>
          <w:color w:val="000000"/>
          <w:kern w:val="0"/>
          <w:highlight w:val="none"/>
          <w:lang w:val="zh-CN"/>
        </w:rPr>
        <w:t>3、人工、税费、管理及代理等相关费用由投标人综合考虑到各设备材料综合单价中。</w:t>
      </w:r>
    </w:p>
    <w:p>
      <w:pPr>
        <w:autoSpaceDE w:val="0"/>
        <w:autoSpaceDN w:val="0"/>
        <w:adjustRightInd w:val="0"/>
        <w:spacing w:before="120" w:beforeLines="50" w:after="120" w:afterLines="50" w:line="360" w:lineRule="auto"/>
        <w:ind w:firstLine="5520" w:firstLineChars="2300"/>
        <w:rPr>
          <w:rFonts w:ascii="宋体" w:hAnsi="宋体" w:cs="宋体"/>
          <w:color w:val="000000"/>
          <w:sz w:val="24"/>
          <w:highlight w:val="none"/>
          <w:u w:val="single"/>
        </w:rPr>
      </w:pP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rPr>
      </w:pPr>
      <w:bookmarkStart w:id="85" w:name="_Toc14797"/>
      <w:bookmarkStart w:id="86" w:name="_Toc28113"/>
      <w:r>
        <w:rPr>
          <w:rFonts w:hint="eastAsia" w:ascii="宋体" w:hAnsi="宋体" w:cs="宋体"/>
          <w:color w:val="000000"/>
          <w:kern w:val="0"/>
          <w:sz w:val="24"/>
          <w:highlight w:val="none"/>
          <w:lang w:bidi="ar"/>
        </w:rPr>
        <w:t>供应商</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盖</w:t>
      </w:r>
      <w:r>
        <w:rPr>
          <w:rFonts w:hint="eastAsia" w:ascii="宋体" w:hAnsi="宋体" w:cs="宋体"/>
          <w:color w:val="000000"/>
          <w:kern w:val="0"/>
          <w:sz w:val="24"/>
          <w:highlight w:val="none"/>
          <w:lang w:val="zh-CN"/>
        </w:rPr>
        <w:t>章）：</w:t>
      </w:r>
    </w:p>
    <w:p>
      <w:pPr>
        <w:autoSpaceDE w:val="0"/>
        <w:autoSpaceDN w:val="0"/>
        <w:adjustRightInd w:val="0"/>
        <w:spacing w:before="120" w:beforeLines="50" w:after="120" w:afterLines="50"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lang w:bidi="ar"/>
        </w:rPr>
        <w:t>法定代表人或其授权代表（签字或盖章）</w:t>
      </w:r>
      <w:r>
        <w:rPr>
          <w:rFonts w:hint="eastAsia" w:ascii="宋体" w:hAnsi="宋体" w:cs="宋体"/>
          <w:color w:val="000000"/>
          <w:kern w:val="0"/>
          <w:sz w:val="24"/>
          <w:highlight w:val="none"/>
          <w:lang w:val="zh-CN"/>
        </w:rPr>
        <w:t>：</w:t>
      </w: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pStyle w:val="3"/>
        <w:ind w:firstLine="422"/>
        <w:rPr>
          <w:rFonts w:ascii="宋体" w:hAnsi="宋体" w:cs="Arial"/>
          <w:color w:val="000000"/>
          <w:highlight w:val="none"/>
        </w:rPr>
      </w:pPr>
    </w:p>
    <w:p>
      <w:pPr>
        <w:rPr>
          <w:rFonts w:ascii="宋体" w:hAnsi="宋体" w:cs="Arial"/>
          <w:color w:val="000000"/>
          <w:highlight w:val="none"/>
        </w:rPr>
      </w:pPr>
    </w:p>
    <w:p>
      <w:pPr>
        <w:rPr>
          <w:rFonts w:ascii="宋体" w:hAnsi="宋体" w:cs="Arial"/>
          <w:color w:val="000000"/>
          <w:highlight w:val="none"/>
        </w:rPr>
      </w:pPr>
    </w:p>
    <w:p>
      <w:pPr>
        <w:rPr>
          <w:rFonts w:ascii="宋体" w:hAnsi="宋体" w:cs="Arial"/>
          <w:color w:val="000000"/>
          <w:highlight w:val="none"/>
        </w:rPr>
      </w:pPr>
    </w:p>
    <w:p>
      <w:pPr>
        <w:rPr>
          <w:rFonts w:ascii="宋体" w:hAnsi="宋体" w:cs="Arial"/>
          <w:color w:val="000000"/>
          <w:highlight w:val="none"/>
        </w:rPr>
      </w:pPr>
    </w:p>
    <w:bookmarkEnd w:id="85"/>
    <w:bookmarkEnd w:id="86"/>
    <w:p>
      <w:pPr>
        <w:pStyle w:val="3"/>
        <w:ind w:firstLine="0" w:firstLineChars="0"/>
        <w:jc w:val="center"/>
        <w:rPr>
          <w:rFonts w:ascii="宋体" w:hAnsi="宋体" w:cs="Arial"/>
          <w:bCs w:val="0"/>
          <w:color w:val="000000"/>
          <w:sz w:val="32"/>
          <w:highlight w:val="none"/>
        </w:rPr>
      </w:pPr>
      <w:bookmarkStart w:id="87" w:name="_Toc31653_WPSOffice_Level1"/>
      <w:r>
        <w:rPr>
          <w:rFonts w:hint="eastAsia" w:ascii="宋体" w:hAnsi="宋体" w:cs="Arial"/>
          <w:bCs w:val="0"/>
          <w:color w:val="000000"/>
          <w:sz w:val="32"/>
          <w:highlight w:val="none"/>
        </w:rPr>
        <w:t>四、中小企业声明函、监狱企业、残疾人福利性单位及其他相关的充分的证明材料</w:t>
      </w:r>
      <w:bookmarkEnd w:id="87"/>
    </w:p>
    <w:p>
      <w:pPr>
        <w:widowControl/>
        <w:snapToGrid w:val="0"/>
        <w:spacing w:line="360" w:lineRule="auto"/>
        <w:jc w:val="center"/>
        <w:rPr>
          <w:rFonts w:ascii="宋体" w:hAnsi="宋体" w:cs="宋体"/>
          <w:color w:val="000000"/>
          <w:kern w:val="0"/>
          <w:sz w:val="28"/>
          <w:szCs w:val="28"/>
          <w:highlight w:val="none"/>
        </w:rPr>
      </w:pPr>
      <w:bookmarkStart w:id="88" w:name="_Toc25805_WPSOffice_Level1"/>
      <w:r>
        <w:rPr>
          <w:rFonts w:hint="eastAsia" w:ascii="宋体" w:hAnsi="宋体" w:cs="宋体"/>
          <w:b/>
          <w:color w:val="000000"/>
          <w:kern w:val="0"/>
          <w:sz w:val="28"/>
          <w:szCs w:val="28"/>
          <w:highlight w:val="none"/>
          <w:lang w:bidi="ar"/>
        </w:rPr>
        <w:t>中小企业声明函及其相关的充分的证明材料</w:t>
      </w:r>
      <w:bookmarkEnd w:id="88"/>
    </w:p>
    <w:p>
      <w:pPr>
        <w:widowControl/>
        <w:snapToGrid w:val="0"/>
        <w:spacing w:line="360" w:lineRule="auto"/>
        <w:jc w:val="center"/>
        <w:rPr>
          <w:rFonts w:ascii="宋体" w:hAnsi="宋体" w:cs="宋体"/>
          <w:b/>
          <w:color w:val="000000"/>
          <w:kern w:val="0"/>
          <w:sz w:val="28"/>
          <w:szCs w:val="28"/>
          <w:highlight w:val="none"/>
        </w:rPr>
      </w:pPr>
      <w:bookmarkStart w:id="89" w:name="_Toc11448_WPSOffice_Level1"/>
      <w:r>
        <w:rPr>
          <w:rFonts w:hint="eastAsia" w:ascii="宋体" w:hAnsi="宋体" w:cs="宋体"/>
          <w:b/>
          <w:color w:val="000000"/>
          <w:kern w:val="0"/>
          <w:sz w:val="28"/>
          <w:szCs w:val="28"/>
          <w:highlight w:val="none"/>
          <w:lang w:bidi="ar"/>
        </w:rPr>
        <w:t>中小企业声明函</w:t>
      </w:r>
      <w:bookmarkEnd w:id="89"/>
    </w:p>
    <w:p>
      <w:pPr>
        <w:widowControl/>
        <w:snapToGrid w:val="0"/>
        <w:spacing w:line="360" w:lineRule="auto"/>
        <w:ind w:firstLine="480" w:firstLineChars="200"/>
        <w:jc w:val="center"/>
        <w:rPr>
          <w:rFonts w:ascii="宋体" w:hAnsi="宋体" w:cs="宋体"/>
          <w:color w:val="000000"/>
          <w:kern w:val="0"/>
          <w:sz w:val="24"/>
          <w:highlight w:val="none"/>
        </w:rPr>
      </w:pPr>
      <w:r>
        <w:rPr>
          <w:rFonts w:hint="eastAsia" w:ascii="宋体" w:hAnsi="宋体" w:cs="宋体"/>
          <w:color w:val="000000"/>
          <w:kern w:val="0"/>
          <w:sz w:val="24"/>
          <w:highlight w:val="none"/>
          <w:lang w:bidi="ar"/>
        </w:rPr>
        <w:t>【不属于中小企业的无需填写、递交】</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本公司郑重声明，根据《政府采购促进中小企业发展暂行办法》（财库[2011]181 号）的规定，本公司为的______（请填写：中型、小型、微型）企业。即，本公司同时满足以下条件：</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1、根据《工业和信息化部、国家统计局、国家发展和改革委员会、财政部关于印发中小企业划型标准规定的通知》（工信部联企业[2011]300号）规定的划分标准，本公司为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kern w:val="0"/>
          <w:sz w:val="24"/>
          <w:highlight w:val="none"/>
          <w:u w:val="single"/>
          <w:lang w:bidi="ar"/>
        </w:rPr>
        <w:t>______</w:t>
      </w:r>
      <w:r>
        <w:rPr>
          <w:rFonts w:hint="eastAsia" w:ascii="宋体" w:hAnsi="宋体" w:cs="宋体"/>
          <w:color w:val="000000"/>
          <w:kern w:val="0"/>
          <w:sz w:val="24"/>
          <w:highlight w:val="none"/>
          <w:lang w:bidi="ar"/>
        </w:rPr>
        <w:t>（请填写：中型、小型、微型）企业。</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本公司对上述声明的真实性负责。如有虚假，将依法承担相应责任。</w:t>
      </w: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供应商名称（盖章）：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日期：    年  月  日</w:t>
      </w:r>
    </w:p>
    <w:p>
      <w:pPr>
        <w:widowControl/>
        <w:pBdr>
          <w:bottom w:val="single" w:color="auto" w:sz="6" w:space="1"/>
        </w:pBdr>
        <w:snapToGrid w:val="0"/>
        <w:spacing w:line="360" w:lineRule="auto"/>
        <w:jc w:val="left"/>
        <w:rPr>
          <w:rFonts w:ascii="宋体" w:hAnsi="宋体" w:cs="宋体"/>
          <w:color w:val="000000"/>
          <w:kern w:val="0"/>
          <w:sz w:val="24"/>
          <w:highlight w:val="none"/>
        </w:rPr>
      </w:pPr>
    </w:p>
    <w:p>
      <w:pPr>
        <w:widowControl/>
        <w:snapToGrid w:val="0"/>
        <w:spacing w:line="360" w:lineRule="auto"/>
        <w:jc w:val="left"/>
        <w:rPr>
          <w:rFonts w:ascii="宋体" w:hAnsi="宋体" w:cs="宋体"/>
          <w:color w:val="000000"/>
          <w:kern w:val="0"/>
          <w:sz w:val="24"/>
          <w:highlight w:val="none"/>
        </w:rPr>
      </w:pPr>
    </w:p>
    <w:p>
      <w:pPr>
        <w:widowControl/>
        <w:snapToGrid w:val="0"/>
        <w:spacing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bidi="ar"/>
        </w:rPr>
        <w:t>填写说明：</w:t>
      </w:r>
    </w:p>
    <w:p>
      <w:pPr>
        <w:widowControl/>
        <w:snapToGrid w:val="0"/>
        <w:spacing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bidi="ar"/>
        </w:rPr>
        <w:t>1）投标人为中型、小型、微型企业的提供此函；</w:t>
      </w:r>
    </w:p>
    <w:p>
      <w:pPr>
        <w:widowControl/>
        <w:snapToGrid w:val="0"/>
        <w:spacing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bidi="ar"/>
        </w:rPr>
        <w:t>2）中型企业不享受价格扣除，小型、微型企业的行业类别由评审专家结合投标人出具的证明材料认定；经认定不符合小型、微型企业标准的，不享受价格扣除；</w:t>
      </w:r>
    </w:p>
    <w:p>
      <w:pPr>
        <w:widowControl/>
        <w:snapToGrid w:val="0"/>
        <w:spacing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bidi="ar"/>
        </w:rPr>
        <w:t>3）所投标项内的产品如由多个企业制造的，在填写企业类型时，按产品生产企业中规模最大的企业类型填写；</w:t>
      </w:r>
    </w:p>
    <w:p>
      <w:pPr>
        <w:widowControl/>
        <w:snapToGrid w:val="0"/>
        <w:spacing w:line="360" w:lineRule="auto"/>
        <w:ind w:firstLine="420" w:firstLineChars="200"/>
        <w:jc w:val="left"/>
        <w:rPr>
          <w:rFonts w:ascii="宋体" w:hAnsi="宋体" w:cs="宋体"/>
          <w:color w:val="000000"/>
          <w:kern w:val="0"/>
          <w:szCs w:val="21"/>
          <w:highlight w:val="none"/>
        </w:rPr>
      </w:pPr>
      <w:r>
        <w:rPr>
          <w:rFonts w:hint="eastAsia" w:ascii="宋体" w:hAnsi="宋体" w:cs="宋体"/>
          <w:color w:val="000000"/>
          <w:kern w:val="0"/>
          <w:szCs w:val="21"/>
          <w:highlight w:val="none"/>
          <w:lang w:bidi="ar"/>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snapToGrid w:val="0"/>
        <w:spacing w:line="360" w:lineRule="auto"/>
        <w:ind w:firstLine="420" w:firstLineChars="200"/>
        <w:jc w:val="left"/>
        <w:rPr>
          <w:rFonts w:ascii="宋体" w:hAnsi="宋体" w:cs="宋体"/>
          <w:color w:val="000000"/>
          <w:kern w:val="0"/>
          <w:sz w:val="24"/>
          <w:highlight w:val="none"/>
        </w:rPr>
      </w:pPr>
      <w:r>
        <w:rPr>
          <w:rFonts w:hint="eastAsia" w:ascii="宋体" w:hAnsi="宋体" w:cs="宋体"/>
          <w:color w:val="000000"/>
          <w:kern w:val="0"/>
          <w:szCs w:val="21"/>
          <w:highlight w:val="none"/>
          <w:lang w:bidi="ar"/>
        </w:rPr>
        <w:t>5）注：小型、微型企业参加政府采购活动时，应提供：a）《中小企业声明函》；上述证明材料提供不齐全的，不能享受价格扣除。</w:t>
      </w:r>
    </w:p>
    <w:p>
      <w:pPr>
        <w:widowControl/>
        <w:snapToGrid w:val="0"/>
        <w:spacing w:line="360" w:lineRule="auto"/>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lang w:bidi="ar"/>
        </w:rPr>
        <w:t>▲投标人提供的中小企业声明函与实际情况不符的，视为投标人提供虚假材料投标的，投标无效。</w:t>
      </w:r>
    </w:p>
    <w:p>
      <w:pPr>
        <w:widowControl/>
        <w:snapToGrid w:val="0"/>
        <w:spacing w:line="360" w:lineRule="auto"/>
        <w:jc w:val="center"/>
        <w:rPr>
          <w:rFonts w:ascii="宋体" w:hAnsi="宋体" w:cs="宋体"/>
          <w:b/>
          <w:color w:val="000000"/>
          <w:kern w:val="0"/>
          <w:sz w:val="24"/>
          <w:highlight w:val="none"/>
        </w:rPr>
      </w:pPr>
      <w:r>
        <w:rPr>
          <w:rFonts w:hint="eastAsia" w:ascii="宋体" w:hAnsi="宋体" w:cs="宋体"/>
          <w:b/>
          <w:color w:val="000000"/>
          <w:kern w:val="0"/>
          <w:sz w:val="24"/>
          <w:highlight w:val="none"/>
          <w:lang w:bidi="ar"/>
        </w:rPr>
        <w:t>监狱企业声明函</w:t>
      </w:r>
    </w:p>
    <w:p>
      <w:pPr>
        <w:widowControl/>
        <w:snapToGrid w:val="0"/>
        <w:spacing w:line="360" w:lineRule="auto"/>
        <w:ind w:firstLine="480" w:firstLineChars="200"/>
        <w:jc w:val="center"/>
        <w:rPr>
          <w:rFonts w:ascii="宋体" w:hAnsi="宋体" w:cs="宋体"/>
          <w:color w:val="000000"/>
          <w:kern w:val="0"/>
          <w:sz w:val="24"/>
          <w:highlight w:val="none"/>
        </w:rPr>
      </w:pPr>
      <w:r>
        <w:rPr>
          <w:rFonts w:hint="eastAsia" w:ascii="宋体" w:hAnsi="宋体" w:cs="宋体"/>
          <w:color w:val="000000"/>
          <w:kern w:val="0"/>
          <w:sz w:val="24"/>
          <w:highlight w:val="none"/>
          <w:lang w:bidi="ar"/>
        </w:rPr>
        <w:t>【不属于监狱企业的无需填写、递交】</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本公司郑重声明，根据《关于政府采购支持监狱企业发展有关问题的通知》 （财库[2014]68 号）的规定，本公司为</w:t>
      </w:r>
      <w:r>
        <w:rPr>
          <w:rFonts w:hint="eastAsia" w:ascii="宋体" w:hAnsi="宋体" w:cs="宋体"/>
          <w:color w:val="000000"/>
          <w:kern w:val="0"/>
          <w:sz w:val="24"/>
          <w:highlight w:val="none"/>
          <w:u w:val="single"/>
          <w:lang w:bidi="ar"/>
        </w:rPr>
        <w:t>监狱企业</w:t>
      </w:r>
      <w:r>
        <w:rPr>
          <w:rFonts w:hint="eastAsia" w:ascii="宋体" w:hAnsi="宋体" w:cs="宋体"/>
          <w:color w:val="000000"/>
          <w:kern w:val="0"/>
          <w:sz w:val="24"/>
          <w:highlight w:val="none"/>
          <w:lang w:bidi="ar"/>
        </w:rPr>
        <w:t>。</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根据上述标准，我公司属于监狱企业的理由为：</w:t>
      </w:r>
      <w:r>
        <w:rPr>
          <w:rFonts w:hint="eastAsia" w:ascii="宋体" w:hAnsi="宋体" w:cs="宋体"/>
          <w:color w:val="000000"/>
          <w:kern w:val="0"/>
          <w:sz w:val="24"/>
          <w:highlight w:val="none"/>
          <w:u w:val="single"/>
          <w:lang w:bidi="ar"/>
        </w:rPr>
        <w:t xml:space="preserve">         </w:t>
      </w:r>
      <w:r>
        <w:rPr>
          <w:rFonts w:hint="eastAsia" w:ascii="宋体" w:hAnsi="宋体" w:cs="宋体"/>
          <w:color w:val="000000"/>
          <w:kern w:val="0"/>
          <w:sz w:val="24"/>
          <w:highlight w:val="none"/>
          <w:lang w:bidi="ar"/>
        </w:rPr>
        <w:t>。</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本公司为参加（</w:t>
      </w:r>
      <w:r>
        <w:rPr>
          <w:rFonts w:hint="eastAsia" w:ascii="宋体" w:hAnsi="宋体" w:cs="宋体"/>
          <w:color w:val="000000"/>
          <w:kern w:val="0"/>
          <w:sz w:val="24"/>
          <w:highlight w:val="none"/>
          <w:u w:val="single"/>
          <w:lang w:bidi="ar"/>
        </w:rPr>
        <w:t xml:space="preserve">    项目名称    </w:t>
      </w:r>
      <w:r>
        <w:rPr>
          <w:rFonts w:hint="eastAsia" w:ascii="宋体" w:hAnsi="宋体" w:cs="宋体"/>
          <w:color w:val="000000"/>
          <w:kern w:val="0"/>
          <w:sz w:val="24"/>
          <w:highlight w:val="none"/>
          <w:lang w:bidi="ar"/>
        </w:rPr>
        <w:t>） （项目编号：</w:t>
      </w:r>
      <w:r>
        <w:rPr>
          <w:rFonts w:hint="eastAsia" w:ascii="宋体" w:hAnsi="宋体" w:cs="宋体"/>
          <w:color w:val="000000"/>
          <w:kern w:val="0"/>
          <w:sz w:val="24"/>
          <w:highlight w:val="none"/>
          <w:u w:val="single"/>
          <w:lang w:bidi="ar"/>
        </w:rPr>
        <w:t xml:space="preserve">      </w:t>
      </w:r>
      <w:r>
        <w:rPr>
          <w:rFonts w:hint="eastAsia" w:ascii="宋体" w:hAnsi="宋体" w:cs="宋体"/>
          <w:color w:val="000000"/>
          <w:kern w:val="0"/>
          <w:sz w:val="24"/>
          <w:highlight w:val="none"/>
          <w:lang w:bidi="ar"/>
        </w:rPr>
        <w:t>）采购活动提供本企业提供服务。</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本公司对上述声明的真实性负责。如有虚假，将依法承担相应责任。</w:t>
      </w: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供应商名称（盖章）：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lang w:bidi="ar"/>
        </w:rPr>
        <w:t>日期：    年  月  日</w:t>
      </w: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p>
    <w:p>
      <w:pPr>
        <w:widowControl/>
        <w:snapToGrid w:val="0"/>
        <w:spacing w:line="360" w:lineRule="auto"/>
        <w:ind w:firstLine="480" w:firstLineChars="200"/>
        <w:jc w:val="left"/>
        <w:rPr>
          <w:rFonts w:ascii="宋体" w:hAnsi="宋体" w:cs="宋体"/>
          <w:color w:val="000000"/>
          <w:kern w:val="0"/>
          <w:sz w:val="24"/>
          <w:highlight w:val="none"/>
        </w:rPr>
      </w:pPr>
    </w:p>
    <w:p>
      <w:pPr>
        <w:snapToGrid w:val="0"/>
        <w:spacing w:line="360" w:lineRule="auto"/>
        <w:rPr>
          <w:rFonts w:ascii="宋体" w:hAnsi="宋体" w:cs="宋体"/>
          <w:b/>
          <w:color w:val="000000"/>
          <w:spacing w:val="6"/>
          <w:sz w:val="24"/>
          <w:highlight w:val="none"/>
        </w:rPr>
      </w:pPr>
      <w:bookmarkStart w:id="90" w:name="OLE_LINK13"/>
      <w:bookmarkStart w:id="91" w:name="OLE_LINK14"/>
    </w:p>
    <w:p>
      <w:pPr>
        <w:snapToGrid w:val="0"/>
        <w:spacing w:line="360" w:lineRule="auto"/>
        <w:rPr>
          <w:rFonts w:ascii="宋体" w:hAnsi="宋体" w:cs="宋体"/>
          <w:b/>
          <w:color w:val="000000"/>
          <w:spacing w:val="6"/>
          <w:sz w:val="24"/>
          <w:highlight w:val="none"/>
        </w:rPr>
      </w:pPr>
    </w:p>
    <w:p>
      <w:pPr>
        <w:snapToGrid w:val="0"/>
        <w:spacing w:line="360" w:lineRule="auto"/>
        <w:jc w:val="center"/>
        <w:rPr>
          <w:rFonts w:ascii="宋体" w:hAnsi="宋体" w:cs="宋体"/>
          <w:b/>
          <w:color w:val="000000"/>
          <w:spacing w:val="6"/>
          <w:sz w:val="24"/>
          <w:highlight w:val="none"/>
        </w:rPr>
      </w:pPr>
    </w:p>
    <w:p>
      <w:pPr>
        <w:snapToGrid w:val="0"/>
        <w:spacing w:line="360" w:lineRule="auto"/>
        <w:jc w:val="center"/>
        <w:rPr>
          <w:rFonts w:ascii="宋体" w:hAnsi="宋体" w:cs="宋体"/>
          <w:b/>
          <w:color w:val="000000"/>
          <w:spacing w:val="6"/>
          <w:sz w:val="24"/>
          <w:highlight w:val="none"/>
        </w:rPr>
      </w:pPr>
    </w:p>
    <w:p>
      <w:pPr>
        <w:pageBreakBefore/>
        <w:snapToGrid w:val="0"/>
        <w:spacing w:line="360" w:lineRule="auto"/>
        <w:jc w:val="center"/>
        <w:rPr>
          <w:rFonts w:ascii="宋体" w:hAnsi="宋体" w:cs="宋体"/>
          <w:b/>
          <w:color w:val="000000"/>
          <w:spacing w:val="6"/>
          <w:sz w:val="24"/>
          <w:highlight w:val="none"/>
        </w:rPr>
      </w:pPr>
      <w:r>
        <w:rPr>
          <w:rFonts w:hint="eastAsia" w:ascii="宋体" w:hAnsi="宋体" w:cs="宋体"/>
          <w:b/>
          <w:color w:val="000000"/>
          <w:spacing w:val="6"/>
          <w:sz w:val="24"/>
          <w:highlight w:val="none"/>
          <w:lang w:bidi="ar"/>
        </w:rPr>
        <w:t>残疾人福利性单位声明函</w:t>
      </w:r>
      <w:bookmarkEnd w:id="90"/>
      <w:bookmarkEnd w:id="91"/>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lang w:bidi="ar"/>
        </w:rPr>
        <w:t>本单位对上述声明的真实性负责。如有虚假，将依法承担相应责任。</w:t>
      </w:r>
    </w:p>
    <w:p>
      <w:pPr>
        <w:tabs>
          <w:tab w:val="left" w:pos="4860"/>
        </w:tabs>
        <w:snapToGrid w:val="0"/>
        <w:spacing w:line="360" w:lineRule="auto"/>
        <w:ind w:right="1560" w:firstLine="480" w:firstLineChars="200"/>
        <w:jc w:val="left"/>
        <w:rPr>
          <w:rFonts w:ascii="宋体" w:hAnsi="宋体" w:cs="宋体"/>
          <w:color w:val="000000"/>
          <w:sz w:val="24"/>
          <w:highlight w:val="none"/>
          <w:lang w:bidi="ar"/>
        </w:rPr>
      </w:pPr>
    </w:p>
    <w:p>
      <w:pPr>
        <w:tabs>
          <w:tab w:val="left" w:pos="4860"/>
        </w:tabs>
        <w:snapToGrid w:val="0"/>
        <w:spacing w:line="360" w:lineRule="auto"/>
        <w:ind w:right="1560" w:firstLine="480" w:firstLineChars="200"/>
        <w:jc w:val="left"/>
        <w:rPr>
          <w:rFonts w:ascii="宋体" w:hAnsi="宋体" w:cs="宋体"/>
          <w:color w:val="000000"/>
          <w:sz w:val="24"/>
          <w:highlight w:val="none"/>
        </w:rPr>
      </w:pPr>
      <w:r>
        <w:rPr>
          <w:rFonts w:hint="eastAsia" w:ascii="宋体" w:hAnsi="宋体" w:cs="宋体"/>
          <w:color w:val="000000"/>
          <w:sz w:val="24"/>
          <w:highlight w:val="none"/>
          <w:lang w:bidi="ar"/>
        </w:rPr>
        <w:t xml:space="preserve"> 单位名称（盖章）：</w:t>
      </w:r>
    </w:p>
    <w:p>
      <w:pPr>
        <w:widowControl/>
        <w:snapToGrid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sz w:val="24"/>
          <w:highlight w:val="none"/>
          <w:lang w:bidi="ar"/>
        </w:rPr>
        <w:t xml:space="preserve"> 日  期：   </w:t>
      </w:r>
      <w:r>
        <w:rPr>
          <w:rFonts w:hint="eastAsia" w:ascii="宋体" w:hAnsi="宋体" w:cs="宋体"/>
          <w:color w:val="000000"/>
          <w:kern w:val="0"/>
          <w:sz w:val="24"/>
          <w:highlight w:val="none"/>
          <w:lang w:bidi="ar"/>
        </w:rPr>
        <w:t>年  月  日</w:t>
      </w:r>
    </w:p>
    <w:p>
      <w:pPr>
        <w:pStyle w:val="48"/>
        <w:widowControl w:val="0"/>
        <w:snapToGrid w:val="0"/>
        <w:spacing w:before="0" w:beforeAutospacing="0" w:after="0" w:afterAutospacing="0" w:line="360" w:lineRule="auto"/>
        <w:ind w:left="360"/>
        <w:jc w:val="both"/>
        <w:rPr>
          <w:rFonts w:cs="宋体"/>
          <w:color w:val="000000"/>
          <w:kern w:val="2"/>
          <w:highlight w:val="none"/>
          <w:lang w:bidi="ar"/>
        </w:rPr>
      </w:pPr>
    </w:p>
    <w:p>
      <w:pPr>
        <w:pStyle w:val="48"/>
        <w:widowControl w:val="0"/>
        <w:snapToGrid w:val="0"/>
        <w:spacing w:before="0" w:beforeAutospacing="0" w:after="0" w:afterAutospacing="0" w:line="360" w:lineRule="auto"/>
        <w:ind w:left="360"/>
        <w:jc w:val="both"/>
        <w:rPr>
          <w:rFonts w:cs="宋体"/>
          <w:color w:val="000000"/>
          <w:highlight w:val="none"/>
        </w:rPr>
      </w:pPr>
      <w:r>
        <w:rPr>
          <w:rFonts w:hint="eastAsia" w:cs="宋体"/>
          <w:color w:val="000000"/>
          <w:kern w:val="2"/>
          <w:highlight w:val="none"/>
          <w:lang w:bidi="ar"/>
        </w:rPr>
        <w:t>扶持政策说明：</w:t>
      </w:r>
    </w:p>
    <w:p>
      <w:pPr>
        <w:pStyle w:val="48"/>
        <w:widowControl w:val="0"/>
        <w:snapToGrid w:val="0"/>
        <w:spacing w:before="0" w:beforeAutospacing="0" w:after="0" w:afterAutospacing="0" w:line="360" w:lineRule="auto"/>
        <w:ind w:firstLine="480" w:firstLineChars="200"/>
        <w:jc w:val="both"/>
        <w:rPr>
          <w:rFonts w:cs="宋体"/>
          <w:color w:val="000000"/>
          <w:highlight w:val="none"/>
        </w:rPr>
      </w:pPr>
      <w:r>
        <w:rPr>
          <w:rFonts w:hint="eastAsia" w:cs="宋体"/>
          <w:color w:val="000000"/>
          <w:kern w:val="2"/>
          <w:highlight w:val="none"/>
          <w:lang w:bidi="ar"/>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cs="宋体"/>
          <w:color w:val="000000"/>
          <w:kern w:val="2"/>
          <w:highlight w:val="none"/>
          <w:u w:val="single"/>
          <w:lang w:bidi="ar"/>
        </w:rPr>
        <w:t>6%</w:t>
      </w:r>
      <w:r>
        <w:rPr>
          <w:rFonts w:hint="eastAsia" w:cs="宋体"/>
          <w:color w:val="000000"/>
          <w:kern w:val="2"/>
          <w:highlight w:val="none"/>
          <w:lang w:bidi="ar"/>
        </w:rPr>
        <w:t>的扣除，并用扣除后的价格计算价格评分。</w:t>
      </w:r>
    </w:p>
    <w:p>
      <w:pPr>
        <w:snapToGrid w:val="0"/>
        <w:spacing w:line="360" w:lineRule="auto"/>
        <w:ind w:firstLine="240" w:firstLineChars="100"/>
        <w:rPr>
          <w:rFonts w:ascii="宋体" w:hAnsi="宋体" w:cs="宋体"/>
          <w:color w:val="000000"/>
          <w:sz w:val="24"/>
          <w:highlight w:val="none"/>
        </w:rPr>
      </w:pPr>
      <w:r>
        <w:rPr>
          <w:rFonts w:hint="eastAsia" w:ascii="宋体" w:hAnsi="宋体" w:cs="宋体"/>
          <w:color w:val="000000"/>
          <w:sz w:val="24"/>
          <w:highlight w:val="none"/>
          <w:lang w:bidi="ar"/>
        </w:rPr>
        <w:t>2、监狱企业视同小微企业，参加本项目投标的，享受小微企业同等的价格扣除。【注：提供《监狱企业声明函》及其相关的充分的证明材料】。</w:t>
      </w:r>
    </w:p>
    <w:p>
      <w:pPr>
        <w:pStyle w:val="48"/>
        <w:widowControl w:val="0"/>
        <w:snapToGrid w:val="0"/>
        <w:spacing w:before="0" w:beforeAutospacing="0" w:after="0" w:afterAutospacing="0" w:line="360" w:lineRule="auto"/>
        <w:ind w:firstLine="240" w:firstLineChars="100"/>
        <w:rPr>
          <w:rFonts w:cs="宋体"/>
          <w:color w:val="000000"/>
          <w:kern w:val="2"/>
          <w:highlight w:val="none"/>
          <w:lang w:bidi="ar"/>
        </w:rPr>
      </w:pPr>
      <w:r>
        <w:rPr>
          <w:rFonts w:hint="eastAsia" w:cs="宋体"/>
          <w:color w:val="000000"/>
          <w:kern w:val="2"/>
          <w:highlight w:val="none"/>
          <w:lang w:bidi="ar"/>
        </w:rPr>
        <w:t>3、残疾人福利性单位参加投标【提供《残疾人福利性单位声明函》】，视为小型、微型企业，享受小微企业政策扶持。</w:t>
      </w:r>
    </w:p>
    <w:p>
      <w:pPr>
        <w:pStyle w:val="48"/>
        <w:widowControl w:val="0"/>
        <w:snapToGrid w:val="0"/>
        <w:spacing w:before="0" w:beforeAutospacing="0" w:after="0" w:afterAutospacing="0" w:line="360" w:lineRule="auto"/>
        <w:ind w:firstLine="240" w:firstLineChars="100"/>
        <w:rPr>
          <w:rFonts w:cs="宋体"/>
          <w:color w:val="000000"/>
          <w:kern w:val="2"/>
          <w:highlight w:val="none"/>
          <w:lang w:bidi="ar"/>
        </w:rPr>
      </w:pPr>
      <w:r>
        <w:rPr>
          <w:rFonts w:hint="eastAsia" w:cs="宋体"/>
          <w:color w:val="000000"/>
          <w:kern w:val="2"/>
          <w:highlight w:val="none"/>
          <w:lang w:bidi="ar"/>
        </w:rPr>
        <w:br w:type="page"/>
      </w:r>
    </w:p>
    <w:p>
      <w:pPr>
        <w:pStyle w:val="2"/>
        <w:widowControl/>
        <w:snapToGrid w:val="0"/>
        <w:rPr>
          <w:rFonts w:ascii="宋体" w:hAnsi="宋体" w:eastAsia="宋体" w:cs="宋体"/>
          <w:color w:val="000000"/>
          <w:highlight w:val="none"/>
        </w:rPr>
      </w:pPr>
      <w:bookmarkStart w:id="92" w:name="_Toc354996708"/>
      <w:bookmarkStart w:id="93" w:name="_Toc33194408"/>
      <w:r>
        <w:rPr>
          <w:rFonts w:hint="eastAsia" w:ascii="宋体" w:hAnsi="宋体" w:cs="仿宋_GB2312"/>
          <w:color w:val="000000"/>
          <w:sz w:val="36"/>
          <w:szCs w:val="36"/>
          <w:highlight w:val="none"/>
          <w:lang w:val="zh-CN"/>
        </w:rPr>
        <w:t>▲</w:t>
      </w:r>
      <w:r>
        <w:rPr>
          <w:rFonts w:hint="eastAsia" w:ascii="宋体" w:hAnsi="宋体" w:eastAsia="宋体" w:cs="宋体"/>
          <w:color w:val="000000"/>
          <w:highlight w:val="none"/>
        </w:rPr>
        <w:t>商务</w:t>
      </w:r>
      <w:bookmarkEnd w:id="92"/>
      <w:r>
        <w:rPr>
          <w:rFonts w:hint="eastAsia" w:ascii="宋体" w:hAnsi="宋体" w:eastAsia="宋体" w:cs="宋体"/>
          <w:color w:val="000000"/>
          <w:highlight w:val="none"/>
        </w:rPr>
        <w:t>技术文件</w:t>
      </w:r>
      <w:bookmarkEnd w:id="93"/>
    </w:p>
    <w:p>
      <w:pPr>
        <w:shd w:val="clear" w:color="auto" w:fill="FFFFFF"/>
        <w:snapToGrid w:val="0"/>
        <w:spacing w:line="360" w:lineRule="auto"/>
        <w:jc w:val="center"/>
        <w:rPr>
          <w:rFonts w:ascii="宋体" w:hAnsi="宋体" w:cs="宋体"/>
          <w:b/>
          <w:color w:val="000000"/>
          <w:kern w:val="0"/>
          <w:sz w:val="28"/>
          <w:szCs w:val="28"/>
          <w:highlight w:val="none"/>
          <w:shd w:val="clear" w:color="auto" w:fill="FFFFFF"/>
        </w:rPr>
      </w:pPr>
      <w:bookmarkStart w:id="94" w:name="_Toc20650"/>
      <w:bookmarkStart w:id="95" w:name="_Toc25554"/>
      <w:bookmarkStart w:id="96" w:name="_Toc13194"/>
      <w:bookmarkStart w:id="97" w:name="_Toc10347"/>
      <w:bookmarkStart w:id="98" w:name="_Toc13349"/>
      <w:bookmarkStart w:id="99" w:name="_Toc20721"/>
      <w:bookmarkStart w:id="100" w:name="_Toc3604"/>
      <w:bookmarkStart w:id="101" w:name="_Toc27129"/>
      <w:bookmarkStart w:id="102" w:name="_Toc31837"/>
      <w:bookmarkStart w:id="103" w:name="_Toc7803"/>
      <w:bookmarkStart w:id="104" w:name="_Toc26562_WPSOffice_Level1"/>
      <w:bookmarkStart w:id="105" w:name="_Toc7049"/>
      <w:r>
        <w:rPr>
          <w:rFonts w:hint="eastAsia" w:ascii="宋体" w:hAnsi="宋体" w:cs="宋体"/>
          <w:b/>
          <w:color w:val="000000"/>
          <w:kern w:val="0"/>
          <w:sz w:val="28"/>
          <w:szCs w:val="28"/>
          <w:highlight w:val="none"/>
          <w:shd w:val="clear" w:color="auto" w:fill="FFFFFF"/>
          <w:lang w:bidi="ar"/>
        </w:rPr>
        <w:t>目录</w:t>
      </w:r>
      <w:bookmarkEnd w:id="94"/>
      <w:bookmarkEnd w:id="95"/>
      <w:bookmarkEnd w:id="96"/>
      <w:bookmarkEnd w:id="97"/>
      <w:bookmarkEnd w:id="98"/>
      <w:bookmarkEnd w:id="99"/>
      <w:bookmarkEnd w:id="100"/>
      <w:bookmarkEnd w:id="101"/>
      <w:bookmarkEnd w:id="102"/>
      <w:bookmarkEnd w:id="103"/>
      <w:bookmarkEnd w:id="104"/>
      <w:bookmarkEnd w:id="105"/>
    </w:p>
    <w:p>
      <w:pPr>
        <w:numPr>
          <w:ilvl w:val="0"/>
          <w:numId w:val="16"/>
        </w:numPr>
        <w:shd w:val="clear" w:color="auto" w:fill="FFFFFF"/>
        <w:spacing w:line="360" w:lineRule="auto"/>
        <w:ind w:firstLine="0"/>
        <w:rPr>
          <w:rFonts w:ascii="宋体" w:hAnsi="宋体" w:cs="宋体"/>
          <w:color w:val="000000"/>
          <w:kern w:val="0"/>
          <w:sz w:val="24"/>
          <w:highlight w:val="none"/>
          <w:shd w:val="clear" w:color="auto" w:fill="FFFFFF"/>
          <w:lang w:bidi="ar"/>
        </w:rPr>
      </w:pPr>
      <w:bookmarkStart w:id="106" w:name="_Toc26490_WPSOffice_Level1"/>
      <w:r>
        <w:rPr>
          <w:rFonts w:hint="eastAsia" w:ascii="宋体" w:hAnsi="宋体" w:cs="宋体"/>
          <w:color w:val="000000"/>
          <w:kern w:val="0"/>
          <w:sz w:val="24"/>
          <w:highlight w:val="none"/>
          <w:shd w:val="clear" w:color="auto" w:fill="FFFFFF"/>
          <w:lang w:bidi="ar"/>
        </w:rPr>
        <w:t>、商务部分</w:t>
      </w:r>
      <w:bookmarkEnd w:id="106"/>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（1）法定代表人授权委托书…………………………………………………………（页码）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（2）法定代表人及授权委托人的身份证（复印件）…………………………………（页码）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（3）资质文件（如有）</w:t>
      </w:r>
      <w:r>
        <w:rPr>
          <w:rFonts w:hint="eastAsia" w:ascii="宋体" w:hAnsi="宋体" w:cs="宋体"/>
          <w:color w:val="000000"/>
          <w:kern w:val="0"/>
          <w:sz w:val="24"/>
          <w:highlight w:val="none"/>
          <w:shd w:val="clear" w:color="auto" w:fill="FFFFFF"/>
          <w:lang w:val="zh-CN" w:bidi="ar"/>
        </w:rPr>
        <w:t>………………………………………………………………</w:t>
      </w:r>
      <w:r>
        <w:rPr>
          <w:rFonts w:hint="eastAsia" w:ascii="宋体" w:hAnsi="宋体" w:cs="宋体"/>
          <w:color w:val="000000"/>
          <w:kern w:val="0"/>
          <w:sz w:val="24"/>
          <w:highlight w:val="none"/>
          <w:shd w:val="clear" w:color="auto" w:fill="FFFFFF"/>
          <w:lang w:bidi="ar"/>
        </w:rPr>
        <w:t>…（页码）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（4）廉政承诺书…………………………………………………………………………（页码）</w:t>
      </w:r>
    </w:p>
    <w:p>
      <w:pPr>
        <w:numPr>
          <w:ilvl w:val="0"/>
          <w:numId w:val="16"/>
        </w:numPr>
        <w:shd w:val="clear" w:color="auto" w:fill="FFFFFF"/>
        <w:spacing w:line="360" w:lineRule="auto"/>
        <w:ind w:firstLine="0"/>
        <w:rPr>
          <w:rFonts w:ascii="宋体" w:hAnsi="宋体" w:cs="宋体"/>
          <w:color w:val="000000"/>
          <w:kern w:val="0"/>
          <w:sz w:val="24"/>
          <w:highlight w:val="none"/>
          <w:shd w:val="clear" w:color="auto" w:fill="FFFFFF"/>
          <w:lang w:bidi="ar"/>
        </w:rPr>
      </w:pPr>
      <w:bookmarkStart w:id="107" w:name="_Toc23103_WPSOffice_Level1"/>
      <w:r>
        <w:rPr>
          <w:rFonts w:hint="eastAsia" w:ascii="宋体" w:hAnsi="宋体" w:cs="宋体"/>
          <w:color w:val="000000"/>
          <w:kern w:val="0"/>
          <w:sz w:val="24"/>
          <w:highlight w:val="none"/>
          <w:shd w:val="clear" w:color="auto" w:fill="FFFFFF"/>
          <w:lang w:bidi="ar"/>
        </w:rPr>
        <w:t>、技术部分</w:t>
      </w:r>
      <w:bookmarkEnd w:id="107"/>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（5）评分索引……………………………………………………………………………（页码）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（6）声明书………………………………………………………………………………（页码）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（7）投标人基本情况说明………………………………………………………………（页码）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（8）投标人主要业绩及证明材料………………………………………………………（页码）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（9）拟派项目负责人及项目组人员配置</w:t>
      </w:r>
      <w:r>
        <w:rPr>
          <w:rFonts w:ascii="宋体" w:hAnsi="宋体" w:cs="宋体"/>
          <w:color w:val="000000"/>
          <w:kern w:val="0"/>
          <w:sz w:val="24"/>
          <w:highlight w:val="none"/>
          <w:shd w:val="clear" w:color="auto" w:fill="FFFFFF"/>
          <w:lang w:bidi="ar"/>
        </w:rPr>
        <w:t>………………………………………………（页码）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（10）针对本项目的实施方案（格式自拟）</w:t>
      </w:r>
      <w:r>
        <w:rPr>
          <w:rFonts w:ascii="宋体" w:hAnsi="宋体" w:cs="宋体"/>
          <w:color w:val="000000"/>
          <w:kern w:val="0"/>
          <w:sz w:val="24"/>
          <w:highlight w:val="none"/>
          <w:shd w:val="clear" w:color="auto" w:fill="FFFFFF"/>
          <w:lang w:bidi="ar"/>
        </w:rPr>
        <w:t>…………………………………………（页码）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（11）所投标产品的完整配置方案（格式自拟）……………………………………（页码）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（12）售后服务方案（格式自拟）……………………………………………………（页码）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（13）偏离表……………………………………………………………………………（页码）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（14）其他投标人认为需要提供的技术文件及证明材料……………………………（页码）</w:t>
      </w:r>
    </w:p>
    <w:p>
      <w:pPr>
        <w:shd w:val="clear" w:color="auto" w:fill="FFFFFF"/>
        <w:snapToGrid w:val="0"/>
        <w:spacing w:line="360" w:lineRule="auto"/>
        <w:rPr>
          <w:rFonts w:ascii="宋体" w:hAnsi="宋体" w:cs="宋体"/>
          <w:color w:val="000000"/>
          <w:kern w:val="0"/>
          <w:sz w:val="24"/>
          <w:highlight w:val="none"/>
          <w:shd w:val="clear" w:color="auto" w:fill="FFFFFF"/>
          <w:lang w:bidi="ar"/>
        </w:rPr>
      </w:pPr>
    </w:p>
    <w:p>
      <w:pPr>
        <w:shd w:val="clear" w:color="auto" w:fill="FFFFFF"/>
        <w:snapToGrid w:val="0"/>
        <w:spacing w:line="360" w:lineRule="auto"/>
        <w:rPr>
          <w:rFonts w:ascii="宋体" w:hAnsi="宋体" w:cs="宋体"/>
          <w:b/>
          <w:bCs/>
          <w:color w:val="000000"/>
          <w:kern w:val="0"/>
          <w:sz w:val="24"/>
          <w:highlight w:val="none"/>
          <w:shd w:val="clear" w:color="auto" w:fill="FFFFFF"/>
          <w:lang w:bidi="ar"/>
        </w:rPr>
      </w:pPr>
      <w:r>
        <w:rPr>
          <w:rFonts w:hint="eastAsia" w:ascii="宋体" w:hAnsi="宋体" w:cs="宋体"/>
          <w:b/>
          <w:bCs/>
          <w:color w:val="000000"/>
          <w:kern w:val="0"/>
          <w:sz w:val="24"/>
          <w:highlight w:val="none"/>
          <w:shd w:val="clear" w:color="auto" w:fill="FFFFFF"/>
          <w:lang w:bidi="ar"/>
        </w:rPr>
        <w:t>注：以上目录是编制投标商务技术文件的基本格式要求，各投标人可根据自身情况进一步细化。</w:t>
      </w:r>
    </w:p>
    <w:p>
      <w:pPr>
        <w:shd w:val="clear" w:color="auto" w:fill="FFFFFF"/>
        <w:snapToGrid w:val="0"/>
        <w:spacing w:line="360" w:lineRule="auto"/>
        <w:rPr>
          <w:rFonts w:ascii="宋体" w:hAnsi="宋体" w:cs="Arial"/>
          <w:color w:val="000000"/>
          <w:sz w:val="24"/>
          <w:highlight w:val="none"/>
        </w:rPr>
      </w:pPr>
      <w:r>
        <w:rPr>
          <w:rFonts w:ascii="宋体" w:hAnsi="宋体" w:cs="Arial"/>
          <w:color w:val="000000"/>
          <w:sz w:val="24"/>
          <w:highlight w:val="none"/>
        </w:rPr>
        <w:br w:type="page"/>
      </w:r>
    </w:p>
    <w:p>
      <w:pPr>
        <w:pStyle w:val="48"/>
        <w:widowControl w:val="0"/>
        <w:numPr>
          <w:ilvl w:val="0"/>
          <w:numId w:val="17"/>
        </w:numPr>
        <w:snapToGrid w:val="0"/>
        <w:spacing w:before="0" w:beforeAutospacing="0" w:after="0" w:afterAutospacing="0" w:line="360" w:lineRule="auto"/>
        <w:jc w:val="center"/>
        <w:outlineLvl w:val="2"/>
        <w:rPr>
          <w:rFonts w:cs="宋体"/>
          <w:b/>
          <w:color w:val="000000"/>
          <w:sz w:val="32"/>
          <w:szCs w:val="32"/>
          <w:highlight w:val="none"/>
          <w:lang w:val="zh-CN"/>
        </w:rPr>
      </w:pPr>
      <w:r>
        <w:rPr>
          <w:rFonts w:hint="eastAsia" w:cs="宋体"/>
          <w:b/>
          <w:color w:val="000000"/>
          <w:kern w:val="2"/>
          <w:sz w:val="32"/>
          <w:szCs w:val="32"/>
          <w:highlight w:val="none"/>
          <w:lang w:val="zh-CN" w:bidi="ar"/>
        </w:rPr>
        <w:t>法定代表人授权委托书</w:t>
      </w:r>
    </w:p>
    <w:p>
      <w:pPr>
        <w:shd w:val="clear" w:color="auto" w:fill="FFFFFF"/>
        <w:snapToGrid w:val="0"/>
        <w:spacing w:line="360" w:lineRule="auto"/>
        <w:rPr>
          <w:rFonts w:ascii="宋体" w:hAnsi="宋体" w:cs="宋体"/>
          <w:color w:val="000000"/>
          <w:sz w:val="24"/>
          <w:highlight w:val="none"/>
          <w:shd w:val="clear" w:color="auto" w:fill="FFFFFF"/>
        </w:rPr>
      </w:pPr>
      <w:r>
        <w:rPr>
          <w:rFonts w:hint="eastAsia" w:ascii="宋体" w:hAnsi="宋体" w:cs="宋体"/>
          <w:color w:val="000000"/>
          <w:sz w:val="24"/>
          <w:highlight w:val="none"/>
          <w:shd w:val="clear" w:color="auto" w:fill="FFFFFF"/>
          <w:lang w:bidi="ar"/>
        </w:rPr>
        <w:t>台州市第一人民医院、浙江省成套招标代理有限公司：</w:t>
      </w:r>
    </w:p>
    <w:p>
      <w:pPr>
        <w:shd w:val="clear" w:color="auto" w:fill="FFFFFF"/>
        <w:snapToGrid w:val="0"/>
        <w:spacing w:line="360" w:lineRule="auto"/>
        <w:ind w:firstLine="480" w:firstLineChars="200"/>
        <w:rPr>
          <w:rFonts w:ascii="宋体" w:hAnsi="宋体" w:cs="宋体"/>
          <w:color w:val="000000"/>
          <w:sz w:val="24"/>
          <w:highlight w:val="none"/>
          <w:shd w:val="clear" w:color="auto" w:fill="FFFFFF"/>
        </w:rPr>
      </w:pPr>
      <w:r>
        <w:rPr>
          <w:rFonts w:hint="eastAsia" w:ascii="宋体" w:hAnsi="宋体" w:cs="宋体"/>
          <w:color w:val="000000"/>
          <w:kern w:val="0"/>
          <w:sz w:val="24"/>
          <w:highlight w:val="none"/>
          <w:shd w:val="clear" w:color="auto" w:fill="FFFFFF"/>
          <w:lang w:val="zh-CN" w:bidi="ar"/>
        </w:rPr>
        <w:t>兹委派我公司</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先生/女士(其在本公司的职务是：</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，联系电话：</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手机：</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传真：</w:t>
      </w:r>
      <w:r>
        <w:rPr>
          <w:rFonts w:hint="eastAsia" w:ascii="宋体" w:hAnsi="宋体" w:cs="宋体"/>
          <w:color w:val="000000"/>
          <w:kern w:val="0"/>
          <w:sz w:val="24"/>
          <w:highlight w:val="none"/>
          <w:u w:val="single"/>
          <w:shd w:val="clear" w:color="auto" w:fill="FFFFFF"/>
          <w:lang w:val="zh-CN" w:bidi="ar"/>
        </w:rPr>
        <w:t xml:space="preserve">           </w:t>
      </w:r>
      <w:r>
        <w:rPr>
          <w:rFonts w:hint="eastAsia" w:ascii="宋体" w:hAnsi="宋体" w:cs="宋体"/>
          <w:color w:val="000000"/>
          <w:kern w:val="0"/>
          <w:sz w:val="24"/>
          <w:highlight w:val="none"/>
          <w:shd w:val="clear" w:color="auto" w:fill="FFFFFF"/>
          <w:lang w:val="zh-CN" w:bidi="ar"/>
        </w:rPr>
        <w:t>)，代表我公司全权处理</w:t>
      </w:r>
      <w:r>
        <w:rPr>
          <w:rFonts w:hint="eastAsia" w:ascii="宋体" w:hAnsi="宋体" w:cs="宋体"/>
          <w:color w:val="000000"/>
          <w:sz w:val="24"/>
          <w:highlight w:val="none"/>
          <w:u w:val="single"/>
          <w:shd w:val="clear" w:color="auto" w:fill="FFFFFF"/>
          <w:lang w:bidi="ar"/>
        </w:rPr>
        <w:t xml:space="preserve">台州市第一人民医院迁建工程（一期）医用智能化轨道小车物流传输设备系统 </w:t>
      </w:r>
      <w:r>
        <w:rPr>
          <w:rFonts w:hint="eastAsia" w:ascii="宋体" w:hAnsi="宋体" w:cs="宋体"/>
          <w:color w:val="000000"/>
          <w:sz w:val="24"/>
          <w:highlight w:val="none"/>
          <w:shd w:val="clear" w:color="auto" w:fill="FFFFFF"/>
          <w:lang w:bidi="ar"/>
        </w:rPr>
        <w:t xml:space="preserve"> (编号：</w:t>
      </w:r>
      <w:r>
        <w:rPr>
          <w:rFonts w:hint="eastAsia" w:ascii="宋体" w:hAnsi="宋体" w:cs="宋体"/>
          <w:color w:val="000000"/>
          <w:sz w:val="24"/>
          <w:highlight w:val="none"/>
          <w:u w:val="single"/>
          <w:shd w:val="clear" w:color="auto" w:fill="FFFFFF"/>
          <w:lang w:bidi="ar"/>
        </w:rPr>
        <w:t>CTZB-H191117AWZ</w:t>
      </w:r>
      <w:r>
        <w:rPr>
          <w:rFonts w:hint="eastAsia" w:ascii="宋体" w:hAnsi="宋体" w:cs="宋体"/>
          <w:color w:val="000000"/>
          <w:sz w:val="24"/>
          <w:highlight w:val="none"/>
          <w:shd w:val="clear" w:color="auto" w:fill="FFFFFF"/>
          <w:lang w:bidi="ar"/>
        </w:rPr>
        <w:t>)政府采购投标的一切事项，若中标则全权代表本公司签订相关合同，</w:t>
      </w:r>
      <w:r>
        <w:rPr>
          <w:rFonts w:hint="eastAsia" w:ascii="宋体" w:hAnsi="宋体" w:cs="宋体"/>
          <w:color w:val="000000"/>
          <w:kern w:val="0"/>
          <w:sz w:val="24"/>
          <w:highlight w:val="none"/>
          <w:shd w:val="clear" w:color="auto" w:fill="FFFFFF"/>
          <w:lang w:val="zh-CN" w:bidi="ar"/>
        </w:rPr>
        <w:t>并负责处理合同履行等事宜。</w:t>
      </w:r>
    </w:p>
    <w:p>
      <w:pPr>
        <w:shd w:val="clear" w:color="auto" w:fill="FFFFFF"/>
        <w:snapToGrid w:val="0"/>
        <w:spacing w:line="360" w:lineRule="auto"/>
        <w:rPr>
          <w:rFonts w:ascii="宋体" w:hAnsi="宋体" w:cs="宋体"/>
          <w:color w:val="000000"/>
          <w:kern w:val="0"/>
          <w:sz w:val="24"/>
          <w:highlight w:val="none"/>
          <w:shd w:val="clear" w:color="auto" w:fill="FFFFFF"/>
        </w:rPr>
      </w:pPr>
      <w:r>
        <w:rPr>
          <w:rFonts w:hint="eastAsia" w:ascii="宋体" w:hAnsi="宋体" w:cs="宋体"/>
          <w:color w:val="000000"/>
          <w:kern w:val="0"/>
          <w:sz w:val="24"/>
          <w:highlight w:val="none"/>
          <w:shd w:val="clear" w:color="auto" w:fill="FFFFFF"/>
          <w:lang w:val="zh-CN" w:bidi="ar"/>
        </w:rPr>
        <w:t xml:space="preserve">    特此告知。</w:t>
      </w:r>
    </w:p>
    <w:p>
      <w:pPr>
        <w:autoSpaceDE w:val="0"/>
        <w:autoSpaceDN w:val="0"/>
        <w:adjustRightInd w:val="0"/>
        <w:spacing w:before="120" w:beforeLines="50" w:after="120" w:afterLines="50" w:line="360" w:lineRule="auto"/>
        <w:rPr>
          <w:rFonts w:ascii="宋体" w:hAnsi="宋体" w:cs="宋体"/>
          <w:color w:val="000000"/>
          <w:kern w:val="0"/>
          <w:sz w:val="24"/>
          <w:highlight w:val="none"/>
        </w:rPr>
      </w:pPr>
      <w:r>
        <w:rPr>
          <w:rFonts w:hint="eastAsia" w:ascii="宋体" w:hAnsi="宋体" w:cs="宋体"/>
          <w:color w:val="000000"/>
          <w:kern w:val="0"/>
          <w:sz w:val="24"/>
          <w:highlight w:val="none"/>
          <w:shd w:val="clear" w:color="auto" w:fill="FFFFFF"/>
          <w:lang w:val="zh-CN" w:bidi="ar"/>
        </w:rPr>
        <w:t xml:space="preserve">                                       </w:t>
      </w:r>
      <w:r>
        <w:rPr>
          <w:rFonts w:hint="eastAsia" w:ascii="宋体" w:hAnsi="宋体" w:cs="宋体"/>
          <w:color w:val="000000"/>
          <w:kern w:val="0"/>
          <w:sz w:val="24"/>
          <w:highlight w:val="none"/>
          <w:shd w:val="clear" w:color="auto" w:fill="FFFFFF"/>
          <w:lang w:bidi="ar"/>
        </w:rPr>
        <w:t xml:space="preserve"> </w:t>
      </w:r>
      <w:r>
        <w:rPr>
          <w:rFonts w:hint="eastAsia" w:ascii="宋体" w:hAnsi="宋体" w:cs="宋体"/>
          <w:color w:val="000000"/>
          <w:kern w:val="0"/>
          <w:sz w:val="24"/>
          <w:highlight w:val="none"/>
          <w:lang w:bidi="ar"/>
        </w:rPr>
        <w:t>供应商</w:t>
      </w: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盖</w:t>
      </w:r>
      <w:r>
        <w:rPr>
          <w:rFonts w:hint="eastAsia" w:ascii="宋体" w:hAnsi="宋体" w:cs="宋体"/>
          <w:color w:val="000000"/>
          <w:kern w:val="0"/>
          <w:sz w:val="24"/>
          <w:highlight w:val="none"/>
          <w:lang w:val="zh-CN"/>
        </w:rPr>
        <w:t>章）：</w:t>
      </w:r>
    </w:p>
    <w:p>
      <w:pPr>
        <w:autoSpaceDE w:val="0"/>
        <w:autoSpaceDN w:val="0"/>
        <w:adjustRightInd w:val="0"/>
        <w:spacing w:before="120" w:beforeLines="50" w:after="120" w:afterLines="50" w:line="360" w:lineRule="auto"/>
        <w:rPr>
          <w:rFonts w:ascii="宋体" w:hAnsi="宋体" w:cs="宋体"/>
          <w:color w:val="000000"/>
          <w:kern w:val="0"/>
          <w:sz w:val="24"/>
          <w:highlight w:val="none"/>
        </w:rPr>
      </w:pP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 xml:space="preserve"> </w:t>
      </w:r>
      <w:r>
        <w:rPr>
          <w:rFonts w:hint="eastAsia" w:ascii="宋体" w:hAnsi="宋体" w:cs="宋体"/>
          <w:color w:val="000000"/>
          <w:kern w:val="0"/>
          <w:sz w:val="24"/>
          <w:highlight w:val="none"/>
          <w:lang w:bidi="ar"/>
        </w:rPr>
        <w:t>法定代表人（签字或盖章）</w:t>
      </w:r>
      <w:r>
        <w:rPr>
          <w:rFonts w:hint="eastAsia" w:ascii="宋体" w:hAnsi="宋体" w:cs="宋体"/>
          <w:color w:val="000000"/>
          <w:kern w:val="0"/>
          <w:sz w:val="24"/>
          <w:highlight w:val="none"/>
          <w:lang w:val="zh-CN"/>
        </w:rPr>
        <w:t>：</w:t>
      </w: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lang w:val="zh-CN"/>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年</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月</w:t>
      </w:r>
      <w:r>
        <w:rPr>
          <w:rFonts w:hint="eastAsia" w:ascii="宋体" w:hAnsi="宋体" w:cs="宋体"/>
          <w:color w:val="000000"/>
          <w:kern w:val="0"/>
          <w:sz w:val="24"/>
          <w:highlight w:val="none"/>
        </w:rPr>
        <w:t xml:space="preserve">   </w:t>
      </w:r>
      <w:r>
        <w:rPr>
          <w:rFonts w:hint="eastAsia" w:ascii="宋体" w:hAnsi="宋体" w:cs="宋体"/>
          <w:color w:val="000000"/>
          <w:kern w:val="0"/>
          <w:sz w:val="24"/>
          <w:highlight w:val="none"/>
          <w:lang w:val="zh-CN"/>
        </w:rPr>
        <w:t>日</w:t>
      </w: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lang w:val="zh-CN"/>
        </w:rPr>
      </w:pPr>
    </w:p>
    <w:p>
      <w:pPr>
        <w:autoSpaceDE w:val="0"/>
        <w:autoSpaceDN w:val="0"/>
        <w:adjustRightInd w:val="0"/>
        <w:spacing w:before="120" w:beforeLines="50" w:after="120" w:afterLines="50" w:line="360" w:lineRule="auto"/>
        <w:ind w:firstLine="4800" w:firstLineChars="2000"/>
        <w:rPr>
          <w:rFonts w:ascii="宋体" w:hAnsi="宋体" w:cs="宋体"/>
          <w:color w:val="000000"/>
          <w:kern w:val="0"/>
          <w:sz w:val="24"/>
          <w:highlight w:val="none"/>
          <w:lang w:val="zh-CN"/>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法定代表人及授权代表人的身份证 (复印件加盖公章)</w:t>
      </w:r>
    </w:p>
    <w:p>
      <w:pPr>
        <w:shd w:val="clear" w:color="auto" w:fill="FFFFFF"/>
        <w:snapToGrid w:val="0"/>
        <w:spacing w:line="360" w:lineRule="auto"/>
        <w:ind w:right="480"/>
        <w:jc w:val="center"/>
        <w:rPr>
          <w:rFonts w:ascii="宋体" w:hAnsi="宋体" w:cs="宋体"/>
          <w:b/>
          <w:color w:val="000000"/>
          <w:kern w:val="0"/>
          <w:sz w:val="24"/>
          <w:highlight w:val="none"/>
          <w:shd w:val="clear" w:color="auto" w:fill="FFFFFF"/>
          <w:lang w:val="zh-CN"/>
        </w:rPr>
      </w:pPr>
    </w:p>
    <w:p>
      <w:pPr>
        <w:shd w:val="clear" w:color="auto" w:fill="FFFFFF"/>
        <w:snapToGrid w:val="0"/>
        <w:spacing w:line="360" w:lineRule="auto"/>
        <w:ind w:right="480"/>
        <w:rPr>
          <w:rFonts w:ascii="宋体" w:hAnsi="宋体" w:cs="宋体"/>
          <w:b/>
          <w:color w:val="000000"/>
          <w:kern w:val="0"/>
          <w:sz w:val="24"/>
          <w:highlight w:val="none"/>
          <w:shd w:val="clear" w:color="auto" w:fill="FFFFFF"/>
          <w:lang w:val="zh-CN"/>
        </w:rPr>
      </w:pPr>
    </w:p>
    <w:p>
      <w:pPr>
        <w:shd w:val="clear" w:color="auto" w:fill="FFFFFF"/>
        <w:snapToGrid w:val="0"/>
        <w:spacing w:line="360" w:lineRule="auto"/>
        <w:ind w:right="480"/>
        <w:rPr>
          <w:rFonts w:ascii="宋体" w:hAnsi="宋体" w:cs="宋体"/>
          <w:b/>
          <w:color w:val="000000"/>
          <w:kern w:val="0"/>
          <w:sz w:val="24"/>
          <w:highlight w:val="none"/>
          <w:shd w:val="clear" w:color="auto" w:fill="FFFFFF"/>
          <w:lang w:val="zh-CN"/>
        </w:rPr>
      </w:pPr>
    </w:p>
    <w:p>
      <w:pPr>
        <w:shd w:val="clear" w:color="auto" w:fill="FFFFFF"/>
        <w:snapToGrid w:val="0"/>
        <w:spacing w:line="360" w:lineRule="auto"/>
        <w:ind w:right="480"/>
        <w:rPr>
          <w:rFonts w:ascii="宋体" w:hAnsi="宋体" w:cs="宋体"/>
          <w:b/>
          <w:color w:val="000000"/>
          <w:kern w:val="0"/>
          <w:sz w:val="24"/>
          <w:highlight w:val="none"/>
          <w:shd w:val="clear" w:color="auto" w:fill="FFFFFF"/>
          <w:lang w:val="zh-CN"/>
        </w:rPr>
      </w:pPr>
    </w:p>
    <w:p>
      <w:pPr>
        <w:shd w:val="clear" w:color="auto" w:fill="FFFFFF"/>
        <w:snapToGrid w:val="0"/>
        <w:spacing w:line="360" w:lineRule="auto"/>
        <w:ind w:right="480"/>
        <w:rPr>
          <w:rFonts w:ascii="宋体" w:hAnsi="宋体" w:cs="宋体"/>
          <w:b/>
          <w:color w:val="000000"/>
          <w:kern w:val="0"/>
          <w:sz w:val="24"/>
          <w:highlight w:val="none"/>
          <w:shd w:val="clear" w:color="auto" w:fill="FFFFFF"/>
          <w:lang w:val="zh-CN"/>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bidi="ar"/>
        </w:rPr>
      </w:pPr>
      <w:r>
        <w:rPr>
          <w:rFonts w:hint="eastAsia" w:cs="宋体"/>
          <w:b/>
          <w:color w:val="000000"/>
          <w:kern w:val="2"/>
          <w:sz w:val="32"/>
          <w:szCs w:val="32"/>
          <w:highlight w:val="none"/>
          <w:lang w:val="zh-CN" w:bidi="ar"/>
        </w:rPr>
        <w:t>资质文件（如有）</w:t>
      </w:r>
      <w:r>
        <w:rPr>
          <w:rFonts w:hint="eastAsia" w:cs="宋体"/>
          <w:b/>
          <w:color w:val="000000"/>
          <w:kern w:val="2"/>
          <w:sz w:val="32"/>
          <w:szCs w:val="32"/>
          <w:highlight w:val="none"/>
          <w:lang w:bidi="ar"/>
        </w:rPr>
        <w:t xml:space="preserve"> </w:t>
      </w: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shd w:val="clear" w:color="auto" w:fill="FFFFFF"/>
        <w:snapToGrid w:val="0"/>
        <w:spacing w:line="360" w:lineRule="auto"/>
        <w:ind w:firstLine="5160" w:firstLineChars="2150"/>
        <w:rPr>
          <w:rFonts w:ascii="宋体" w:hAnsi="宋体" w:cs="宋体"/>
          <w:color w:val="000000"/>
          <w:kern w:val="0"/>
          <w:sz w:val="24"/>
          <w:highlight w:val="none"/>
          <w:shd w:val="clear" w:color="auto" w:fill="FFFFFF"/>
          <w:lang w:val="zh-CN"/>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廉政承诺书</w:t>
      </w:r>
    </w:p>
    <w:p>
      <w:pPr>
        <w:autoSpaceDE w:val="0"/>
        <w:autoSpaceDN w:val="0"/>
        <w:spacing w:line="360" w:lineRule="auto"/>
        <w:ind w:left="2"/>
        <w:jc w:val="left"/>
        <w:rPr>
          <w:rFonts w:ascii="宋体" w:hAnsi="宋体" w:cs="仿宋_GB2312"/>
          <w:color w:val="000000"/>
          <w:sz w:val="24"/>
          <w:highlight w:val="none"/>
          <w:lang w:val="zh-CN"/>
        </w:rPr>
      </w:pPr>
    </w:p>
    <w:p>
      <w:pPr>
        <w:autoSpaceDE w:val="0"/>
        <w:autoSpaceDN w:val="0"/>
        <w:spacing w:line="360" w:lineRule="auto"/>
        <w:ind w:left="2"/>
        <w:jc w:val="left"/>
        <w:rPr>
          <w:rFonts w:ascii="宋体" w:hAnsi="宋体" w:cs="仿宋_GB2312"/>
          <w:color w:val="000000"/>
          <w:kern w:val="0"/>
          <w:sz w:val="24"/>
          <w:highlight w:val="none"/>
          <w:lang w:val="zh-CN"/>
        </w:rPr>
      </w:pPr>
      <w:r>
        <w:rPr>
          <w:rFonts w:hint="eastAsia" w:ascii="宋体" w:hAnsi="宋体" w:cs="宋体"/>
          <w:color w:val="000000"/>
          <w:kern w:val="0"/>
          <w:sz w:val="24"/>
          <w:highlight w:val="none"/>
          <w:lang w:val="zh-CN"/>
        </w:rPr>
        <w:t>台州市第一人民医院、浙江省成套招标代理有限公司：</w:t>
      </w:r>
      <w:r>
        <w:rPr>
          <w:rFonts w:hint="eastAsia" w:ascii="宋体" w:hAnsi="宋体" w:cs="仿宋_GB2312"/>
          <w:color w:val="000000"/>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我单位响应你</w:t>
      </w:r>
      <w:r>
        <w:rPr>
          <w:rFonts w:hint="eastAsia" w:ascii="宋体" w:hAnsi="宋体" w:cs="仿宋_GB2312"/>
          <w:color w:val="000000"/>
          <w:sz w:val="24"/>
          <w:highlight w:val="none"/>
        </w:rPr>
        <w:t>单位</w:t>
      </w:r>
      <w:r>
        <w:rPr>
          <w:rFonts w:hint="eastAsia" w:ascii="宋体" w:hAnsi="宋体" w:cs="仿宋_GB2312"/>
          <w:color w:val="000000"/>
          <w:kern w:val="0"/>
          <w:sz w:val="24"/>
          <w:highlight w:val="none"/>
          <w:lang w:val="zh-CN"/>
        </w:rPr>
        <w:t xml:space="preserve">项目采购要求参加投标。在这次投标过程中和中标后，我们将严格遵守国家法律法规要求，并郑重承诺：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 xml:space="preserve">四、不为项目有关人员及部门出国（境）、旅游等提供方便；    </w:t>
      </w:r>
    </w:p>
    <w:p>
      <w:pPr>
        <w:autoSpaceDE w:val="0"/>
        <w:autoSpaceDN w:val="0"/>
        <w:spacing w:line="360" w:lineRule="auto"/>
        <w:ind w:left="481" w:leftChars="229"/>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五、不为项目有关人员个人装修住房、婚丧嫁娶、配偶子女工作安排等提供好处；    六、严格遵守政府采购法、招标投标法、合同法等法律，诚实守信，合法经营，坚</w:t>
      </w:r>
    </w:p>
    <w:p>
      <w:pPr>
        <w:autoSpaceDE w:val="0"/>
        <w:autoSpaceDN w:val="0"/>
        <w:spacing w:line="360" w:lineRule="auto"/>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 xml:space="preserve">决抵制各种违法违纪行为。    </w:t>
      </w:r>
    </w:p>
    <w:p>
      <w:pPr>
        <w:autoSpaceDE w:val="0"/>
        <w:autoSpaceDN w:val="0"/>
        <w:spacing w:line="360" w:lineRule="auto"/>
        <w:ind w:firstLine="480" w:firstLineChars="200"/>
        <w:jc w:val="left"/>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如违反上述承诺，你</w:t>
      </w:r>
      <w:r>
        <w:rPr>
          <w:rFonts w:hint="eastAsia" w:ascii="宋体" w:hAnsi="宋体" w:cs="仿宋_GB2312"/>
          <w:color w:val="000000"/>
          <w:sz w:val="24"/>
          <w:highlight w:val="none"/>
        </w:rPr>
        <w:t>单位</w:t>
      </w:r>
      <w:r>
        <w:rPr>
          <w:rFonts w:hint="eastAsia" w:ascii="宋体" w:hAnsi="宋体" w:cs="仿宋_GB2312"/>
          <w:color w:val="000000"/>
          <w:kern w:val="0"/>
          <w:sz w:val="24"/>
          <w:highlight w:val="none"/>
          <w:lang w:val="zh-CN"/>
        </w:rPr>
        <w:t>有权立即取消我单位投标、中标或在建项目的建设资格，有权拒绝我单位在一定时期内进入你</w:t>
      </w:r>
      <w:r>
        <w:rPr>
          <w:rFonts w:hint="eastAsia" w:ascii="宋体" w:hAnsi="宋体" w:cs="仿宋_GB2312"/>
          <w:color w:val="000000"/>
          <w:sz w:val="24"/>
          <w:highlight w:val="none"/>
        </w:rPr>
        <w:t>单位</w:t>
      </w:r>
      <w:r>
        <w:rPr>
          <w:rFonts w:hint="eastAsia" w:ascii="宋体" w:hAnsi="宋体" w:cs="仿宋_GB2312"/>
          <w:color w:val="000000"/>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仿宋_GB2312"/>
          <w:color w:val="000000"/>
          <w:kern w:val="0"/>
          <w:sz w:val="24"/>
          <w:highlight w:val="none"/>
          <w:lang w:val="zh-CN"/>
        </w:rPr>
      </w:pPr>
    </w:p>
    <w:p>
      <w:pPr>
        <w:pStyle w:val="156"/>
        <w:ind w:firstLine="0" w:firstLineChars="0"/>
        <w:rPr>
          <w:rFonts w:cs="仿宋_GB2312"/>
          <w:kern w:val="0"/>
          <w:highlight w:val="none"/>
          <w:lang w:val="zh-CN"/>
        </w:rPr>
      </w:pPr>
      <w:r>
        <w:rPr>
          <w:rFonts w:hint="eastAsia" w:cs="仿宋_GB2312"/>
          <w:kern w:val="0"/>
          <w:highlight w:val="none"/>
          <w:lang w:val="zh-CN"/>
        </w:rPr>
        <w:t xml:space="preserve"> </w:t>
      </w: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pStyle w:val="156"/>
        <w:ind w:firstLine="5040" w:firstLineChars="2100"/>
        <w:rPr>
          <w:rFonts w:cs="仿宋_GB2312"/>
          <w:kern w:val="0"/>
          <w:highlight w:val="none"/>
          <w:lang w:val="zh-CN"/>
        </w:rPr>
      </w:pPr>
    </w:p>
    <w:p>
      <w:pPr>
        <w:pStyle w:val="156"/>
        <w:ind w:firstLine="480"/>
        <w:rPr>
          <w:rFonts w:cs="仿宋_GB2312"/>
          <w:kern w:val="0"/>
          <w:highlight w:val="none"/>
          <w:lang w:val="zh-CN"/>
        </w:rPr>
      </w:pPr>
    </w:p>
    <w:p>
      <w:pPr>
        <w:pStyle w:val="156"/>
        <w:ind w:firstLine="480"/>
        <w:rPr>
          <w:rFonts w:cs="仿宋_GB2312"/>
          <w:kern w:val="0"/>
          <w:highlight w:val="none"/>
          <w:lang w:val="zh-CN"/>
        </w:rPr>
      </w:pPr>
    </w:p>
    <w:p>
      <w:pPr>
        <w:pStyle w:val="156"/>
        <w:ind w:firstLine="480"/>
        <w:rPr>
          <w:rFonts w:cs="仿宋_GB2312"/>
          <w:kern w:val="0"/>
          <w:highlight w:val="none"/>
          <w:lang w:val="zh-CN"/>
        </w:rPr>
      </w:pPr>
    </w:p>
    <w:p>
      <w:pPr>
        <w:pStyle w:val="156"/>
        <w:ind w:firstLine="560"/>
        <w:rPr>
          <w:rFonts w:cs="Arial"/>
          <w:spacing w:val="20"/>
          <w:highlight w:val="none"/>
        </w:rPr>
      </w:pPr>
    </w:p>
    <w:p>
      <w:pPr>
        <w:pStyle w:val="156"/>
        <w:ind w:firstLine="560"/>
        <w:rPr>
          <w:rFonts w:cs="Arial"/>
          <w:spacing w:val="20"/>
          <w:highlight w:val="none"/>
        </w:rPr>
      </w:pPr>
    </w:p>
    <w:p>
      <w:pPr>
        <w:pStyle w:val="156"/>
        <w:ind w:firstLine="560"/>
        <w:rPr>
          <w:rFonts w:cs="Arial"/>
          <w:spacing w:val="20"/>
          <w:highlight w:val="none"/>
        </w:rPr>
      </w:pPr>
    </w:p>
    <w:p>
      <w:pPr>
        <w:pStyle w:val="156"/>
        <w:ind w:firstLine="560"/>
        <w:rPr>
          <w:rFonts w:cs="Arial"/>
          <w:spacing w:val="20"/>
          <w:highlight w:val="none"/>
        </w:rPr>
      </w:pPr>
    </w:p>
    <w:p>
      <w:pPr>
        <w:pStyle w:val="156"/>
        <w:ind w:firstLine="560"/>
        <w:rPr>
          <w:rFonts w:cs="Arial"/>
          <w:spacing w:val="20"/>
          <w:highlight w:val="none"/>
        </w:rPr>
      </w:pPr>
    </w:p>
    <w:p>
      <w:pPr>
        <w:pStyle w:val="48"/>
        <w:widowControl w:val="0"/>
        <w:numPr>
          <w:ilvl w:val="0"/>
          <w:numId w:val="17"/>
        </w:numPr>
        <w:snapToGrid w:val="0"/>
        <w:spacing w:before="0" w:beforeAutospacing="0" w:after="0" w:afterAutospacing="0" w:line="360" w:lineRule="auto"/>
        <w:jc w:val="center"/>
        <w:outlineLvl w:val="2"/>
        <w:rPr>
          <w:rFonts w:cs="仿宋_GB2312"/>
          <w:b/>
          <w:color w:val="000000"/>
          <w:sz w:val="32"/>
          <w:szCs w:val="32"/>
          <w:highlight w:val="none"/>
        </w:rPr>
      </w:pPr>
      <w:r>
        <w:rPr>
          <w:rFonts w:hint="eastAsia" w:cs="宋体"/>
          <w:b/>
          <w:color w:val="000000"/>
          <w:kern w:val="2"/>
          <w:sz w:val="32"/>
          <w:szCs w:val="32"/>
          <w:highlight w:val="none"/>
          <w:lang w:val="zh-CN" w:bidi="ar"/>
        </w:rPr>
        <w:t>评分索引（自拟）</w:t>
      </w:r>
    </w:p>
    <w:p>
      <w:pPr>
        <w:pStyle w:val="48"/>
        <w:widowControl w:val="0"/>
        <w:snapToGrid w:val="0"/>
        <w:spacing w:before="0" w:beforeAutospacing="0" w:after="0" w:afterAutospacing="0" w:line="360" w:lineRule="auto"/>
        <w:jc w:val="center"/>
        <w:outlineLvl w:val="2"/>
        <w:rPr>
          <w:rFonts w:cs="宋体"/>
          <w:b/>
          <w:color w:val="000000"/>
          <w:kern w:val="2"/>
          <w:sz w:val="32"/>
          <w:szCs w:val="32"/>
          <w:highlight w:val="none"/>
          <w:lang w:val="zh-CN" w:bidi="ar"/>
        </w:rPr>
      </w:pPr>
    </w:p>
    <w:p>
      <w:pPr>
        <w:pStyle w:val="48"/>
        <w:widowControl w:val="0"/>
        <w:snapToGrid w:val="0"/>
        <w:spacing w:before="0" w:beforeAutospacing="0" w:after="0" w:afterAutospacing="0" w:line="360" w:lineRule="auto"/>
        <w:jc w:val="center"/>
        <w:outlineLvl w:val="2"/>
        <w:rPr>
          <w:rFonts w:cs="宋体"/>
          <w:b/>
          <w:color w:val="000000"/>
          <w:kern w:val="2"/>
          <w:sz w:val="32"/>
          <w:szCs w:val="32"/>
          <w:highlight w:val="none"/>
          <w:lang w:val="zh-CN" w:bidi="ar"/>
        </w:rPr>
      </w:pPr>
    </w:p>
    <w:p>
      <w:pPr>
        <w:pStyle w:val="48"/>
        <w:widowControl w:val="0"/>
        <w:numPr>
          <w:ilvl w:val="0"/>
          <w:numId w:val="17"/>
        </w:numPr>
        <w:snapToGrid w:val="0"/>
        <w:spacing w:before="0" w:beforeAutospacing="0" w:after="0" w:afterAutospacing="0" w:line="360" w:lineRule="auto"/>
        <w:jc w:val="center"/>
        <w:outlineLvl w:val="2"/>
        <w:rPr>
          <w:rFonts w:cs="仿宋_GB2312"/>
          <w:b/>
          <w:color w:val="000000"/>
          <w:sz w:val="32"/>
          <w:szCs w:val="32"/>
          <w:highlight w:val="none"/>
        </w:rPr>
      </w:pPr>
      <w:r>
        <w:rPr>
          <w:rFonts w:hint="eastAsia" w:cs="宋体"/>
          <w:b/>
          <w:color w:val="000000"/>
          <w:kern w:val="2"/>
          <w:sz w:val="32"/>
          <w:szCs w:val="32"/>
          <w:highlight w:val="none"/>
          <w:lang w:val="zh-CN" w:bidi="ar"/>
        </w:rPr>
        <w:t>声明书</w:t>
      </w:r>
    </w:p>
    <w:p>
      <w:pPr>
        <w:snapToGrid w:val="0"/>
        <w:spacing w:line="360" w:lineRule="auto"/>
        <w:rPr>
          <w:rFonts w:ascii="宋体" w:hAnsi="宋体" w:cs="仿宋_GB2312"/>
          <w:color w:val="000000"/>
          <w:kern w:val="0"/>
          <w:sz w:val="24"/>
          <w:highlight w:val="none"/>
        </w:rPr>
      </w:pPr>
      <w:r>
        <w:rPr>
          <w:rFonts w:hint="eastAsia" w:ascii="宋体" w:hAnsi="宋体" w:cs="宋体"/>
          <w:color w:val="000000"/>
          <w:kern w:val="0"/>
          <w:sz w:val="24"/>
          <w:highlight w:val="none"/>
          <w:lang w:val="zh-CN"/>
        </w:rPr>
        <w:t>台州市第一人民医院、浙江省成套招标代理有限公司</w:t>
      </w:r>
      <w:r>
        <w:rPr>
          <w:rFonts w:hint="eastAsia" w:ascii="宋体" w:hAnsi="宋体" w:cs="仿宋_GB2312"/>
          <w:color w:val="000000"/>
          <w:kern w:val="0"/>
          <w:sz w:val="24"/>
          <w:highlight w:val="none"/>
          <w:lang w:val="zh-CN"/>
        </w:rPr>
        <w:t>：</w:t>
      </w:r>
    </w:p>
    <w:p>
      <w:pPr>
        <w:snapToGrid w:val="0"/>
        <w:spacing w:line="360" w:lineRule="auto"/>
        <w:ind w:firstLine="480"/>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我公司自愿参加</w:t>
      </w:r>
      <w:r>
        <w:rPr>
          <w:rFonts w:hint="eastAsia" w:ascii="宋体" w:hAnsi="宋体" w:cs="仿宋_GB2312"/>
          <w:color w:val="000000"/>
          <w:sz w:val="24"/>
          <w:highlight w:val="none"/>
          <w:u w:val="single"/>
        </w:rPr>
        <w:t>（项目名称：台</w:t>
      </w:r>
      <w:r>
        <w:rPr>
          <w:rFonts w:hint="eastAsia" w:ascii="宋体" w:hAnsi="宋体" w:cs="宋体"/>
          <w:color w:val="000000"/>
          <w:sz w:val="24"/>
          <w:highlight w:val="none"/>
          <w:u w:val="single"/>
          <w:shd w:val="clear" w:color="auto" w:fill="FFFFFF"/>
          <w:lang w:bidi="ar"/>
        </w:rPr>
        <w:t>州市第一人民医院迁建工程（一期）医用智能化轨道小车物流传输设备系统</w:t>
      </w:r>
      <w:r>
        <w:rPr>
          <w:rFonts w:hint="eastAsia" w:ascii="宋体" w:hAnsi="宋体" w:cs="仿宋_GB2312"/>
          <w:color w:val="000000"/>
          <w:sz w:val="24"/>
          <w:highlight w:val="none"/>
          <w:u w:val="single"/>
        </w:rPr>
        <w:t xml:space="preserve"> ）</w:t>
      </w:r>
      <w:r>
        <w:rPr>
          <w:rFonts w:hint="eastAsia" w:ascii="宋体" w:hAnsi="宋体" w:cs="仿宋_GB2312"/>
          <w:color w:val="000000"/>
          <w:kern w:val="0"/>
          <w:sz w:val="24"/>
          <w:highlight w:val="none"/>
          <w:u w:val="single"/>
          <w:lang w:val="zh-CN"/>
        </w:rPr>
        <w:t>【编号：</w:t>
      </w:r>
      <w:r>
        <w:rPr>
          <w:rFonts w:hint="eastAsia" w:ascii="宋体" w:hAnsi="宋体" w:cs="宋体"/>
          <w:color w:val="000000"/>
          <w:sz w:val="24"/>
          <w:highlight w:val="none"/>
          <w:u w:val="single"/>
          <w:shd w:val="clear" w:color="auto" w:fill="FFFFFF"/>
          <w:lang w:bidi="ar"/>
        </w:rPr>
        <w:t>CTZB-H191117AWZ</w:t>
      </w:r>
      <w:r>
        <w:rPr>
          <w:rFonts w:hint="eastAsia" w:ascii="宋体" w:hAnsi="宋体" w:cs="仿宋_GB2312"/>
          <w:color w:val="000000"/>
          <w:sz w:val="24"/>
          <w:highlight w:val="none"/>
          <w:u w:val="single"/>
        </w:rPr>
        <w:t>】</w:t>
      </w:r>
      <w:r>
        <w:rPr>
          <w:rFonts w:hint="eastAsia" w:ascii="宋体" w:hAnsi="宋体" w:cs="仿宋_GB2312"/>
          <w:color w:val="000000"/>
          <w:kern w:val="0"/>
          <w:sz w:val="24"/>
          <w:highlight w:val="none"/>
          <w:lang w:val="zh-CN"/>
        </w:rPr>
        <w:t>的投标，并保证投标文件中所列举的投标报价文件及相关资料和公司基本情况资料是真实的、合法的。</w:t>
      </w:r>
    </w:p>
    <w:p>
      <w:pPr>
        <w:snapToGrid w:val="0"/>
        <w:spacing w:line="360" w:lineRule="auto"/>
        <w:ind w:firstLine="480"/>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我公司已详细阅读全部“招标文件”，包括修改文件（如果有）以及全部采购资料和相关附件，并已了解我公司在招投标过程中的权利和义务。</w:t>
      </w:r>
    </w:p>
    <w:p>
      <w:pPr>
        <w:snapToGrid w:val="0"/>
        <w:spacing w:line="360" w:lineRule="auto"/>
        <w:ind w:firstLine="480"/>
        <w:rPr>
          <w:rFonts w:ascii="宋体" w:hAnsi="宋体" w:cs="仿宋_GB2312"/>
          <w:color w:val="000000"/>
          <w:kern w:val="0"/>
          <w:sz w:val="24"/>
          <w:highlight w:val="none"/>
        </w:rPr>
      </w:pPr>
      <w:r>
        <w:rPr>
          <w:rFonts w:hint="eastAsia" w:ascii="宋体" w:hAnsi="宋体" w:cs="仿宋_GB2312"/>
          <w:color w:val="000000"/>
          <w:kern w:val="0"/>
          <w:sz w:val="24"/>
          <w:highlight w:val="none"/>
          <w:lang w:val="zh-CN"/>
        </w:rPr>
        <w:t>我公司理解并接受招标文件的各项规定和要求，同意此次招标文件中的各项内容，</w:t>
      </w:r>
      <w:r>
        <w:rPr>
          <w:rFonts w:hint="eastAsia" w:ascii="宋体" w:hAnsi="宋体" w:cs="仿宋_GB2312"/>
          <w:color w:val="000000"/>
          <w:kern w:val="0"/>
          <w:sz w:val="24"/>
          <w:highlight w:val="none"/>
        </w:rPr>
        <w:t>并</w:t>
      </w:r>
      <w:r>
        <w:rPr>
          <w:rFonts w:hint="eastAsia" w:ascii="宋体" w:hAnsi="宋体" w:cs="仿宋_GB2312"/>
          <w:color w:val="000000"/>
          <w:kern w:val="0"/>
          <w:sz w:val="24"/>
          <w:highlight w:val="none"/>
          <w:lang w:val="zh-CN"/>
        </w:rPr>
        <w:t>同意提供按照贵方可能要求的与投标有关的一切数据或资料等。</w:t>
      </w:r>
    </w:p>
    <w:p>
      <w:pPr>
        <w:snapToGrid w:val="0"/>
        <w:spacing w:line="360" w:lineRule="auto"/>
        <w:ind w:firstLine="480"/>
        <w:rPr>
          <w:rFonts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本公司如中标，保证按照投标文件的承诺与贵方签订合同，保证履行合同条款并缴纳履约保证金。</w:t>
      </w:r>
    </w:p>
    <w:p>
      <w:pPr>
        <w:pStyle w:val="156"/>
        <w:ind w:firstLine="0" w:firstLineChars="0"/>
        <w:rPr>
          <w:rFonts w:cs="仿宋_GB2312"/>
          <w:kern w:val="0"/>
          <w:highlight w:val="none"/>
          <w:lang w:val="zh-CN"/>
        </w:rPr>
      </w:pP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center"/>
        <w:rPr>
          <w:rFonts w:ascii="宋体" w:hAnsi="宋体" w:cs="仿宋_GB2312"/>
          <w:b/>
          <w:color w:val="000000"/>
          <w:sz w:val="30"/>
          <w:szCs w:val="30"/>
          <w:highlight w:val="none"/>
        </w:rPr>
      </w:pPr>
    </w:p>
    <w:p>
      <w:pPr>
        <w:spacing w:line="360" w:lineRule="auto"/>
        <w:jc w:val="center"/>
        <w:rPr>
          <w:rFonts w:ascii="宋体" w:hAnsi="宋体" w:cs="仿宋_GB2312"/>
          <w:b/>
          <w:color w:val="000000"/>
          <w:sz w:val="30"/>
          <w:szCs w:val="30"/>
          <w:highlight w:val="none"/>
        </w:rPr>
      </w:pPr>
    </w:p>
    <w:p>
      <w:pPr>
        <w:spacing w:line="360" w:lineRule="auto"/>
        <w:jc w:val="center"/>
        <w:rPr>
          <w:rFonts w:ascii="宋体" w:hAnsi="宋体" w:cs="仿宋_GB2312"/>
          <w:b/>
          <w:color w:val="000000"/>
          <w:sz w:val="30"/>
          <w:szCs w:val="30"/>
          <w:highlight w:val="none"/>
        </w:rPr>
      </w:pPr>
    </w:p>
    <w:p>
      <w:pPr>
        <w:spacing w:line="360" w:lineRule="auto"/>
        <w:jc w:val="center"/>
        <w:rPr>
          <w:rFonts w:ascii="宋体" w:hAnsi="宋体" w:cs="仿宋_GB2312"/>
          <w:b/>
          <w:color w:val="000000"/>
          <w:sz w:val="30"/>
          <w:szCs w:val="30"/>
          <w:highlight w:val="none"/>
        </w:rPr>
      </w:pPr>
    </w:p>
    <w:p>
      <w:pPr>
        <w:spacing w:line="360" w:lineRule="auto"/>
        <w:jc w:val="center"/>
        <w:rPr>
          <w:rFonts w:ascii="宋体" w:hAnsi="宋体" w:cs="仿宋_GB2312"/>
          <w:b/>
          <w:color w:val="000000"/>
          <w:sz w:val="30"/>
          <w:szCs w:val="30"/>
          <w:highlight w:val="none"/>
        </w:rPr>
      </w:pPr>
    </w:p>
    <w:p>
      <w:pPr>
        <w:spacing w:line="360" w:lineRule="auto"/>
        <w:jc w:val="center"/>
        <w:rPr>
          <w:rFonts w:ascii="宋体" w:hAnsi="宋体" w:cs="仿宋_GB2312"/>
          <w:b/>
          <w:color w:val="000000"/>
          <w:sz w:val="30"/>
          <w:szCs w:val="30"/>
          <w:highlight w:val="none"/>
        </w:rPr>
      </w:pPr>
    </w:p>
    <w:p>
      <w:pPr>
        <w:spacing w:line="360" w:lineRule="auto"/>
        <w:jc w:val="center"/>
        <w:rPr>
          <w:rFonts w:ascii="宋体" w:hAnsi="宋体" w:cs="仿宋_GB2312"/>
          <w:b/>
          <w:color w:val="000000"/>
          <w:sz w:val="30"/>
          <w:szCs w:val="30"/>
          <w:highlight w:val="none"/>
        </w:rPr>
      </w:pPr>
    </w:p>
    <w:p>
      <w:pPr>
        <w:spacing w:line="360" w:lineRule="auto"/>
        <w:rPr>
          <w:rFonts w:ascii="宋体" w:hAnsi="宋体" w:cs="仿宋_GB2312"/>
          <w:b/>
          <w:color w:val="000000"/>
          <w:sz w:val="30"/>
          <w:szCs w:val="30"/>
          <w:highlight w:val="none"/>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投标人基本情况</w:t>
      </w:r>
    </w:p>
    <w:p>
      <w:pPr>
        <w:pStyle w:val="156"/>
        <w:ind w:firstLine="0" w:firstLineChars="0"/>
        <w:rPr>
          <w:rFonts w:cs="仿宋_GB2312"/>
          <w:kern w:val="0"/>
          <w:highlight w:val="none"/>
          <w:lang w:val="zh-CN"/>
        </w:rPr>
      </w:pP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center"/>
        <w:rPr>
          <w:rFonts w:ascii="宋体" w:hAnsi="宋体" w:cs="仿宋_GB2312"/>
          <w:b/>
          <w:bCs/>
          <w:color w:val="000000"/>
          <w:sz w:val="32"/>
          <w:szCs w:val="32"/>
          <w:highlight w:val="none"/>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主要业绩证明（格式可自行调整）</w:t>
      </w:r>
    </w:p>
    <w:p>
      <w:pPr>
        <w:autoSpaceDE w:val="0"/>
        <w:autoSpaceDN w:val="0"/>
        <w:spacing w:line="360" w:lineRule="auto"/>
        <w:ind w:firstLine="120"/>
        <w:rPr>
          <w:rFonts w:ascii="宋体" w:hAnsi="宋体" w:cs="仿宋_GB2312"/>
          <w:b/>
          <w:color w:val="000000"/>
          <w:sz w:val="24"/>
          <w:highlight w:val="none"/>
        </w:rPr>
      </w:pPr>
      <w:r>
        <w:rPr>
          <w:rFonts w:hint="eastAsia" w:ascii="宋体" w:hAnsi="宋体" w:cs="仿宋_GB2312"/>
          <w:b/>
          <w:color w:val="000000"/>
          <w:sz w:val="24"/>
          <w:highlight w:val="none"/>
        </w:rPr>
        <w:t>附表 :相关项目业绩一览表</w:t>
      </w:r>
    </w:p>
    <w:tbl>
      <w:tblPr>
        <w:tblStyle w:val="63"/>
        <w:tblW w:w="9401" w:type="dxa"/>
        <w:tblInd w:w="0" w:type="dxa"/>
        <w:tblLayout w:type="fixed"/>
        <w:tblCellMar>
          <w:top w:w="0" w:type="dxa"/>
          <w:left w:w="108" w:type="dxa"/>
          <w:bottom w:w="0" w:type="dxa"/>
          <w:right w:w="108" w:type="dxa"/>
        </w:tblCellMar>
      </w:tblPr>
      <w:tblGrid>
        <w:gridCol w:w="1816"/>
        <w:gridCol w:w="1475"/>
        <w:gridCol w:w="1524"/>
        <w:gridCol w:w="1135"/>
        <w:gridCol w:w="1211"/>
        <w:gridCol w:w="2240"/>
      </w:tblGrid>
      <w:tr>
        <w:tblPrEx>
          <w:tblLayout w:type="fixed"/>
          <w:tblCellMar>
            <w:top w:w="0" w:type="dxa"/>
            <w:left w:w="108" w:type="dxa"/>
            <w:bottom w:w="0" w:type="dxa"/>
            <w:right w:w="108" w:type="dxa"/>
          </w:tblCellMar>
        </w:tblPrEx>
        <w:trPr>
          <w:trHeight w:val="1177" w:hRule="atLeast"/>
        </w:trPr>
        <w:tc>
          <w:tcPr>
            <w:tcW w:w="18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项目名称</w:t>
            </w:r>
          </w:p>
        </w:tc>
        <w:tc>
          <w:tcPr>
            <w:tcW w:w="14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产品类型</w:t>
            </w:r>
          </w:p>
        </w:tc>
        <w:tc>
          <w:tcPr>
            <w:tcW w:w="15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简要描述</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宋体" w:hAnsi="宋体" w:cs="仿宋_GB2312"/>
                <w:color w:val="000000"/>
                <w:sz w:val="24"/>
                <w:highlight w:val="none"/>
              </w:rPr>
            </w:pPr>
            <w:r>
              <w:rPr>
                <w:rFonts w:hint="eastAsia" w:ascii="宋体" w:hAnsi="宋体" w:cs="仿宋_GB2312"/>
                <w:color w:val="000000"/>
                <w:sz w:val="24"/>
                <w:highlight w:val="none"/>
              </w:rPr>
              <w:t>成交额（万元）</w:t>
            </w:r>
          </w:p>
        </w:tc>
        <w:tc>
          <w:tcPr>
            <w:tcW w:w="12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完成日期</w:t>
            </w:r>
          </w:p>
        </w:tc>
        <w:tc>
          <w:tcPr>
            <w:tcW w:w="22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采购单位地址与联系电话</w:t>
            </w:r>
          </w:p>
        </w:tc>
      </w:tr>
      <w:tr>
        <w:tblPrEx>
          <w:tblLayout w:type="fixed"/>
          <w:tblCellMar>
            <w:top w:w="0" w:type="dxa"/>
            <w:left w:w="108" w:type="dxa"/>
            <w:bottom w:w="0" w:type="dxa"/>
            <w:right w:w="108" w:type="dxa"/>
          </w:tblCellMar>
        </w:tblPrEx>
        <w:trPr>
          <w:trHeight w:val="894" w:hRule="atLeast"/>
        </w:trPr>
        <w:tc>
          <w:tcPr>
            <w:tcW w:w="181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4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2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2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224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920" w:hRule="atLeast"/>
        </w:trPr>
        <w:tc>
          <w:tcPr>
            <w:tcW w:w="181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4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2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2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224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933" w:hRule="atLeast"/>
        </w:trPr>
        <w:tc>
          <w:tcPr>
            <w:tcW w:w="181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4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2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2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224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933" w:hRule="atLeast"/>
        </w:trPr>
        <w:tc>
          <w:tcPr>
            <w:tcW w:w="181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47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2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2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224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bl>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0" w:firstLineChars="0"/>
        <w:rPr>
          <w:rFonts w:cs="仿宋_GB2312"/>
          <w:kern w:val="0"/>
          <w:highlight w:val="none"/>
          <w:lang w:val="zh-CN"/>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项目小组人员名单</w:t>
      </w:r>
    </w:p>
    <w:p>
      <w:pPr>
        <w:spacing w:line="360" w:lineRule="auto"/>
        <w:jc w:val="center"/>
        <w:rPr>
          <w:rFonts w:ascii="宋体" w:hAnsi="宋体" w:cs="仿宋_GB2312"/>
          <w:b/>
          <w:bCs/>
          <w:color w:val="000000"/>
          <w:sz w:val="24"/>
          <w:highlight w:val="none"/>
        </w:rPr>
      </w:pPr>
      <w:r>
        <w:rPr>
          <w:rFonts w:hint="eastAsia" w:ascii="宋体" w:hAnsi="宋体" w:cs="仿宋_GB2312"/>
          <w:color w:val="000000"/>
          <w:sz w:val="24"/>
          <w:highlight w:val="none"/>
        </w:rPr>
        <w:t>（由投标人根据采购需求及招标文件要求编制）</w:t>
      </w:r>
    </w:p>
    <w:p>
      <w:pPr>
        <w:keepNext/>
        <w:autoSpaceDE w:val="0"/>
        <w:autoSpaceDN w:val="0"/>
        <w:spacing w:line="360" w:lineRule="auto"/>
        <w:ind w:firstLine="477"/>
        <w:rPr>
          <w:rFonts w:ascii="宋体" w:hAnsi="宋体" w:cs="仿宋_GB2312"/>
          <w:b/>
          <w:color w:val="000000"/>
          <w:sz w:val="24"/>
          <w:highlight w:val="none"/>
        </w:rPr>
      </w:pPr>
      <w:r>
        <w:rPr>
          <w:rFonts w:hint="eastAsia" w:ascii="宋体" w:hAnsi="宋体" w:cs="仿宋_GB2312"/>
          <w:b/>
          <w:color w:val="000000"/>
          <w:sz w:val="24"/>
          <w:highlight w:val="none"/>
        </w:rPr>
        <w:t>附表A:本项目的项目负责人情况表</w:t>
      </w:r>
    </w:p>
    <w:tbl>
      <w:tblPr>
        <w:tblStyle w:val="63"/>
        <w:tblW w:w="8755" w:type="dxa"/>
        <w:tblInd w:w="0" w:type="dxa"/>
        <w:tblLayout w:type="fixed"/>
        <w:tblCellMar>
          <w:top w:w="0" w:type="dxa"/>
          <w:left w:w="108" w:type="dxa"/>
          <w:bottom w:w="0" w:type="dxa"/>
          <w:right w:w="108" w:type="dxa"/>
        </w:tblCellMar>
      </w:tblPr>
      <w:tblGrid>
        <w:gridCol w:w="2061"/>
        <w:gridCol w:w="1287"/>
        <w:gridCol w:w="1260"/>
        <w:gridCol w:w="4147"/>
      </w:tblGrid>
      <w:tr>
        <w:tblPrEx>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姓名</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宋体" w:hAnsi="宋体" w:cs="仿宋_GB2312"/>
                <w:color w:val="000000"/>
                <w:sz w:val="24"/>
                <w:highlight w:val="none"/>
              </w:rPr>
            </w:pPr>
            <w:r>
              <w:rPr>
                <w:rFonts w:hint="eastAsia" w:ascii="宋体" w:hAnsi="宋体" w:cs="仿宋_GB2312"/>
                <w:color w:val="000000"/>
                <w:sz w:val="24"/>
                <w:highlight w:val="none"/>
              </w:rPr>
              <w:t>业绩及承担的主要工作情况</w:t>
            </w:r>
            <w:r>
              <w:rPr>
                <w:rFonts w:ascii="宋体" w:hAnsi="宋体" w:cs="仿宋_GB2312"/>
                <w:color w:val="000000"/>
                <w:sz w:val="24"/>
                <w:highlight w:val="none"/>
              </w:rPr>
              <w:t xml:space="preserve"> </w:t>
            </w:r>
          </w:p>
        </w:tc>
      </w:tr>
      <w:tr>
        <w:tblPrEx>
          <w:tblLayout w:type="fixed"/>
          <w:tblCellMar>
            <w:top w:w="0" w:type="dxa"/>
            <w:left w:w="108" w:type="dxa"/>
            <w:bottom w:w="0" w:type="dxa"/>
            <w:right w:w="108" w:type="dxa"/>
          </w:tblCellMar>
        </w:tblPrEx>
        <w:trPr>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性别</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年龄</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注册证书编号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169"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仿宋_GB2312"/>
                <w:color w:val="000000"/>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p>
        </w:tc>
      </w:tr>
    </w:tbl>
    <w:p>
      <w:pPr>
        <w:autoSpaceDE w:val="0"/>
        <w:autoSpaceDN w:val="0"/>
        <w:spacing w:line="360" w:lineRule="auto"/>
        <w:rPr>
          <w:rFonts w:ascii="宋体" w:hAnsi="宋体" w:cs="仿宋_GB2312"/>
          <w:b/>
          <w:color w:val="000000"/>
          <w:sz w:val="24"/>
          <w:highlight w:val="none"/>
        </w:rPr>
      </w:pPr>
      <w:r>
        <w:rPr>
          <w:rFonts w:hint="eastAsia" w:ascii="宋体" w:hAnsi="宋体" w:cs="仿宋_GB2312"/>
          <w:b/>
          <w:color w:val="000000"/>
          <w:sz w:val="24"/>
          <w:highlight w:val="none"/>
        </w:rPr>
        <w:t>注：须随表提交相应的证书复印件并注明所在投标技术文件页码。</w:t>
      </w: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autoSpaceDE w:val="0"/>
        <w:autoSpaceDN w:val="0"/>
        <w:spacing w:line="360" w:lineRule="auto"/>
        <w:rPr>
          <w:rFonts w:ascii="宋体" w:hAnsi="宋体" w:cs="仿宋_GB2312"/>
          <w:b/>
          <w:color w:val="000000"/>
          <w:sz w:val="24"/>
          <w:highlight w:val="none"/>
        </w:rPr>
      </w:pPr>
      <w:r>
        <w:rPr>
          <w:rFonts w:ascii="宋体" w:hAnsi="宋体" w:cs="仿宋_GB2312"/>
          <w:b/>
          <w:color w:val="000000"/>
          <w:sz w:val="24"/>
          <w:highlight w:val="none"/>
        </w:rPr>
        <w:br w:type="page"/>
      </w:r>
      <w:r>
        <w:rPr>
          <w:rFonts w:hint="eastAsia" w:ascii="宋体" w:hAnsi="宋体" w:cs="仿宋_GB2312"/>
          <w:b/>
          <w:color w:val="000000"/>
          <w:sz w:val="24"/>
          <w:highlight w:val="none"/>
        </w:rPr>
        <w:t>附表B:本项目的项目小组人员情况表</w:t>
      </w:r>
      <w:r>
        <w:rPr>
          <w:rFonts w:hint="eastAsia" w:ascii="宋体" w:hAnsi="宋体" w:cs="仿宋_GB2312"/>
          <w:color w:val="000000"/>
          <w:sz w:val="24"/>
          <w:highlight w:val="none"/>
        </w:rPr>
        <w:t>（按此格式自制）</w:t>
      </w:r>
    </w:p>
    <w:tbl>
      <w:tblPr>
        <w:tblStyle w:val="63"/>
        <w:tblW w:w="9401" w:type="dxa"/>
        <w:tblInd w:w="0" w:type="dxa"/>
        <w:tblLayout w:type="fixed"/>
        <w:tblCellMar>
          <w:top w:w="0" w:type="dxa"/>
          <w:left w:w="108" w:type="dxa"/>
          <w:bottom w:w="0" w:type="dxa"/>
          <w:right w:w="108" w:type="dxa"/>
        </w:tblCellMar>
      </w:tblPr>
      <w:tblGrid>
        <w:gridCol w:w="455"/>
        <w:gridCol w:w="854"/>
        <w:gridCol w:w="447"/>
        <w:gridCol w:w="635"/>
        <w:gridCol w:w="1122"/>
        <w:gridCol w:w="1171"/>
        <w:gridCol w:w="1171"/>
        <w:gridCol w:w="976"/>
        <w:gridCol w:w="976"/>
        <w:gridCol w:w="1594"/>
      </w:tblGrid>
      <w:tr>
        <w:tblPrEx>
          <w:tblLayout w:type="fixed"/>
          <w:tblCellMar>
            <w:top w:w="0" w:type="dxa"/>
            <w:left w:w="108" w:type="dxa"/>
            <w:bottom w:w="0" w:type="dxa"/>
            <w:right w:w="108" w:type="dxa"/>
          </w:tblCellMar>
        </w:tblPrEx>
        <w:tc>
          <w:tcPr>
            <w:tcW w:w="4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序号</w:t>
            </w:r>
          </w:p>
        </w:tc>
        <w:tc>
          <w:tcPr>
            <w:tcW w:w="8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姓名</w:t>
            </w:r>
          </w:p>
        </w:tc>
        <w:tc>
          <w:tcPr>
            <w:tcW w:w="4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性别</w:t>
            </w:r>
          </w:p>
        </w:tc>
        <w:tc>
          <w:tcPr>
            <w:tcW w:w="6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年龄</w:t>
            </w:r>
          </w:p>
        </w:tc>
        <w:tc>
          <w:tcPr>
            <w:tcW w:w="112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学历</w:t>
            </w:r>
          </w:p>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(页码)</w:t>
            </w:r>
          </w:p>
        </w:tc>
        <w:tc>
          <w:tcPr>
            <w:tcW w:w="11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专业</w:t>
            </w:r>
          </w:p>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(页码)</w:t>
            </w:r>
          </w:p>
        </w:tc>
        <w:tc>
          <w:tcPr>
            <w:tcW w:w="117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职称</w:t>
            </w:r>
          </w:p>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(页码)</w:t>
            </w: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执业资格</w:t>
            </w:r>
          </w:p>
        </w:tc>
        <w:tc>
          <w:tcPr>
            <w:tcW w:w="9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项目经历</w:t>
            </w:r>
          </w:p>
        </w:tc>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仿宋_GB2312"/>
                <w:color w:val="000000"/>
                <w:sz w:val="24"/>
                <w:highlight w:val="none"/>
              </w:rPr>
            </w:pPr>
            <w:r>
              <w:rPr>
                <w:rFonts w:hint="eastAsia" w:ascii="宋体" w:hAnsi="宋体" w:cs="仿宋_GB2312"/>
                <w:color w:val="000000"/>
                <w:sz w:val="24"/>
                <w:highlight w:val="none"/>
              </w:rPr>
              <w:t>是否为拟派住场人员</w:t>
            </w:r>
          </w:p>
        </w:tc>
      </w:tr>
      <w:tr>
        <w:tblPrEx>
          <w:tblLayout w:type="fixed"/>
          <w:tblCellMar>
            <w:top w:w="0" w:type="dxa"/>
            <w:left w:w="108" w:type="dxa"/>
            <w:bottom w:w="0" w:type="dxa"/>
            <w:right w:w="108" w:type="dxa"/>
          </w:tblCellMar>
        </w:tblPrEx>
        <w:trPr>
          <w:trHeight w:val="479"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9"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9"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9"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9"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9"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r>
        <w:tblPrEx>
          <w:tblLayout w:type="fixed"/>
          <w:tblCellMar>
            <w:top w:w="0" w:type="dxa"/>
            <w:left w:w="108" w:type="dxa"/>
            <w:bottom w:w="0" w:type="dxa"/>
            <w:right w:w="108" w:type="dxa"/>
          </w:tblCellMar>
        </w:tblPrEx>
        <w:trPr>
          <w:trHeight w:val="473" w:hRule="atLeast"/>
        </w:trPr>
        <w:tc>
          <w:tcPr>
            <w:tcW w:w="4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仿宋_GB2312"/>
                <w:color w:val="000000"/>
                <w:sz w:val="24"/>
                <w:highlight w:val="none"/>
              </w:rPr>
            </w:pPr>
          </w:p>
        </w:tc>
        <w:tc>
          <w:tcPr>
            <w:tcW w:w="85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44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6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2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17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97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c>
          <w:tcPr>
            <w:tcW w:w="1594"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仿宋_GB2312"/>
                <w:color w:val="000000"/>
                <w:sz w:val="24"/>
                <w:highlight w:val="none"/>
              </w:rPr>
            </w:pPr>
          </w:p>
        </w:tc>
      </w:tr>
    </w:tbl>
    <w:p>
      <w:pPr>
        <w:spacing w:line="360" w:lineRule="auto"/>
        <w:rPr>
          <w:rFonts w:ascii="宋体" w:hAnsi="宋体" w:cs="仿宋_GB2312"/>
          <w:b/>
          <w:bCs/>
          <w:color w:val="000000"/>
          <w:sz w:val="24"/>
          <w:highlight w:val="none"/>
        </w:rPr>
      </w:pPr>
      <w:r>
        <w:rPr>
          <w:rFonts w:hint="eastAsia" w:ascii="宋体" w:hAnsi="宋体" w:cs="仿宋_GB2312"/>
          <w:b/>
          <w:color w:val="000000"/>
          <w:sz w:val="24"/>
          <w:highlight w:val="none"/>
        </w:rPr>
        <w:t>注：投标人可按上述的格式自行编制，须随表提交相应的证书复印件并注明所在投标技术文件页码。</w:t>
      </w: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center"/>
        <w:rPr>
          <w:rFonts w:ascii="宋体" w:hAnsi="宋体" w:cs="仿宋_GB2312"/>
          <w:b/>
          <w:bCs/>
          <w:color w:val="000000"/>
          <w:sz w:val="32"/>
          <w:szCs w:val="32"/>
          <w:highlight w:val="none"/>
        </w:rPr>
      </w:pPr>
    </w:p>
    <w:p>
      <w:pPr>
        <w:spacing w:line="360" w:lineRule="auto"/>
        <w:jc w:val="left"/>
        <w:rPr>
          <w:rFonts w:ascii="宋体" w:hAnsi="宋体" w:cs="仿宋_GB2312"/>
          <w:b/>
          <w:bCs/>
          <w:color w:val="000000"/>
          <w:sz w:val="32"/>
          <w:szCs w:val="32"/>
          <w:highlight w:val="none"/>
        </w:rPr>
      </w:pPr>
      <w:r>
        <w:rPr>
          <w:rFonts w:ascii="宋体" w:hAnsi="宋体" w:cs="仿宋_GB2312"/>
          <w:b/>
          <w:bCs/>
          <w:color w:val="000000"/>
          <w:sz w:val="32"/>
          <w:szCs w:val="32"/>
          <w:highlight w:val="none"/>
        </w:rPr>
        <w:br w:type="page"/>
      </w: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项目实施方案（包含进度安排）</w:t>
      </w: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left"/>
        <w:rPr>
          <w:rFonts w:ascii="宋体" w:hAnsi="宋体" w:cs="仿宋_GB2312"/>
          <w:b/>
          <w:bCs/>
          <w:color w:val="000000"/>
          <w:sz w:val="32"/>
          <w:szCs w:val="32"/>
          <w:highlight w:val="none"/>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产品的完整配置方案</w:t>
      </w: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left"/>
        <w:rPr>
          <w:rFonts w:ascii="宋体" w:hAnsi="宋体" w:cs="仿宋_GB2312"/>
          <w:b/>
          <w:bCs/>
          <w:color w:val="000000"/>
          <w:sz w:val="32"/>
          <w:szCs w:val="32"/>
          <w:highlight w:val="none"/>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售后服务方案</w:t>
      </w: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jc w:val="center"/>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rPr>
          <w:rFonts w:cs="仿宋_GB2312"/>
          <w:kern w:val="0"/>
          <w:highlight w:val="none"/>
          <w:lang w:val="zh-CN"/>
        </w:rPr>
      </w:pPr>
    </w:p>
    <w:p>
      <w:pPr>
        <w:pStyle w:val="156"/>
        <w:ind w:firstLine="4320" w:firstLineChars="1800"/>
        <w:jc w:val="center"/>
        <w:rPr>
          <w:rFonts w:cs="仿宋_GB2312"/>
          <w:kern w:val="0"/>
          <w:highlight w:val="none"/>
          <w:lang w:val="zh-CN"/>
        </w:rPr>
      </w:pPr>
    </w:p>
    <w:p>
      <w:pPr>
        <w:pStyle w:val="156"/>
        <w:ind w:firstLine="4320" w:firstLineChars="1800"/>
        <w:rPr>
          <w:rFonts w:cs="仿宋_GB2312"/>
          <w:kern w:val="0"/>
          <w:highlight w:val="none"/>
          <w:lang w:val="zh-CN"/>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偏离表</w:t>
      </w:r>
    </w:p>
    <w:tbl>
      <w:tblPr>
        <w:tblStyle w:val="63"/>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76"/>
        <w:gridCol w:w="1826"/>
        <w:gridCol w:w="1576"/>
        <w:gridCol w:w="182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17" w:type="dxa"/>
            <w:vMerge w:val="restart"/>
            <w:vAlign w:val="center"/>
          </w:tcPr>
          <w:p>
            <w:pPr>
              <w:jc w:val="center"/>
              <w:rPr>
                <w:rFonts w:ascii="宋体" w:hAnsi="宋体"/>
                <w:color w:val="000000"/>
                <w:sz w:val="24"/>
                <w:highlight w:val="none"/>
              </w:rPr>
            </w:pPr>
            <w:r>
              <w:rPr>
                <w:rFonts w:hint="eastAsia" w:ascii="宋体" w:hAnsi="宋体"/>
                <w:color w:val="000000"/>
                <w:sz w:val="24"/>
                <w:highlight w:val="none"/>
              </w:rPr>
              <w:t>序号</w:t>
            </w:r>
          </w:p>
        </w:tc>
        <w:tc>
          <w:tcPr>
            <w:tcW w:w="3402" w:type="dxa"/>
            <w:gridSpan w:val="2"/>
            <w:vAlign w:val="center"/>
          </w:tcPr>
          <w:p>
            <w:pPr>
              <w:jc w:val="center"/>
              <w:rPr>
                <w:rFonts w:ascii="宋体" w:hAnsi="宋体"/>
                <w:color w:val="000000"/>
                <w:sz w:val="24"/>
                <w:highlight w:val="none"/>
              </w:rPr>
            </w:pPr>
            <w:r>
              <w:rPr>
                <w:rFonts w:hint="eastAsia" w:ascii="宋体" w:hAnsi="宋体"/>
                <w:color w:val="000000"/>
                <w:sz w:val="24"/>
                <w:highlight w:val="none"/>
              </w:rPr>
              <w:t>招标文件要求</w:t>
            </w:r>
          </w:p>
        </w:tc>
        <w:tc>
          <w:tcPr>
            <w:tcW w:w="3402" w:type="dxa"/>
            <w:gridSpan w:val="2"/>
            <w:vAlign w:val="center"/>
          </w:tcPr>
          <w:p>
            <w:pPr>
              <w:jc w:val="center"/>
              <w:rPr>
                <w:rFonts w:ascii="宋体" w:hAnsi="宋体"/>
                <w:color w:val="000000"/>
                <w:sz w:val="24"/>
                <w:highlight w:val="none"/>
              </w:rPr>
            </w:pPr>
            <w:r>
              <w:rPr>
                <w:rFonts w:hint="eastAsia" w:ascii="宋体" w:hAnsi="宋体"/>
                <w:color w:val="000000"/>
                <w:sz w:val="24"/>
                <w:highlight w:val="none"/>
              </w:rPr>
              <w:t>投标内容</w:t>
            </w:r>
          </w:p>
        </w:tc>
        <w:tc>
          <w:tcPr>
            <w:tcW w:w="1576" w:type="dxa"/>
          </w:tcPr>
          <w:p>
            <w:pPr>
              <w:jc w:val="center"/>
              <w:rPr>
                <w:rFonts w:ascii="宋体" w:hAnsi="宋体"/>
                <w:color w:val="000000"/>
                <w:sz w:val="24"/>
                <w:highlight w:val="none"/>
              </w:rPr>
            </w:pPr>
            <w:r>
              <w:rPr>
                <w:rFonts w:hint="eastAsia" w:ascii="宋体" w:hAnsi="宋体"/>
                <w:color w:val="000000"/>
                <w:sz w:val="24"/>
                <w:highlight w:val="none"/>
              </w:rPr>
              <w:t>偏离（正偏离或负偏离）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17" w:type="dxa"/>
            <w:vMerge w:val="continue"/>
          </w:tcPr>
          <w:p>
            <w:pPr>
              <w:rPr>
                <w:rFonts w:ascii="宋体" w:hAnsi="宋体"/>
                <w:color w:val="000000"/>
                <w:sz w:val="24"/>
                <w:highlight w:val="none"/>
              </w:rPr>
            </w:pPr>
          </w:p>
        </w:tc>
        <w:tc>
          <w:tcPr>
            <w:tcW w:w="1576" w:type="dxa"/>
            <w:vAlign w:val="center"/>
          </w:tcPr>
          <w:p>
            <w:pPr>
              <w:jc w:val="center"/>
              <w:rPr>
                <w:rFonts w:ascii="宋体" w:hAnsi="宋体"/>
                <w:color w:val="000000"/>
                <w:sz w:val="24"/>
                <w:highlight w:val="none"/>
              </w:rPr>
            </w:pPr>
            <w:r>
              <w:rPr>
                <w:rFonts w:hint="eastAsia" w:ascii="宋体" w:hAnsi="宋体"/>
                <w:color w:val="000000"/>
                <w:sz w:val="24"/>
                <w:highlight w:val="none"/>
              </w:rPr>
              <w:t>章节、条款号</w:t>
            </w:r>
          </w:p>
        </w:tc>
        <w:tc>
          <w:tcPr>
            <w:tcW w:w="1826" w:type="dxa"/>
            <w:vAlign w:val="center"/>
          </w:tcPr>
          <w:p>
            <w:pPr>
              <w:jc w:val="center"/>
              <w:rPr>
                <w:rFonts w:ascii="宋体" w:hAnsi="宋体"/>
                <w:color w:val="000000"/>
                <w:sz w:val="24"/>
                <w:highlight w:val="none"/>
              </w:rPr>
            </w:pPr>
            <w:r>
              <w:rPr>
                <w:rFonts w:hint="eastAsia" w:ascii="宋体" w:hAnsi="宋体"/>
                <w:color w:val="000000"/>
                <w:sz w:val="24"/>
                <w:highlight w:val="none"/>
              </w:rPr>
              <w:t>条款内容描述</w:t>
            </w:r>
          </w:p>
        </w:tc>
        <w:tc>
          <w:tcPr>
            <w:tcW w:w="1576" w:type="dxa"/>
            <w:vAlign w:val="center"/>
          </w:tcPr>
          <w:p>
            <w:pPr>
              <w:jc w:val="center"/>
              <w:rPr>
                <w:rFonts w:ascii="宋体" w:hAnsi="宋体"/>
                <w:color w:val="000000"/>
                <w:sz w:val="24"/>
                <w:highlight w:val="none"/>
              </w:rPr>
            </w:pPr>
            <w:r>
              <w:rPr>
                <w:rFonts w:hint="eastAsia" w:ascii="宋体" w:hAnsi="宋体"/>
                <w:color w:val="000000"/>
                <w:sz w:val="24"/>
                <w:highlight w:val="none"/>
              </w:rPr>
              <w:t>章节、条款号</w:t>
            </w:r>
          </w:p>
        </w:tc>
        <w:tc>
          <w:tcPr>
            <w:tcW w:w="1826" w:type="dxa"/>
            <w:vAlign w:val="center"/>
          </w:tcPr>
          <w:p>
            <w:pPr>
              <w:jc w:val="center"/>
              <w:rPr>
                <w:rFonts w:ascii="宋体" w:hAnsi="宋体"/>
                <w:color w:val="000000"/>
                <w:sz w:val="24"/>
                <w:highlight w:val="none"/>
              </w:rPr>
            </w:pPr>
            <w:r>
              <w:rPr>
                <w:rFonts w:hint="eastAsia" w:ascii="宋体" w:hAnsi="宋体"/>
                <w:color w:val="000000"/>
                <w:sz w:val="24"/>
                <w:highlight w:val="none"/>
              </w:rPr>
              <w:t>条款内容描述</w:t>
            </w:r>
          </w:p>
        </w:tc>
        <w:tc>
          <w:tcPr>
            <w:tcW w:w="1576" w:type="dxa"/>
          </w:tcPr>
          <w:p>
            <w:pPr>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17"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c>
          <w:tcPr>
            <w:tcW w:w="1826" w:type="dxa"/>
          </w:tcPr>
          <w:p>
            <w:pPr>
              <w:rPr>
                <w:rFonts w:ascii="宋体" w:hAnsi="宋体"/>
                <w:color w:val="000000"/>
                <w:highlight w:val="none"/>
              </w:rPr>
            </w:pPr>
          </w:p>
        </w:tc>
        <w:tc>
          <w:tcPr>
            <w:tcW w:w="1576" w:type="dxa"/>
          </w:tcPr>
          <w:p>
            <w:pPr>
              <w:rPr>
                <w:rFonts w:ascii="宋体" w:hAnsi="宋体"/>
                <w:color w:val="000000"/>
                <w:highlight w:val="none"/>
              </w:rPr>
            </w:pPr>
          </w:p>
        </w:tc>
      </w:tr>
    </w:tbl>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left"/>
        <w:rPr>
          <w:rFonts w:ascii="宋体" w:hAnsi="宋体" w:cs="仿宋_GB2312"/>
          <w:b/>
          <w:bCs/>
          <w:color w:val="000000"/>
          <w:sz w:val="32"/>
          <w:szCs w:val="32"/>
          <w:highlight w:val="none"/>
        </w:rPr>
      </w:pPr>
    </w:p>
    <w:p>
      <w:pPr>
        <w:pStyle w:val="48"/>
        <w:widowControl w:val="0"/>
        <w:numPr>
          <w:ilvl w:val="0"/>
          <w:numId w:val="17"/>
        </w:numPr>
        <w:snapToGrid w:val="0"/>
        <w:spacing w:before="0" w:beforeAutospacing="0" w:after="0" w:afterAutospacing="0" w:line="360" w:lineRule="auto"/>
        <w:jc w:val="center"/>
        <w:outlineLvl w:val="2"/>
        <w:rPr>
          <w:rFonts w:cs="宋体"/>
          <w:b/>
          <w:color w:val="000000"/>
          <w:kern w:val="2"/>
          <w:sz w:val="32"/>
          <w:szCs w:val="32"/>
          <w:highlight w:val="none"/>
          <w:lang w:val="zh-CN" w:bidi="ar"/>
        </w:rPr>
      </w:pPr>
      <w:r>
        <w:rPr>
          <w:rFonts w:hint="eastAsia" w:cs="宋体"/>
          <w:b/>
          <w:color w:val="000000"/>
          <w:kern w:val="2"/>
          <w:sz w:val="32"/>
          <w:szCs w:val="32"/>
          <w:highlight w:val="none"/>
          <w:lang w:val="zh-CN" w:bidi="ar"/>
        </w:rPr>
        <w:t>其他投标人认为需要提供的技术文件及证明材料</w:t>
      </w:r>
    </w:p>
    <w:p>
      <w:pPr>
        <w:spacing w:line="360" w:lineRule="auto"/>
        <w:jc w:val="center"/>
        <w:rPr>
          <w:rFonts w:ascii="宋体" w:hAnsi="宋体" w:cs="仿宋_GB2312"/>
          <w:color w:val="000000"/>
          <w:sz w:val="24"/>
          <w:highlight w:val="none"/>
        </w:rPr>
      </w:pPr>
    </w:p>
    <w:p>
      <w:pPr>
        <w:pStyle w:val="156"/>
        <w:ind w:firstLine="4320" w:firstLineChars="1800"/>
        <w:rPr>
          <w:rFonts w:cs="仿宋_GB2312"/>
          <w:kern w:val="0"/>
          <w:highlight w:val="none"/>
          <w:lang w:val="zh-CN"/>
        </w:rPr>
      </w:pPr>
      <w:r>
        <w:rPr>
          <w:rFonts w:hint="eastAsia" w:cs="仿宋_GB2312"/>
          <w:kern w:val="0"/>
          <w:highlight w:val="none"/>
          <w:lang w:val="zh-CN"/>
        </w:rPr>
        <w:t>供应商（盖章）：</w:t>
      </w:r>
    </w:p>
    <w:p>
      <w:pPr>
        <w:pStyle w:val="156"/>
        <w:ind w:firstLine="480"/>
        <w:rPr>
          <w:rFonts w:cs="仿宋_GB2312"/>
          <w:kern w:val="0"/>
          <w:highlight w:val="none"/>
          <w:lang w:val="zh-CN"/>
        </w:rPr>
      </w:pPr>
      <w:r>
        <w:rPr>
          <w:rFonts w:hint="eastAsia" w:cs="仿宋_GB2312"/>
          <w:kern w:val="0"/>
          <w:highlight w:val="none"/>
          <w:lang w:val="zh-CN"/>
        </w:rPr>
        <w:t xml:space="preserve">                                法定代表人</w:t>
      </w:r>
      <w:r>
        <w:rPr>
          <w:rFonts w:hint="eastAsia" w:cs="仿宋_GB2312"/>
          <w:kern w:val="0"/>
          <w:highlight w:val="none"/>
        </w:rPr>
        <w:t>或其授权代表</w:t>
      </w:r>
      <w:r>
        <w:rPr>
          <w:rFonts w:hint="eastAsia" w:cs="仿宋_GB2312"/>
          <w:kern w:val="0"/>
          <w:highlight w:val="none"/>
          <w:lang w:val="zh-CN"/>
        </w:rPr>
        <w:t>（签字或盖章）：</w:t>
      </w:r>
    </w:p>
    <w:p>
      <w:pPr>
        <w:pStyle w:val="156"/>
        <w:ind w:firstLine="4320" w:firstLineChars="1800"/>
        <w:rPr>
          <w:rFonts w:cs="仿宋_GB2312"/>
          <w:kern w:val="0"/>
          <w:highlight w:val="none"/>
          <w:lang w:val="zh-CN"/>
        </w:rPr>
      </w:pPr>
      <w:r>
        <w:rPr>
          <w:rFonts w:hint="eastAsia" w:cs="仿宋_GB2312"/>
          <w:kern w:val="0"/>
          <w:highlight w:val="none"/>
          <w:lang w:val="zh-CN"/>
        </w:rPr>
        <w:t>日期：     年  月   日</w:t>
      </w:r>
    </w:p>
    <w:p>
      <w:pPr>
        <w:spacing w:line="360" w:lineRule="auto"/>
        <w:jc w:val="center"/>
        <w:rPr>
          <w:rFonts w:ascii="宋体" w:hAnsi="宋体" w:cs="仿宋_GB2312"/>
          <w:b/>
          <w:bCs/>
          <w:color w:val="000000"/>
          <w:sz w:val="30"/>
          <w:szCs w:val="30"/>
          <w:highlight w:val="none"/>
        </w:rPr>
      </w:pPr>
    </w:p>
    <w:p>
      <w:pPr>
        <w:jc w:val="left"/>
        <w:rPr>
          <w:rFonts w:ascii="宋体" w:hAnsi="宋体" w:cs="仿宋_GB2312"/>
          <w:b/>
          <w:bCs/>
          <w:color w:val="000000"/>
          <w:sz w:val="30"/>
          <w:szCs w:val="30"/>
          <w:highlight w:val="none"/>
          <w:lang w:val="zh-CN"/>
        </w:rPr>
      </w:pPr>
    </w:p>
    <w:sectPr>
      <w:pgSz w:w="11906" w:h="16838"/>
      <w:pgMar w:top="1247" w:right="1247" w:bottom="1247" w:left="147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sdt>
    <w:sdtPr>
      <w:id w:val="-52396788"/>
    </w:sdtPr>
    <w:sdtEndPr>
      <w:rPr>
        <w:lang w:val="en-US"/>
      </w:rPr>
    </w:sdtEndPr>
    <w:sdtContent>
      <w:p>
        <w:pPr>
          <w:pStyle w:val="32"/>
          <w:jc w:val="center"/>
        </w:pPr>
        <w:r>
          <w:rPr>
            <w:b/>
            <w:bCs/>
          </w:rPr>
          <w:t xml:space="preserve"> </w:t>
        </w:r>
        <w:r>
          <w:rPr>
            <w:b/>
            <w:bCs/>
          </w:rPr>
          <w:fldChar w:fldCharType="begin"/>
        </w:r>
        <w:r>
          <w:rPr>
            <w:b/>
            <w:bCs/>
          </w:rPr>
          <w:instrText xml:space="preserve">PAGE</w:instrText>
        </w:r>
        <w:r>
          <w:rPr>
            <w:b/>
            <w:bCs/>
          </w:rPr>
          <w:fldChar w:fldCharType="separate"/>
        </w:r>
        <w:r>
          <w:rPr>
            <w:b/>
            <w:bCs/>
          </w:rPr>
          <w:t>54</w:t>
        </w:r>
        <w:r>
          <w:rPr>
            <w:b/>
            <w:bCs/>
          </w:rPr>
          <w:fldChar w:fldCharType="end"/>
        </w:r>
        <w:r>
          <w:rPr>
            <w:b/>
            <w:bCs/>
          </w:rPr>
          <w:t xml:space="preserve"> / </w:t>
        </w:r>
        <w:r>
          <w:rPr>
            <w:rFonts w:hint="eastAsia"/>
            <w:b/>
            <w:bCs/>
          </w:rPr>
          <w:t>7</w:t>
        </w:r>
        <w:r>
          <w:rPr>
            <w:rFonts w:hint="eastAsia"/>
            <w:b/>
            <w:bCs/>
            <w:lang w:val="en-US" w:eastAsia="zh-CN"/>
          </w:rPr>
          <w:t>2</w:t>
        </w:r>
      </w:p>
    </w:sdtContent>
  </w:sdt>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none" w:color="auto" w:sz="0" w:space="1"/>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896042"/>
    </w:sdtPr>
    <w:sdtEndPr>
      <w:rPr>
        <w:lang w:val="en-US"/>
      </w:rPr>
    </w:sdtEndPr>
    <w:sdtContent>
      <w:p>
        <w:pPr>
          <w:pStyle w:val="32"/>
          <w:jc w:val="center"/>
        </w:pPr>
        <w:r>
          <w:rPr>
            <w:lang w:val="zh-CN"/>
          </w:rPr>
          <w:t xml:space="preserve"> </w:t>
        </w:r>
        <w:r>
          <w:rPr>
            <w:lang w:val="zh-CN"/>
          </w:rPr>
          <w:fldChar w:fldCharType="begin"/>
        </w:r>
        <w:r>
          <w:rPr>
            <w:lang w:val="zh-CN"/>
          </w:rPr>
          <w:instrText xml:space="preserve">PAGE</w:instrText>
        </w:r>
        <w:r>
          <w:rPr>
            <w:lang w:val="zh-CN"/>
          </w:rPr>
          <w:fldChar w:fldCharType="separate"/>
        </w:r>
        <w:r>
          <w:rPr>
            <w:lang w:val="zh-CN"/>
          </w:rPr>
          <w:t>39</w:t>
        </w:r>
        <w:r>
          <w:rPr>
            <w:lang w:val="zh-CN"/>
          </w:rPr>
          <w:fldChar w:fldCharType="end"/>
        </w:r>
        <w:r>
          <w:rPr>
            <w:lang w:val="zh-CN"/>
          </w:rPr>
          <w:t xml:space="preserve"> / </w:t>
        </w:r>
        <w:r>
          <w:rPr>
            <w:rFonts w:hint="eastAsia"/>
            <w:lang w:val="zh-CN"/>
          </w:rPr>
          <w:t>7</w:t>
        </w:r>
        <w:r>
          <w:rPr>
            <w:rFonts w:hint="eastAsia"/>
            <w:lang w:val="en-US" w:eastAsia="zh-CN"/>
          </w:rPr>
          <w:t>2</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left"/>
      <w:rPr>
        <w:rFonts w:ascii="仿宋" w:hAnsi="仿宋" w:eastAsia="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黑体" w:hAnsi="黑体" w:eastAsia="黑体"/>
        <w:w w:val="90"/>
      </w:rPr>
    </w:pPr>
    <w:r>
      <w:rPr>
        <w:rFonts w:ascii="黑体" w:hAnsi="黑体" w:eastAsia="黑体"/>
        <w:w w:val="90"/>
      </w:rPr>
      <w:t>台州市第一人民医院</w:t>
    </w:r>
    <w:r>
      <w:rPr>
        <w:rFonts w:hint="eastAsia" w:ascii="黑体" w:hAnsi="黑体" w:eastAsia="黑体"/>
        <w:w w:val="90"/>
      </w:rPr>
      <w:t xml:space="preserve">                                                                  </w:t>
    </w:r>
    <w:r>
      <w:rPr>
        <w:rFonts w:ascii="黑体" w:hAnsi="黑体" w:eastAsia="黑体"/>
        <w:w w:val="9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黑体" w:hAnsi="黑体" w:eastAsia="黑体"/>
        <w:w w:val="90"/>
      </w:rPr>
    </w:pPr>
    <w:r>
      <w:rPr>
        <w:rFonts w:ascii="黑体" w:hAnsi="黑体" w:eastAsia="黑体"/>
        <w:w w:val="90"/>
      </w:rPr>
      <w:t>台州市第一人民医院</w:t>
    </w:r>
    <w:r>
      <w:rPr>
        <w:rFonts w:hint="eastAsia" w:ascii="黑体" w:hAnsi="黑体" w:eastAsia="黑体"/>
        <w:w w:val="90"/>
      </w:rPr>
      <w:t xml:space="preserve">                                                                  </w:t>
    </w:r>
    <w:r>
      <w:rPr>
        <w:rFonts w:ascii="黑体" w:hAnsi="黑体" w:eastAsia="黑体"/>
        <w:w w:val="9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1B139"/>
    <w:multiLevelType w:val="singleLevel"/>
    <w:tmpl w:val="92C1B139"/>
    <w:lvl w:ilvl="0" w:tentative="0">
      <w:start w:val="1"/>
      <w:numFmt w:val="chineseCounting"/>
      <w:suff w:val="nothing"/>
      <w:lvlText w:val="%1、"/>
      <w:lvlJc w:val="left"/>
      <w:pPr>
        <w:ind w:left="0" w:firstLine="420"/>
      </w:pPr>
      <w:rPr>
        <w:rFonts w:hint="eastAsia"/>
      </w:rPr>
    </w:lvl>
  </w:abstractNum>
  <w:abstractNum w:abstractNumId="1">
    <w:nsid w:val="A2E6F197"/>
    <w:multiLevelType w:val="singleLevel"/>
    <w:tmpl w:val="A2E6F197"/>
    <w:lvl w:ilvl="0" w:tentative="0">
      <w:start w:val="1"/>
      <w:numFmt w:val="chineseCounting"/>
      <w:suff w:val="nothing"/>
      <w:lvlText w:val="%1、"/>
      <w:lvlJc w:val="left"/>
      <w:pPr>
        <w:ind w:left="0" w:firstLine="420"/>
      </w:pPr>
      <w:rPr>
        <w:rFonts w:hint="eastAsia"/>
      </w:rPr>
    </w:lvl>
  </w:abstractNum>
  <w:abstractNum w:abstractNumId="2">
    <w:nsid w:val="C77F5756"/>
    <w:multiLevelType w:val="singleLevel"/>
    <w:tmpl w:val="C77F5756"/>
    <w:lvl w:ilvl="0" w:tentative="0">
      <w:start w:val="1"/>
      <w:numFmt w:val="decimal"/>
      <w:suff w:val="nothing"/>
      <w:lvlText w:val="%1、"/>
      <w:lvlJc w:val="left"/>
    </w:lvl>
  </w:abstractNum>
  <w:abstractNum w:abstractNumId="3">
    <w:nsid w:val="DBE6149E"/>
    <w:multiLevelType w:val="singleLevel"/>
    <w:tmpl w:val="DBE6149E"/>
    <w:lvl w:ilvl="0" w:tentative="0">
      <w:start w:val="1"/>
      <w:numFmt w:val="chineseCounting"/>
      <w:suff w:val="nothing"/>
      <w:lvlText w:val="%1、"/>
      <w:lvlJc w:val="left"/>
      <w:pPr>
        <w:ind w:left="0" w:firstLine="420"/>
      </w:pPr>
      <w:rPr>
        <w:rFonts w:hint="eastAsia"/>
      </w:rPr>
    </w:lvl>
  </w:abstractNum>
  <w:abstractNum w:abstractNumId="4">
    <w:nsid w:val="EF1D00A3"/>
    <w:multiLevelType w:val="singleLevel"/>
    <w:tmpl w:val="EF1D00A3"/>
    <w:lvl w:ilvl="0" w:tentative="0">
      <w:start w:val="1"/>
      <w:numFmt w:val="chineseCounting"/>
      <w:suff w:val="nothing"/>
      <w:lvlText w:val="%1、"/>
      <w:lvlJc w:val="left"/>
      <w:pPr>
        <w:ind w:left="0" w:firstLine="420"/>
      </w:pPr>
      <w:rPr>
        <w:rFonts w:hint="eastAsia"/>
      </w:rPr>
    </w:lvl>
  </w:abstractNum>
  <w:abstractNum w:abstractNumId="5">
    <w:nsid w:val="F0AB4E07"/>
    <w:multiLevelType w:val="singleLevel"/>
    <w:tmpl w:val="F0AB4E07"/>
    <w:lvl w:ilvl="0" w:tentative="0">
      <w:start w:val="1"/>
      <w:numFmt w:val="chineseCounting"/>
      <w:suff w:val="nothing"/>
      <w:lvlText w:val="（%1）"/>
      <w:lvlJc w:val="left"/>
      <w:pPr>
        <w:ind w:left="0" w:firstLine="420"/>
      </w:pPr>
      <w:rPr>
        <w:rFonts w:hint="eastAsia"/>
      </w:rPr>
    </w:lvl>
  </w:abstractNum>
  <w:abstractNum w:abstractNumId="6">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7">
    <w:nsid w:val="0A106618"/>
    <w:multiLevelType w:val="singleLevel"/>
    <w:tmpl w:val="0A106618"/>
    <w:lvl w:ilvl="0" w:tentative="0">
      <w:start w:val="1"/>
      <w:numFmt w:val="decimal"/>
      <w:lvlText w:val="(%1)"/>
      <w:lvlJc w:val="left"/>
      <w:pPr>
        <w:ind w:left="425" w:hanging="425"/>
      </w:pPr>
      <w:rPr>
        <w:rFonts w:hint="default"/>
      </w:rPr>
    </w:lvl>
  </w:abstractNum>
  <w:abstractNum w:abstractNumId="8">
    <w:nsid w:val="19DC87D6"/>
    <w:multiLevelType w:val="singleLevel"/>
    <w:tmpl w:val="19DC87D6"/>
    <w:lvl w:ilvl="0" w:tentative="0">
      <w:start w:val="1"/>
      <w:numFmt w:val="decimal"/>
      <w:suff w:val="nothing"/>
      <w:lvlText w:val="%1、"/>
      <w:lvlJc w:val="left"/>
    </w:lvl>
  </w:abstractNum>
  <w:abstractNum w:abstractNumId="9">
    <w:nsid w:val="261D6BEB"/>
    <w:multiLevelType w:val="multilevel"/>
    <w:tmpl w:val="261D6BEB"/>
    <w:lvl w:ilvl="0" w:tentative="0">
      <w:start w:val="1"/>
      <w:numFmt w:val="decimal"/>
      <w:lvlText w:val="%1） "/>
      <w:lvlJc w:val="left"/>
      <w:pPr>
        <w:tabs>
          <w:tab w:val="left" w:pos="1027"/>
        </w:tabs>
        <w:ind w:left="573" w:firstLine="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2880F068"/>
    <w:multiLevelType w:val="singleLevel"/>
    <w:tmpl w:val="2880F068"/>
    <w:lvl w:ilvl="0" w:tentative="0">
      <w:start w:val="1"/>
      <w:numFmt w:val="decimal"/>
      <w:lvlText w:val="(%1)"/>
      <w:lvlJc w:val="left"/>
      <w:pPr>
        <w:ind w:left="425" w:hanging="425"/>
      </w:pPr>
      <w:rPr>
        <w:rFonts w:hint="default"/>
      </w:rPr>
    </w:lvl>
  </w:abstractNum>
  <w:abstractNum w:abstractNumId="11">
    <w:nsid w:val="44692F47"/>
    <w:multiLevelType w:val="multilevel"/>
    <w:tmpl w:val="44692F4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50112E1C"/>
    <w:multiLevelType w:val="singleLevel"/>
    <w:tmpl w:val="50112E1C"/>
    <w:lvl w:ilvl="0" w:tentative="0">
      <w:start w:val="1"/>
      <w:numFmt w:val="decimal"/>
      <w:lvlText w:val="(%1)"/>
      <w:lvlJc w:val="left"/>
      <w:pPr>
        <w:ind w:left="425" w:hanging="425"/>
      </w:pPr>
      <w:rPr>
        <w:rFonts w:hint="default"/>
      </w:rPr>
    </w:lvl>
  </w:abstractNum>
  <w:abstractNum w:abstractNumId="13">
    <w:nsid w:val="5CF61356"/>
    <w:multiLevelType w:val="multilevel"/>
    <w:tmpl w:val="5CF61356"/>
    <w:lvl w:ilvl="0" w:tentative="0">
      <w:start w:val="1"/>
      <w:numFmt w:val="decimal"/>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234F5BE"/>
    <w:multiLevelType w:val="singleLevel"/>
    <w:tmpl w:val="6234F5BE"/>
    <w:lvl w:ilvl="0" w:tentative="0">
      <w:start w:val="1"/>
      <w:numFmt w:val="chineseCounting"/>
      <w:suff w:val="nothing"/>
      <w:lvlText w:val="%1、"/>
      <w:lvlJc w:val="left"/>
      <w:pPr>
        <w:ind w:left="0" w:firstLine="420"/>
      </w:pPr>
      <w:rPr>
        <w:rFonts w:hint="eastAsia"/>
      </w:rPr>
    </w:lvl>
  </w:abstractNum>
  <w:abstractNum w:abstractNumId="15">
    <w:nsid w:val="64535650"/>
    <w:multiLevelType w:val="singleLevel"/>
    <w:tmpl w:val="64535650"/>
    <w:lvl w:ilvl="0" w:tentative="0">
      <w:start w:val="1"/>
      <w:numFmt w:val="decimal"/>
      <w:suff w:val="nothing"/>
      <w:lvlText w:val="（%1）"/>
      <w:lvlJc w:val="left"/>
    </w:lvl>
  </w:abstractNum>
  <w:abstractNum w:abstractNumId="16">
    <w:nsid w:val="79F755A2"/>
    <w:multiLevelType w:val="multilevel"/>
    <w:tmpl w:val="79F755A2"/>
    <w:lvl w:ilvl="0" w:tentative="0">
      <w:start w:val="1"/>
      <w:numFmt w:val="chineseCountingThousand"/>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6"/>
    <w:lvlOverride w:ilvl="0">
      <w:startOverride w:val="1"/>
    </w:lvlOverride>
  </w:num>
  <w:num w:numId="2">
    <w:abstractNumId w:val="1"/>
  </w:num>
  <w:num w:numId="3">
    <w:abstractNumId w:val="2"/>
  </w:num>
  <w:num w:numId="4">
    <w:abstractNumId w:val="15"/>
  </w:num>
  <w:num w:numId="5">
    <w:abstractNumId w:val="16"/>
  </w:num>
  <w:num w:numId="6">
    <w:abstractNumId w:val="13"/>
  </w:num>
  <w:num w:numId="7">
    <w:abstractNumId w:val="9"/>
  </w:num>
  <w:num w:numId="8">
    <w:abstractNumId w:val="11"/>
  </w:num>
  <w:num w:numId="9">
    <w:abstractNumId w:val="4"/>
  </w:num>
  <w:num w:numId="10">
    <w:abstractNumId w:val="10"/>
  </w:num>
  <w:num w:numId="11">
    <w:abstractNumId w:val="12"/>
  </w:num>
  <w:num w:numId="12">
    <w:abstractNumId w:val="7"/>
  </w:num>
  <w:num w:numId="13">
    <w:abstractNumId w:val="8"/>
  </w:num>
  <w:num w:numId="14">
    <w:abstractNumId w:val="3"/>
  </w:num>
  <w:num w:numId="15">
    <w:abstractNumId w:val="1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72"/>
    <w:rsid w:val="0000348D"/>
    <w:rsid w:val="000037BF"/>
    <w:rsid w:val="00005314"/>
    <w:rsid w:val="00005C36"/>
    <w:rsid w:val="0000615A"/>
    <w:rsid w:val="000061C6"/>
    <w:rsid w:val="000061DC"/>
    <w:rsid w:val="00007512"/>
    <w:rsid w:val="00011008"/>
    <w:rsid w:val="00011038"/>
    <w:rsid w:val="0001131A"/>
    <w:rsid w:val="000119E4"/>
    <w:rsid w:val="000123B6"/>
    <w:rsid w:val="000125C5"/>
    <w:rsid w:val="00012A96"/>
    <w:rsid w:val="00013188"/>
    <w:rsid w:val="00013BC2"/>
    <w:rsid w:val="000167DF"/>
    <w:rsid w:val="00017884"/>
    <w:rsid w:val="000204E7"/>
    <w:rsid w:val="0002190A"/>
    <w:rsid w:val="0002328F"/>
    <w:rsid w:val="000237A2"/>
    <w:rsid w:val="00024958"/>
    <w:rsid w:val="00024AD8"/>
    <w:rsid w:val="00024DB7"/>
    <w:rsid w:val="00027934"/>
    <w:rsid w:val="00030957"/>
    <w:rsid w:val="00031FBD"/>
    <w:rsid w:val="000334B9"/>
    <w:rsid w:val="00033CE3"/>
    <w:rsid w:val="00033D0E"/>
    <w:rsid w:val="0003418A"/>
    <w:rsid w:val="00034B8C"/>
    <w:rsid w:val="00034CA4"/>
    <w:rsid w:val="00036A30"/>
    <w:rsid w:val="00036C4A"/>
    <w:rsid w:val="00036F73"/>
    <w:rsid w:val="000377FE"/>
    <w:rsid w:val="00037B34"/>
    <w:rsid w:val="00037E67"/>
    <w:rsid w:val="000418ED"/>
    <w:rsid w:val="00043755"/>
    <w:rsid w:val="000438B5"/>
    <w:rsid w:val="000440F6"/>
    <w:rsid w:val="000441A9"/>
    <w:rsid w:val="00044C9F"/>
    <w:rsid w:val="00044FBA"/>
    <w:rsid w:val="000505C6"/>
    <w:rsid w:val="00050D74"/>
    <w:rsid w:val="00051DC4"/>
    <w:rsid w:val="0005246E"/>
    <w:rsid w:val="00052C88"/>
    <w:rsid w:val="00052DAA"/>
    <w:rsid w:val="00053674"/>
    <w:rsid w:val="00053676"/>
    <w:rsid w:val="000538B2"/>
    <w:rsid w:val="00054941"/>
    <w:rsid w:val="00056929"/>
    <w:rsid w:val="00056F4E"/>
    <w:rsid w:val="000571E4"/>
    <w:rsid w:val="00057683"/>
    <w:rsid w:val="00057E66"/>
    <w:rsid w:val="00057EB9"/>
    <w:rsid w:val="00057F4D"/>
    <w:rsid w:val="00061C7D"/>
    <w:rsid w:val="000620D5"/>
    <w:rsid w:val="000625E9"/>
    <w:rsid w:val="00063625"/>
    <w:rsid w:val="00063FE3"/>
    <w:rsid w:val="000654B2"/>
    <w:rsid w:val="00067ED2"/>
    <w:rsid w:val="00070225"/>
    <w:rsid w:val="00072580"/>
    <w:rsid w:val="00072A2F"/>
    <w:rsid w:val="00072A9B"/>
    <w:rsid w:val="00073476"/>
    <w:rsid w:val="0007389B"/>
    <w:rsid w:val="00073B0F"/>
    <w:rsid w:val="00073F49"/>
    <w:rsid w:val="00080018"/>
    <w:rsid w:val="0008227D"/>
    <w:rsid w:val="00083B5E"/>
    <w:rsid w:val="00084D92"/>
    <w:rsid w:val="000858D4"/>
    <w:rsid w:val="00086B5D"/>
    <w:rsid w:val="0008771A"/>
    <w:rsid w:val="00090558"/>
    <w:rsid w:val="0009084F"/>
    <w:rsid w:val="00090A9E"/>
    <w:rsid w:val="0009151A"/>
    <w:rsid w:val="00092515"/>
    <w:rsid w:val="000935B3"/>
    <w:rsid w:val="00093AB1"/>
    <w:rsid w:val="00094058"/>
    <w:rsid w:val="00095353"/>
    <w:rsid w:val="0009550E"/>
    <w:rsid w:val="0009789B"/>
    <w:rsid w:val="000A02DE"/>
    <w:rsid w:val="000A0A92"/>
    <w:rsid w:val="000A1D45"/>
    <w:rsid w:val="000A2077"/>
    <w:rsid w:val="000A4102"/>
    <w:rsid w:val="000A475D"/>
    <w:rsid w:val="000A5579"/>
    <w:rsid w:val="000A5BC1"/>
    <w:rsid w:val="000A5F1C"/>
    <w:rsid w:val="000A601C"/>
    <w:rsid w:val="000A7B2E"/>
    <w:rsid w:val="000B0050"/>
    <w:rsid w:val="000B1BEB"/>
    <w:rsid w:val="000B25A1"/>
    <w:rsid w:val="000B29DB"/>
    <w:rsid w:val="000B339E"/>
    <w:rsid w:val="000B36CA"/>
    <w:rsid w:val="000B3781"/>
    <w:rsid w:val="000B43F4"/>
    <w:rsid w:val="000B46AB"/>
    <w:rsid w:val="000B7A7C"/>
    <w:rsid w:val="000C085B"/>
    <w:rsid w:val="000C170C"/>
    <w:rsid w:val="000C1E5A"/>
    <w:rsid w:val="000C2419"/>
    <w:rsid w:val="000C2FF8"/>
    <w:rsid w:val="000C30B1"/>
    <w:rsid w:val="000C39B8"/>
    <w:rsid w:val="000C4284"/>
    <w:rsid w:val="000C45B7"/>
    <w:rsid w:val="000C7709"/>
    <w:rsid w:val="000C7B59"/>
    <w:rsid w:val="000D0A95"/>
    <w:rsid w:val="000D15A4"/>
    <w:rsid w:val="000D1640"/>
    <w:rsid w:val="000D2473"/>
    <w:rsid w:val="000D3BF7"/>
    <w:rsid w:val="000D4FF0"/>
    <w:rsid w:val="000D5E29"/>
    <w:rsid w:val="000D7E5B"/>
    <w:rsid w:val="000E1DAD"/>
    <w:rsid w:val="000E203D"/>
    <w:rsid w:val="000E2AF6"/>
    <w:rsid w:val="000E2FBA"/>
    <w:rsid w:val="000E3066"/>
    <w:rsid w:val="000E3912"/>
    <w:rsid w:val="000E3A64"/>
    <w:rsid w:val="000E4046"/>
    <w:rsid w:val="000E5657"/>
    <w:rsid w:val="000E6CA4"/>
    <w:rsid w:val="000E7737"/>
    <w:rsid w:val="000E7789"/>
    <w:rsid w:val="000E7E4D"/>
    <w:rsid w:val="000E7F25"/>
    <w:rsid w:val="000F00B6"/>
    <w:rsid w:val="000F3450"/>
    <w:rsid w:val="000F4DBD"/>
    <w:rsid w:val="000F64C1"/>
    <w:rsid w:val="000F741E"/>
    <w:rsid w:val="001001ED"/>
    <w:rsid w:val="001009BA"/>
    <w:rsid w:val="00100DE4"/>
    <w:rsid w:val="00100F11"/>
    <w:rsid w:val="00101AAC"/>
    <w:rsid w:val="001024BE"/>
    <w:rsid w:val="0010251B"/>
    <w:rsid w:val="001028AD"/>
    <w:rsid w:val="001029A5"/>
    <w:rsid w:val="00104F37"/>
    <w:rsid w:val="001052E4"/>
    <w:rsid w:val="00105841"/>
    <w:rsid w:val="00105949"/>
    <w:rsid w:val="001061BF"/>
    <w:rsid w:val="00106FA6"/>
    <w:rsid w:val="00107006"/>
    <w:rsid w:val="001100B3"/>
    <w:rsid w:val="0011068A"/>
    <w:rsid w:val="001106B2"/>
    <w:rsid w:val="001124AF"/>
    <w:rsid w:val="001130C9"/>
    <w:rsid w:val="00113788"/>
    <w:rsid w:val="0011392A"/>
    <w:rsid w:val="00115230"/>
    <w:rsid w:val="00115A62"/>
    <w:rsid w:val="001174F4"/>
    <w:rsid w:val="00120ECD"/>
    <w:rsid w:val="00121478"/>
    <w:rsid w:val="00123F6C"/>
    <w:rsid w:val="00124441"/>
    <w:rsid w:val="00125D5C"/>
    <w:rsid w:val="00127CB0"/>
    <w:rsid w:val="00130B88"/>
    <w:rsid w:val="00131AA7"/>
    <w:rsid w:val="00131B43"/>
    <w:rsid w:val="0013241D"/>
    <w:rsid w:val="001324BA"/>
    <w:rsid w:val="001334C4"/>
    <w:rsid w:val="00133B48"/>
    <w:rsid w:val="00133D8B"/>
    <w:rsid w:val="00134AC8"/>
    <w:rsid w:val="00135B6E"/>
    <w:rsid w:val="00137117"/>
    <w:rsid w:val="00137856"/>
    <w:rsid w:val="0014113D"/>
    <w:rsid w:val="001411B7"/>
    <w:rsid w:val="00144716"/>
    <w:rsid w:val="00145E00"/>
    <w:rsid w:val="00145E85"/>
    <w:rsid w:val="001467B6"/>
    <w:rsid w:val="00146EB9"/>
    <w:rsid w:val="0015004B"/>
    <w:rsid w:val="00150A74"/>
    <w:rsid w:val="00152261"/>
    <w:rsid w:val="001546EC"/>
    <w:rsid w:val="00155050"/>
    <w:rsid w:val="001554C6"/>
    <w:rsid w:val="00157175"/>
    <w:rsid w:val="00157AE3"/>
    <w:rsid w:val="00160007"/>
    <w:rsid w:val="00160553"/>
    <w:rsid w:val="001608EE"/>
    <w:rsid w:val="0016131B"/>
    <w:rsid w:val="00162DB5"/>
    <w:rsid w:val="0016474E"/>
    <w:rsid w:val="00167E1F"/>
    <w:rsid w:val="00170591"/>
    <w:rsid w:val="00170CBF"/>
    <w:rsid w:val="001723F3"/>
    <w:rsid w:val="00172450"/>
    <w:rsid w:val="00172A27"/>
    <w:rsid w:val="00172EED"/>
    <w:rsid w:val="00172F14"/>
    <w:rsid w:val="001730C2"/>
    <w:rsid w:val="0017342D"/>
    <w:rsid w:val="00174E79"/>
    <w:rsid w:val="001753CF"/>
    <w:rsid w:val="00176412"/>
    <w:rsid w:val="001764DD"/>
    <w:rsid w:val="00177081"/>
    <w:rsid w:val="001770DE"/>
    <w:rsid w:val="00177A56"/>
    <w:rsid w:val="00177FEE"/>
    <w:rsid w:val="0018056F"/>
    <w:rsid w:val="00180AD8"/>
    <w:rsid w:val="00181612"/>
    <w:rsid w:val="00181F2E"/>
    <w:rsid w:val="00182C8A"/>
    <w:rsid w:val="0018347A"/>
    <w:rsid w:val="001840F9"/>
    <w:rsid w:val="00185656"/>
    <w:rsid w:val="00185FCB"/>
    <w:rsid w:val="00186319"/>
    <w:rsid w:val="00186322"/>
    <w:rsid w:val="00186540"/>
    <w:rsid w:val="0019004F"/>
    <w:rsid w:val="00191820"/>
    <w:rsid w:val="00192323"/>
    <w:rsid w:val="00192C99"/>
    <w:rsid w:val="00192E56"/>
    <w:rsid w:val="00192FDE"/>
    <w:rsid w:val="00193821"/>
    <w:rsid w:val="00193AC3"/>
    <w:rsid w:val="00194710"/>
    <w:rsid w:val="00194B86"/>
    <w:rsid w:val="001A104F"/>
    <w:rsid w:val="001A181F"/>
    <w:rsid w:val="001A1CE7"/>
    <w:rsid w:val="001A1EC9"/>
    <w:rsid w:val="001A1FA3"/>
    <w:rsid w:val="001A38B3"/>
    <w:rsid w:val="001A3D4B"/>
    <w:rsid w:val="001A3DD9"/>
    <w:rsid w:val="001A4230"/>
    <w:rsid w:val="001A4294"/>
    <w:rsid w:val="001A4C27"/>
    <w:rsid w:val="001A4C73"/>
    <w:rsid w:val="001A51C2"/>
    <w:rsid w:val="001A5A9D"/>
    <w:rsid w:val="001A639A"/>
    <w:rsid w:val="001A76EF"/>
    <w:rsid w:val="001A79D6"/>
    <w:rsid w:val="001A7D8C"/>
    <w:rsid w:val="001B00BE"/>
    <w:rsid w:val="001B065F"/>
    <w:rsid w:val="001B194D"/>
    <w:rsid w:val="001B31FC"/>
    <w:rsid w:val="001B495D"/>
    <w:rsid w:val="001B603D"/>
    <w:rsid w:val="001B6C55"/>
    <w:rsid w:val="001B6D59"/>
    <w:rsid w:val="001C0138"/>
    <w:rsid w:val="001C0985"/>
    <w:rsid w:val="001C0A30"/>
    <w:rsid w:val="001C1661"/>
    <w:rsid w:val="001C192A"/>
    <w:rsid w:val="001C2270"/>
    <w:rsid w:val="001C33A0"/>
    <w:rsid w:val="001C3551"/>
    <w:rsid w:val="001C4558"/>
    <w:rsid w:val="001C45BA"/>
    <w:rsid w:val="001C47E7"/>
    <w:rsid w:val="001C516C"/>
    <w:rsid w:val="001C67BC"/>
    <w:rsid w:val="001C7470"/>
    <w:rsid w:val="001C78C7"/>
    <w:rsid w:val="001D13AD"/>
    <w:rsid w:val="001D1F3F"/>
    <w:rsid w:val="001D235D"/>
    <w:rsid w:val="001D3946"/>
    <w:rsid w:val="001D5035"/>
    <w:rsid w:val="001D536C"/>
    <w:rsid w:val="001D5FFA"/>
    <w:rsid w:val="001D60A9"/>
    <w:rsid w:val="001D7F86"/>
    <w:rsid w:val="001E09ED"/>
    <w:rsid w:val="001E0AF8"/>
    <w:rsid w:val="001E170C"/>
    <w:rsid w:val="001E2480"/>
    <w:rsid w:val="001E2CD7"/>
    <w:rsid w:val="001E45D9"/>
    <w:rsid w:val="001E571B"/>
    <w:rsid w:val="001E5FBB"/>
    <w:rsid w:val="001E67DB"/>
    <w:rsid w:val="001E6B68"/>
    <w:rsid w:val="001E6F23"/>
    <w:rsid w:val="001E7461"/>
    <w:rsid w:val="001E74A6"/>
    <w:rsid w:val="001F010D"/>
    <w:rsid w:val="001F017F"/>
    <w:rsid w:val="001F0F72"/>
    <w:rsid w:val="001F0F85"/>
    <w:rsid w:val="001F2702"/>
    <w:rsid w:val="001F2C14"/>
    <w:rsid w:val="001F2C73"/>
    <w:rsid w:val="001F2DF7"/>
    <w:rsid w:val="001F4EBA"/>
    <w:rsid w:val="001F504A"/>
    <w:rsid w:val="001F753D"/>
    <w:rsid w:val="00200C9A"/>
    <w:rsid w:val="00200D62"/>
    <w:rsid w:val="00201286"/>
    <w:rsid w:val="002014C5"/>
    <w:rsid w:val="00201713"/>
    <w:rsid w:val="00201D94"/>
    <w:rsid w:val="00201DA0"/>
    <w:rsid w:val="00202B74"/>
    <w:rsid w:val="00204611"/>
    <w:rsid w:val="002050BB"/>
    <w:rsid w:val="00206654"/>
    <w:rsid w:val="0020683B"/>
    <w:rsid w:val="002077CB"/>
    <w:rsid w:val="0021019E"/>
    <w:rsid w:val="00210FF2"/>
    <w:rsid w:val="00211F2D"/>
    <w:rsid w:val="00213A60"/>
    <w:rsid w:val="00213C11"/>
    <w:rsid w:val="00213D80"/>
    <w:rsid w:val="002149C4"/>
    <w:rsid w:val="00214DAB"/>
    <w:rsid w:val="00214E3C"/>
    <w:rsid w:val="00214F7E"/>
    <w:rsid w:val="00216BE4"/>
    <w:rsid w:val="00222314"/>
    <w:rsid w:val="00222BF7"/>
    <w:rsid w:val="00224A17"/>
    <w:rsid w:val="002262DA"/>
    <w:rsid w:val="0022708F"/>
    <w:rsid w:val="00227A6D"/>
    <w:rsid w:val="00230AF2"/>
    <w:rsid w:val="00230C8B"/>
    <w:rsid w:val="0023214B"/>
    <w:rsid w:val="00232E1D"/>
    <w:rsid w:val="0023383A"/>
    <w:rsid w:val="002356DF"/>
    <w:rsid w:val="00236496"/>
    <w:rsid w:val="0023791D"/>
    <w:rsid w:val="00237AA6"/>
    <w:rsid w:val="002408D4"/>
    <w:rsid w:val="00240C69"/>
    <w:rsid w:val="00241D65"/>
    <w:rsid w:val="002420F6"/>
    <w:rsid w:val="00243EC7"/>
    <w:rsid w:val="002440B0"/>
    <w:rsid w:val="002444C6"/>
    <w:rsid w:val="002446C3"/>
    <w:rsid w:val="00245461"/>
    <w:rsid w:val="002455DB"/>
    <w:rsid w:val="00247345"/>
    <w:rsid w:val="00247B02"/>
    <w:rsid w:val="00253693"/>
    <w:rsid w:val="00253C2C"/>
    <w:rsid w:val="002549F2"/>
    <w:rsid w:val="002562E8"/>
    <w:rsid w:val="002567B2"/>
    <w:rsid w:val="00256E5C"/>
    <w:rsid w:val="002601D0"/>
    <w:rsid w:val="00260515"/>
    <w:rsid w:val="00260AA2"/>
    <w:rsid w:val="00262340"/>
    <w:rsid w:val="002624DB"/>
    <w:rsid w:val="0026422E"/>
    <w:rsid w:val="00265346"/>
    <w:rsid w:val="00265A25"/>
    <w:rsid w:val="0026732F"/>
    <w:rsid w:val="002676BE"/>
    <w:rsid w:val="00270497"/>
    <w:rsid w:val="00270B85"/>
    <w:rsid w:val="00270BB8"/>
    <w:rsid w:val="00271222"/>
    <w:rsid w:val="002715DD"/>
    <w:rsid w:val="00271657"/>
    <w:rsid w:val="002722FD"/>
    <w:rsid w:val="00272DD0"/>
    <w:rsid w:val="002732D5"/>
    <w:rsid w:val="00273B86"/>
    <w:rsid w:val="00273D06"/>
    <w:rsid w:val="0027454C"/>
    <w:rsid w:val="00274AB6"/>
    <w:rsid w:val="00276A65"/>
    <w:rsid w:val="00276F91"/>
    <w:rsid w:val="00277D65"/>
    <w:rsid w:val="00282D35"/>
    <w:rsid w:val="00282EDE"/>
    <w:rsid w:val="002836D6"/>
    <w:rsid w:val="00283AD4"/>
    <w:rsid w:val="00283FF8"/>
    <w:rsid w:val="002849C4"/>
    <w:rsid w:val="00285E3C"/>
    <w:rsid w:val="0028648B"/>
    <w:rsid w:val="0028691C"/>
    <w:rsid w:val="00287848"/>
    <w:rsid w:val="00290753"/>
    <w:rsid w:val="00291482"/>
    <w:rsid w:val="00291A8D"/>
    <w:rsid w:val="00292C4C"/>
    <w:rsid w:val="00294DDC"/>
    <w:rsid w:val="00295764"/>
    <w:rsid w:val="00295CF2"/>
    <w:rsid w:val="002A12A5"/>
    <w:rsid w:val="002A14AD"/>
    <w:rsid w:val="002A3875"/>
    <w:rsid w:val="002A3931"/>
    <w:rsid w:val="002A465F"/>
    <w:rsid w:val="002A4AF4"/>
    <w:rsid w:val="002A58E3"/>
    <w:rsid w:val="002A6B26"/>
    <w:rsid w:val="002B22EA"/>
    <w:rsid w:val="002B2B40"/>
    <w:rsid w:val="002B35D3"/>
    <w:rsid w:val="002B3E3B"/>
    <w:rsid w:val="002B51E7"/>
    <w:rsid w:val="002B5AF5"/>
    <w:rsid w:val="002B5ED9"/>
    <w:rsid w:val="002B618F"/>
    <w:rsid w:val="002B6233"/>
    <w:rsid w:val="002B7D10"/>
    <w:rsid w:val="002B7E81"/>
    <w:rsid w:val="002C0BD5"/>
    <w:rsid w:val="002C25B0"/>
    <w:rsid w:val="002C27C4"/>
    <w:rsid w:val="002C3112"/>
    <w:rsid w:val="002C323C"/>
    <w:rsid w:val="002C512D"/>
    <w:rsid w:val="002C5501"/>
    <w:rsid w:val="002C57B7"/>
    <w:rsid w:val="002C5C1D"/>
    <w:rsid w:val="002C62AA"/>
    <w:rsid w:val="002C6A1E"/>
    <w:rsid w:val="002D0667"/>
    <w:rsid w:val="002D077C"/>
    <w:rsid w:val="002D0BEE"/>
    <w:rsid w:val="002D18C6"/>
    <w:rsid w:val="002D1EDE"/>
    <w:rsid w:val="002D2AFB"/>
    <w:rsid w:val="002D2BCB"/>
    <w:rsid w:val="002D3FF1"/>
    <w:rsid w:val="002D4FB0"/>
    <w:rsid w:val="002D6410"/>
    <w:rsid w:val="002D6D88"/>
    <w:rsid w:val="002D7148"/>
    <w:rsid w:val="002E0A9E"/>
    <w:rsid w:val="002E161B"/>
    <w:rsid w:val="002E1C99"/>
    <w:rsid w:val="002E2B77"/>
    <w:rsid w:val="002E33D3"/>
    <w:rsid w:val="002E4EBD"/>
    <w:rsid w:val="002E5154"/>
    <w:rsid w:val="002E5E40"/>
    <w:rsid w:val="002E60EC"/>
    <w:rsid w:val="002E7138"/>
    <w:rsid w:val="002E7FB5"/>
    <w:rsid w:val="002F0E4C"/>
    <w:rsid w:val="002F1940"/>
    <w:rsid w:val="002F2F77"/>
    <w:rsid w:val="002F456C"/>
    <w:rsid w:val="002F58F7"/>
    <w:rsid w:val="002F5DED"/>
    <w:rsid w:val="002F6D2E"/>
    <w:rsid w:val="002F7698"/>
    <w:rsid w:val="003001AD"/>
    <w:rsid w:val="00300830"/>
    <w:rsid w:val="00303B5E"/>
    <w:rsid w:val="00304919"/>
    <w:rsid w:val="00306DD2"/>
    <w:rsid w:val="00307454"/>
    <w:rsid w:val="00307F5F"/>
    <w:rsid w:val="003111F6"/>
    <w:rsid w:val="00312B56"/>
    <w:rsid w:val="00312B82"/>
    <w:rsid w:val="00313923"/>
    <w:rsid w:val="00314023"/>
    <w:rsid w:val="0031436F"/>
    <w:rsid w:val="00316130"/>
    <w:rsid w:val="00316230"/>
    <w:rsid w:val="003164D0"/>
    <w:rsid w:val="00316B2F"/>
    <w:rsid w:val="00317DAD"/>
    <w:rsid w:val="00317E1B"/>
    <w:rsid w:val="00320C62"/>
    <w:rsid w:val="00321EFB"/>
    <w:rsid w:val="003224EA"/>
    <w:rsid w:val="00324A09"/>
    <w:rsid w:val="00325B5E"/>
    <w:rsid w:val="00330250"/>
    <w:rsid w:val="00330BC3"/>
    <w:rsid w:val="003316FB"/>
    <w:rsid w:val="003342C6"/>
    <w:rsid w:val="00334E5E"/>
    <w:rsid w:val="003353C6"/>
    <w:rsid w:val="00335AF5"/>
    <w:rsid w:val="00335BB1"/>
    <w:rsid w:val="003400FA"/>
    <w:rsid w:val="003402BE"/>
    <w:rsid w:val="00342189"/>
    <w:rsid w:val="003425BE"/>
    <w:rsid w:val="00342F11"/>
    <w:rsid w:val="00343041"/>
    <w:rsid w:val="003440FA"/>
    <w:rsid w:val="00344D19"/>
    <w:rsid w:val="00345539"/>
    <w:rsid w:val="00345774"/>
    <w:rsid w:val="0034684B"/>
    <w:rsid w:val="003470BA"/>
    <w:rsid w:val="003476BC"/>
    <w:rsid w:val="003478B5"/>
    <w:rsid w:val="00347E11"/>
    <w:rsid w:val="00347EC9"/>
    <w:rsid w:val="00350021"/>
    <w:rsid w:val="00351A42"/>
    <w:rsid w:val="00352DA0"/>
    <w:rsid w:val="00354497"/>
    <w:rsid w:val="00355BA2"/>
    <w:rsid w:val="00356F2E"/>
    <w:rsid w:val="0035705D"/>
    <w:rsid w:val="00357481"/>
    <w:rsid w:val="00357940"/>
    <w:rsid w:val="00361BAB"/>
    <w:rsid w:val="00362600"/>
    <w:rsid w:val="00362CA9"/>
    <w:rsid w:val="00363E3D"/>
    <w:rsid w:val="00365AF5"/>
    <w:rsid w:val="003675B9"/>
    <w:rsid w:val="00367B11"/>
    <w:rsid w:val="00370439"/>
    <w:rsid w:val="003705C1"/>
    <w:rsid w:val="00370656"/>
    <w:rsid w:val="00370950"/>
    <w:rsid w:val="00371ACA"/>
    <w:rsid w:val="00372CF7"/>
    <w:rsid w:val="00374F41"/>
    <w:rsid w:val="00375890"/>
    <w:rsid w:val="003816E8"/>
    <w:rsid w:val="00382D1A"/>
    <w:rsid w:val="00382DEE"/>
    <w:rsid w:val="00383078"/>
    <w:rsid w:val="003830BB"/>
    <w:rsid w:val="003831D8"/>
    <w:rsid w:val="00385B9C"/>
    <w:rsid w:val="00386B0A"/>
    <w:rsid w:val="003900B4"/>
    <w:rsid w:val="00393458"/>
    <w:rsid w:val="003947B3"/>
    <w:rsid w:val="003959BD"/>
    <w:rsid w:val="00396D08"/>
    <w:rsid w:val="00397F79"/>
    <w:rsid w:val="003A0153"/>
    <w:rsid w:val="003A0711"/>
    <w:rsid w:val="003A091A"/>
    <w:rsid w:val="003A1C3C"/>
    <w:rsid w:val="003A2E1D"/>
    <w:rsid w:val="003A4C90"/>
    <w:rsid w:val="003B0DC8"/>
    <w:rsid w:val="003B127F"/>
    <w:rsid w:val="003B1FC4"/>
    <w:rsid w:val="003B3094"/>
    <w:rsid w:val="003B30CB"/>
    <w:rsid w:val="003B4BB1"/>
    <w:rsid w:val="003B5817"/>
    <w:rsid w:val="003B6917"/>
    <w:rsid w:val="003B73F4"/>
    <w:rsid w:val="003C0058"/>
    <w:rsid w:val="003C0432"/>
    <w:rsid w:val="003C0B4A"/>
    <w:rsid w:val="003C137E"/>
    <w:rsid w:val="003C240F"/>
    <w:rsid w:val="003C26DA"/>
    <w:rsid w:val="003C4935"/>
    <w:rsid w:val="003C694C"/>
    <w:rsid w:val="003C6D34"/>
    <w:rsid w:val="003C73EF"/>
    <w:rsid w:val="003C75A1"/>
    <w:rsid w:val="003C776E"/>
    <w:rsid w:val="003C7890"/>
    <w:rsid w:val="003D054C"/>
    <w:rsid w:val="003D064D"/>
    <w:rsid w:val="003D1F0B"/>
    <w:rsid w:val="003D2422"/>
    <w:rsid w:val="003D271F"/>
    <w:rsid w:val="003D27FC"/>
    <w:rsid w:val="003D2DFA"/>
    <w:rsid w:val="003D3180"/>
    <w:rsid w:val="003D44E1"/>
    <w:rsid w:val="003D49E4"/>
    <w:rsid w:val="003D5780"/>
    <w:rsid w:val="003D5BA3"/>
    <w:rsid w:val="003D76E7"/>
    <w:rsid w:val="003D7880"/>
    <w:rsid w:val="003E02C7"/>
    <w:rsid w:val="003E0F5A"/>
    <w:rsid w:val="003E12AE"/>
    <w:rsid w:val="003E192C"/>
    <w:rsid w:val="003E1D02"/>
    <w:rsid w:val="003E24A2"/>
    <w:rsid w:val="003E55B9"/>
    <w:rsid w:val="003E5786"/>
    <w:rsid w:val="003E5A2D"/>
    <w:rsid w:val="003E6DDE"/>
    <w:rsid w:val="003E7AB2"/>
    <w:rsid w:val="003E7F88"/>
    <w:rsid w:val="003F0883"/>
    <w:rsid w:val="003F1BF7"/>
    <w:rsid w:val="003F254A"/>
    <w:rsid w:val="003F2B31"/>
    <w:rsid w:val="003F31AD"/>
    <w:rsid w:val="003F43E8"/>
    <w:rsid w:val="003F4494"/>
    <w:rsid w:val="003F508D"/>
    <w:rsid w:val="003F75A2"/>
    <w:rsid w:val="003F7775"/>
    <w:rsid w:val="004005BC"/>
    <w:rsid w:val="0040086F"/>
    <w:rsid w:val="00400C53"/>
    <w:rsid w:val="00401563"/>
    <w:rsid w:val="00401716"/>
    <w:rsid w:val="0040318B"/>
    <w:rsid w:val="00404EF7"/>
    <w:rsid w:val="00405E4A"/>
    <w:rsid w:val="00407F7D"/>
    <w:rsid w:val="00410122"/>
    <w:rsid w:val="0041017A"/>
    <w:rsid w:val="0041168C"/>
    <w:rsid w:val="004125E8"/>
    <w:rsid w:val="00412C42"/>
    <w:rsid w:val="00413BA9"/>
    <w:rsid w:val="00415864"/>
    <w:rsid w:val="0041610D"/>
    <w:rsid w:val="00416AB9"/>
    <w:rsid w:val="00417C0C"/>
    <w:rsid w:val="004211B5"/>
    <w:rsid w:val="00421A2E"/>
    <w:rsid w:val="0042245F"/>
    <w:rsid w:val="00422520"/>
    <w:rsid w:val="00423576"/>
    <w:rsid w:val="00423BBE"/>
    <w:rsid w:val="00424105"/>
    <w:rsid w:val="00426350"/>
    <w:rsid w:val="00426A1F"/>
    <w:rsid w:val="0043028C"/>
    <w:rsid w:val="00432004"/>
    <w:rsid w:val="00433344"/>
    <w:rsid w:val="00433571"/>
    <w:rsid w:val="004342A2"/>
    <w:rsid w:val="00434BBC"/>
    <w:rsid w:val="00435662"/>
    <w:rsid w:val="00435BE9"/>
    <w:rsid w:val="00435DDB"/>
    <w:rsid w:val="0043616F"/>
    <w:rsid w:val="00436348"/>
    <w:rsid w:val="00437190"/>
    <w:rsid w:val="0043736D"/>
    <w:rsid w:val="00437FFB"/>
    <w:rsid w:val="00440A85"/>
    <w:rsid w:val="004442C2"/>
    <w:rsid w:val="00444AA2"/>
    <w:rsid w:val="004450BE"/>
    <w:rsid w:val="00446889"/>
    <w:rsid w:val="00447BFF"/>
    <w:rsid w:val="00450970"/>
    <w:rsid w:val="00450B84"/>
    <w:rsid w:val="00451397"/>
    <w:rsid w:val="0045146B"/>
    <w:rsid w:val="00451958"/>
    <w:rsid w:val="00451BBB"/>
    <w:rsid w:val="00452383"/>
    <w:rsid w:val="004523C2"/>
    <w:rsid w:val="00452455"/>
    <w:rsid w:val="00452539"/>
    <w:rsid w:val="004531F1"/>
    <w:rsid w:val="0045362B"/>
    <w:rsid w:val="004536E5"/>
    <w:rsid w:val="00453C75"/>
    <w:rsid w:val="00453E8B"/>
    <w:rsid w:val="00454C8F"/>
    <w:rsid w:val="004557CC"/>
    <w:rsid w:val="00455F19"/>
    <w:rsid w:val="00456BB6"/>
    <w:rsid w:val="004574F0"/>
    <w:rsid w:val="004605B4"/>
    <w:rsid w:val="004607BB"/>
    <w:rsid w:val="00460E60"/>
    <w:rsid w:val="004617FA"/>
    <w:rsid w:val="00461CF9"/>
    <w:rsid w:val="0046322B"/>
    <w:rsid w:val="004639BF"/>
    <w:rsid w:val="004647A5"/>
    <w:rsid w:val="00464985"/>
    <w:rsid w:val="00464CF6"/>
    <w:rsid w:val="00465022"/>
    <w:rsid w:val="004653EA"/>
    <w:rsid w:val="004666D5"/>
    <w:rsid w:val="00466D87"/>
    <w:rsid w:val="00467A71"/>
    <w:rsid w:val="00467CCC"/>
    <w:rsid w:val="004703EC"/>
    <w:rsid w:val="00470417"/>
    <w:rsid w:val="004715BA"/>
    <w:rsid w:val="00471B3C"/>
    <w:rsid w:val="00472126"/>
    <w:rsid w:val="00473108"/>
    <w:rsid w:val="004755C6"/>
    <w:rsid w:val="00476B3C"/>
    <w:rsid w:val="00476C28"/>
    <w:rsid w:val="0048123B"/>
    <w:rsid w:val="004819B7"/>
    <w:rsid w:val="004821D9"/>
    <w:rsid w:val="00482DEC"/>
    <w:rsid w:val="00483460"/>
    <w:rsid w:val="004846A7"/>
    <w:rsid w:val="0048473B"/>
    <w:rsid w:val="0048650D"/>
    <w:rsid w:val="00486E62"/>
    <w:rsid w:val="004910F1"/>
    <w:rsid w:val="004916A6"/>
    <w:rsid w:val="004949E3"/>
    <w:rsid w:val="00495667"/>
    <w:rsid w:val="00495E16"/>
    <w:rsid w:val="00497944"/>
    <w:rsid w:val="004A015A"/>
    <w:rsid w:val="004A113D"/>
    <w:rsid w:val="004A14CC"/>
    <w:rsid w:val="004A3033"/>
    <w:rsid w:val="004A4002"/>
    <w:rsid w:val="004A45E9"/>
    <w:rsid w:val="004A4CD1"/>
    <w:rsid w:val="004A5036"/>
    <w:rsid w:val="004A5920"/>
    <w:rsid w:val="004A5F04"/>
    <w:rsid w:val="004A60C6"/>
    <w:rsid w:val="004A678D"/>
    <w:rsid w:val="004A6A5C"/>
    <w:rsid w:val="004B06F5"/>
    <w:rsid w:val="004B12D7"/>
    <w:rsid w:val="004B296B"/>
    <w:rsid w:val="004B2B83"/>
    <w:rsid w:val="004B396D"/>
    <w:rsid w:val="004B3F7B"/>
    <w:rsid w:val="004B4699"/>
    <w:rsid w:val="004B4752"/>
    <w:rsid w:val="004B48D2"/>
    <w:rsid w:val="004B4E0F"/>
    <w:rsid w:val="004B51D0"/>
    <w:rsid w:val="004B6D3E"/>
    <w:rsid w:val="004C48ED"/>
    <w:rsid w:val="004C4B0D"/>
    <w:rsid w:val="004C509F"/>
    <w:rsid w:val="004C6A4F"/>
    <w:rsid w:val="004C6C81"/>
    <w:rsid w:val="004C71AF"/>
    <w:rsid w:val="004D067B"/>
    <w:rsid w:val="004D0C69"/>
    <w:rsid w:val="004D1C9F"/>
    <w:rsid w:val="004D311B"/>
    <w:rsid w:val="004D314B"/>
    <w:rsid w:val="004D3EC8"/>
    <w:rsid w:val="004D490F"/>
    <w:rsid w:val="004D4A1B"/>
    <w:rsid w:val="004D4ADD"/>
    <w:rsid w:val="004D58A6"/>
    <w:rsid w:val="004D5ABE"/>
    <w:rsid w:val="004D6C72"/>
    <w:rsid w:val="004D6F13"/>
    <w:rsid w:val="004E0AFF"/>
    <w:rsid w:val="004E1D80"/>
    <w:rsid w:val="004E20B4"/>
    <w:rsid w:val="004E392E"/>
    <w:rsid w:val="004E57B1"/>
    <w:rsid w:val="004E58C6"/>
    <w:rsid w:val="004E58F2"/>
    <w:rsid w:val="004E6148"/>
    <w:rsid w:val="004E6F36"/>
    <w:rsid w:val="004E72A6"/>
    <w:rsid w:val="004E7339"/>
    <w:rsid w:val="004E770B"/>
    <w:rsid w:val="004E7AC3"/>
    <w:rsid w:val="004F027B"/>
    <w:rsid w:val="004F3539"/>
    <w:rsid w:val="004F40D4"/>
    <w:rsid w:val="004F4E76"/>
    <w:rsid w:val="004F5376"/>
    <w:rsid w:val="004F550C"/>
    <w:rsid w:val="004F5714"/>
    <w:rsid w:val="004F599E"/>
    <w:rsid w:val="004F59B1"/>
    <w:rsid w:val="004F6320"/>
    <w:rsid w:val="004F6A89"/>
    <w:rsid w:val="004F6CBA"/>
    <w:rsid w:val="004F75F2"/>
    <w:rsid w:val="004F7C5C"/>
    <w:rsid w:val="00500979"/>
    <w:rsid w:val="00500D3B"/>
    <w:rsid w:val="005012F8"/>
    <w:rsid w:val="005013AD"/>
    <w:rsid w:val="0050184F"/>
    <w:rsid w:val="00501854"/>
    <w:rsid w:val="0050221A"/>
    <w:rsid w:val="005023AB"/>
    <w:rsid w:val="005038D8"/>
    <w:rsid w:val="005041A1"/>
    <w:rsid w:val="0050437E"/>
    <w:rsid w:val="00504B85"/>
    <w:rsid w:val="00504D89"/>
    <w:rsid w:val="005065A7"/>
    <w:rsid w:val="005073BA"/>
    <w:rsid w:val="00507420"/>
    <w:rsid w:val="00507928"/>
    <w:rsid w:val="00510059"/>
    <w:rsid w:val="00510B72"/>
    <w:rsid w:val="005111FC"/>
    <w:rsid w:val="005113E9"/>
    <w:rsid w:val="00512088"/>
    <w:rsid w:val="00513BF6"/>
    <w:rsid w:val="00513E5F"/>
    <w:rsid w:val="0051687E"/>
    <w:rsid w:val="00520A57"/>
    <w:rsid w:val="00520F60"/>
    <w:rsid w:val="00521376"/>
    <w:rsid w:val="0052255E"/>
    <w:rsid w:val="00522916"/>
    <w:rsid w:val="005234A0"/>
    <w:rsid w:val="0052388C"/>
    <w:rsid w:val="00523D9F"/>
    <w:rsid w:val="0052449E"/>
    <w:rsid w:val="0052540A"/>
    <w:rsid w:val="005264F7"/>
    <w:rsid w:val="00527996"/>
    <w:rsid w:val="00527AAE"/>
    <w:rsid w:val="005330CA"/>
    <w:rsid w:val="00533AEE"/>
    <w:rsid w:val="00534E94"/>
    <w:rsid w:val="00536665"/>
    <w:rsid w:val="00536CE9"/>
    <w:rsid w:val="0053760F"/>
    <w:rsid w:val="00537624"/>
    <w:rsid w:val="00537BC9"/>
    <w:rsid w:val="005404EE"/>
    <w:rsid w:val="0054130A"/>
    <w:rsid w:val="005425B6"/>
    <w:rsid w:val="00542F00"/>
    <w:rsid w:val="00543015"/>
    <w:rsid w:val="005436F8"/>
    <w:rsid w:val="00544949"/>
    <w:rsid w:val="00545C72"/>
    <w:rsid w:val="005464B3"/>
    <w:rsid w:val="00547C84"/>
    <w:rsid w:val="00547ED3"/>
    <w:rsid w:val="00550073"/>
    <w:rsid w:val="005503F6"/>
    <w:rsid w:val="0055150A"/>
    <w:rsid w:val="0055169A"/>
    <w:rsid w:val="0055364F"/>
    <w:rsid w:val="00554087"/>
    <w:rsid w:val="005550DC"/>
    <w:rsid w:val="005551CC"/>
    <w:rsid w:val="00555549"/>
    <w:rsid w:val="005555C9"/>
    <w:rsid w:val="005557C2"/>
    <w:rsid w:val="00555F04"/>
    <w:rsid w:val="00555F81"/>
    <w:rsid w:val="005563E3"/>
    <w:rsid w:val="00556A2B"/>
    <w:rsid w:val="00556B50"/>
    <w:rsid w:val="00557308"/>
    <w:rsid w:val="005578C7"/>
    <w:rsid w:val="005606FC"/>
    <w:rsid w:val="005613D6"/>
    <w:rsid w:val="005620BD"/>
    <w:rsid w:val="005621D0"/>
    <w:rsid w:val="005623EE"/>
    <w:rsid w:val="0056267F"/>
    <w:rsid w:val="00563227"/>
    <w:rsid w:val="005646C4"/>
    <w:rsid w:val="00564D40"/>
    <w:rsid w:val="0056544A"/>
    <w:rsid w:val="00566D9F"/>
    <w:rsid w:val="00566F3D"/>
    <w:rsid w:val="00567550"/>
    <w:rsid w:val="0056776A"/>
    <w:rsid w:val="00567976"/>
    <w:rsid w:val="005705E5"/>
    <w:rsid w:val="00572018"/>
    <w:rsid w:val="00572365"/>
    <w:rsid w:val="00572D8C"/>
    <w:rsid w:val="005745D9"/>
    <w:rsid w:val="005746B5"/>
    <w:rsid w:val="005748D2"/>
    <w:rsid w:val="00575C89"/>
    <w:rsid w:val="00576FD5"/>
    <w:rsid w:val="005779F1"/>
    <w:rsid w:val="00581CAC"/>
    <w:rsid w:val="00582666"/>
    <w:rsid w:val="0058315A"/>
    <w:rsid w:val="00583263"/>
    <w:rsid w:val="00583B48"/>
    <w:rsid w:val="0058422D"/>
    <w:rsid w:val="00584AC3"/>
    <w:rsid w:val="005859A5"/>
    <w:rsid w:val="005872FF"/>
    <w:rsid w:val="005873E4"/>
    <w:rsid w:val="005876DE"/>
    <w:rsid w:val="0059061B"/>
    <w:rsid w:val="005921C5"/>
    <w:rsid w:val="0059275D"/>
    <w:rsid w:val="00594024"/>
    <w:rsid w:val="0059544C"/>
    <w:rsid w:val="0059591D"/>
    <w:rsid w:val="005A1698"/>
    <w:rsid w:val="005A20D9"/>
    <w:rsid w:val="005A29FC"/>
    <w:rsid w:val="005A37C5"/>
    <w:rsid w:val="005A4340"/>
    <w:rsid w:val="005A4AC4"/>
    <w:rsid w:val="005A4E6A"/>
    <w:rsid w:val="005A4FA6"/>
    <w:rsid w:val="005A5012"/>
    <w:rsid w:val="005A58E2"/>
    <w:rsid w:val="005A5B94"/>
    <w:rsid w:val="005A67C4"/>
    <w:rsid w:val="005A6C8C"/>
    <w:rsid w:val="005A7651"/>
    <w:rsid w:val="005A7799"/>
    <w:rsid w:val="005A78B3"/>
    <w:rsid w:val="005B0059"/>
    <w:rsid w:val="005B07B0"/>
    <w:rsid w:val="005B2CBB"/>
    <w:rsid w:val="005B43FE"/>
    <w:rsid w:val="005B4A36"/>
    <w:rsid w:val="005B583B"/>
    <w:rsid w:val="005B6202"/>
    <w:rsid w:val="005B65B4"/>
    <w:rsid w:val="005B73AB"/>
    <w:rsid w:val="005B7D24"/>
    <w:rsid w:val="005C1AAC"/>
    <w:rsid w:val="005C2B09"/>
    <w:rsid w:val="005C31D4"/>
    <w:rsid w:val="005C3F95"/>
    <w:rsid w:val="005C4B23"/>
    <w:rsid w:val="005C4C36"/>
    <w:rsid w:val="005C4CBB"/>
    <w:rsid w:val="005C53E3"/>
    <w:rsid w:val="005C5674"/>
    <w:rsid w:val="005C7DC9"/>
    <w:rsid w:val="005D093E"/>
    <w:rsid w:val="005D1B86"/>
    <w:rsid w:val="005D2928"/>
    <w:rsid w:val="005D3BDF"/>
    <w:rsid w:val="005D4935"/>
    <w:rsid w:val="005D4EA1"/>
    <w:rsid w:val="005D5DA3"/>
    <w:rsid w:val="005D6B07"/>
    <w:rsid w:val="005D6D26"/>
    <w:rsid w:val="005E0D4C"/>
    <w:rsid w:val="005E11D1"/>
    <w:rsid w:val="005E2099"/>
    <w:rsid w:val="005E28E9"/>
    <w:rsid w:val="005E5293"/>
    <w:rsid w:val="005E6138"/>
    <w:rsid w:val="005F1A4F"/>
    <w:rsid w:val="005F1C37"/>
    <w:rsid w:val="005F2E6D"/>
    <w:rsid w:val="005F33AE"/>
    <w:rsid w:val="005F33CD"/>
    <w:rsid w:val="005F3FD7"/>
    <w:rsid w:val="005F5402"/>
    <w:rsid w:val="005F7278"/>
    <w:rsid w:val="005F7B01"/>
    <w:rsid w:val="0060026F"/>
    <w:rsid w:val="00600451"/>
    <w:rsid w:val="006004C9"/>
    <w:rsid w:val="00601F17"/>
    <w:rsid w:val="006021DE"/>
    <w:rsid w:val="00602BBB"/>
    <w:rsid w:val="0060329C"/>
    <w:rsid w:val="00603C6B"/>
    <w:rsid w:val="00605AAB"/>
    <w:rsid w:val="0060689B"/>
    <w:rsid w:val="00607A9E"/>
    <w:rsid w:val="00607D0B"/>
    <w:rsid w:val="00611624"/>
    <w:rsid w:val="006126EE"/>
    <w:rsid w:val="00615588"/>
    <w:rsid w:val="00615A80"/>
    <w:rsid w:val="00616218"/>
    <w:rsid w:val="00620DAE"/>
    <w:rsid w:val="00621899"/>
    <w:rsid w:val="00622B25"/>
    <w:rsid w:val="00623112"/>
    <w:rsid w:val="00623401"/>
    <w:rsid w:val="00624317"/>
    <w:rsid w:val="00624980"/>
    <w:rsid w:val="00624B36"/>
    <w:rsid w:val="006302F6"/>
    <w:rsid w:val="0063167E"/>
    <w:rsid w:val="00631798"/>
    <w:rsid w:val="0063264C"/>
    <w:rsid w:val="0063321A"/>
    <w:rsid w:val="006332DA"/>
    <w:rsid w:val="00633C2A"/>
    <w:rsid w:val="0063514F"/>
    <w:rsid w:val="00635F09"/>
    <w:rsid w:val="0063615E"/>
    <w:rsid w:val="006363DE"/>
    <w:rsid w:val="00637233"/>
    <w:rsid w:val="006374C5"/>
    <w:rsid w:val="00637F52"/>
    <w:rsid w:val="006402C1"/>
    <w:rsid w:val="0064125B"/>
    <w:rsid w:val="00641305"/>
    <w:rsid w:val="0064289E"/>
    <w:rsid w:val="0064395F"/>
    <w:rsid w:val="00643AA5"/>
    <w:rsid w:val="0064471D"/>
    <w:rsid w:val="00646064"/>
    <w:rsid w:val="006461D4"/>
    <w:rsid w:val="0064654C"/>
    <w:rsid w:val="006470DD"/>
    <w:rsid w:val="006472F9"/>
    <w:rsid w:val="00647CCA"/>
    <w:rsid w:val="00647DEC"/>
    <w:rsid w:val="00650522"/>
    <w:rsid w:val="00650570"/>
    <w:rsid w:val="006506E9"/>
    <w:rsid w:val="006547D6"/>
    <w:rsid w:val="00655D3B"/>
    <w:rsid w:val="00656806"/>
    <w:rsid w:val="00656EE3"/>
    <w:rsid w:val="006604C5"/>
    <w:rsid w:val="006608AF"/>
    <w:rsid w:val="00660D93"/>
    <w:rsid w:val="00662D8A"/>
    <w:rsid w:val="0066373B"/>
    <w:rsid w:val="006643F4"/>
    <w:rsid w:val="006645FA"/>
    <w:rsid w:val="00664E64"/>
    <w:rsid w:val="00664F0A"/>
    <w:rsid w:val="00665AD2"/>
    <w:rsid w:val="00665CD4"/>
    <w:rsid w:val="0066632C"/>
    <w:rsid w:val="00666A72"/>
    <w:rsid w:val="006707DF"/>
    <w:rsid w:val="006717F5"/>
    <w:rsid w:val="00672120"/>
    <w:rsid w:val="00672BB3"/>
    <w:rsid w:val="00672C9B"/>
    <w:rsid w:val="00673C2B"/>
    <w:rsid w:val="0067549A"/>
    <w:rsid w:val="00675D85"/>
    <w:rsid w:val="00675EB3"/>
    <w:rsid w:val="00676CD0"/>
    <w:rsid w:val="00676CE4"/>
    <w:rsid w:val="00677EF6"/>
    <w:rsid w:val="006804BA"/>
    <w:rsid w:val="0068169A"/>
    <w:rsid w:val="00681D96"/>
    <w:rsid w:val="00683DFE"/>
    <w:rsid w:val="0068412A"/>
    <w:rsid w:val="0068442A"/>
    <w:rsid w:val="006847DE"/>
    <w:rsid w:val="00684A76"/>
    <w:rsid w:val="006860BD"/>
    <w:rsid w:val="00686252"/>
    <w:rsid w:val="00686F92"/>
    <w:rsid w:val="00687F24"/>
    <w:rsid w:val="006918C0"/>
    <w:rsid w:val="006920C7"/>
    <w:rsid w:val="006924BB"/>
    <w:rsid w:val="006935A1"/>
    <w:rsid w:val="00693D13"/>
    <w:rsid w:val="00694488"/>
    <w:rsid w:val="006948A8"/>
    <w:rsid w:val="00694EC6"/>
    <w:rsid w:val="0069591B"/>
    <w:rsid w:val="00696FD5"/>
    <w:rsid w:val="006973AA"/>
    <w:rsid w:val="006A056F"/>
    <w:rsid w:val="006A0870"/>
    <w:rsid w:val="006A1068"/>
    <w:rsid w:val="006A16E8"/>
    <w:rsid w:val="006A26D3"/>
    <w:rsid w:val="006A3801"/>
    <w:rsid w:val="006A4727"/>
    <w:rsid w:val="006A51F5"/>
    <w:rsid w:val="006A676C"/>
    <w:rsid w:val="006A6BC2"/>
    <w:rsid w:val="006A71D4"/>
    <w:rsid w:val="006B1C21"/>
    <w:rsid w:val="006B2566"/>
    <w:rsid w:val="006B309C"/>
    <w:rsid w:val="006B3839"/>
    <w:rsid w:val="006B45D1"/>
    <w:rsid w:val="006B46BF"/>
    <w:rsid w:val="006B4DBD"/>
    <w:rsid w:val="006B53C5"/>
    <w:rsid w:val="006B5803"/>
    <w:rsid w:val="006B6047"/>
    <w:rsid w:val="006C1315"/>
    <w:rsid w:val="006C14CA"/>
    <w:rsid w:val="006C2109"/>
    <w:rsid w:val="006C21A6"/>
    <w:rsid w:val="006C262A"/>
    <w:rsid w:val="006C28A8"/>
    <w:rsid w:val="006C2E7D"/>
    <w:rsid w:val="006C345F"/>
    <w:rsid w:val="006C3DA4"/>
    <w:rsid w:val="006C442C"/>
    <w:rsid w:val="006C4596"/>
    <w:rsid w:val="006C4B35"/>
    <w:rsid w:val="006C4F5D"/>
    <w:rsid w:val="006C7100"/>
    <w:rsid w:val="006C771B"/>
    <w:rsid w:val="006D0437"/>
    <w:rsid w:val="006D28E3"/>
    <w:rsid w:val="006D310F"/>
    <w:rsid w:val="006D46D7"/>
    <w:rsid w:val="006D4B96"/>
    <w:rsid w:val="006D4EF6"/>
    <w:rsid w:val="006D576F"/>
    <w:rsid w:val="006E0BDA"/>
    <w:rsid w:val="006E1A27"/>
    <w:rsid w:val="006E334E"/>
    <w:rsid w:val="006E34F2"/>
    <w:rsid w:val="006E376C"/>
    <w:rsid w:val="006E3CFF"/>
    <w:rsid w:val="006E51E8"/>
    <w:rsid w:val="006E636C"/>
    <w:rsid w:val="006E6856"/>
    <w:rsid w:val="006E7CF7"/>
    <w:rsid w:val="006F0D21"/>
    <w:rsid w:val="006F1860"/>
    <w:rsid w:val="006F1B05"/>
    <w:rsid w:val="006F23C2"/>
    <w:rsid w:val="006F2932"/>
    <w:rsid w:val="006F2A67"/>
    <w:rsid w:val="006F32F8"/>
    <w:rsid w:val="006F3322"/>
    <w:rsid w:val="006F38D0"/>
    <w:rsid w:val="006F3F3A"/>
    <w:rsid w:val="006F4164"/>
    <w:rsid w:val="006F4D2C"/>
    <w:rsid w:val="006F50C2"/>
    <w:rsid w:val="006F58D4"/>
    <w:rsid w:val="006F6323"/>
    <w:rsid w:val="006F64DE"/>
    <w:rsid w:val="007007D4"/>
    <w:rsid w:val="007022AF"/>
    <w:rsid w:val="00702D69"/>
    <w:rsid w:val="00704436"/>
    <w:rsid w:val="007052C9"/>
    <w:rsid w:val="007060F9"/>
    <w:rsid w:val="00707379"/>
    <w:rsid w:val="00707714"/>
    <w:rsid w:val="00710ED0"/>
    <w:rsid w:val="00711A2B"/>
    <w:rsid w:val="00712401"/>
    <w:rsid w:val="0071459D"/>
    <w:rsid w:val="00714726"/>
    <w:rsid w:val="00714C74"/>
    <w:rsid w:val="00716261"/>
    <w:rsid w:val="00716B2B"/>
    <w:rsid w:val="00716B36"/>
    <w:rsid w:val="00716EA5"/>
    <w:rsid w:val="00717194"/>
    <w:rsid w:val="007173D2"/>
    <w:rsid w:val="0071790F"/>
    <w:rsid w:val="00720160"/>
    <w:rsid w:val="007207F0"/>
    <w:rsid w:val="00722833"/>
    <w:rsid w:val="00723D40"/>
    <w:rsid w:val="00724B96"/>
    <w:rsid w:val="00724FA0"/>
    <w:rsid w:val="0072527B"/>
    <w:rsid w:val="00727150"/>
    <w:rsid w:val="00727528"/>
    <w:rsid w:val="00732D6B"/>
    <w:rsid w:val="00733675"/>
    <w:rsid w:val="007344DE"/>
    <w:rsid w:val="0073487C"/>
    <w:rsid w:val="00734DAA"/>
    <w:rsid w:val="00735577"/>
    <w:rsid w:val="00735FCE"/>
    <w:rsid w:val="00736906"/>
    <w:rsid w:val="00736E3B"/>
    <w:rsid w:val="00737639"/>
    <w:rsid w:val="00740208"/>
    <w:rsid w:val="00740B35"/>
    <w:rsid w:val="00740FE8"/>
    <w:rsid w:val="00742819"/>
    <w:rsid w:val="007438D6"/>
    <w:rsid w:val="00744241"/>
    <w:rsid w:val="00744498"/>
    <w:rsid w:val="0074454D"/>
    <w:rsid w:val="00745685"/>
    <w:rsid w:val="00747121"/>
    <w:rsid w:val="0074736E"/>
    <w:rsid w:val="007503EA"/>
    <w:rsid w:val="0075131F"/>
    <w:rsid w:val="00751459"/>
    <w:rsid w:val="007518CD"/>
    <w:rsid w:val="0075230B"/>
    <w:rsid w:val="0075291D"/>
    <w:rsid w:val="00752BBD"/>
    <w:rsid w:val="0075316A"/>
    <w:rsid w:val="00754B17"/>
    <w:rsid w:val="00756AD0"/>
    <w:rsid w:val="00756D89"/>
    <w:rsid w:val="0076112E"/>
    <w:rsid w:val="00762CE4"/>
    <w:rsid w:val="007658B6"/>
    <w:rsid w:val="00765F0E"/>
    <w:rsid w:val="007678D3"/>
    <w:rsid w:val="007722BA"/>
    <w:rsid w:val="00772A32"/>
    <w:rsid w:val="00773937"/>
    <w:rsid w:val="007741F8"/>
    <w:rsid w:val="00775303"/>
    <w:rsid w:val="0077601D"/>
    <w:rsid w:val="00776B75"/>
    <w:rsid w:val="00776C35"/>
    <w:rsid w:val="00777E78"/>
    <w:rsid w:val="00777EA1"/>
    <w:rsid w:val="00780518"/>
    <w:rsid w:val="007813CE"/>
    <w:rsid w:val="0078192B"/>
    <w:rsid w:val="00782344"/>
    <w:rsid w:val="00783423"/>
    <w:rsid w:val="007836EB"/>
    <w:rsid w:val="0078505D"/>
    <w:rsid w:val="0078584C"/>
    <w:rsid w:val="0078669B"/>
    <w:rsid w:val="00786A02"/>
    <w:rsid w:val="00787002"/>
    <w:rsid w:val="00787C6E"/>
    <w:rsid w:val="00790108"/>
    <w:rsid w:val="00790950"/>
    <w:rsid w:val="007924BE"/>
    <w:rsid w:val="00792DEB"/>
    <w:rsid w:val="007931E2"/>
    <w:rsid w:val="00793C91"/>
    <w:rsid w:val="00794EF8"/>
    <w:rsid w:val="00797D76"/>
    <w:rsid w:val="007A0011"/>
    <w:rsid w:val="007A1303"/>
    <w:rsid w:val="007A2ED4"/>
    <w:rsid w:val="007A2F4E"/>
    <w:rsid w:val="007A4E57"/>
    <w:rsid w:val="007A6997"/>
    <w:rsid w:val="007A7DE7"/>
    <w:rsid w:val="007A7FF6"/>
    <w:rsid w:val="007B1C2B"/>
    <w:rsid w:val="007B1DF2"/>
    <w:rsid w:val="007B207B"/>
    <w:rsid w:val="007B235B"/>
    <w:rsid w:val="007B2FC2"/>
    <w:rsid w:val="007B6E36"/>
    <w:rsid w:val="007B6EF6"/>
    <w:rsid w:val="007B6FDD"/>
    <w:rsid w:val="007C01EF"/>
    <w:rsid w:val="007C2708"/>
    <w:rsid w:val="007C27B5"/>
    <w:rsid w:val="007C53FD"/>
    <w:rsid w:val="007C541F"/>
    <w:rsid w:val="007C65B5"/>
    <w:rsid w:val="007C70DD"/>
    <w:rsid w:val="007C73A6"/>
    <w:rsid w:val="007C7BC1"/>
    <w:rsid w:val="007D0279"/>
    <w:rsid w:val="007D091A"/>
    <w:rsid w:val="007D14AD"/>
    <w:rsid w:val="007D1972"/>
    <w:rsid w:val="007D2770"/>
    <w:rsid w:val="007D4472"/>
    <w:rsid w:val="007D485B"/>
    <w:rsid w:val="007D491C"/>
    <w:rsid w:val="007D4A40"/>
    <w:rsid w:val="007D4B62"/>
    <w:rsid w:val="007D50AE"/>
    <w:rsid w:val="007D5678"/>
    <w:rsid w:val="007D57EA"/>
    <w:rsid w:val="007D66D1"/>
    <w:rsid w:val="007E0468"/>
    <w:rsid w:val="007E0649"/>
    <w:rsid w:val="007E072A"/>
    <w:rsid w:val="007E0798"/>
    <w:rsid w:val="007E0C9B"/>
    <w:rsid w:val="007E14FA"/>
    <w:rsid w:val="007E37EA"/>
    <w:rsid w:val="007E3B57"/>
    <w:rsid w:val="007E4214"/>
    <w:rsid w:val="007E4609"/>
    <w:rsid w:val="007E4CD7"/>
    <w:rsid w:val="007E500F"/>
    <w:rsid w:val="007E6386"/>
    <w:rsid w:val="007F06E3"/>
    <w:rsid w:val="007F0998"/>
    <w:rsid w:val="007F0CFA"/>
    <w:rsid w:val="007F10C8"/>
    <w:rsid w:val="007F1488"/>
    <w:rsid w:val="007F32B6"/>
    <w:rsid w:val="007F513C"/>
    <w:rsid w:val="007F6038"/>
    <w:rsid w:val="007F68ED"/>
    <w:rsid w:val="007F7495"/>
    <w:rsid w:val="007F7797"/>
    <w:rsid w:val="007F7FCE"/>
    <w:rsid w:val="00800FE5"/>
    <w:rsid w:val="00801576"/>
    <w:rsid w:val="00802B2B"/>
    <w:rsid w:val="00803037"/>
    <w:rsid w:val="008036B1"/>
    <w:rsid w:val="00804E99"/>
    <w:rsid w:val="00806297"/>
    <w:rsid w:val="008075A7"/>
    <w:rsid w:val="008077EB"/>
    <w:rsid w:val="00807EFF"/>
    <w:rsid w:val="0081002A"/>
    <w:rsid w:val="00810671"/>
    <w:rsid w:val="00810ACF"/>
    <w:rsid w:val="00810FD5"/>
    <w:rsid w:val="00811369"/>
    <w:rsid w:val="0081179D"/>
    <w:rsid w:val="00811CF6"/>
    <w:rsid w:val="00812004"/>
    <w:rsid w:val="0081552C"/>
    <w:rsid w:val="00815754"/>
    <w:rsid w:val="00815DAA"/>
    <w:rsid w:val="00816F0B"/>
    <w:rsid w:val="00817927"/>
    <w:rsid w:val="008179F5"/>
    <w:rsid w:val="0082100A"/>
    <w:rsid w:val="00821123"/>
    <w:rsid w:val="00821D1B"/>
    <w:rsid w:val="00821DEF"/>
    <w:rsid w:val="00823211"/>
    <w:rsid w:val="00825D84"/>
    <w:rsid w:val="0082629F"/>
    <w:rsid w:val="0082662F"/>
    <w:rsid w:val="008270A7"/>
    <w:rsid w:val="00830A57"/>
    <w:rsid w:val="008317ED"/>
    <w:rsid w:val="00831F86"/>
    <w:rsid w:val="00833100"/>
    <w:rsid w:val="0083518E"/>
    <w:rsid w:val="0083758C"/>
    <w:rsid w:val="008406AB"/>
    <w:rsid w:val="0084087C"/>
    <w:rsid w:val="00841A11"/>
    <w:rsid w:val="00843211"/>
    <w:rsid w:val="008438C0"/>
    <w:rsid w:val="00843D96"/>
    <w:rsid w:val="00843E2D"/>
    <w:rsid w:val="00846696"/>
    <w:rsid w:val="00846E97"/>
    <w:rsid w:val="0084714C"/>
    <w:rsid w:val="008527AB"/>
    <w:rsid w:val="00852971"/>
    <w:rsid w:val="00856CD5"/>
    <w:rsid w:val="00856EE1"/>
    <w:rsid w:val="008577AB"/>
    <w:rsid w:val="00861297"/>
    <w:rsid w:val="00861C09"/>
    <w:rsid w:val="00862A30"/>
    <w:rsid w:val="00865AAE"/>
    <w:rsid w:val="008665AB"/>
    <w:rsid w:val="00866791"/>
    <w:rsid w:val="00867478"/>
    <w:rsid w:val="008679C0"/>
    <w:rsid w:val="00871AD6"/>
    <w:rsid w:val="00871ECB"/>
    <w:rsid w:val="0087236E"/>
    <w:rsid w:val="008725CD"/>
    <w:rsid w:val="0087268F"/>
    <w:rsid w:val="00873B98"/>
    <w:rsid w:val="008741B3"/>
    <w:rsid w:val="0087508D"/>
    <w:rsid w:val="00875A65"/>
    <w:rsid w:val="00875D68"/>
    <w:rsid w:val="00875E5E"/>
    <w:rsid w:val="0087654E"/>
    <w:rsid w:val="00876EC6"/>
    <w:rsid w:val="008803D3"/>
    <w:rsid w:val="008812EB"/>
    <w:rsid w:val="008814EF"/>
    <w:rsid w:val="008818D7"/>
    <w:rsid w:val="00884BA1"/>
    <w:rsid w:val="00886382"/>
    <w:rsid w:val="008901C0"/>
    <w:rsid w:val="0089048A"/>
    <w:rsid w:val="0089064B"/>
    <w:rsid w:val="008906B0"/>
    <w:rsid w:val="00892555"/>
    <w:rsid w:val="0089281C"/>
    <w:rsid w:val="00893360"/>
    <w:rsid w:val="00893E24"/>
    <w:rsid w:val="00896421"/>
    <w:rsid w:val="00896610"/>
    <w:rsid w:val="008A019B"/>
    <w:rsid w:val="008A2DDD"/>
    <w:rsid w:val="008A2FED"/>
    <w:rsid w:val="008A3D2F"/>
    <w:rsid w:val="008A479B"/>
    <w:rsid w:val="008A56D1"/>
    <w:rsid w:val="008A5875"/>
    <w:rsid w:val="008A609A"/>
    <w:rsid w:val="008A665A"/>
    <w:rsid w:val="008A7150"/>
    <w:rsid w:val="008B00DA"/>
    <w:rsid w:val="008B10A9"/>
    <w:rsid w:val="008B19F9"/>
    <w:rsid w:val="008B1CFC"/>
    <w:rsid w:val="008B21E0"/>
    <w:rsid w:val="008B2ABB"/>
    <w:rsid w:val="008B3EBA"/>
    <w:rsid w:val="008B4D91"/>
    <w:rsid w:val="008B5294"/>
    <w:rsid w:val="008B7A97"/>
    <w:rsid w:val="008C034F"/>
    <w:rsid w:val="008C0E26"/>
    <w:rsid w:val="008C10E1"/>
    <w:rsid w:val="008C12AD"/>
    <w:rsid w:val="008C1743"/>
    <w:rsid w:val="008C2EB3"/>
    <w:rsid w:val="008C4161"/>
    <w:rsid w:val="008C4AF8"/>
    <w:rsid w:val="008C4E65"/>
    <w:rsid w:val="008C54FA"/>
    <w:rsid w:val="008C58D8"/>
    <w:rsid w:val="008C6E32"/>
    <w:rsid w:val="008C6E8D"/>
    <w:rsid w:val="008C7888"/>
    <w:rsid w:val="008D08D0"/>
    <w:rsid w:val="008D2391"/>
    <w:rsid w:val="008D2528"/>
    <w:rsid w:val="008D3228"/>
    <w:rsid w:val="008D40CC"/>
    <w:rsid w:val="008D48A9"/>
    <w:rsid w:val="008D496E"/>
    <w:rsid w:val="008D4C89"/>
    <w:rsid w:val="008D4D8A"/>
    <w:rsid w:val="008D6565"/>
    <w:rsid w:val="008D73DA"/>
    <w:rsid w:val="008D782E"/>
    <w:rsid w:val="008E084C"/>
    <w:rsid w:val="008E228A"/>
    <w:rsid w:val="008E4163"/>
    <w:rsid w:val="008E59AB"/>
    <w:rsid w:val="008E61C2"/>
    <w:rsid w:val="008E630F"/>
    <w:rsid w:val="008E7572"/>
    <w:rsid w:val="008E75C2"/>
    <w:rsid w:val="008E7A80"/>
    <w:rsid w:val="008E7B5F"/>
    <w:rsid w:val="008F4DAA"/>
    <w:rsid w:val="008F6C77"/>
    <w:rsid w:val="008F7949"/>
    <w:rsid w:val="00900277"/>
    <w:rsid w:val="00900DDD"/>
    <w:rsid w:val="009027CC"/>
    <w:rsid w:val="00902985"/>
    <w:rsid w:val="00902B8D"/>
    <w:rsid w:val="009030F8"/>
    <w:rsid w:val="00903857"/>
    <w:rsid w:val="0090451F"/>
    <w:rsid w:val="00904DBC"/>
    <w:rsid w:val="00907C51"/>
    <w:rsid w:val="00910CE8"/>
    <w:rsid w:val="009110F6"/>
    <w:rsid w:val="00912F6B"/>
    <w:rsid w:val="0091317D"/>
    <w:rsid w:val="0091546B"/>
    <w:rsid w:val="00916D43"/>
    <w:rsid w:val="009202D6"/>
    <w:rsid w:val="009211D2"/>
    <w:rsid w:val="00921BDC"/>
    <w:rsid w:val="009222E2"/>
    <w:rsid w:val="00922A15"/>
    <w:rsid w:val="00925EB9"/>
    <w:rsid w:val="00930717"/>
    <w:rsid w:val="009315E5"/>
    <w:rsid w:val="00931B3B"/>
    <w:rsid w:val="009328F6"/>
    <w:rsid w:val="00932D41"/>
    <w:rsid w:val="00933DA0"/>
    <w:rsid w:val="009342AD"/>
    <w:rsid w:val="00935222"/>
    <w:rsid w:val="0093536D"/>
    <w:rsid w:val="0093632A"/>
    <w:rsid w:val="00936CD5"/>
    <w:rsid w:val="00936F11"/>
    <w:rsid w:val="00937555"/>
    <w:rsid w:val="00937760"/>
    <w:rsid w:val="0094042F"/>
    <w:rsid w:val="00940B0D"/>
    <w:rsid w:val="00941FDD"/>
    <w:rsid w:val="009435FF"/>
    <w:rsid w:val="009436DB"/>
    <w:rsid w:val="0094378D"/>
    <w:rsid w:val="00944AC2"/>
    <w:rsid w:val="009458BD"/>
    <w:rsid w:val="00945968"/>
    <w:rsid w:val="009462F8"/>
    <w:rsid w:val="009463C9"/>
    <w:rsid w:val="00946BA0"/>
    <w:rsid w:val="00947ACD"/>
    <w:rsid w:val="00951364"/>
    <w:rsid w:val="009513BD"/>
    <w:rsid w:val="009526DC"/>
    <w:rsid w:val="009545FF"/>
    <w:rsid w:val="00957BD3"/>
    <w:rsid w:val="009601EE"/>
    <w:rsid w:val="00960BF7"/>
    <w:rsid w:val="00962286"/>
    <w:rsid w:val="00962CC2"/>
    <w:rsid w:val="009636CF"/>
    <w:rsid w:val="00963D16"/>
    <w:rsid w:val="00963FA6"/>
    <w:rsid w:val="0096784E"/>
    <w:rsid w:val="00970455"/>
    <w:rsid w:val="00971A71"/>
    <w:rsid w:val="009732F6"/>
    <w:rsid w:val="009735ED"/>
    <w:rsid w:val="00974F8F"/>
    <w:rsid w:val="00975079"/>
    <w:rsid w:val="00975CBA"/>
    <w:rsid w:val="00976D61"/>
    <w:rsid w:val="009776A3"/>
    <w:rsid w:val="00977ED7"/>
    <w:rsid w:val="00980583"/>
    <w:rsid w:val="00980AA3"/>
    <w:rsid w:val="00981866"/>
    <w:rsid w:val="00981A85"/>
    <w:rsid w:val="00982969"/>
    <w:rsid w:val="00982A81"/>
    <w:rsid w:val="00983AAB"/>
    <w:rsid w:val="00984598"/>
    <w:rsid w:val="00984C7A"/>
    <w:rsid w:val="009863CF"/>
    <w:rsid w:val="009865F9"/>
    <w:rsid w:val="009904AD"/>
    <w:rsid w:val="00990985"/>
    <w:rsid w:val="00990FA2"/>
    <w:rsid w:val="00992D8C"/>
    <w:rsid w:val="00993ACB"/>
    <w:rsid w:val="00993CD6"/>
    <w:rsid w:val="009947F3"/>
    <w:rsid w:val="00995926"/>
    <w:rsid w:val="00995B17"/>
    <w:rsid w:val="00996050"/>
    <w:rsid w:val="00997858"/>
    <w:rsid w:val="0099789A"/>
    <w:rsid w:val="0099789B"/>
    <w:rsid w:val="009A08C9"/>
    <w:rsid w:val="009A18E0"/>
    <w:rsid w:val="009A1D2D"/>
    <w:rsid w:val="009A1F66"/>
    <w:rsid w:val="009A2A8E"/>
    <w:rsid w:val="009A2BF0"/>
    <w:rsid w:val="009A2D1E"/>
    <w:rsid w:val="009A2DC3"/>
    <w:rsid w:val="009A31E9"/>
    <w:rsid w:val="009A34A9"/>
    <w:rsid w:val="009A3992"/>
    <w:rsid w:val="009A4A7E"/>
    <w:rsid w:val="009A574E"/>
    <w:rsid w:val="009A73D6"/>
    <w:rsid w:val="009A77DE"/>
    <w:rsid w:val="009A7A73"/>
    <w:rsid w:val="009B02B2"/>
    <w:rsid w:val="009B0F15"/>
    <w:rsid w:val="009B2388"/>
    <w:rsid w:val="009B32DE"/>
    <w:rsid w:val="009B4F91"/>
    <w:rsid w:val="009B57C8"/>
    <w:rsid w:val="009B5BD8"/>
    <w:rsid w:val="009B6300"/>
    <w:rsid w:val="009B730A"/>
    <w:rsid w:val="009B7639"/>
    <w:rsid w:val="009C0645"/>
    <w:rsid w:val="009C0884"/>
    <w:rsid w:val="009C136E"/>
    <w:rsid w:val="009C1887"/>
    <w:rsid w:val="009C2A5A"/>
    <w:rsid w:val="009C2FD3"/>
    <w:rsid w:val="009C4861"/>
    <w:rsid w:val="009C48B2"/>
    <w:rsid w:val="009C4D60"/>
    <w:rsid w:val="009C6132"/>
    <w:rsid w:val="009C6196"/>
    <w:rsid w:val="009C7DF6"/>
    <w:rsid w:val="009D0821"/>
    <w:rsid w:val="009D1406"/>
    <w:rsid w:val="009D16B1"/>
    <w:rsid w:val="009D1B44"/>
    <w:rsid w:val="009D276F"/>
    <w:rsid w:val="009D3230"/>
    <w:rsid w:val="009D35D9"/>
    <w:rsid w:val="009D40BB"/>
    <w:rsid w:val="009D40C2"/>
    <w:rsid w:val="009D5022"/>
    <w:rsid w:val="009D531C"/>
    <w:rsid w:val="009D58D9"/>
    <w:rsid w:val="009D5995"/>
    <w:rsid w:val="009D6BDB"/>
    <w:rsid w:val="009D6DBD"/>
    <w:rsid w:val="009E11BA"/>
    <w:rsid w:val="009E18D6"/>
    <w:rsid w:val="009E21C8"/>
    <w:rsid w:val="009E3A4D"/>
    <w:rsid w:val="009E62DC"/>
    <w:rsid w:val="009E682E"/>
    <w:rsid w:val="009E7B45"/>
    <w:rsid w:val="009E7C4F"/>
    <w:rsid w:val="009F0C69"/>
    <w:rsid w:val="009F1DCE"/>
    <w:rsid w:val="009F2C3B"/>
    <w:rsid w:val="009F316F"/>
    <w:rsid w:val="009F4A0B"/>
    <w:rsid w:val="009F5233"/>
    <w:rsid w:val="009F596B"/>
    <w:rsid w:val="009F597A"/>
    <w:rsid w:val="009F7412"/>
    <w:rsid w:val="009F7473"/>
    <w:rsid w:val="009F748C"/>
    <w:rsid w:val="009F7DC4"/>
    <w:rsid w:val="00A008FB"/>
    <w:rsid w:val="00A0226F"/>
    <w:rsid w:val="00A02ADA"/>
    <w:rsid w:val="00A02C27"/>
    <w:rsid w:val="00A0356E"/>
    <w:rsid w:val="00A03F58"/>
    <w:rsid w:val="00A040E2"/>
    <w:rsid w:val="00A04514"/>
    <w:rsid w:val="00A04952"/>
    <w:rsid w:val="00A04D5E"/>
    <w:rsid w:val="00A051EB"/>
    <w:rsid w:val="00A06503"/>
    <w:rsid w:val="00A06E6E"/>
    <w:rsid w:val="00A06ECE"/>
    <w:rsid w:val="00A07BBD"/>
    <w:rsid w:val="00A114DA"/>
    <w:rsid w:val="00A11CDF"/>
    <w:rsid w:val="00A12CEE"/>
    <w:rsid w:val="00A12D91"/>
    <w:rsid w:val="00A12EDF"/>
    <w:rsid w:val="00A134D4"/>
    <w:rsid w:val="00A14117"/>
    <w:rsid w:val="00A15D9A"/>
    <w:rsid w:val="00A15E53"/>
    <w:rsid w:val="00A16535"/>
    <w:rsid w:val="00A16786"/>
    <w:rsid w:val="00A168E1"/>
    <w:rsid w:val="00A17E7B"/>
    <w:rsid w:val="00A20525"/>
    <w:rsid w:val="00A20DD3"/>
    <w:rsid w:val="00A2107F"/>
    <w:rsid w:val="00A21A69"/>
    <w:rsid w:val="00A22022"/>
    <w:rsid w:val="00A22B45"/>
    <w:rsid w:val="00A23703"/>
    <w:rsid w:val="00A24C0E"/>
    <w:rsid w:val="00A256E1"/>
    <w:rsid w:val="00A259F1"/>
    <w:rsid w:val="00A25ECA"/>
    <w:rsid w:val="00A26EC1"/>
    <w:rsid w:val="00A270E9"/>
    <w:rsid w:val="00A30155"/>
    <w:rsid w:val="00A312E2"/>
    <w:rsid w:val="00A31B45"/>
    <w:rsid w:val="00A32FF3"/>
    <w:rsid w:val="00A333B1"/>
    <w:rsid w:val="00A33454"/>
    <w:rsid w:val="00A33604"/>
    <w:rsid w:val="00A342A3"/>
    <w:rsid w:val="00A350E1"/>
    <w:rsid w:val="00A37CF4"/>
    <w:rsid w:val="00A41119"/>
    <w:rsid w:val="00A4167B"/>
    <w:rsid w:val="00A423BE"/>
    <w:rsid w:val="00A43611"/>
    <w:rsid w:val="00A454CC"/>
    <w:rsid w:val="00A4656F"/>
    <w:rsid w:val="00A46E25"/>
    <w:rsid w:val="00A475D9"/>
    <w:rsid w:val="00A4760C"/>
    <w:rsid w:val="00A47B8C"/>
    <w:rsid w:val="00A47BBE"/>
    <w:rsid w:val="00A50345"/>
    <w:rsid w:val="00A50CCE"/>
    <w:rsid w:val="00A51074"/>
    <w:rsid w:val="00A51268"/>
    <w:rsid w:val="00A520DD"/>
    <w:rsid w:val="00A527FD"/>
    <w:rsid w:val="00A52EA9"/>
    <w:rsid w:val="00A5388F"/>
    <w:rsid w:val="00A53A73"/>
    <w:rsid w:val="00A53D1C"/>
    <w:rsid w:val="00A60B47"/>
    <w:rsid w:val="00A60CAE"/>
    <w:rsid w:val="00A60FB9"/>
    <w:rsid w:val="00A620AA"/>
    <w:rsid w:val="00A63B21"/>
    <w:rsid w:val="00A63F00"/>
    <w:rsid w:val="00A64255"/>
    <w:rsid w:val="00A65226"/>
    <w:rsid w:val="00A6631B"/>
    <w:rsid w:val="00A663CE"/>
    <w:rsid w:val="00A66535"/>
    <w:rsid w:val="00A703EE"/>
    <w:rsid w:val="00A707C3"/>
    <w:rsid w:val="00A71405"/>
    <w:rsid w:val="00A71A06"/>
    <w:rsid w:val="00A727B6"/>
    <w:rsid w:val="00A741F5"/>
    <w:rsid w:val="00A743FA"/>
    <w:rsid w:val="00A768F2"/>
    <w:rsid w:val="00A8166E"/>
    <w:rsid w:val="00A81DF0"/>
    <w:rsid w:val="00A82812"/>
    <w:rsid w:val="00A83453"/>
    <w:rsid w:val="00A8414A"/>
    <w:rsid w:val="00A86381"/>
    <w:rsid w:val="00A86971"/>
    <w:rsid w:val="00A86A85"/>
    <w:rsid w:val="00A87910"/>
    <w:rsid w:val="00A912C6"/>
    <w:rsid w:val="00A9177E"/>
    <w:rsid w:val="00A9284B"/>
    <w:rsid w:val="00A95015"/>
    <w:rsid w:val="00A95226"/>
    <w:rsid w:val="00A961D0"/>
    <w:rsid w:val="00A966A8"/>
    <w:rsid w:val="00A979BC"/>
    <w:rsid w:val="00AA01DE"/>
    <w:rsid w:val="00AA08D9"/>
    <w:rsid w:val="00AA0CC6"/>
    <w:rsid w:val="00AA1781"/>
    <w:rsid w:val="00AA2B31"/>
    <w:rsid w:val="00AA2D47"/>
    <w:rsid w:val="00AA4172"/>
    <w:rsid w:val="00AA4E99"/>
    <w:rsid w:val="00AA53AE"/>
    <w:rsid w:val="00AA5D32"/>
    <w:rsid w:val="00AA5FDB"/>
    <w:rsid w:val="00AA66A4"/>
    <w:rsid w:val="00AA703C"/>
    <w:rsid w:val="00AB24EC"/>
    <w:rsid w:val="00AB29E6"/>
    <w:rsid w:val="00AB2E75"/>
    <w:rsid w:val="00AB374E"/>
    <w:rsid w:val="00AB4F49"/>
    <w:rsid w:val="00AB54C6"/>
    <w:rsid w:val="00AB5DA6"/>
    <w:rsid w:val="00AB648B"/>
    <w:rsid w:val="00AB6933"/>
    <w:rsid w:val="00AB71F5"/>
    <w:rsid w:val="00AC01E5"/>
    <w:rsid w:val="00AC1E50"/>
    <w:rsid w:val="00AC2A97"/>
    <w:rsid w:val="00AC2BAD"/>
    <w:rsid w:val="00AC2BEE"/>
    <w:rsid w:val="00AC2DEB"/>
    <w:rsid w:val="00AC3B04"/>
    <w:rsid w:val="00AC508B"/>
    <w:rsid w:val="00AC6568"/>
    <w:rsid w:val="00AC6BE9"/>
    <w:rsid w:val="00AD25B1"/>
    <w:rsid w:val="00AD31FA"/>
    <w:rsid w:val="00AD3B12"/>
    <w:rsid w:val="00AD3B14"/>
    <w:rsid w:val="00AD43B4"/>
    <w:rsid w:val="00AD49FE"/>
    <w:rsid w:val="00AD618B"/>
    <w:rsid w:val="00AD63B3"/>
    <w:rsid w:val="00AD6802"/>
    <w:rsid w:val="00AD7D18"/>
    <w:rsid w:val="00AE163F"/>
    <w:rsid w:val="00AE1D48"/>
    <w:rsid w:val="00AE2054"/>
    <w:rsid w:val="00AE4E77"/>
    <w:rsid w:val="00AE5365"/>
    <w:rsid w:val="00AE6C02"/>
    <w:rsid w:val="00AE70B2"/>
    <w:rsid w:val="00AE75D2"/>
    <w:rsid w:val="00AE76AA"/>
    <w:rsid w:val="00AF055D"/>
    <w:rsid w:val="00AF1CFB"/>
    <w:rsid w:val="00AF1E4E"/>
    <w:rsid w:val="00AF1FB3"/>
    <w:rsid w:val="00AF1FF1"/>
    <w:rsid w:val="00AF21EF"/>
    <w:rsid w:val="00AF318C"/>
    <w:rsid w:val="00AF458F"/>
    <w:rsid w:val="00AF469B"/>
    <w:rsid w:val="00AF623D"/>
    <w:rsid w:val="00AF7445"/>
    <w:rsid w:val="00AF79EA"/>
    <w:rsid w:val="00B005AC"/>
    <w:rsid w:val="00B009F6"/>
    <w:rsid w:val="00B00AC4"/>
    <w:rsid w:val="00B01176"/>
    <w:rsid w:val="00B0157B"/>
    <w:rsid w:val="00B02ED1"/>
    <w:rsid w:val="00B0374C"/>
    <w:rsid w:val="00B03D5F"/>
    <w:rsid w:val="00B04E73"/>
    <w:rsid w:val="00B04F23"/>
    <w:rsid w:val="00B0606A"/>
    <w:rsid w:val="00B06F98"/>
    <w:rsid w:val="00B07B17"/>
    <w:rsid w:val="00B11988"/>
    <w:rsid w:val="00B12B45"/>
    <w:rsid w:val="00B13E43"/>
    <w:rsid w:val="00B140E4"/>
    <w:rsid w:val="00B1432B"/>
    <w:rsid w:val="00B1435A"/>
    <w:rsid w:val="00B14BD0"/>
    <w:rsid w:val="00B164EE"/>
    <w:rsid w:val="00B167D5"/>
    <w:rsid w:val="00B17B5E"/>
    <w:rsid w:val="00B200F1"/>
    <w:rsid w:val="00B20213"/>
    <w:rsid w:val="00B202DB"/>
    <w:rsid w:val="00B209D6"/>
    <w:rsid w:val="00B21B9B"/>
    <w:rsid w:val="00B22D4B"/>
    <w:rsid w:val="00B260B6"/>
    <w:rsid w:val="00B26FB1"/>
    <w:rsid w:val="00B27074"/>
    <w:rsid w:val="00B271B5"/>
    <w:rsid w:val="00B275F0"/>
    <w:rsid w:val="00B276D3"/>
    <w:rsid w:val="00B27844"/>
    <w:rsid w:val="00B30D48"/>
    <w:rsid w:val="00B33BC9"/>
    <w:rsid w:val="00B33D0F"/>
    <w:rsid w:val="00B35C83"/>
    <w:rsid w:val="00B35D5C"/>
    <w:rsid w:val="00B36D98"/>
    <w:rsid w:val="00B37017"/>
    <w:rsid w:val="00B3749A"/>
    <w:rsid w:val="00B40879"/>
    <w:rsid w:val="00B4087E"/>
    <w:rsid w:val="00B409CB"/>
    <w:rsid w:val="00B40EFC"/>
    <w:rsid w:val="00B41652"/>
    <w:rsid w:val="00B417EF"/>
    <w:rsid w:val="00B41EE0"/>
    <w:rsid w:val="00B4244D"/>
    <w:rsid w:val="00B42E0F"/>
    <w:rsid w:val="00B43015"/>
    <w:rsid w:val="00B448D9"/>
    <w:rsid w:val="00B45076"/>
    <w:rsid w:val="00B45291"/>
    <w:rsid w:val="00B46767"/>
    <w:rsid w:val="00B46826"/>
    <w:rsid w:val="00B478DB"/>
    <w:rsid w:val="00B50E2F"/>
    <w:rsid w:val="00B52D26"/>
    <w:rsid w:val="00B53B56"/>
    <w:rsid w:val="00B53F96"/>
    <w:rsid w:val="00B56125"/>
    <w:rsid w:val="00B57ED6"/>
    <w:rsid w:val="00B601DC"/>
    <w:rsid w:val="00B62351"/>
    <w:rsid w:val="00B63910"/>
    <w:rsid w:val="00B63A73"/>
    <w:rsid w:val="00B64754"/>
    <w:rsid w:val="00B64978"/>
    <w:rsid w:val="00B64F49"/>
    <w:rsid w:val="00B6567E"/>
    <w:rsid w:val="00B66A2A"/>
    <w:rsid w:val="00B67582"/>
    <w:rsid w:val="00B7081E"/>
    <w:rsid w:val="00B70ACD"/>
    <w:rsid w:val="00B70AE2"/>
    <w:rsid w:val="00B71A22"/>
    <w:rsid w:val="00B730F8"/>
    <w:rsid w:val="00B73737"/>
    <w:rsid w:val="00B73BE8"/>
    <w:rsid w:val="00B73EAE"/>
    <w:rsid w:val="00B74027"/>
    <w:rsid w:val="00B765CA"/>
    <w:rsid w:val="00B765E8"/>
    <w:rsid w:val="00B76880"/>
    <w:rsid w:val="00B770F2"/>
    <w:rsid w:val="00B773C5"/>
    <w:rsid w:val="00B80CD2"/>
    <w:rsid w:val="00B810A3"/>
    <w:rsid w:val="00B8141B"/>
    <w:rsid w:val="00B834E1"/>
    <w:rsid w:val="00B841D8"/>
    <w:rsid w:val="00B8489F"/>
    <w:rsid w:val="00B849A9"/>
    <w:rsid w:val="00B8576A"/>
    <w:rsid w:val="00B85DDB"/>
    <w:rsid w:val="00B8623B"/>
    <w:rsid w:val="00B8728A"/>
    <w:rsid w:val="00B87576"/>
    <w:rsid w:val="00B877A7"/>
    <w:rsid w:val="00B87804"/>
    <w:rsid w:val="00B87ED3"/>
    <w:rsid w:val="00B910F0"/>
    <w:rsid w:val="00B92196"/>
    <w:rsid w:val="00B92311"/>
    <w:rsid w:val="00B929FB"/>
    <w:rsid w:val="00B92E98"/>
    <w:rsid w:val="00B92FEC"/>
    <w:rsid w:val="00B95631"/>
    <w:rsid w:val="00B95B43"/>
    <w:rsid w:val="00B97EFD"/>
    <w:rsid w:val="00BA00E1"/>
    <w:rsid w:val="00BA0683"/>
    <w:rsid w:val="00BA1E55"/>
    <w:rsid w:val="00BA20A9"/>
    <w:rsid w:val="00BA2376"/>
    <w:rsid w:val="00BA24E9"/>
    <w:rsid w:val="00BA4007"/>
    <w:rsid w:val="00BA43DE"/>
    <w:rsid w:val="00BA6B88"/>
    <w:rsid w:val="00BA6D02"/>
    <w:rsid w:val="00BA6F2B"/>
    <w:rsid w:val="00BA7694"/>
    <w:rsid w:val="00BA7A84"/>
    <w:rsid w:val="00BB03F1"/>
    <w:rsid w:val="00BB0B2A"/>
    <w:rsid w:val="00BB22E1"/>
    <w:rsid w:val="00BB2AE8"/>
    <w:rsid w:val="00BB2BC8"/>
    <w:rsid w:val="00BB50E5"/>
    <w:rsid w:val="00BB5895"/>
    <w:rsid w:val="00BB5AA6"/>
    <w:rsid w:val="00BB7FDB"/>
    <w:rsid w:val="00BC0692"/>
    <w:rsid w:val="00BC16A4"/>
    <w:rsid w:val="00BC1AA7"/>
    <w:rsid w:val="00BC1D43"/>
    <w:rsid w:val="00BC2D8A"/>
    <w:rsid w:val="00BC2ED5"/>
    <w:rsid w:val="00BC3AD3"/>
    <w:rsid w:val="00BC446A"/>
    <w:rsid w:val="00BC44A1"/>
    <w:rsid w:val="00BC60C2"/>
    <w:rsid w:val="00BC659A"/>
    <w:rsid w:val="00BC77B7"/>
    <w:rsid w:val="00BC7A6D"/>
    <w:rsid w:val="00BC7EB9"/>
    <w:rsid w:val="00BD01AD"/>
    <w:rsid w:val="00BD03CE"/>
    <w:rsid w:val="00BD0C2D"/>
    <w:rsid w:val="00BD2156"/>
    <w:rsid w:val="00BD28D5"/>
    <w:rsid w:val="00BD299E"/>
    <w:rsid w:val="00BD39D8"/>
    <w:rsid w:val="00BD3B78"/>
    <w:rsid w:val="00BD4497"/>
    <w:rsid w:val="00BD4FBF"/>
    <w:rsid w:val="00BE167F"/>
    <w:rsid w:val="00BE328B"/>
    <w:rsid w:val="00BE4019"/>
    <w:rsid w:val="00BE4C7C"/>
    <w:rsid w:val="00BE5A7D"/>
    <w:rsid w:val="00BF01AE"/>
    <w:rsid w:val="00BF26E7"/>
    <w:rsid w:val="00BF289D"/>
    <w:rsid w:val="00BF31C5"/>
    <w:rsid w:val="00BF3D7D"/>
    <w:rsid w:val="00BF432B"/>
    <w:rsid w:val="00BF7ECB"/>
    <w:rsid w:val="00C0017B"/>
    <w:rsid w:val="00C017BE"/>
    <w:rsid w:val="00C03C4B"/>
    <w:rsid w:val="00C0452F"/>
    <w:rsid w:val="00C047FC"/>
    <w:rsid w:val="00C049FA"/>
    <w:rsid w:val="00C05713"/>
    <w:rsid w:val="00C05D1A"/>
    <w:rsid w:val="00C060E4"/>
    <w:rsid w:val="00C061E5"/>
    <w:rsid w:val="00C1209F"/>
    <w:rsid w:val="00C13428"/>
    <w:rsid w:val="00C135F1"/>
    <w:rsid w:val="00C15482"/>
    <w:rsid w:val="00C17FA5"/>
    <w:rsid w:val="00C2295C"/>
    <w:rsid w:val="00C22B5D"/>
    <w:rsid w:val="00C23115"/>
    <w:rsid w:val="00C2355B"/>
    <w:rsid w:val="00C23667"/>
    <w:rsid w:val="00C23A04"/>
    <w:rsid w:val="00C24699"/>
    <w:rsid w:val="00C25A7E"/>
    <w:rsid w:val="00C25C3A"/>
    <w:rsid w:val="00C26514"/>
    <w:rsid w:val="00C26BC2"/>
    <w:rsid w:val="00C26C59"/>
    <w:rsid w:val="00C274BA"/>
    <w:rsid w:val="00C2753D"/>
    <w:rsid w:val="00C307AB"/>
    <w:rsid w:val="00C315D4"/>
    <w:rsid w:val="00C31C51"/>
    <w:rsid w:val="00C320C1"/>
    <w:rsid w:val="00C330B4"/>
    <w:rsid w:val="00C3362C"/>
    <w:rsid w:val="00C354BA"/>
    <w:rsid w:val="00C35797"/>
    <w:rsid w:val="00C3621D"/>
    <w:rsid w:val="00C37408"/>
    <w:rsid w:val="00C41379"/>
    <w:rsid w:val="00C413FB"/>
    <w:rsid w:val="00C41A11"/>
    <w:rsid w:val="00C42481"/>
    <w:rsid w:val="00C42694"/>
    <w:rsid w:val="00C437C6"/>
    <w:rsid w:val="00C4450D"/>
    <w:rsid w:val="00C44B2B"/>
    <w:rsid w:val="00C44EBA"/>
    <w:rsid w:val="00C45641"/>
    <w:rsid w:val="00C46976"/>
    <w:rsid w:val="00C46E0A"/>
    <w:rsid w:val="00C47DFE"/>
    <w:rsid w:val="00C5206A"/>
    <w:rsid w:val="00C534D5"/>
    <w:rsid w:val="00C5380A"/>
    <w:rsid w:val="00C53FBA"/>
    <w:rsid w:val="00C54E5B"/>
    <w:rsid w:val="00C552A0"/>
    <w:rsid w:val="00C559FF"/>
    <w:rsid w:val="00C55B87"/>
    <w:rsid w:val="00C55E6D"/>
    <w:rsid w:val="00C5686C"/>
    <w:rsid w:val="00C56E2E"/>
    <w:rsid w:val="00C572E1"/>
    <w:rsid w:val="00C57B65"/>
    <w:rsid w:val="00C57BB0"/>
    <w:rsid w:val="00C57E3C"/>
    <w:rsid w:val="00C60424"/>
    <w:rsid w:val="00C60BF9"/>
    <w:rsid w:val="00C612B9"/>
    <w:rsid w:val="00C619A7"/>
    <w:rsid w:val="00C61CB2"/>
    <w:rsid w:val="00C61F6D"/>
    <w:rsid w:val="00C659BB"/>
    <w:rsid w:val="00C65DF2"/>
    <w:rsid w:val="00C65E81"/>
    <w:rsid w:val="00C672DF"/>
    <w:rsid w:val="00C67599"/>
    <w:rsid w:val="00C70550"/>
    <w:rsid w:val="00C70C5C"/>
    <w:rsid w:val="00C70FA5"/>
    <w:rsid w:val="00C7354F"/>
    <w:rsid w:val="00C736C7"/>
    <w:rsid w:val="00C74597"/>
    <w:rsid w:val="00C771F7"/>
    <w:rsid w:val="00C80BB0"/>
    <w:rsid w:val="00C80E63"/>
    <w:rsid w:val="00C81A52"/>
    <w:rsid w:val="00C82199"/>
    <w:rsid w:val="00C83806"/>
    <w:rsid w:val="00C83A59"/>
    <w:rsid w:val="00C83F0A"/>
    <w:rsid w:val="00C84190"/>
    <w:rsid w:val="00C84213"/>
    <w:rsid w:val="00C850F0"/>
    <w:rsid w:val="00C85915"/>
    <w:rsid w:val="00C87471"/>
    <w:rsid w:val="00C9066D"/>
    <w:rsid w:val="00C91261"/>
    <w:rsid w:val="00C913A6"/>
    <w:rsid w:val="00C940A4"/>
    <w:rsid w:val="00C94436"/>
    <w:rsid w:val="00C94D92"/>
    <w:rsid w:val="00C95293"/>
    <w:rsid w:val="00C95469"/>
    <w:rsid w:val="00C95DBE"/>
    <w:rsid w:val="00CA0009"/>
    <w:rsid w:val="00CA0DBD"/>
    <w:rsid w:val="00CA2994"/>
    <w:rsid w:val="00CA2D1A"/>
    <w:rsid w:val="00CA37B6"/>
    <w:rsid w:val="00CA56CD"/>
    <w:rsid w:val="00CA762B"/>
    <w:rsid w:val="00CB11CC"/>
    <w:rsid w:val="00CB16D3"/>
    <w:rsid w:val="00CB2071"/>
    <w:rsid w:val="00CB22BC"/>
    <w:rsid w:val="00CB2374"/>
    <w:rsid w:val="00CB25B6"/>
    <w:rsid w:val="00CB2C4A"/>
    <w:rsid w:val="00CB2E1D"/>
    <w:rsid w:val="00CB3536"/>
    <w:rsid w:val="00CC103A"/>
    <w:rsid w:val="00CC14B1"/>
    <w:rsid w:val="00CC1580"/>
    <w:rsid w:val="00CC2884"/>
    <w:rsid w:val="00CC38BF"/>
    <w:rsid w:val="00CC3BD3"/>
    <w:rsid w:val="00CC404C"/>
    <w:rsid w:val="00CC42D1"/>
    <w:rsid w:val="00CC5063"/>
    <w:rsid w:val="00CC59D4"/>
    <w:rsid w:val="00CC7156"/>
    <w:rsid w:val="00CC7258"/>
    <w:rsid w:val="00CC7594"/>
    <w:rsid w:val="00CC7B1A"/>
    <w:rsid w:val="00CD112B"/>
    <w:rsid w:val="00CD52C7"/>
    <w:rsid w:val="00CD7B61"/>
    <w:rsid w:val="00CE0F21"/>
    <w:rsid w:val="00CE0F50"/>
    <w:rsid w:val="00CE13FA"/>
    <w:rsid w:val="00CE1943"/>
    <w:rsid w:val="00CE22F4"/>
    <w:rsid w:val="00CE279E"/>
    <w:rsid w:val="00CE4AEC"/>
    <w:rsid w:val="00CE4EF4"/>
    <w:rsid w:val="00CE6238"/>
    <w:rsid w:val="00CE7965"/>
    <w:rsid w:val="00CE7D55"/>
    <w:rsid w:val="00CE7D7E"/>
    <w:rsid w:val="00CF1121"/>
    <w:rsid w:val="00CF15DF"/>
    <w:rsid w:val="00CF1A76"/>
    <w:rsid w:val="00CF1B59"/>
    <w:rsid w:val="00CF2608"/>
    <w:rsid w:val="00CF2AE2"/>
    <w:rsid w:val="00CF2E54"/>
    <w:rsid w:val="00CF3503"/>
    <w:rsid w:val="00CF39D9"/>
    <w:rsid w:val="00CF3A66"/>
    <w:rsid w:val="00CF3D53"/>
    <w:rsid w:val="00CF5928"/>
    <w:rsid w:val="00CF5F74"/>
    <w:rsid w:val="00CF62E0"/>
    <w:rsid w:val="00CF7364"/>
    <w:rsid w:val="00CF75DC"/>
    <w:rsid w:val="00D0017A"/>
    <w:rsid w:val="00D01C83"/>
    <w:rsid w:val="00D02F91"/>
    <w:rsid w:val="00D04098"/>
    <w:rsid w:val="00D04D1D"/>
    <w:rsid w:val="00D05939"/>
    <w:rsid w:val="00D05AD0"/>
    <w:rsid w:val="00D06009"/>
    <w:rsid w:val="00D06A14"/>
    <w:rsid w:val="00D107EB"/>
    <w:rsid w:val="00D10869"/>
    <w:rsid w:val="00D120E5"/>
    <w:rsid w:val="00D130AE"/>
    <w:rsid w:val="00D13D91"/>
    <w:rsid w:val="00D140DB"/>
    <w:rsid w:val="00D159DC"/>
    <w:rsid w:val="00D15A60"/>
    <w:rsid w:val="00D15CB7"/>
    <w:rsid w:val="00D15E42"/>
    <w:rsid w:val="00D16038"/>
    <w:rsid w:val="00D16AE6"/>
    <w:rsid w:val="00D2046A"/>
    <w:rsid w:val="00D22239"/>
    <w:rsid w:val="00D22A5B"/>
    <w:rsid w:val="00D23401"/>
    <w:rsid w:val="00D23749"/>
    <w:rsid w:val="00D24410"/>
    <w:rsid w:val="00D253B5"/>
    <w:rsid w:val="00D2569E"/>
    <w:rsid w:val="00D25858"/>
    <w:rsid w:val="00D30561"/>
    <w:rsid w:val="00D30816"/>
    <w:rsid w:val="00D3092F"/>
    <w:rsid w:val="00D31EFD"/>
    <w:rsid w:val="00D3359D"/>
    <w:rsid w:val="00D34063"/>
    <w:rsid w:val="00D34B5E"/>
    <w:rsid w:val="00D34D8C"/>
    <w:rsid w:val="00D3527A"/>
    <w:rsid w:val="00D36187"/>
    <w:rsid w:val="00D36D20"/>
    <w:rsid w:val="00D3774A"/>
    <w:rsid w:val="00D378C8"/>
    <w:rsid w:val="00D412C3"/>
    <w:rsid w:val="00D4141E"/>
    <w:rsid w:val="00D4271C"/>
    <w:rsid w:val="00D4347C"/>
    <w:rsid w:val="00D43EAE"/>
    <w:rsid w:val="00D45066"/>
    <w:rsid w:val="00D45599"/>
    <w:rsid w:val="00D45C55"/>
    <w:rsid w:val="00D46AEB"/>
    <w:rsid w:val="00D46BB4"/>
    <w:rsid w:val="00D50B59"/>
    <w:rsid w:val="00D51E37"/>
    <w:rsid w:val="00D53769"/>
    <w:rsid w:val="00D537EF"/>
    <w:rsid w:val="00D54375"/>
    <w:rsid w:val="00D552B2"/>
    <w:rsid w:val="00D5582F"/>
    <w:rsid w:val="00D55982"/>
    <w:rsid w:val="00D56983"/>
    <w:rsid w:val="00D57D1D"/>
    <w:rsid w:val="00D60E84"/>
    <w:rsid w:val="00D61FB4"/>
    <w:rsid w:val="00D624FE"/>
    <w:rsid w:val="00D625B0"/>
    <w:rsid w:val="00D62B93"/>
    <w:rsid w:val="00D6484B"/>
    <w:rsid w:val="00D65467"/>
    <w:rsid w:val="00D6554E"/>
    <w:rsid w:val="00D66402"/>
    <w:rsid w:val="00D66503"/>
    <w:rsid w:val="00D671F9"/>
    <w:rsid w:val="00D6735C"/>
    <w:rsid w:val="00D71CC7"/>
    <w:rsid w:val="00D72E36"/>
    <w:rsid w:val="00D73586"/>
    <w:rsid w:val="00D76033"/>
    <w:rsid w:val="00D80268"/>
    <w:rsid w:val="00D81945"/>
    <w:rsid w:val="00D81958"/>
    <w:rsid w:val="00D819F0"/>
    <w:rsid w:val="00D8214C"/>
    <w:rsid w:val="00D833F0"/>
    <w:rsid w:val="00D83903"/>
    <w:rsid w:val="00D83BBF"/>
    <w:rsid w:val="00D84C29"/>
    <w:rsid w:val="00D86171"/>
    <w:rsid w:val="00D8663C"/>
    <w:rsid w:val="00D86701"/>
    <w:rsid w:val="00D86A7C"/>
    <w:rsid w:val="00D86BC1"/>
    <w:rsid w:val="00D90D91"/>
    <w:rsid w:val="00D91848"/>
    <w:rsid w:val="00D91FE2"/>
    <w:rsid w:val="00D926E0"/>
    <w:rsid w:val="00D93005"/>
    <w:rsid w:val="00D93069"/>
    <w:rsid w:val="00D941A5"/>
    <w:rsid w:val="00D94A56"/>
    <w:rsid w:val="00D95481"/>
    <w:rsid w:val="00D97B7F"/>
    <w:rsid w:val="00DA0EA3"/>
    <w:rsid w:val="00DA5275"/>
    <w:rsid w:val="00DA549A"/>
    <w:rsid w:val="00DA5D49"/>
    <w:rsid w:val="00DA5DE6"/>
    <w:rsid w:val="00DA6CEF"/>
    <w:rsid w:val="00DA6E72"/>
    <w:rsid w:val="00DA7123"/>
    <w:rsid w:val="00DA7DB0"/>
    <w:rsid w:val="00DB0551"/>
    <w:rsid w:val="00DB0AE4"/>
    <w:rsid w:val="00DB18D7"/>
    <w:rsid w:val="00DB2DDC"/>
    <w:rsid w:val="00DB346E"/>
    <w:rsid w:val="00DB3709"/>
    <w:rsid w:val="00DB3CB7"/>
    <w:rsid w:val="00DB46C2"/>
    <w:rsid w:val="00DB4F32"/>
    <w:rsid w:val="00DB5168"/>
    <w:rsid w:val="00DB5F76"/>
    <w:rsid w:val="00DB744A"/>
    <w:rsid w:val="00DC0078"/>
    <w:rsid w:val="00DC0385"/>
    <w:rsid w:val="00DC0449"/>
    <w:rsid w:val="00DC098F"/>
    <w:rsid w:val="00DC107B"/>
    <w:rsid w:val="00DC5099"/>
    <w:rsid w:val="00DC577C"/>
    <w:rsid w:val="00DC6EB2"/>
    <w:rsid w:val="00DC74D9"/>
    <w:rsid w:val="00DC7F28"/>
    <w:rsid w:val="00DC7F74"/>
    <w:rsid w:val="00DD16BF"/>
    <w:rsid w:val="00DD1865"/>
    <w:rsid w:val="00DD1EC1"/>
    <w:rsid w:val="00DD2319"/>
    <w:rsid w:val="00DD3468"/>
    <w:rsid w:val="00DD3604"/>
    <w:rsid w:val="00DD38BC"/>
    <w:rsid w:val="00DD45CE"/>
    <w:rsid w:val="00DD4788"/>
    <w:rsid w:val="00DD485C"/>
    <w:rsid w:val="00DD505D"/>
    <w:rsid w:val="00DD556B"/>
    <w:rsid w:val="00DD6A28"/>
    <w:rsid w:val="00DD7AD3"/>
    <w:rsid w:val="00DE0587"/>
    <w:rsid w:val="00DE0EB8"/>
    <w:rsid w:val="00DE1003"/>
    <w:rsid w:val="00DE305C"/>
    <w:rsid w:val="00DE3168"/>
    <w:rsid w:val="00DE5B51"/>
    <w:rsid w:val="00DE6208"/>
    <w:rsid w:val="00DE64C5"/>
    <w:rsid w:val="00DE6727"/>
    <w:rsid w:val="00DE6F3D"/>
    <w:rsid w:val="00DE760E"/>
    <w:rsid w:val="00DE77F2"/>
    <w:rsid w:val="00DE7F16"/>
    <w:rsid w:val="00DF00C9"/>
    <w:rsid w:val="00DF01D6"/>
    <w:rsid w:val="00DF1FE7"/>
    <w:rsid w:val="00DF2B0F"/>
    <w:rsid w:val="00DF530A"/>
    <w:rsid w:val="00E003F6"/>
    <w:rsid w:val="00E0188F"/>
    <w:rsid w:val="00E01EEB"/>
    <w:rsid w:val="00E043E9"/>
    <w:rsid w:val="00E0608B"/>
    <w:rsid w:val="00E06F2D"/>
    <w:rsid w:val="00E104A4"/>
    <w:rsid w:val="00E108F4"/>
    <w:rsid w:val="00E12C1A"/>
    <w:rsid w:val="00E137E1"/>
    <w:rsid w:val="00E139C7"/>
    <w:rsid w:val="00E13A87"/>
    <w:rsid w:val="00E1405E"/>
    <w:rsid w:val="00E14334"/>
    <w:rsid w:val="00E1462F"/>
    <w:rsid w:val="00E14DC9"/>
    <w:rsid w:val="00E17371"/>
    <w:rsid w:val="00E17670"/>
    <w:rsid w:val="00E20129"/>
    <w:rsid w:val="00E2082A"/>
    <w:rsid w:val="00E20832"/>
    <w:rsid w:val="00E21219"/>
    <w:rsid w:val="00E214E6"/>
    <w:rsid w:val="00E2158C"/>
    <w:rsid w:val="00E2196A"/>
    <w:rsid w:val="00E21F95"/>
    <w:rsid w:val="00E22516"/>
    <w:rsid w:val="00E22B09"/>
    <w:rsid w:val="00E23577"/>
    <w:rsid w:val="00E238CE"/>
    <w:rsid w:val="00E24621"/>
    <w:rsid w:val="00E25D7E"/>
    <w:rsid w:val="00E2743A"/>
    <w:rsid w:val="00E277D7"/>
    <w:rsid w:val="00E31372"/>
    <w:rsid w:val="00E322B3"/>
    <w:rsid w:val="00E328D8"/>
    <w:rsid w:val="00E34041"/>
    <w:rsid w:val="00E34E59"/>
    <w:rsid w:val="00E369C0"/>
    <w:rsid w:val="00E36F7B"/>
    <w:rsid w:val="00E3770D"/>
    <w:rsid w:val="00E40225"/>
    <w:rsid w:val="00E407C7"/>
    <w:rsid w:val="00E4100F"/>
    <w:rsid w:val="00E4144B"/>
    <w:rsid w:val="00E41FA1"/>
    <w:rsid w:val="00E42217"/>
    <w:rsid w:val="00E424DC"/>
    <w:rsid w:val="00E425A8"/>
    <w:rsid w:val="00E4358C"/>
    <w:rsid w:val="00E4366D"/>
    <w:rsid w:val="00E44022"/>
    <w:rsid w:val="00E46444"/>
    <w:rsid w:val="00E47464"/>
    <w:rsid w:val="00E50FB9"/>
    <w:rsid w:val="00E51004"/>
    <w:rsid w:val="00E515B5"/>
    <w:rsid w:val="00E5222C"/>
    <w:rsid w:val="00E52E33"/>
    <w:rsid w:val="00E53FAC"/>
    <w:rsid w:val="00E548C6"/>
    <w:rsid w:val="00E5598A"/>
    <w:rsid w:val="00E56520"/>
    <w:rsid w:val="00E579F3"/>
    <w:rsid w:val="00E600D8"/>
    <w:rsid w:val="00E6060A"/>
    <w:rsid w:val="00E61369"/>
    <w:rsid w:val="00E61563"/>
    <w:rsid w:val="00E61AB5"/>
    <w:rsid w:val="00E62668"/>
    <w:rsid w:val="00E6368D"/>
    <w:rsid w:val="00E63CA7"/>
    <w:rsid w:val="00E644D3"/>
    <w:rsid w:val="00E6574F"/>
    <w:rsid w:val="00E65D5F"/>
    <w:rsid w:val="00E65D6C"/>
    <w:rsid w:val="00E669D5"/>
    <w:rsid w:val="00E673DD"/>
    <w:rsid w:val="00E67CF6"/>
    <w:rsid w:val="00E70621"/>
    <w:rsid w:val="00E725E5"/>
    <w:rsid w:val="00E725FA"/>
    <w:rsid w:val="00E72BE7"/>
    <w:rsid w:val="00E72C5E"/>
    <w:rsid w:val="00E73CAF"/>
    <w:rsid w:val="00E761E9"/>
    <w:rsid w:val="00E76566"/>
    <w:rsid w:val="00E76972"/>
    <w:rsid w:val="00E769B0"/>
    <w:rsid w:val="00E76C99"/>
    <w:rsid w:val="00E8011B"/>
    <w:rsid w:val="00E8083F"/>
    <w:rsid w:val="00E80B38"/>
    <w:rsid w:val="00E812EE"/>
    <w:rsid w:val="00E81479"/>
    <w:rsid w:val="00E82F28"/>
    <w:rsid w:val="00E832AE"/>
    <w:rsid w:val="00E84C90"/>
    <w:rsid w:val="00E856B2"/>
    <w:rsid w:val="00E86177"/>
    <w:rsid w:val="00E865ED"/>
    <w:rsid w:val="00E86699"/>
    <w:rsid w:val="00E86D29"/>
    <w:rsid w:val="00E8786B"/>
    <w:rsid w:val="00E924E3"/>
    <w:rsid w:val="00E92564"/>
    <w:rsid w:val="00E92A17"/>
    <w:rsid w:val="00E9333F"/>
    <w:rsid w:val="00E93900"/>
    <w:rsid w:val="00E93A9F"/>
    <w:rsid w:val="00E9562B"/>
    <w:rsid w:val="00E95E24"/>
    <w:rsid w:val="00E9689D"/>
    <w:rsid w:val="00E96E1B"/>
    <w:rsid w:val="00E97348"/>
    <w:rsid w:val="00E97C13"/>
    <w:rsid w:val="00EA21A1"/>
    <w:rsid w:val="00EA369E"/>
    <w:rsid w:val="00EA3BC2"/>
    <w:rsid w:val="00EA5E5D"/>
    <w:rsid w:val="00EA5E71"/>
    <w:rsid w:val="00EA7E8B"/>
    <w:rsid w:val="00EB0A57"/>
    <w:rsid w:val="00EB1917"/>
    <w:rsid w:val="00EB193F"/>
    <w:rsid w:val="00EB1FB9"/>
    <w:rsid w:val="00EB2233"/>
    <w:rsid w:val="00EB25E2"/>
    <w:rsid w:val="00EB2650"/>
    <w:rsid w:val="00EB346A"/>
    <w:rsid w:val="00EB3D36"/>
    <w:rsid w:val="00EB4740"/>
    <w:rsid w:val="00EB5B89"/>
    <w:rsid w:val="00EB76C3"/>
    <w:rsid w:val="00EB788E"/>
    <w:rsid w:val="00EB7B24"/>
    <w:rsid w:val="00EC008C"/>
    <w:rsid w:val="00EC3495"/>
    <w:rsid w:val="00EC3A1E"/>
    <w:rsid w:val="00EC4750"/>
    <w:rsid w:val="00EC546D"/>
    <w:rsid w:val="00EC5D27"/>
    <w:rsid w:val="00EC5D7D"/>
    <w:rsid w:val="00EC6834"/>
    <w:rsid w:val="00EC6F7C"/>
    <w:rsid w:val="00EC79C9"/>
    <w:rsid w:val="00ED0CED"/>
    <w:rsid w:val="00ED2636"/>
    <w:rsid w:val="00ED2673"/>
    <w:rsid w:val="00ED3768"/>
    <w:rsid w:val="00ED3A5C"/>
    <w:rsid w:val="00ED4C20"/>
    <w:rsid w:val="00ED571A"/>
    <w:rsid w:val="00ED5E4C"/>
    <w:rsid w:val="00ED7F5A"/>
    <w:rsid w:val="00EE014D"/>
    <w:rsid w:val="00EE13B2"/>
    <w:rsid w:val="00EE1562"/>
    <w:rsid w:val="00EE1DE3"/>
    <w:rsid w:val="00EE33A0"/>
    <w:rsid w:val="00EE4F50"/>
    <w:rsid w:val="00EE5A55"/>
    <w:rsid w:val="00EE6701"/>
    <w:rsid w:val="00EE6E57"/>
    <w:rsid w:val="00EE7039"/>
    <w:rsid w:val="00EE73C3"/>
    <w:rsid w:val="00EE749B"/>
    <w:rsid w:val="00EE7927"/>
    <w:rsid w:val="00EF0792"/>
    <w:rsid w:val="00EF0E9D"/>
    <w:rsid w:val="00EF0EF5"/>
    <w:rsid w:val="00EF1551"/>
    <w:rsid w:val="00EF2A69"/>
    <w:rsid w:val="00EF3321"/>
    <w:rsid w:val="00EF43D6"/>
    <w:rsid w:val="00EF51FB"/>
    <w:rsid w:val="00EF621B"/>
    <w:rsid w:val="00EF6894"/>
    <w:rsid w:val="00F00BB4"/>
    <w:rsid w:val="00F0163D"/>
    <w:rsid w:val="00F03A8E"/>
    <w:rsid w:val="00F03C9F"/>
    <w:rsid w:val="00F05677"/>
    <w:rsid w:val="00F06C50"/>
    <w:rsid w:val="00F07AC9"/>
    <w:rsid w:val="00F10A8D"/>
    <w:rsid w:val="00F11F8E"/>
    <w:rsid w:val="00F13855"/>
    <w:rsid w:val="00F169C6"/>
    <w:rsid w:val="00F16CCD"/>
    <w:rsid w:val="00F1726A"/>
    <w:rsid w:val="00F2040E"/>
    <w:rsid w:val="00F209F3"/>
    <w:rsid w:val="00F22787"/>
    <w:rsid w:val="00F229D0"/>
    <w:rsid w:val="00F236DD"/>
    <w:rsid w:val="00F2380A"/>
    <w:rsid w:val="00F23BCD"/>
    <w:rsid w:val="00F23E36"/>
    <w:rsid w:val="00F24042"/>
    <w:rsid w:val="00F242B1"/>
    <w:rsid w:val="00F2436E"/>
    <w:rsid w:val="00F274DE"/>
    <w:rsid w:val="00F3049C"/>
    <w:rsid w:val="00F31918"/>
    <w:rsid w:val="00F31BF8"/>
    <w:rsid w:val="00F33A6F"/>
    <w:rsid w:val="00F33ADA"/>
    <w:rsid w:val="00F33C02"/>
    <w:rsid w:val="00F34566"/>
    <w:rsid w:val="00F34DDB"/>
    <w:rsid w:val="00F353FB"/>
    <w:rsid w:val="00F35C3E"/>
    <w:rsid w:val="00F35C5F"/>
    <w:rsid w:val="00F4003D"/>
    <w:rsid w:val="00F409FB"/>
    <w:rsid w:val="00F40AB0"/>
    <w:rsid w:val="00F41DA4"/>
    <w:rsid w:val="00F43A6E"/>
    <w:rsid w:val="00F44129"/>
    <w:rsid w:val="00F44393"/>
    <w:rsid w:val="00F443ED"/>
    <w:rsid w:val="00F46114"/>
    <w:rsid w:val="00F46AB8"/>
    <w:rsid w:val="00F46CFF"/>
    <w:rsid w:val="00F46D18"/>
    <w:rsid w:val="00F508F5"/>
    <w:rsid w:val="00F50B28"/>
    <w:rsid w:val="00F53218"/>
    <w:rsid w:val="00F55270"/>
    <w:rsid w:val="00F55489"/>
    <w:rsid w:val="00F55A33"/>
    <w:rsid w:val="00F56196"/>
    <w:rsid w:val="00F567BB"/>
    <w:rsid w:val="00F578C7"/>
    <w:rsid w:val="00F604FE"/>
    <w:rsid w:val="00F6062A"/>
    <w:rsid w:val="00F60647"/>
    <w:rsid w:val="00F60AAC"/>
    <w:rsid w:val="00F60F9C"/>
    <w:rsid w:val="00F6187D"/>
    <w:rsid w:val="00F61F2D"/>
    <w:rsid w:val="00F62A81"/>
    <w:rsid w:val="00F634E4"/>
    <w:rsid w:val="00F63D7B"/>
    <w:rsid w:val="00F65759"/>
    <w:rsid w:val="00F6649D"/>
    <w:rsid w:val="00F66B21"/>
    <w:rsid w:val="00F67E11"/>
    <w:rsid w:val="00F70C04"/>
    <w:rsid w:val="00F70F97"/>
    <w:rsid w:val="00F71CA9"/>
    <w:rsid w:val="00F7231E"/>
    <w:rsid w:val="00F74125"/>
    <w:rsid w:val="00F74782"/>
    <w:rsid w:val="00F749E0"/>
    <w:rsid w:val="00F7538F"/>
    <w:rsid w:val="00F757AC"/>
    <w:rsid w:val="00F76604"/>
    <w:rsid w:val="00F76A32"/>
    <w:rsid w:val="00F76A64"/>
    <w:rsid w:val="00F76FEA"/>
    <w:rsid w:val="00F82351"/>
    <w:rsid w:val="00F8276F"/>
    <w:rsid w:val="00F82C49"/>
    <w:rsid w:val="00F84051"/>
    <w:rsid w:val="00F8583B"/>
    <w:rsid w:val="00F8666B"/>
    <w:rsid w:val="00F868E7"/>
    <w:rsid w:val="00F902A3"/>
    <w:rsid w:val="00F91AFD"/>
    <w:rsid w:val="00F91DFD"/>
    <w:rsid w:val="00F92541"/>
    <w:rsid w:val="00F9263B"/>
    <w:rsid w:val="00F9361B"/>
    <w:rsid w:val="00F9422A"/>
    <w:rsid w:val="00F9546F"/>
    <w:rsid w:val="00F95AD8"/>
    <w:rsid w:val="00F9631A"/>
    <w:rsid w:val="00FA0177"/>
    <w:rsid w:val="00FA102F"/>
    <w:rsid w:val="00FA2A4A"/>
    <w:rsid w:val="00FA49DE"/>
    <w:rsid w:val="00FA5454"/>
    <w:rsid w:val="00FA6B1A"/>
    <w:rsid w:val="00FA6D20"/>
    <w:rsid w:val="00FA724F"/>
    <w:rsid w:val="00FA76CA"/>
    <w:rsid w:val="00FA77D7"/>
    <w:rsid w:val="00FB0801"/>
    <w:rsid w:val="00FB2AE3"/>
    <w:rsid w:val="00FB3FBE"/>
    <w:rsid w:val="00FB42A8"/>
    <w:rsid w:val="00FB46CB"/>
    <w:rsid w:val="00FB6C89"/>
    <w:rsid w:val="00FC009C"/>
    <w:rsid w:val="00FC0D07"/>
    <w:rsid w:val="00FC5016"/>
    <w:rsid w:val="00FC553A"/>
    <w:rsid w:val="00FC5EFB"/>
    <w:rsid w:val="00FC7C96"/>
    <w:rsid w:val="00FD428A"/>
    <w:rsid w:val="00FD5704"/>
    <w:rsid w:val="00FD5FEB"/>
    <w:rsid w:val="00FD7B35"/>
    <w:rsid w:val="00FE1AEC"/>
    <w:rsid w:val="00FE26D5"/>
    <w:rsid w:val="00FE337A"/>
    <w:rsid w:val="00FE3E9B"/>
    <w:rsid w:val="00FE3F64"/>
    <w:rsid w:val="00FE4711"/>
    <w:rsid w:val="00FE55A8"/>
    <w:rsid w:val="00FE5BAE"/>
    <w:rsid w:val="00FE5D76"/>
    <w:rsid w:val="00FE5DAB"/>
    <w:rsid w:val="00FE7A9D"/>
    <w:rsid w:val="00FE7F44"/>
    <w:rsid w:val="00FF022E"/>
    <w:rsid w:val="00FF24A7"/>
    <w:rsid w:val="00FF2E41"/>
    <w:rsid w:val="00FF315E"/>
    <w:rsid w:val="00FF56CB"/>
    <w:rsid w:val="00FF57BE"/>
    <w:rsid w:val="00FF5B24"/>
    <w:rsid w:val="00FF5E8B"/>
    <w:rsid w:val="00FF6550"/>
    <w:rsid w:val="01012074"/>
    <w:rsid w:val="02021D56"/>
    <w:rsid w:val="020874E3"/>
    <w:rsid w:val="02F05D10"/>
    <w:rsid w:val="031B02A5"/>
    <w:rsid w:val="03655C91"/>
    <w:rsid w:val="04953394"/>
    <w:rsid w:val="052054F7"/>
    <w:rsid w:val="05A01753"/>
    <w:rsid w:val="06164970"/>
    <w:rsid w:val="07235BC1"/>
    <w:rsid w:val="0886694C"/>
    <w:rsid w:val="09697100"/>
    <w:rsid w:val="09DF0E33"/>
    <w:rsid w:val="0E36129A"/>
    <w:rsid w:val="0FBB32DC"/>
    <w:rsid w:val="11142614"/>
    <w:rsid w:val="11C0272D"/>
    <w:rsid w:val="15B42C65"/>
    <w:rsid w:val="161404C8"/>
    <w:rsid w:val="169E04D8"/>
    <w:rsid w:val="176322A2"/>
    <w:rsid w:val="18946031"/>
    <w:rsid w:val="18B55222"/>
    <w:rsid w:val="19D3216D"/>
    <w:rsid w:val="1CE414B0"/>
    <w:rsid w:val="1DC72FE7"/>
    <w:rsid w:val="1DCA76A2"/>
    <w:rsid w:val="1F967F46"/>
    <w:rsid w:val="230E4229"/>
    <w:rsid w:val="23665522"/>
    <w:rsid w:val="241F3B3A"/>
    <w:rsid w:val="25A17753"/>
    <w:rsid w:val="26D7200D"/>
    <w:rsid w:val="28B00000"/>
    <w:rsid w:val="2A575D85"/>
    <w:rsid w:val="2AE25969"/>
    <w:rsid w:val="2EED420A"/>
    <w:rsid w:val="2F1C4AB1"/>
    <w:rsid w:val="313B2CE5"/>
    <w:rsid w:val="321D3148"/>
    <w:rsid w:val="32DD6D47"/>
    <w:rsid w:val="36777CBC"/>
    <w:rsid w:val="394E693F"/>
    <w:rsid w:val="396F1445"/>
    <w:rsid w:val="3BC11D1E"/>
    <w:rsid w:val="3BD96214"/>
    <w:rsid w:val="3E3C10A9"/>
    <w:rsid w:val="3E9165B5"/>
    <w:rsid w:val="3EAA2E3B"/>
    <w:rsid w:val="43353D4F"/>
    <w:rsid w:val="441A52C7"/>
    <w:rsid w:val="44462C0C"/>
    <w:rsid w:val="453A31A0"/>
    <w:rsid w:val="455873E2"/>
    <w:rsid w:val="45AB4886"/>
    <w:rsid w:val="4664740A"/>
    <w:rsid w:val="472A18E2"/>
    <w:rsid w:val="48263F3E"/>
    <w:rsid w:val="48F1489C"/>
    <w:rsid w:val="49750012"/>
    <w:rsid w:val="49F67598"/>
    <w:rsid w:val="4DFC3C7E"/>
    <w:rsid w:val="4E7F7189"/>
    <w:rsid w:val="4FA01DB0"/>
    <w:rsid w:val="50D224E3"/>
    <w:rsid w:val="513E2AD6"/>
    <w:rsid w:val="516649EC"/>
    <w:rsid w:val="51A227FA"/>
    <w:rsid w:val="52000CDC"/>
    <w:rsid w:val="534C6EA9"/>
    <w:rsid w:val="583A2593"/>
    <w:rsid w:val="5A8A4B96"/>
    <w:rsid w:val="5AA31EC3"/>
    <w:rsid w:val="61574B3F"/>
    <w:rsid w:val="61E16FA2"/>
    <w:rsid w:val="63372D00"/>
    <w:rsid w:val="634A0540"/>
    <w:rsid w:val="63F25A88"/>
    <w:rsid w:val="669D5667"/>
    <w:rsid w:val="67205C40"/>
    <w:rsid w:val="69F17144"/>
    <w:rsid w:val="6C535248"/>
    <w:rsid w:val="6CA94952"/>
    <w:rsid w:val="6EAD1BA4"/>
    <w:rsid w:val="6F177F4F"/>
    <w:rsid w:val="6F2B4A2A"/>
    <w:rsid w:val="743C27BF"/>
    <w:rsid w:val="745E60DC"/>
    <w:rsid w:val="752D236D"/>
    <w:rsid w:val="76BD6FDB"/>
    <w:rsid w:val="77C5560F"/>
    <w:rsid w:val="785E0CEC"/>
    <w:rsid w:val="79004448"/>
    <w:rsid w:val="792B6C4B"/>
    <w:rsid w:val="79E95AFB"/>
    <w:rsid w:val="7B7677DD"/>
    <w:rsid w:val="7C4902F7"/>
    <w:rsid w:val="7E71630B"/>
    <w:rsid w:val="7F4E052C"/>
    <w:rsid w:val="7FA42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0"/>
    <w:qFormat/>
    <w:uiPriority w:val="0"/>
    <w:pPr>
      <w:keepNext/>
      <w:spacing w:line="300" w:lineRule="auto"/>
      <w:jc w:val="center"/>
      <w:outlineLvl w:val="0"/>
    </w:pPr>
    <w:rPr>
      <w:rFonts w:ascii="Arial" w:hAnsi="Arial" w:eastAsia="华文中宋"/>
      <w:b/>
      <w:sz w:val="32"/>
    </w:rPr>
  </w:style>
  <w:style w:type="paragraph" w:styleId="3">
    <w:name w:val="heading 2"/>
    <w:basedOn w:val="1"/>
    <w:next w:val="1"/>
    <w:link w:val="97"/>
    <w:qFormat/>
    <w:uiPriority w:val="0"/>
    <w:pPr>
      <w:keepNext/>
      <w:keepLines/>
      <w:spacing w:line="300" w:lineRule="auto"/>
      <w:ind w:firstLine="200" w:firstLineChars="200"/>
      <w:outlineLvl w:val="1"/>
    </w:pPr>
    <w:rPr>
      <w:rFonts w:ascii="Arial" w:hAnsi="Arial"/>
      <w:b/>
      <w:bCs/>
      <w:szCs w:val="32"/>
    </w:rPr>
  </w:style>
  <w:style w:type="paragraph" w:styleId="4">
    <w:name w:val="heading 3"/>
    <w:basedOn w:val="1"/>
    <w:next w:val="1"/>
    <w:qFormat/>
    <w:uiPriority w:val="0"/>
    <w:pPr>
      <w:widowControl/>
      <w:autoSpaceDE w:val="0"/>
      <w:autoSpaceDN w:val="0"/>
      <w:snapToGrid w:val="0"/>
      <w:spacing w:line="300" w:lineRule="auto"/>
      <w:ind w:firstLine="200" w:firstLineChars="200"/>
      <w:outlineLvl w:val="2"/>
    </w:pPr>
    <w:rPr>
      <w:rFonts w:ascii="Arial" w:hAnsi="Arial"/>
      <w:b/>
      <w:szCs w:val="20"/>
    </w:rPr>
  </w:style>
  <w:style w:type="paragraph" w:styleId="5">
    <w:name w:val="heading 4"/>
    <w:basedOn w:val="1"/>
    <w:next w:val="1"/>
    <w:link w:val="79"/>
    <w:qFormat/>
    <w:uiPriority w:val="0"/>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114"/>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133"/>
    <w:qFormat/>
    <w:uiPriority w:val="0"/>
    <w:pPr>
      <w:keepNext/>
      <w:keepLines/>
      <w:spacing w:before="240" w:after="64" w:line="320" w:lineRule="auto"/>
      <w:outlineLvl w:val="5"/>
    </w:pPr>
    <w:rPr>
      <w:rFonts w:ascii="Cambria" w:hAnsi="Cambria"/>
      <w:b/>
      <w:bCs/>
      <w:kern w:val="0"/>
      <w:sz w:val="24"/>
    </w:rPr>
  </w:style>
  <w:style w:type="paragraph" w:styleId="8">
    <w:name w:val="heading 7"/>
    <w:basedOn w:val="1"/>
    <w:next w:val="1"/>
    <w:link w:val="112"/>
    <w:qFormat/>
    <w:uiPriority w:val="0"/>
    <w:pPr>
      <w:keepNext/>
      <w:keepLines/>
      <w:spacing w:before="240" w:after="64" w:line="320" w:lineRule="auto"/>
      <w:outlineLvl w:val="6"/>
    </w:pPr>
    <w:rPr>
      <w:rFonts w:ascii="Calibri" w:hAnsi="Calibri"/>
      <w:b/>
      <w:bCs/>
      <w:sz w:val="24"/>
    </w:rPr>
  </w:style>
  <w:style w:type="paragraph" w:styleId="9">
    <w:name w:val="heading 8"/>
    <w:basedOn w:val="1"/>
    <w:next w:val="1"/>
    <w:link w:val="9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link w:val="66"/>
    <w:qFormat/>
    <w:uiPriority w:val="0"/>
    <w:pPr>
      <w:keepNext/>
      <w:keepLines/>
      <w:spacing w:before="240" w:after="64" w:line="317" w:lineRule="auto"/>
      <w:outlineLvl w:val="8"/>
    </w:pPr>
    <w:rPr>
      <w:rFonts w:ascii="Arial" w:hAnsi="Arial" w:eastAsia="黑体"/>
      <w:szCs w:val="21"/>
    </w:rPr>
  </w:style>
  <w:style w:type="character" w:default="1" w:styleId="51">
    <w:name w:val="Default Paragraph Font"/>
    <w:semiHidden/>
    <w:unhideWhenUsed/>
    <w:qFormat/>
    <w:uiPriority w:val="1"/>
  </w:style>
  <w:style w:type="table" w:default="1" w:styleId="63">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0"/>
    </w:rPr>
  </w:style>
  <w:style w:type="paragraph" w:styleId="12">
    <w:name w:val="annotation subject"/>
    <w:basedOn w:val="13"/>
    <w:next w:val="13"/>
    <w:link w:val="132"/>
    <w:qFormat/>
    <w:uiPriority w:val="99"/>
    <w:rPr>
      <w:b/>
      <w:bCs/>
    </w:rPr>
  </w:style>
  <w:style w:type="paragraph" w:styleId="13">
    <w:name w:val="annotation text"/>
    <w:basedOn w:val="1"/>
    <w:link w:val="131"/>
    <w:qFormat/>
    <w:uiPriority w:val="0"/>
    <w:pPr>
      <w:jc w:val="left"/>
    </w:pPr>
    <w:rPr>
      <w:szCs w:val="20"/>
    </w:rPr>
  </w:style>
  <w:style w:type="paragraph" w:styleId="14">
    <w:name w:val="toc 7"/>
    <w:basedOn w:val="1"/>
    <w:next w:val="1"/>
    <w:qFormat/>
    <w:uiPriority w:val="0"/>
    <w:pPr>
      <w:ind w:left="1260"/>
      <w:jc w:val="left"/>
    </w:pPr>
    <w:rPr>
      <w:sz w:val="18"/>
      <w:szCs w:val="18"/>
    </w:rPr>
  </w:style>
  <w:style w:type="paragraph" w:styleId="15">
    <w:name w:val="Body Text First Indent"/>
    <w:basedOn w:val="16"/>
    <w:link w:val="76"/>
    <w:qFormat/>
    <w:uiPriority w:val="0"/>
    <w:pPr>
      <w:adjustRightInd/>
      <w:spacing w:after="120" w:line="240" w:lineRule="auto"/>
      <w:ind w:firstLine="420" w:firstLineChars="100"/>
      <w:jc w:val="both"/>
      <w:textAlignment w:val="auto"/>
    </w:pPr>
    <w:rPr>
      <w:rFonts w:ascii="Times New Roman" w:eastAsia="宋体"/>
      <w:kern w:val="2"/>
      <w:sz w:val="21"/>
    </w:rPr>
  </w:style>
  <w:style w:type="paragraph" w:styleId="16">
    <w:name w:val="Body Text"/>
    <w:basedOn w:val="1"/>
    <w:link w:val="89"/>
    <w:qFormat/>
    <w:uiPriority w:val="0"/>
    <w:pPr>
      <w:adjustRightInd w:val="0"/>
      <w:spacing w:line="315" w:lineRule="atLeast"/>
      <w:jc w:val="left"/>
      <w:textAlignment w:val="baseline"/>
    </w:pPr>
    <w:rPr>
      <w:rFonts w:ascii="仿宋_GB2312" w:eastAsia="仿宋_GB2312"/>
      <w:kern w:val="0"/>
      <w:sz w:val="28"/>
      <w:szCs w:val="20"/>
    </w:rPr>
  </w:style>
  <w:style w:type="paragraph" w:styleId="17">
    <w:name w:val="Normal Indent"/>
    <w:basedOn w:val="1"/>
    <w:link w:val="87"/>
    <w:qFormat/>
    <w:uiPriority w:val="0"/>
    <w:pPr>
      <w:ind w:firstLine="420" w:firstLineChars="200"/>
    </w:pPr>
  </w:style>
  <w:style w:type="paragraph" w:styleId="18">
    <w:name w:val="Document Map"/>
    <w:basedOn w:val="1"/>
    <w:qFormat/>
    <w:uiPriority w:val="0"/>
    <w:pPr>
      <w:shd w:val="clear" w:color="auto" w:fill="000080"/>
    </w:pPr>
  </w:style>
  <w:style w:type="paragraph" w:styleId="19">
    <w:name w:val="toa heading"/>
    <w:basedOn w:val="1"/>
    <w:next w:val="1"/>
    <w:qFormat/>
    <w:uiPriority w:val="0"/>
    <w:pPr>
      <w:spacing w:before="120"/>
    </w:pPr>
    <w:rPr>
      <w:rFonts w:ascii="Arial" w:hAnsi="Arial" w:cs="Arial"/>
      <w:sz w:val="24"/>
    </w:rPr>
  </w:style>
  <w:style w:type="paragraph" w:styleId="20">
    <w:name w:val="Body Text 3"/>
    <w:basedOn w:val="1"/>
    <w:qFormat/>
    <w:uiPriority w:val="0"/>
    <w:pPr>
      <w:spacing w:line="440" w:lineRule="atLeast"/>
      <w:jc w:val="center"/>
    </w:pPr>
    <w:rPr>
      <w:rFonts w:ascii="楷体_GB2312" w:eastAsia="楷体_GB2312"/>
      <w:b/>
      <w:color w:val="000000"/>
      <w:sz w:val="30"/>
    </w:rPr>
  </w:style>
  <w:style w:type="paragraph" w:styleId="21">
    <w:name w:val="Body Text Indent"/>
    <w:basedOn w:val="1"/>
    <w:link w:val="88"/>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22">
    <w:name w:val="List Number 3"/>
    <w:basedOn w:val="1"/>
    <w:qFormat/>
    <w:uiPriority w:val="0"/>
    <w:pPr>
      <w:numPr>
        <w:ilvl w:val="0"/>
        <w:numId w:val="1"/>
      </w:numPr>
      <w:ind w:left="720"/>
    </w:pPr>
  </w:style>
  <w:style w:type="paragraph" w:styleId="23">
    <w:name w:val="List 2"/>
    <w:basedOn w:val="1"/>
    <w:qFormat/>
    <w:uiPriority w:val="0"/>
    <w:pPr>
      <w:ind w:left="100" w:leftChars="200" w:hanging="200" w:hangingChars="2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link w:val="136"/>
    <w:qFormat/>
    <w:uiPriority w:val="0"/>
    <w:rPr>
      <w:rFonts w:ascii="宋体"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pPr>
      <w:ind w:left="100" w:leftChars="2500"/>
    </w:pPr>
    <w:rPr>
      <w:color w:val="000000"/>
      <w:sz w:val="24"/>
    </w:rPr>
  </w:style>
  <w:style w:type="paragraph" w:styleId="29">
    <w:name w:val="Body Text Indent 2"/>
    <w:basedOn w:val="1"/>
    <w:qFormat/>
    <w:uiPriority w:val="0"/>
    <w:pPr>
      <w:widowControl/>
      <w:spacing w:line="480" w:lineRule="atLeast"/>
      <w:ind w:firstLine="480"/>
    </w:pPr>
    <w:rPr>
      <w:rFonts w:ascii="宋体"/>
      <w:kern w:val="0"/>
      <w:sz w:val="24"/>
      <w:szCs w:val="20"/>
    </w:rPr>
  </w:style>
  <w:style w:type="paragraph" w:styleId="30">
    <w:name w:val="endnote text"/>
    <w:basedOn w:val="1"/>
    <w:link w:val="117"/>
    <w:qFormat/>
    <w:uiPriority w:val="0"/>
    <w:pPr>
      <w:adjustRightInd w:val="0"/>
      <w:jc w:val="left"/>
      <w:textAlignment w:val="baseline"/>
    </w:pPr>
    <w:rPr>
      <w:rFonts w:ascii="宋体"/>
      <w:kern w:val="0"/>
      <w:sz w:val="24"/>
      <w:szCs w:val="20"/>
    </w:rPr>
  </w:style>
  <w:style w:type="paragraph" w:styleId="31">
    <w:name w:val="Balloon Text"/>
    <w:basedOn w:val="1"/>
    <w:link w:val="124"/>
    <w:qFormat/>
    <w:uiPriority w:val="0"/>
    <w:rPr>
      <w:sz w:val="18"/>
      <w:szCs w:val="18"/>
    </w:rPr>
  </w:style>
  <w:style w:type="paragraph" w:styleId="32">
    <w:name w:val="footer"/>
    <w:basedOn w:val="1"/>
    <w:link w:val="74"/>
    <w:qFormat/>
    <w:uiPriority w:val="99"/>
    <w:pPr>
      <w:pBdr>
        <w:top w:val="single" w:color="auto" w:sz="4" w:space="1"/>
      </w:pBdr>
      <w:tabs>
        <w:tab w:val="center" w:pos="4153"/>
        <w:tab w:val="right" w:pos="8306"/>
      </w:tabs>
      <w:snapToGrid w:val="0"/>
      <w:jc w:val="left"/>
    </w:pPr>
    <w:rPr>
      <w:sz w:val="18"/>
      <w:szCs w:val="18"/>
    </w:rPr>
  </w:style>
  <w:style w:type="paragraph" w:styleId="33">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tabs>
        <w:tab w:val="right" w:leader="dot" w:pos="9403"/>
      </w:tabs>
      <w:snapToGrid w:val="0"/>
      <w:spacing w:line="360" w:lineRule="auto"/>
    </w:pPr>
    <w:rPr>
      <w:rFonts w:ascii="Arial" w:hAnsi="Arial"/>
      <w:b/>
      <w:bCs/>
      <w:caps/>
    </w:rPr>
  </w:style>
  <w:style w:type="paragraph" w:styleId="35">
    <w:name w:val="toc 4"/>
    <w:basedOn w:val="1"/>
    <w:next w:val="1"/>
    <w:qFormat/>
    <w:uiPriority w:val="0"/>
    <w:pPr>
      <w:ind w:left="630"/>
      <w:jc w:val="left"/>
    </w:pPr>
    <w:rPr>
      <w:sz w:val="18"/>
      <w:szCs w:val="18"/>
    </w:rPr>
  </w:style>
  <w:style w:type="paragraph" w:styleId="36">
    <w:name w:val="Subtitle"/>
    <w:basedOn w:val="1"/>
    <w:next w:val="1"/>
    <w:link w:val="84"/>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ind w:left="200" w:hanging="200" w:hangingChars="200"/>
    </w:pPr>
  </w:style>
  <w:style w:type="paragraph" w:styleId="38">
    <w:name w:val="footnote text"/>
    <w:basedOn w:val="1"/>
    <w:link w:val="128"/>
    <w:qFormat/>
    <w:uiPriority w:val="0"/>
    <w:pPr>
      <w:snapToGrid w:val="0"/>
      <w:jc w:val="left"/>
    </w:pPr>
    <w:rPr>
      <w:rFonts w:eastAsia="仿宋_GB2312"/>
      <w:sz w:val="18"/>
      <w:szCs w:val="20"/>
    </w:rPr>
  </w:style>
  <w:style w:type="paragraph" w:styleId="39">
    <w:name w:val="toc 6"/>
    <w:basedOn w:val="1"/>
    <w:next w:val="1"/>
    <w:qFormat/>
    <w:uiPriority w:val="0"/>
    <w:pPr>
      <w:ind w:left="1050"/>
      <w:jc w:val="left"/>
    </w:pPr>
    <w:rPr>
      <w:sz w:val="18"/>
      <w:szCs w:val="18"/>
    </w:rPr>
  </w:style>
  <w:style w:type="paragraph" w:styleId="40">
    <w:name w:val="List 5"/>
    <w:basedOn w:val="1"/>
    <w:qFormat/>
    <w:uiPriority w:val="0"/>
    <w:pPr>
      <w:ind w:left="100" w:leftChars="800" w:hanging="200" w:hangingChars="200"/>
    </w:pPr>
    <w:rPr>
      <w:szCs w:val="20"/>
    </w:rPr>
  </w:style>
  <w:style w:type="paragraph" w:styleId="41">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42">
    <w:name w:val="table of figures"/>
    <w:basedOn w:val="1"/>
    <w:next w:val="1"/>
    <w:qFormat/>
    <w:uiPriority w:val="0"/>
    <w:pPr>
      <w:ind w:left="840" w:leftChars="200" w:hanging="420" w:hangingChars="200"/>
    </w:pPr>
    <w:rPr>
      <w:rFonts w:eastAsia="仿宋_GB2312"/>
      <w:sz w:val="32"/>
      <w:szCs w:val="20"/>
    </w:rPr>
  </w:style>
  <w:style w:type="paragraph" w:styleId="43">
    <w:name w:val="toc 2"/>
    <w:basedOn w:val="1"/>
    <w:next w:val="1"/>
    <w:qFormat/>
    <w:uiPriority w:val="39"/>
    <w:pPr>
      <w:tabs>
        <w:tab w:val="right" w:leader="dot" w:pos="9403"/>
      </w:tabs>
      <w:snapToGrid w:val="0"/>
      <w:spacing w:line="360" w:lineRule="auto"/>
      <w:ind w:firstLine="200" w:firstLineChars="200"/>
    </w:pPr>
    <w:rPr>
      <w:rFonts w:ascii="Arial" w:hAnsi="Arial"/>
      <w:smallCaps/>
    </w:rPr>
  </w:style>
  <w:style w:type="paragraph" w:styleId="44">
    <w:name w:val="toc 9"/>
    <w:basedOn w:val="1"/>
    <w:next w:val="1"/>
    <w:qFormat/>
    <w:uiPriority w:val="0"/>
    <w:pPr>
      <w:ind w:left="1680"/>
      <w:jc w:val="left"/>
    </w:pPr>
    <w:rPr>
      <w:sz w:val="18"/>
      <w:szCs w:val="18"/>
    </w:rPr>
  </w:style>
  <w:style w:type="paragraph" w:styleId="45">
    <w:name w:val="Body Text 2"/>
    <w:basedOn w:val="1"/>
    <w:qFormat/>
    <w:uiPriority w:val="0"/>
    <w:rPr>
      <w:b/>
      <w:bCs/>
      <w:color w:val="000000"/>
      <w:sz w:val="28"/>
    </w:rPr>
  </w:style>
  <w:style w:type="paragraph" w:styleId="46">
    <w:name w:val="List 4"/>
    <w:basedOn w:val="1"/>
    <w:qFormat/>
    <w:uiPriority w:val="0"/>
    <w:pPr>
      <w:ind w:left="100" w:leftChars="600" w:hanging="200" w:hangingChars="200"/>
    </w:pPr>
    <w:rPr>
      <w:szCs w:val="20"/>
    </w:rPr>
  </w:style>
  <w:style w:type="paragraph" w:styleId="4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qFormat/>
    <w:uiPriority w:val="0"/>
    <w:pPr>
      <w:widowControl/>
      <w:spacing w:line="360" w:lineRule="auto"/>
      <w:jc w:val="center"/>
    </w:pPr>
    <w:rPr>
      <w:rFonts w:ascii="Arial" w:hAnsi="Arial" w:cs="Arial"/>
      <w:kern w:val="0"/>
      <w:sz w:val="24"/>
    </w:rPr>
  </w:style>
  <w:style w:type="paragraph" w:styleId="50">
    <w:name w:val="Title"/>
    <w:basedOn w:val="1"/>
    <w:qFormat/>
    <w:uiPriority w:val="0"/>
    <w:pPr>
      <w:jc w:val="center"/>
    </w:pPr>
    <w:rPr>
      <w:sz w:val="30"/>
    </w:rPr>
  </w:style>
  <w:style w:type="character" w:styleId="52">
    <w:name w:val="Strong"/>
    <w:qFormat/>
    <w:uiPriority w:val="22"/>
    <w:rPr>
      <w:b/>
    </w:rPr>
  </w:style>
  <w:style w:type="character" w:styleId="53">
    <w:name w:val="page number"/>
    <w:qFormat/>
    <w:uiPriority w:val="0"/>
    <w:rPr>
      <w:rFonts w:eastAsia="Arial"/>
    </w:rPr>
  </w:style>
  <w:style w:type="character" w:styleId="54">
    <w:name w:val="FollowedHyperlink"/>
    <w:basedOn w:val="51"/>
    <w:qFormat/>
    <w:uiPriority w:val="0"/>
    <w:rPr>
      <w:color w:val="3177FD"/>
      <w:u w:val="none"/>
    </w:rPr>
  </w:style>
  <w:style w:type="character" w:styleId="55">
    <w:name w:val="Emphasis"/>
    <w:qFormat/>
    <w:uiPriority w:val="0"/>
    <w:rPr>
      <w:color w:val="CC0033"/>
    </w:rPr>
  </w:style>
  <w:style w:type="character" w:styleId="56">
    <w:name w:val="HTML Definition"/>
    <w:basedOn w:val="51"/>
    <w:unhideWhenUsed/>
    <w:qFormat/>
    <w:uiPriority w:val="0"/>
    <w:rPr>
      <w:i/>
    </w:rPr>
  </w:style>
  <w:style w:type="character" w:styleId="57">
    <w:name w:val="Hyperlink"/>
    <w:basedOn w:val="51"/>
    <w:qFormat/>
    <w:uiPriority w:val="99"/>
    <w:rPr>
      <w:color w:val="3177FD"/>
      <w:u w:val="none"/>
    </w:rPr>
  </w:style>
  <w:style w:type="character" w:styleId="58">
    <w:name w:val="HTML Code"/>
    <w:basedOn w:val="51"/>
    <w:unhideWhenUsed/>
    <w:qFormat/>
    <w:uiPriority w:val="0"/>
    <w:rPr>
      <w:rFonts w:hint="default" w:ascii="Consolas" w:hAnsi="Consolas" w:eastAsia="Consolas" w:cs="Consolas"/>
      <w:sz w:val="21"/>
      <w:szCs w:val="21"/>
    </w:rPr>
  </w:style>
  <w:style w:type="character" w:styleId="59">
    <w:name w:val="annotation reference"/>
    <w:qFormat/>
    <w:uiPriority w:val="0"/>
    <w:rPr>
      <w:sz w:val="21"/>
      <w:szCs w:val="21"/>
    </w:rPr>
  </w:style>
  <w:style w:type="character" w:styleId="60">
    <w:name w:val="footnote reference"/>
    <w:qFormat/>
    <w:uiPriority w:val="0"/>
    <w:rPr>
      <w:vertAlign w:val="superscript"/>
    </w:rPr>
  </w:style>
  <w:style w:type="character" w:styleId="61">
    <w:name w:val="HTML Keyboard"/>
    <w:basedOn w:val="51"/>
    <w:unhideWhenUsed/>
    <w:qFormat/>
    <w:uiPriority w:val="0"/>
    <w:rPr>
      <w:rFonts w:ascii="Consolas" w:hAnsi="Consolas" w:eastAsia="Consolas" w:cs="Consolas"/>
      <w:sz w:val="21"/>
      <w:szCs w:val="21"/>
    </w:rPr>
  </w:style>
  <w:style w:type="character" w:styleId="62">
    <w:name w:val="HTML Sample"/>
    <w:basedOn w:val="51"/>
    <w:unhideWhenUsed/>
    <w:qFormat/>
    <w:uiPriority w:val="0"/>
    <w:rPr>
      <w:rFonts w:hint="default" w:ascii="Consolas" w:hAnsi="Consolas" w:eastAsia="Consolas" w:cs="Consolas"/>
      <w:sz w:val="21"/>
      <w:szCs w:val="21"/>
    </w:rPr>
  </w:style>
  <w:style w:type="table" w:styleId="64">
    <w:name w:val="Table Grid"/>
    <w:basedOn w:val="6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5">
    <w:name w:val="页眉 Char"/>
    <w:link w:val="33"/>
    <w:qFormat/>
    <w:uiPriority w:val="99"/>
    <w:rPr>
      <w:rFonts w:eastAsia="宋体"/>
      <w:kern w:val="2"/>
      <w:sz w:val="18"/>
      <w:szCs w:val="18"/>
      <w:lang w:val="en-US" w:eastAsia="zh-CN" w:bidi="ar-SA"/>
    </w:rPr>
  </w:style>
  <w:style w:type="character" w:customStyle="1" w:styleId="66">
    <w:name w:val="标题 9 Char"/>
    <w:link w:val="10"/>
    <w:qFormat/>
    <w:uiPriority w:val="0"/>
    <w:rPr>
      <w:rFonts w:ascii="Arial" w:hAnsi="Arial" w:eastAsia="黑体"/>
      <w:kern w:val="2"/>
      <w:sz w:val="21"/>
      <w:szCs w:val="21"/>
    </w:rPr>
  </w:style>
  <w:style w:type="character" w:customStyle="1" w:styleId="67">
    <w:name w:val="列出段落 Char"/>
    <w:link w:val="68"/>
    <w:qFormat/>
    <w:uiPriority w:val="99"/>
    <w:rPr>
      <w:rFonts w:ascii="Calibri" w:hAnsi="Calibri"/>
      <w:kern w:val="2"/>
      <w:sz w:val="21"/>
      <w:szCs w:val="22"/>
      <w:lang w:val="zh-CN"/>
    </w:rPr>
  </w:style>
  <w:style w:type="paragraph" w:customStyle="1" w:styleId="68">
    <w:name w:val="列出段落3"/>
    <w:basedOn w:val="1"/>
    <w:link w:val="67"/>
    <w:qFormat/>
    <w:uiPriority w:val="99"/>
    <w:pPr>
      <w:ind w:firstLine="420" w:firstLineChars="200"/>
    </w:pPr>
    <w:rPr>
      <w:rFonts w:ascii="Calibri" w:hAnsi="Calibri"/>
      <w:szCs w:val="22"/>
      <w:lang w:val="zh-CN"/>
    </w:rPr>
  </w:style>
  <w:style w:type="character" w:customStyle="1" w:styleId="69">
    <w:name w:val="彩色列表 - 强调文字颜色 1 Char"/>
    <w:link w:val="70"/>
    <w:qFormat/>
    <w:uiPriority w:val="0"/>
    <w:rPr>
      <w:rFonts w:eastAsia="宋体"/>
      <w:kern w:val="2"/>
      <w:sz w:val="21"/>
      <w:szCs w:val="24"/>
      <w:lang w:val="en-US" w:eastAsia="zh-CN" w:bidi="ar-SA"/>
    </w:rPr>
  </w:style>
  <w:style w:type="paragraph" w:customStyle="1" w:styleId="70">
    <w:name w:val="彩色列表 - 强调文字颜色 11"/>
    <w:basedOn w:val="1"/>
    <w:link w:val="69"/>
    <w:qFormat/>
    <w:uiPriority w:val="0"/>
    <w:pPr>
      <w:ind w:firstLine="420" w:firstLineChars="200"/>
    </w:pPr>
  </w:style>
  <w:style w:type="character" w:customStyle="1" w:styleId="71">
    <w:name w:val="纯文本 Char"/>
    <w:qFormat/>
    <w:uiPriority w:val="0"/>
    <w:rPr>
      <w:rFonts w:ascii="宋体" w:hAnsi="Courier New" w:eastAsia="宋体"/>
      <w:kern w:val="2"/>
      <w:sz w:val="21"/>
      <w:lang w:val="en-US" w:eastAsia="zh-CN" w:bidi="ar-SA"/>
    </w:rPr>
  </w:style>
  <w:style w:type="character" w:customStyle="1" w:styleId="72">
    <w:name w:val="last-child"/>
    <w:basedOn w:val="51"/>
    <w:qFormat/>
    <w:uiPriority w:val="0"/>
  </w:style>
  <w:style w:type="character" w:customStyle="1" w:styleId="73">
    <w:name w:val="Normal Indent Char"/>
    <w:qFormat/>
    <w:locked/>
    <w:uiPriority w:val="0"/>
    <w:rPr>
      <w:rFonts w:eastAsia="宋体" w:cs="Times New Roman"/>
      <w:kern w:val="2"/>
      <w:sz w:val="24"/>
      <w:szCs w:val="24"/>
      <w:lang w:val="en-US" w:eastAsia="zh-CN" w:bidi="ar-SA"/>
    </w:rPr>
  </w:style>
  <w:style w:type="character" w:customStyle="1" w:styleId="74">
    <w:name w:val="页脚 Char"/>
    <w:link w:val="32"/>
    <w:qFormat/>
    <w:uiPriority w:val="99"/>
    <w:rPr>
      <w:rFonts w:eastAsia="宋体"/>
      <w:kern w:val="2"/>
      <w:sz w:val="18"/>
      <w:szCs w:val="18"/>
      <w:lang w:val="en-US" w:eastAsia="zh-CN" w:bidi="ar-SA"/>
    </w:rPr>
  </w:style>
  <w:style w:type="character" w:customStyle="1" w:styleId="75">
    <w:name w:val="font91"/>
    <w:qFormat/>
    <w:uiPriority w:val="0"/>
    <w:rPr>
      <w:rFonts w:hint="eastAsia" w:ascii="宋体" w:hAnsi="宋体" w:eastAsia="宋体" w:cs="宋体"/>
      <w:b/>
      <w:color w:val="000000"/>
      <w:sz w:val="36"/>
      <w:szCs w:val="36"/>
      <w:u w:val="none"/>
    </w:rPr>
  </w:style>
  <w:style w:type="character" w:customStyle="1" w:styleId="76">
    <w:name w:val="正文首行缩进 Char"/>
    <w:link w:val="15"/>
    <w:qFormat/>
    <w:uiPriority w:val="0"/>
    <w:rPr>
      <w:rFonts w:ascii="仿宋_GB2312" w:eastAsia="仿宋_GB2312"/>
      <w:kern w:val="2"/>
      <w:sz w:val="21"/>
    </w:rPr>
  </w:style>
  <w:style w:type="character" w:customStyle="1" w:styleId="77">
    <w:name w:val="font71"/>
    <w:qFormat/>
    <w:uiPriority w:val="0"/>
    <w:rPr>
      <w:rFonts w:hint="eastAsia" w:ascii="宋体" w:hAnsi="宋体" w:eastAsia="宋体"/>
      <w:color w:val="000000"/>
      <w:sz w:val="28"/>
      <w:szCs w:val="28"/>
      <w:u w:val="none"/>
    </w:rPr>
  </w:style>
  <w:style w:type="character" w:customStyle="1" w:styleId="78">
    <w:name w:val="font81"/>
    <w:qFormat/>
    <w:uiPriority w:val="0"/>
    <w:rPr>
      <w:rFonts w:hint="default" w:ascii="Arial" w:hAnsi="Arial" w:cs="Arial"/>
      <w:color w:val="FF0000"/>
      <w:sz w:val="28"/>
      <w:szCs w:val="28"/>
      <w:u w:val="none"/>
    </w:rPr>
  </w:style>
  <w:style w:type="character" w:customStyle="1" w:styleId="79">
    <w:name w:val="标题 4 Char"/>
    <w:link w:val="5"/>
    <w:semiHidden/>
    <w:qFormat/>
    <w:uiPriority w:val="9"/>
    <w:rPr>
      <w:rFonts w:ascii="Cambria" w:hAnsi="Cambria" w:eastAsia="宋体" w:cs="Times New Roman"/>
      <w:b/>
      <w:bCs/>
      <w:sz w:val="28"/>
      <w:szCs w:val="28"/>
    </w:rPr>
  </w:style>
  <w:style w:type="character" w:customStyle="1" w:styleId="80">
    <w:name w:val="标题 3 Char"/>
    <w:qFormat/>
    <w:uiPriority w:val="0"/>
    <w:rPr>
      <w:rFonts w:eastAsia="宋体"/>
      <w:b/>
      <w:kern w:val="2"/>
      <w:sz w:val="32"/>
      <w:lang w:val="en-US" w:eastAsia="zh-CN"/>
    </w:rPr>
  </w:style>
  <w:style w:type="character" w:customStyle="1" w:styleId="81">
    <w:name w:val="zbggmain style9"/>
    <w:basedOn w:val="51"/>
    <w:qFormat/>
    <w:uiPriority w:val="0"/>
  </w:style>
  <w:style w:type="character" w:customStyle="1" w:styleId="82">
    <w:name w:val="正文缩进 Char1"/>
    <w:qFormat/>
    <w:uiPriority w:val="0"/>
    <w:rPr>
      <w:rFonts w:eastAsia="仿宋_GB2312"/>
      <w:kern w:val="2"/>
      <w:sz w:val="32"/>
    </w:rPr>
  </w:style>
  <w:style w:type="character" w:customStyle="1" w:styleId="83">
    <w:name w:val="font11"/>
    <w:qFormat/>
    <w:uiPriority w:val="0"/>
    <w:rPr>
      <w:rFonts w:hint="eastAsia" w:ascii="宋体" w:hAnsi="宋体" w:eastAsia="宋体" w:cs="宋体"/>
      <w:color w:val="000000"/>
      <w:sz w:val="32"/>
      <w:szCs w:val="32"/>
      <w:u w:val="none"/>
    </w:rPr>
  </w:style>
  <w:style w:type="character" w:customStyle="1" w:styleId="84">
    <w:name w:val="副标题 Char"/>
    <w:link w:val="36"/>
    <w:qFormat/>
    <w:uiPriority w:val="0"/>
    <w:rPr>
      <w:rFonts w:ascii="Cambria" w:hAnsi="Cambria" w:eastAsia="宋体"/>
      <w:b/>
      <w:bCs/>
      <w:kern w:val="28"/>
      <w:sz w:val="32"/>
      <w:szCs w:val="32"/>
      <w:lang w:val="en-US" w:eastAsia="zh-CN" w:bidi="ar-SA"/>
    </w:rPr>
  </w:style>
  <w:style w:type="character" w:customStyle="1" w:styleId="85">
    <w:name w:val="My正文 Char"/>
    <w:link w:val="86"/>
    <w:qFormat/>
    <w:uiPriority w:val="0"/>
    <w:rPr>
      <w:rFonts w:ascii="Arial" w:hAnsi="Arial"/>
      <w:sz w:val="24"/>
    </w:rPr>
  </w:style>
  <w:style w:type="paragraph" w:customStyle="1" w:styleId="86">
    <w:name w:val="My正文"/>
    <w:basedOn w:val="1"/>
    <w:link w:val="85"/>
    <w:qFormat/>
    <w:uiPriority w:val="0"/>
    <w:pPr>
      <w:adjustRightInd w:val="0"/>
      <w:spacing w:before="120" w:line="360" w:lineRule="auto"/>
      <w:ind w:firstLine="567"/>
      <w:textAlignment w:val="baseline"/>
    </w:pPr>
    <w:rPr>
      <w:rFonts w:ascii="Arial" w:hAnsi="Arial"/>
      <w:kern w:val="0"/>
      <w:sz w:val="24"/>
      <w:szCs w:val="20"/>
    </w:rPr>
  </w:style>
  <w:style w:type="character" w:customStyle="1" w:styleId="87">
    <w:name w:val="正文缩进 Char"/>
    <w:link w:val="17"/>
    <w:qFormat/>
    <w:uiPriority w:val="0"/>
    <w:rPr>
      <w:rFonts w:eastAsia="宋体"/>
      <w:kern w:val="2"/>
      <w:sz w:val="21"/>
      <w:szCs w:val="24"/>
      <w:lang w:val="en-US" w:eastAsia="zh-CN" w:bidi="ar-SA"/>
    </w:rPr>
  </w:style>
  <w:style w:type="character" w:customStyle="1" w:styleId="88">
    <w:name w:val="正文文本缩进 Char"/>
    <w:link w:val="21"/>
    <w:qFormat/>
    <w:uiPriority w:val="0"/>
    <w:rPr>
      <w:rFonts w:ascii="宋体"/>
      <w:sz w:val="24"/>
    </w:rPr>
  </w:style>
  <w:style w:type="character" w:customStyle="1" w:styleId="89">
    <w:name w:val="正文文本 Char"/>
    <w:link w:val="16"/>
    <w:qFormat/>
    <w:uiPriority w:val="0"/>
    <w:rPr>
      <w:rFonts w:ascii="仿宋_GB2312" w:eastAsia="仿宋_GB2312"/>
      <w:sz w:val="28"/>
    </w:rPr>
  </w:style>
  <w:style w:type="character" w:customStyle="1" w:styleId="90">
    <w:name w:val="font31"/>
    <w:qFormat/>
    <w:uiPriority w:val="0"/>
    <w:rPr>
      <w:rFonts w:hint="eastAsia" w:ascii="宋体" w:hAnsi="宋体" w:eastAsia="宋体" w:cs="宋体"/>
      <w:b/>
      <w:color w:val="000000"/>
      <w:sz w:val="32"/>
      <w:szCs w:val="32"/>
      <w:u w:val="none"/>
    </w:rPr>
  </w:style>
  <w:style w:type="character" w:customStyle="1" w:styleId="91">
    <w:name w:val="标题 8 Char"/>
    <w:link w:val="9"/>
    <w:qFormat/>
    <w:uiPriority w:val="0"/>
    <w:rPr>
      <w:rFonts w:ascii="Arial" w:hAnsi="Arial" w:eastAsia="黑体"/>
      <w:kern w:val="2"/>
      <w:sz w:val="24"/>
      <w:szCs w:val="24"/>
    </w:rPr>
  </w:style>
  <w:style w:type="character" w:customStyle="1" w:styleId="92">
    <w:name w:val="font2"/>
    <w:qFormat/>
    <w:uiPriority w:val="0"/>
  </w:style>
  <w:style w:type="character" w:customStyle="1" w:styleId="93">
    <w:name w:val="font1"/>
    <w:qFormat/>
    <w:uiPriority w:val="0"/>
  </w:style>
  <w:style w:type="character" w:customStyle="1" w:styleId="94">
    <w:name w:val="font51"/>
    <w:qFormat/>
    <w:uiPriority w:val="0"/>
    <w:rPr>
      <w:rFonts w:hint="eastAsia" w:ascii="宋体" w:hAnsi="宋体" w:eastAsia="宋体"/>
      <w:color w:val="000000"/>
      <w:sz w:val="24"/>
      <w:szCs w:val="24"/>
      <w:u w:val="none"/>
    </w:rPr>
  </w:style>
  <w:style w:type="character" w:customStyle="1" w:styleId="95">
    <w:name w:val="样式1 Char Char"/>
    <w:link w:val="96"/>
    <w:qFormat/>
    <w:uiPriority w:val="0"/>
    <w:rPr>
      <w:rFonts w:ascii="Arial" w:hAnsi="Arial" w:eastAsia="宋体"/>
      <w:kern w:val="2"/>
      <w:sz w:val="21"/>
      <w:szCs w:val="24"/>
      <w:lang w:val="en-US" w:eastAsia="zh-CN" w:bidi="ar-SA"/>
    </w:rPr>
  </w:style>
  <w:style w:type="paragraph" w:customStyle="1" w:styleId="96">
    <w:name w:val="样式1"/>
    <w:basedOn w:val="1"/>
    <w:link w:val="95"/>
    <w:qFormat/>
    <w:uiPriority w:val="0"/>
    <w:pPr>
      <w:spacing w:line="360" w:lineRule="exact"/>
      <w:ind w:firstLine="200" w:firstLineChars="200"/>
    </w:pPr>
    <w:rPr>
      <w:rFonts w:ascii="Arial" w:hAnsi="Arial"/>
    </w:rPr>
  </w:style>
  <w:style w:type="character" w:customStyle="1" w:styleId="97">
    <w:name w:val="标题 2 Char"/>
    <w:link w:val="3"/>
    <w:qFormat/>
    <w:uiPriority w:val="0"/>
    <w:rPr>
      <w:rFonts w:ascii="Arial" w:hAnsi="Arial"/>
      <w:b/>
      <w:bCs/>
      <w:kern w:val="2"/>
      <w:sz w:val="21"/>
      <w:szCs w:val="32"/>
    </w:rPr>
  </w:style>
  <w:style w:type="character" w:customStyle="1" w:styleId="98">
    <w:name w:val="Char Char Char"/>
    <w:link w:val="99"/>
    <w:qFormat/>
    <w:uiPriority w:val="0"/>
    <w:rPr>
      <w:rFonts w:ascii="宋体" w:hAnsi="宋体" w:eastAsia="宋体"/>
      <w:b/>
      <w:kern w:val="2"/>
      <w:sz w:val="21"/>
      <w:szCs w:val="21"/>
      <w:lang w:val="en-US" w:eastAsia="zh-CN" w:bidi="ar-SA"/>
    </w:rPr>
  </w:style>
  <w:style w:type="paragraph" w:customStyle="1" w:styleId="99">
    <w:name w:val="Char3"/>
    <w:basedOn w:val="33"/>
    <w:next w:val="33"/>
    <w:link w:val="98"/>
    <w:qFormat/>
    <w:uiPriority w:val="0"/>
    <w:pPr>
      <w:snapToGrid/>
      <w:jc w:val="right"/>
    </w:pPr>
    <w:rPr>
      <w:rFonts w:ascii="宋体" w:hAnsi="宋体"/>
      <w:b/>
      <w:sz w:val="21"/>
      <w:szCs w:val="21"/>
    </w:rPr>
  </w:style>
  <w:style w:type="character" w:customStyle="1" w:styleId="100">
    <w:name w:val="标题 1 Char"/>
    <w:link w:val="2"/>
    <w:qFormat/>
    <w:uiPriority w:val="0"/>
    <w:rPr>
      <w:rFonts w:ascii="Arial" w:hAnsi="Arial" w:eastAsia="华文中宋" w:cs="Arial"/>
      <w:b/>
      <w:kern w:val="2"/>
      <w:sz w:val="32"/>
      <w:szCs w:val="24"/>
    </w:rPr>
  </w:style>
  <w:style w:type="character" w:customStyle="1" w:styleId="101">
    <w:name w:val="font21"/>
    <w:qFormat/>
    <w:uiPriority w:val="0"/>
    <w:rPr>
      <w:rFonts w:hint="eastAsia" w:ascii="宋体" w:hAnsi="宋体" w:eastAsia="宋体" w:cs="宋体"/>
      <w:b/>
      <w:color w:val="000000"/>
      <w:sz w:val="32"/>
      <w:szCs w:val="32"/>
      <w:u w:val="single"/>
    </w:rPr>
  </w:style>
  <w:style w:type="character" w:customStyle="1" w:styleId="102">
    <w:name w:val="正文2 Char Char"/>
    <w:link w:val="103"/>
    <w:qFormat/>
    <w:uiPriority w:val="0"/>
    <w:rPr>
      <w:kern w:val="2"/>
      <w:sz w:val="24"/>
    </w:rPr>
  </w:style>
  <w:style w:type="paragraph" w:customStyle="1" w:styleId="103">
    <w:name w:val="正文2"/>
    <w:basedOn w:val="1"/>
    <w:link w:val="102"/>
    <w:qFormat/>
    <w:uiPriority w:val="0"/>
    <w:pPr>
      <w:spacing w:before="156" w:line="360" w:lineRule="auto"/>
      <w:ind w:firstLine="510" w:firstLineChars="200"/>
    </w:pPr>
    <w:rPr>
      <w:sz w:val="24"/>
      <w:szCs w:val="20"/>
    </w:rPr>
  </w:style>
  <w:style w:type="character" w:customStyle="1" w:styleId="104">
    <w:name w:val="普通文字 Char Char2"/>
    <w:qFormat/>
    <w:uiPriority w:val="0"/>
    <w:rPr>
      <w:rFonts w:ascii="宋体" w:hAnsi="Courier New" w:eastAsia="宋体"/>
      <w:kern w:val="2"/>
      <w:sz w:val="21"/>
      <w:lang w:val="en-US" w:eastAsia="zh-CN" w:bidi="ar-SA"/>
    </w:rPr>
  </w:style>
  <w:style w:type="character" w:customStyle="1" w:styleId="105">
    <w:name w:val="样式1 Char Char Char"/>
    <w:qFormat/>
    <w:uiPriority w:val="0"/>
    <w:rPr>
      <w:rFonts w:ascii="Arial" w:hAnsi="Arial" w:eastAsia="宋体"/>
      <w:kern w:val="2"/>
      <w:sz w:val="21"/>
      <w:szCs w:val="24"/>
      <w:lang w:val="en-US" w:eastAsia="zh-CN" w:bidi="ar-SA"/>
    </w:rPr>
  </w:style>
  <w:style w:type="character" w:customStyle="1" w:styleId="106">
    <w:name w:val="ant-select-tree-checkbox2"/>
    <w:basedOn w:val="51"/>
    <w:qFormat/>
    <w:uiPriority w:val="0"/>
  </w:style>
  <w:style w:type="character" w:customStyle="1" w:styleId="107">
    <w:name w:val="fontstyle01"/>
    <w:qFormat/>
    <w:uiPriority w:val="0"/>
    <w:rPr>
      <w:rFonts w:hint="eastAsia" w:ascii="宋体" w:hAnsi="宋体" w:eastAsia="宋体"/>
      <w:color w:val="000000"/>
      <w:sz w:val="22"/>
      <w:szCs w:val="22"/>
    </w:rPr>
  </w:style>
  <w:style w:type="character" w:customStyle="1" w:styleId="108">
    <w:name w:val="font191"/>
    <w:qFormat/>
    <w:uiPriority w:val="0"/>
    <w:rPr>
      <w:rFonts w:hint="eastAsia" w:ascii="宋体" w:hAnsi="宋体" w:eastAsia="宋体" w:cs="宋体"/>
      <w:b/>
      <w:color w:val="000000"/>
      <w:sz w:val="40"/>
      <w:szCs w:val="40"/>
      <w:u w:val="none"/>
    </w:rPr>
  </w:style>
  <w:style w:type="character" w:customStyle="1" w:styleId="109">
    <w:name w:val="unnamed51"/>
    <w:qFormat/>
    <w:uiPriority w:val="0"/>
    <w:rPr>
      <w:sz w:val="22"/>
      <w:szCs w:val="22"/>
    </w:rPr>
  </w:style>
  <w:style w:type="character" w:customStyle="1" w:styleId="110">
    <w:name w:val="普通文字 Char1"/>
    <w:qFormat/>
    <w:uiPriority w:val="0"/>
    <w:rPr>
      <w:rFonts w:ascii="宋体" w:hAnsi="Courier New" w:eastAsia="宋体"/>
      <w:kern w:val="2"/>
      <w:sz w:val="21"/>
      <w:lang w:val="en-US" w:eastAsia="zh-CN"/>
    </w:rPr>
  </w:style>
  <w:style w:type="character" w:customStyle="1" w:styleId="111">
    <w:name w:val="ant-select-tree-switcher"/>
    <w:basedOn w:val="51"/>
    <w:qFormat/>
    <w:uiPriority w:val="0"/>
  </w:style>
  <w:style w:type="character" w:customStyle="1" w:styleId="112">
    <w:name w:val="标题 7 Char"/>
    <w:link w:val="8"/>
    <w:qFormat/>
    <w:uiPriority w:val="9"/>
    <w:rPr>
      <w:rFonts w:ascii="Calibri" w:hAnsi="Calibri"/>
      <w:b/>
      <w:bCs/>
      <w:kern w:val="2"/>
      <w:sz w:val="24"/>
      <w:szCs w:val="24"/>
    </w:rPr>
  </w:style>
  <w:style w:type="character" w:customStyle="1" w:styleId="113">
    <w:name w:val="font01"/>
    <w:qFormat/>
    <w:uiPriority w:val="0"/>
    <w:rPr>
      <w:rFonts w:hint="eastAsia" w:ascii="宋体" w:hAnsi="宋体" w:eastAsia="宋体"/>
      <w:color w:val="FF0000"/>
      <w:sz w:val="28"/>
      <w:szCs w:val="28"/>
      <w:u w:val="none"/>
    </w:rPr>
  </w:style>
  <w:style w:type="character" w:customStyle="1" w:styleId="114">
    <w:name w:val="标题 5 Char"/>
    <w:link w:val="6"/>
    <w:qFormat/>
    <w:uiPriority w:val="9"/>
    <w:rPr>
      <w:rFonts w:ascii="Calibri" w:hAnsi="Calibri"/>
      <w:b/>
      <w:bCs/>
      <w:kern w:val="2"/>
      <w:sz w:val="28"/>
      <w:szCs w:val="28"/>
    </w:rPr>
  </w:style>
  <w:style w:type="character" w:customStyle="1" w:styleId="115">
    <w:name w:val="样式1 Char"/>
    <w:qFormat/>
    <w:uiPriority w:val="0"/>
    <w:rPr>
      <w:rFonts w:ascii="Arial" w:hAnsi="Arial" w:eastAsia="宋体"/>
      <w:kern w:val="2"/>
      <w:sz w:val="21"/>
      <w:szCs w:val="24"/>
      <w:lang w:val="en-US" w:eastAsia="zh-CN" w:bidi="ar-SA"/>
    </w:rPr>
  </w:style>
  <w:style w:type="character" w:customStyle="1" w:styleId="116">
    <w:name w:val="纯文本 Char2"/>
    <w:qFormat/>
    <w:uiPriority w:val="0"/>
    <w:rPr>
      <w:rFonts w:ascii="宋体" w:hAnsi="Courier New" w:eastAsia="宋体"/>
      <w:kern w:val="2"/>
      <w:sz w:val="21"/>
    </w:rPr>
  </w:style>
  <w:style w:type="character" w:customStyle="1" w:styleId="117">
    <w:name w:val="尾注文本 Char"/>
    <w:link w:val="30"/>
    <w:qFormat/>
    <w:uiPriority w:val="0"/>
    <w:rPr>
      <w:rFonts w:ascii="宋体"/>
      <w:sz w:val="24"/>
    </w:rPr>
  </w:style>
  <w:style w:type="character" w:customStyle="1" w:styleId="118">
    <w:name w:val="ant-select-tree-iconele"/>
    <w:basedOn w:val="51"/>
    <w:qFormat/>
    <w:uiPriority w:val="0"/>
  </w:style>
  <w:style w:type="character" w:customStyle="1" w:styleId="119">
    <w:name w:val="font212"/>
    <w:qFormat/>
    <w:uiPriority w:val="0"/>
    <w:rPr>
      <w:rFonts w:hint="default" w:ascii="Arial" w:hAnsi="Arial" w:cs="Arial"/>
      <w:b/>
      <w:color w:val="000000"/>
      <w:sz w:val="36"/>
      <w:szCs w:val="36"/>
      <w:u w:val="none"/>
    </w:rPr>
  </w:style>
  <w:style w:type="character" w:customStyle="1" w:styleId="120">
    <w:name w:val="param-name"/>
    <w:basedOn w:val="51"/>
    <w:qFormat/>
    <w:uiPriority w:val="0"/>
  </w:style>
  <w:style w:type="character" w:customStyle="1" w:styleId="121">
    <w:name w:val="font61"/>
    <w:qFormat/>
    <w:uiPriority w:val="0"/>
    <w:rPr>
      <w:rFonts w:hint="default" w:ascii="Arial" w:hAnsi="Arial" w:cs="Arial"/>
      <w:color w:val="000000"/>
      <w:sz w:val="28"/>
      <w:szCs w:val="28"/>
      <w:u w:val="none"/>
    </w:rPr>
  </w:style>
  <w:style w:type="character" w:customStyle="1" w:styleId="122">
    <w:name w:val="Char Char8"/>
    <w:qFormat/>
    <w:uiPriority w:val="0"/>
    <w:rPr>
      <w:rFonts w:eastAsia="宋体"/>
      <w:b/>
      <w:sz w:val="24"/>
      <w:lang w:val="en-GB" w:eastAsia="zh-CN"/>
    </w:rPr>
  </w:style>
  <w:style w:type="character" w:customStyle="1" w:styleId="123">
    <w:name w:val="标题 6 Char1"/>
    <w:semiHidden/>
    <w:qFormat/>
    <w:uiPriority w:val="0"/>
    <w:rPr>
      <w:rFonts w:ascii="Cambria" w:hAnsi="Cambria" w:eastAsia="宋体" w:cs="Times New Roman"/>
      <w:b/>
      <w:bCs/>
      <w:kern w:val="2"/>
      <w:sz w:val="24"/>
      <w:szCs w:val="24"/>
    </w:rPr>
  </w:style>
  <w:style w:type="character" w:customStyle="1" w:styleId="124">
    <w:name w:val="批注框文本 Char"/>
    <w:link w:val="31"/>
    <w:qFormat/>
    <w:uiPriority w:val="99"/>
    <w:rPr>
      <w:kern w:val="2"/>
      <w:sz w:val="18"/>
      <w:szCs w:val="18"/>
    </w:rPr>
  </w:style>
  <w:style w:type="character" w:customStyle="1" w:styleId="125">
    <w:name w:val="纯文本 字符"/>
    <w:qFormat/>
    <w:uiPriority w:val="0"/>
    <w:rPr>
      <w:rFonts w:ascii="宋体" w:hAnsi="Courier New" w:eastAsia="宋体"/>
      <w:kern w:val="2"/>
      <w:sz w:val="21"/>
      <w:lang w:val="en-US" w:eastAsia="zh-CN" w:bidi="ar-SA"/>
    </w:rPr>
  </w:style>
  <w:style w:type="character" w:customStyle="1" w:styleId="126">
    <w:name w:val="ant-select-tree-checkbox"/>
    <w:basedOn w:val="51"/>
    <w:qFormat/>
    <w:uiPriority w:val="0"/>
  </w:style>
  <w:style w:type="character" w:customStyle="1" w:styleId="127">
    <w:name w:val="正文2 Char"/>
    <w:qFormat/>
    <w:uiPriority w:val="0"/>
    <w:rPr>
      <w:sz w:val="24"/>
    </w:rPr>
  </w:style>
  <w:style w:type="character" w:customStyle="1" w:styleId="128">
    <w:name w:val="脚注文本 Char"/>
    <w:link w:val="38"/>
    <w:qFormat/>
    <w:uiPriority w:val="0"/>
    <w:rPr>
      <w:rFonts w:eastAsia="仿宋_GB2312"/>
      <w:kern w:val="2"/>
      <w:sz w:val="18"/>
    </w:rPr>
  </w:style>
  <w:style w:type="character" w:customStyle="1" w:styleId="129">
    <w:name w:val="Char Char3"/>
    <w:qFormat/>
    <w:uiPriority w:val="0"/>
    <w:rPr>
      <w:rFonts w:ascii="Arial" w:hAnsi="Arial" w:eastAsia="宋体"/>
      <w:b/>
      <w:bCs/>
      <w:kern w:val="2"/>
      <w:sz w:val="21"/>
      <w:szCs w:val="32"/>
      <w:lang w:val="en-US" w:eastAsia="zh-CN" w:bidi="ar-SA"/>
    </w:rPr>
  </w:style>
  <w:style w:type="character" w:customStyle="1" w:styleId="130">
    <w:name w:val="纯文本 Char1"/>
    <w:qFormat/>
    <w:uiPriority w:val="0"/>
    <w:rPr>
      <w:rFonts w:ascii="宋体" w:hAnsi="Courier New" w:eastAsia="宋体"/>
      <w:kern w:val="2"/>
      <w:sz w:val="21"/>
      <w:lang w:val="en-US" w:eastAsia="zh-CN" w:bidi="ar-SA"/>
    </w:rPr>
  </w:style>
  <w:style w:type="character" w:customStyle="1" w:styleId="131">
    <w:name w:val="批注文字 Char"/>
    <w:link w:val="13"/>
    <w:qFormat/>
    <w:uiPriority w:val="0"/>
    <w:rPr>
      <w:kern w:val="2"/>
      <w:sz w:val="21"/>
    </w:rPr>
  </w:style>
  <w:style w:type="character" w:customStyle="1" w:styleId="132">
    <w:name w:val="批注主题 Char"/>
    <w:link w:val="12"/>
    <w:qFormat/>
    <w:uiPriority w:val="99"/>
    <w:rPr>
      <w:b/>
      <w:bCs/>
      <w:kern w:val="2"/>
      <w:sz w:val="21"/>
    </w:rPr>
  </w:style>
  <w:style w:type="character" w:customStyle="1" w:styleId="133">
    <w:name w:val="标题 6 Char"/>
    <w:link w:val="7"/>
    <w:qFormat/>
    <w:uiPriority w:val="9"/>
    <w:rPr>
      <w:rFonts w:ascii="Cambria" w:hAnsi="Cambria" w:eastAsia="宋体" w:cs="Times New Roman"/>
      <w:b/>
      <w:bCs/>
      <w:sz w:val="24"/>
      <w:szCs w:val="24"/>
    </w:rPr>
  </w:style>
  <w:style w:type="character" w:customStyle="1" w:styleId="134">
    <w:name w:val="font201"/>
    <w:uiPriority w:val="0"/>
    <w:rPr>
      <w:rFonts w:hint="default" w:ascii="Arial" w:hAnsi="Arial" w:cs="Arial"/>
      <w:b/>
      <w:color w:val="000000"/>
      <w:sz w:val="32"/>
      <w:szCs w:val="32"/>
      <w:u w:val="none"/>
    </w:rPr>
  </w:style>
  <w:style w:type="character" w:customStyle="1" w:styleId="135">
    <w:name w:val="标题 4 Char1"/>
    <w:semiHidden/>
    <w:qFormat/>
    <w:uiPriority w:val="0"/>
    <w:rPr>
      <w:rFonts w:ascii="Cambria" w:hAnsi="Cambria" w:eastAsia="宋体" w:cs="Times New Roman"/>
      <w:b/>
      <w:bCs/>
      <w:kern w:val="2"/>
      <w:sz w:val="28"/>
      <w:szCs w:val="28"/>
    </w:rPr>
  </w:style>
  <w:style w:type="character" w:customStyle="1" w:styleId="136">
    <w:name w:val="纯文本 Char3"/>
    <w:basedOn w:val="51"/>
    <w:link w:val="26"/>
    <w:qFormat/>
    <w:uiPriority w:val="0"/>
    <w:rPr>
      <w:rFonts w:hint="default" w:ascii="??" w:hAnsi="??" w:eastAsia="??" w:cs="宋体"/>
      <w:kern w:val="2"/>
      <w:sz w:val="21"/>
      <w:szCs w:val="21"/>
    </w:rPr>
  </w:style>
  <w:style w:type="character" w:customStyle="1" w:styleId="137">
    <w:name w:val="纯文本 Char4"/>
    <w:basedOn w:val="51"/>
    <w:uiPriority w:val="0"/>
    <w:rPr>
      <w:rFonts w:hint="eastAsia" w:ascii="宋体" w:hAnsi="Courier New" w:eastAsia="宋体" w:cs="Courier New"/>
      <w:kern w:val="2"/>
      <w:sz w:val="21"/>
      <w:szCs w:val="21"/>
    </w:rPr>
  </w:style>
  <w:style w:type="paragraph" w:customStyle="1" w:styleId="138">
    <w:name w:val="纯文本1"/>
    <w:basedOn w:val="1"/>
    <w:qFormat/>
    <w:uiPriority w:val="0"/>
    <w:pPr>
      <w:widowControl/>
      <w:jc w:val="left"/>
    </w:pPr>
    <w:rPr>
      <w:rFonts w:hint="eastAsia" w:ascii="宋体" w:hAnsi="Courier New"/>
      <w:szCs w:val="20"/>
    </w:rPr>
  </w:style>
  <w:style w:type="paragraph" w:styleId="139">
    <w:name w:val="List Paragraph"/>
    <w:basedOn w:val="1"/>
    <w:qFormat/>
    <w:uiPriority w:val="34"/>
    <w:pPr>
      <w:spacing w:line="360" w:lineRule="auto"/>
      <w:ind w:firstLine="420" w:firstLineChars="200"/>
    </w:pPr>
    <w:rPr>
      <w:rFonts w:ascii="Calibri" w:hAnsi="Calibri"/>
      <w:sz w:val="24"/>
      <w:szCs w:val="22"/>
    </w:rPr>
  </w:style>
  <w:style w:type="paragraph" w:customStyle="1" w:styleId="140">
    <w:name w:val="标题4"/>
    <w:basedOn w:val="1"/>
    <w:qFormat/>
    <w:uiPriority w:val="0"/>
    <w:rPr>
      <w:rFonts w:eastAsia="仿宋_GB2312"/>
      <w:sz w:val="32"/>
      <w:szCs w:val="20"/>
    </w:rPr>
  </w:style>
  <w:style w:type="paragraph" w:customStyle="1" w:styleId="141">
    <w:name w:val="中等深浅网格 1 - 强调文字颜色 21"/>
    <w:basedOn w:val="1"/>
    <w:qFormat/>
    <w:uiPriority w:val="0"/>
    <w:pPr>
      <w:tabs>
        <w:tab w:val="left" w:pos="482"/>
        <w:tab w:val="left" w:pos="2183"/>
        <w:tab w:val="left" w:pos="3884"/>
        <w:tab w:val="left" w:pos="5585"/>
      </w:tabs>
      <w:adjustRightInd w:val="0"/>
      <w:ind w:firstLine="420" w:firstLineChars="200"/>
      <w:textAlignment w:val="baseline"/>
    </w:pPr>
    <w:rPr>
      <w:kern w:val="0"/>
      <w:sz w:val="24"/>
      <w:szCs w:val="20"/>
    </w:rPr>
  </w:style>
  <w:style w:type="paragraph" w:customStyle="1" w:styleId="142">
    <w:name w:val="TOC 标题1"/>
    <w:basedOn w:val="2"/>
    <w:next w:val="1"/>
    <w:unhideWhenUsed/>
    <w:qFormat/>
    <w:uiPriority w:val="39"/>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143">
    <w:name w:val="普通(网站)1"/>
    <w:basedOn w:val="1"/>
    <w:qFormat/>
    <w:uiPriority w:val="0"/>
    <w:pPr>
      <w:widowControl/>
      <w:jc w:val="left"/>
    </w:pPr>
    <w:rPr>
      <w:rFonts w:ascii="ˎ̥" w:hAnsi="ˎ̥" w:cs="宋体"/>
      <w:color w:val="000000"/>
      <w:kern w:val="0"/>
      <w:sz w:val="13"/>
      <w:szCs w:val="13"/>
    </w:rPr>
  </w:style>
  <w:style w:type="paragraph" w:customStyle="1" w:styleId="144">
    <w:name w:val="列出段落2"/>
    <w:basedOn w:val="1"/>
    <w:qFormat/>
    <w:uiPriority w:val="34"/>
    <w:pPr>
      <w:ind w:firstLine="420" w:firstLineChars="200"/>
    </w:pPr>
  </w:style>
  <w:style w:type="paragraph" w:customStyle="1" w:styleId="145">
    <w:name w:val="标题 61"/>
    <w:basedOn w:val="1"/>
    <w:next w:val="1"/>
    <w:unhideWhenUsed/>
    <w:qFormat/>
    <w:uiPriority w:val="9"/>
    <w:pPr>
      <w:keepNext/>
      <w:keepLines/>
      <w:spacing w:before="240" w:after="64" w:line="320" w:lineRule="auto"/>
      <w:outlineLvl w:val="5"/>
    </w:pPr>
    <w:rPr>
      <w:rFonts w:ascii="Cambria" w:hAnsi="Cambria"/>
      <w:b/>
      <w:bCs/>
      <w:sz w:val="24"/>
    </w:rPr>
  </w:style>
  <w:style w:type="paragraph" w:customStyle="1" w:styleId="146">
    <w:name w:val="Char1 Char Char Char Char Char Char"/>
    <w:basedOn w:val="1"/>
    <w:qFormat/>
    <w:uiPriority w:val="0"/>
    <w:rPr>
      <w:rFonts w:ascii="仿宋_GB2312" w:eastAsia="仿宋_GB2312"/>
      <w:b/>
      <w:sz w:val="32"/>
      <w:szCs w:val="32"/>
    </w:rPr>
  </w:style>
  <w:style w:type="paragraph" w:customStyle="1" w:styleId="147">
    <w:name w:val="列出段落1"/>
    <w:basedOn w:val="1"/>
    <w:qFormat/>
    <w:uiPriority w:val="34"/>
    <w:pPr>
      <w:ind w:firstLine="420" w:firstLineChars="200"/>
    </w:pPr>
    <w:rPr>
      <w:sz w:val="24"/>
    </w:rPr>
  </w:style>
  <w:style w:type="paragraph" w:customStyle="1" w:styleId="148">
    <w:name w:val="彩色底纹 - 强调文字颜色 11"/>
    <w:qFormat/>
    <w:uiPriority w:val="71"/>
    <w:rPr>
      <w:rFonts w:ascii="Times New Roman" w:hAnsi="Times New Roman" w:eastAsia="宋体" w:cs="Times New Roman"/>
      <w:kern w:val="2"/>
      <w:sz w:val="21"/>
      <w:szCs w:val="24"/>
      <w:lang w:val="en-US" w:eastAsia="zh-CN" w:bidi="ar-SA"/>
    </w:rPr>
  </w:style>
  <w:style w:type="paragraph" w:customStyle="1" w:styleId="149">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50">
    <w:name w:val="正文－恩普"/>
    <w:basedOn w:val="17"/>
    <w:qFormat/>
    <w:uiPriority w:val="0"/>
    <w:pPr>
      <w:widowControl/>
      <w:spacing w:afterLines="50" w:line="360" w:lineRule="auto"/>
      <w:ind w:firstLine="480"/>
      <w:jc w:val="left"/>
    </w:pPr>
    <w:rPr>
      <w:kern w:val="0"/>
      <w:sz w:val="24"/>
      <w:szCs w:val="20"/>
    </w:rPr>
  </w:style>
  <w:style w:type="paragraph" w:customStyle="1" w:styleId="151">
    <w:name w:val="MM Topic 5"/>
    <w:basedOn w:val="6"/>
    <w:uiPriority w:val="0"/>
    <w:pPr>
      <w:tabs>
        <w:tab w:val="left" w:pos="1008"/>
        <w:tab w:val="left" w:pos="2100"/>
      </w:tabs>
      <w:ind w:left="2100" w:hanging="420"/>
    </w:pPr>
    <w:rPr>
      <w:rFonts w:ascii="Times New Roman" w:hAnsi="Times New Roman"/>
    </w:rPr>
  </w:style>
  <w:style w:type="paragraph" w:customStyle="1" w:styleId="152">
    <w:name w:val="图"/>
    <w:basedOn w:val="1"/>
    <w:next w:val="1"/>
    <w:qFormat/>
    <w:uiPriority w:val="0"/>
    <w:pPr>
      <w:wordWrap w:val="0"/>
      <w:adjustRightInd w:val="0"/>
      <w:snapToGrid w:val="0"/>
      <w:spacing w:before="100" w:beforeAutospacing="1" w:after="100" w:afterAutospacing="1"/>
      <w:ind w:left="420" w:hanging="420"/>
      <w:jc w:val="left"/>
      <w:outlineLvl w:val="2"/>
    </w:pPr>
    <w:rPr>
      <w:rFonts w:eastAsia="楷体_GB2312"/>
      <w:b/>
      <w:bCs/>
      <w:sz w:val="24"/>
    </w:rPr>
  </w:style>
  <w:style w:type="paragraph" w:customStyle="1" w:styleId="153">
    <w:name w:val="Char2"/>
    <w:basedOn w:val="1"/>
    <w:qFormat/>
    <w:uiPriority w:val="0"/>
    <w:rPr>
      <w:rFonts w:ascii="仿宋_GB2312" w:eastAsia="仿宋_GB2312"/>
      <w:b/>
      <w:sz w:val="32"/>
      <w:szCs w:val="32"/>
    </w:rPr>
  </w:style>
  <w:style w:type="paragraph" w:customStyle="1" w:styleId="154">
    <w:name w:val="样式 标题 2 + Times New Roman 四号 非加粗 段前: 5 磅 段后: 0 磅 行距: 固定值 20..."/>
    <w:basedOn w:val="3"/>
    <w:uiPriority w:val="0"/>
    <w:pPr>
      <w:spacing w:before="100" w:line="400" w:lineRule="exact"/>
      <w:ind w:firstLine="0" w:firstLineChars="0"/>
    </w:pPr>
    <w:rPr>
      <w:rFonts w:ascii="Times New Roman" w:hAnsi="Times New Roman" w:eastAsia="黑体" w:cs="宋体"/>
      <w:b w:val="0"/>
      <w:bCs w:val="0"/>
      <w:sz w:val="28"/>
      <w:szCs w:val="20"/>
    </w:rPr>
  </w:style>
  <w:style w:type="paragraph" w:customStyle="1" w:styleId="155">
    <w:name w:val="样式5"/>
    <w:basedOn w:val="1"/>
    <w:qFormat/>
    <w:uiPriority w:val="0"/>
    <w:pPr>
      <w:spacing w:line="440" w:lineRule="exact"/>
      <w:ind w:left="2" w:firstLine="480" w:firstLineChars="200"/>
    </w:pPr>
    <w:rPr>
      <w:rFonts w:ascii="仿宋_GB2312" w:hAnsi="仿宋" w:eastAsia="仿宋_GB2312"/>
      <w:sz w:val="24"/>
      <w:szCs w:val="20"/>
    </w:rPr>
  </w:style>
  <w:style w:type="paragraph" w:customStyle="1" w:styleId="156">
    <w:name w:val="[正文行首缩进]"/>
    <w:qFormat/>
    <w:uiPriority w:val="0"/>
    <w:pPr>
      <w:widowControl w:val="0"/>
      <w:spacing w:line="360" w:lineRule="auto"/>
      <w:ind w:firstLine="200" w:firstLineChars="200"/>
      <w:jc w:val="both"/>
    </w:pPr>
    <w:rPr>
      <w:rFonts w:ascii="宋体" w:hAnsi="宋体" w:eastAsia="宋体" w:cs="Times New Roman"/>
      <w:bCs/>
      <w:color w:val="000000"/>
      <w:kern w:val="2"/>
      <w:sz w:val="24"/>
      <w:szCs w:val="24"/>
      <w:lang w:val="en-US" w:eastAsia="zh-CN" w:bidi="ar-SA"/>
    </w:rPr>
  </w:style>
  <w:style w:type="paragraph" w:customStyle="1" w:styleId="157">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158">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15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60">
    <w:name w:val="表"/>
    <w:basedOn w:val="1"/>
    <w:qFormat/>
    <w:uiPriority w:val="0"/>
    <w:pPr>
      <w:wordWrap w:val="0"/>
      <w:adjustRightInd w:val="0"/>
      <w:snapToGrid w:val="0"/>
      <w:spacing w:beforeLines="5" w:afterLines="5"/>
      <w:jc w:val="center"/>
      <w:textAlignment w:val="center"/>
    </w:pPr>
    <w:rPr>
      <w:kern w:val="0"/>
      <w:sz w:val="22"/>
      <w:szCs w:val="22"/>
    </w:rPr>
  </w:style>
  <w:style w:type="paragraph" w:customStyle="1" w:styleId="161">
    <w:name w:val="Char Char1 Char Char Char Char Char Char Char Char Char Char Char Char Char Char Char Char Char Char Char"/>
    <w:basedOn w:val="1"/>
    <w:qFormat/>
    <w:uiPriority w:val="0"/>
    <w:pPr>
      <w:widowControl/>
      <w:spacing w:after="160" w:line="240" w:lineRule="exact"/>
      <w:jc w:val="left"/>
    </w:pPr>
    <w:rPr>
      <w:szCs w:val="20"/>
    </w:rPr>
  </w:style>
  <w:style w:type="paragraph" w:customStyle="1" w:styleId="162">
    <w:name w:val="修订3"/>
    <w:semiHidden/>
    <w:uiPriority w:val="99"/>
    <w:rPr>
      <w:rFonts w:ascii="Calibri" w:hAnsi="Calibri" w:eastAsia="宋体" w:cs="Times New Roman"/>
      <w:kern w:val="2"/>
      <w:sz w:val="21"/>
      <w:szCs w:val="22"/>
      <w:lang w:val="en-US" w:eastAsia="zh-CN" w:bidi="ar-SA"/>
    </w:rPr>
  </w:style>
  <w:style w:type="paragraph" w:customStyle="1" w:styleId="163">
    <w:name w:val="正文_0"/>
    <w:uiPriority w:val="0"/>
    <w:pPr>
      <w:widowControl w:val="0"/>
      <w:jc w:val="both"/>
    </w:pPr>
    <w:rPr>
      <w:rFonts w:ascii="Calibri" w:hAnsi="Calibri" w:eastAsia="宋体" w:cs="Times New Roman"/>
      <w:kern w:val="2"/>
      <w:sz w:val="21"/>
      <w:szCs w:val="22"/>
      <w:lang w:val="en-US" w:eastAsia="zh-CN" w:bidi="ar-SA"/>
    </w:rPr>
  </w:style>
  <w:style w:type="paragraph" w:customStyle="1" w:styleId="164">
    <w:name w:val="简单回函地址"/>
    <w:basedOn w:val="1"/>
    <w:qFormat/>
    <w:uiPriority w:val="0"/>
    <w:rPr>
      <w:rFonts w:eastAsia="仿宋_GB2312"/>
      <w:sz w:val="32"/>
      <w:szCs w:val="20"/>
    </w:rPr>
  </w:style>
  <w:style w:type="paragraph" w:customStyle="1" w:styleId="165">
    <w:name w:val="列出段落*"/>
    <w:basedOn w:val="1"/>
    <w:qFormat/>
    <w:uiPriority w:val="0"/>
    <w:pPr>
      <w:ind w:firstLine="200"/>
    </w:pPr>
    <w:rPr>
      <w:color w:val="000000"/>
      <w:kern w:val="1"/>
      <w:szCs w:val="20"/>
    </w:rPr>
  </w:style>
  <w:style w:type="paragraph" w:customStyle="1" w:styleId="166">
    <w:name w:val="1"/>
    <w:basedOn w:val="1"/>
    <w:next w:val="41"/>
    <w:qFormat/>
    <w:uiPriority w:val="0"/>
    <w:pPr>
      <w:widowControl/>
      <w:snapToGrid w:val="0"/>
      <w:spacing w:line="440" w:lineRule="atLeast"/>
      <w:ind w:firstLine="480"/>
    </w:pPr>
    <w:rPr>
      <w:kern w:val="0"/>
      <w:sz w:val="24"/>
      <w:szCs w:val="20"/>
    </w:rPr>
  </w:style>
  <w:style w:type="paragraph" w:customStyle="1" w:styleId="167">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168">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9">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70">
    <w:name w:val="Char11"/>
    <w:basedOn w:val="1"/>
    <w:uiPriority w:val="0"/>
    <w:pPr>
      <w:jc w:val="center"/>
    </w:pPr>
    <w:rPr>
      <w:rFonts w:ascii="Arial" w:hAnsi="Arial" w:eastAsia="楷体_GB2312"/>
      <w:kern w:val="0"/>
      <w:sz w:val="24"/>
      <w:szCs w:val="20"/>
    </w:rPr>
  </w:style>
  <w:style w:type="paragraph" w:customStyle="1" w:styleId="171">
    <w:name w:val="修订1"/>
    <w:semiHidden/>
    <w:qFormat/>
    <w:uiPriority w:val="99"/>
    <w:rPr>
      <w:rFonts w:ascii="Calibri" w:hAnsi="Calibri" w:eastAsia="宋体" w:cs="Times New Roman"/>
      <w:kern w:val="2"/>
      <w:sz w:val="21"/>
      <w:szCs w:val="22"/>
      <w:lang w:val="en-US" w:eastAsia="zh-CN" w:bidi="ar-SA"/>
    </w:rPr>
  </w:style>
  <w:style w:type="paragraph" w:customStyle="1" w:styleId="172">
    <w:name w:val="Char1 Char Char Char"/>
    <w:basedOn w:val="1"/>
    <w:qFormat/>
    <w:uiPriority w:val="0"/>
    <w:rPr>
      <w:szCs w:val="20"/>
    </w:rPr>
  </w:style>
  <w:style w:type="paragraph" w:customStyle="1" w:styleId="173">
    <w:name w:val="xl31"/>
    <w:basedOn w:val="1"/>
    <w:uiPriority w:val="0"/>
    <w:pPr>
      <w:widowControl/>
      <w:pBdr>
        <w:left w:val="single" w:color="auto" w:sz="4" w:space="0"/>
        <w:bottom w:val="single" w:color="auto" w:sz="8" w:space="0"/>
      </w:pBdr>
      <w:spacing w:before="100" w:beforeAutospacing="1" w:after="100" w:afterAutospacing="1"/>
      <w:jc w:val="center"/>
    </w:pPr>
    <w:rPr>
      <w:rFonts w:hint="eastAsia" w:ascii="黑体" w:hAnsi="宋体" w:eastAsia="黑体"/>
      <w:kern w:val="0"/>
      <w:sz w:val="24"/>
    </w:rPr>
  </w:style>
  <w:style w:type="paragraph" w:customStyle="1" w:styleId="174">
    <w:name w:val="Char Char Char Char"/>
    <w:basedOn w:val="1"/>
    <w:qFormat/>
    <w:uiPriority w:val="0"/>
  </w:style>
  <w:style w:type="paragraph" w:customStyle="1" w:styleId="175">
    <w:name w:val="_Style 57"/>
    <w:basedOn w:val="1"/>
    <w:qFormat/>
    <w:uiPriority w:val="34"/>
    <w:pPr>
      <w:ind w:firstLine="420" w:firstLineChars="200"/>
    </w:pPr>
    <w:rPr>
      <w:rFonts w:ascii="Calibri" w:hAnsi="Calibri"/>
      <w:szCs w:val="22"/>
    </w:rPr>
  </w:style>
  <w:style w:type="paragraph" w:customStyle="1" w:styleId="176">
    <w:name w:val="中等深浅网格 1 - 着色 21"/>
    <w:basedOn w:val="1"/>
    <w:qFormat/>
    <w:uiPriority w:val="0"/>
    <w:pPr>
      <w:tabs>
        <w:tab w:val="left" w:pos="482"/>
        <w:tab w:val="left" w:pos="2183"/>
        <w:tab w:val="left" w:pos="3884"/>
        <w:tab w:val="left" w:pos="5585"/>
      </w:tabs>
      <w:adjustRightInd w:val="0"/>
      <w:ind w:firstLine="420" w:firstLineChars="200"/>
      <w:textAlignment w:val="baseline"/>
    </w:pPr>
    <w:rPr>
      <w:kern w:val="0"/>
      <w:sz w:val="24"/>
      <w:szCs w:val="20"/>
    </w:rPr>
  </w:style>
  <w:style w:type="paragraph" w:customStyle="1" w:styleId="177">
    <w:name w:val="2级标题"/>
    <w:next w:val="1"/>
    <w:qFormat/>
    <w:uiPriority w:val="0"/>
    <w:pPr>
      <w:spacing w:after="50" w:afterLines="50"/>
      <w:jc w:val="center"/>
      <w:outlineLvl w:val="1"/>
    </w:pPr>
    <w:rPr>
      <w:rFonts w:ascii="Calibri Light" w:hAnsi="Calibri Light" w:eastAsia="仿宋" w:cs="Times New Roman"/>
      <w:b/>
      <w:kern w:val="44"/>
      <w:sz w:val="28"/>
      <w:szCs w:val="44"/>
      <w:lang w:val="en-US" w:eastAsia="zh-CN" w:bidi="ar-SA"/>
    </w:rPr>
  </w:style>
  <w:style w:type="paragraph" w:customStyle="1" w:styleId="178">
    <w:name w:val="_Style 379"/>
    <w:basedOn w:val="1"/>
    <w:qFormat/>
    <w:uiPriority w:val="0"/>
    <w:pPr>
      <w:spacing w:line="360" w:lineRule="auto"/>
      <w:ind w:firstLine="480" w:firstLineChars="200"/>
    </w:pPr>
    <w:rPr>
      <w:rFonts w:ascii="宋体" w:hAnsi="宋体"/>
      <w:color w:val="000000"/>
      <w:sz w:val="24"/>
    </w:rPr>
  </w:style>
  <w:style w:type="paragraph" w:customStyle="1" w:styleId="179">
    <w:name w:val="标题 3_0"/>
    <w:basedOn w:val="1"/>
    <w:next w:val="1"/>
    <w:qFormat/>
    <w:uiPriority w:val="0"/>
    <w:pPr>
      <w:keepNext/>
      <w:keepLines/>
      <w:spacing w:before="260" w:after="260" w:line="415" w:lineRule="auto"/>
      <w:outlineLvl w:val="2"/>
    </w:pPr>
    <w:rPr>
      <w:rFonts w:ascii="Calibri" w:hAnsi="Calibri"/>
      <w:b/>
      <w:bCs/>
      <w:sz w:val="32"/>
      <w:szCs w:val="32"/>
    </w:rPr>
  </w:style>
  <w:style w:type="paragraph" w:customStyle="1" w:styleId="180">
    <w:name w:val="样式4"/>
    <w:basedOn w:val="32"/>
    <w:qFormat/>
    <w:uiPriority w:val="99"/>
    <w:pPr>
      <w:pBdr>
        <w:bottom w:val="single" w:color="auto" w:sz="4" w:space="1"/>
      </w:pBdr>
      <w:tabs>
        <w:tab w:val="right" w:pos="9901"/>
        <w:tab w:val="clear" w:pos="4153"/>
        <w:tab w:val="clear" w:pos="8306"/>
      </w:tabs>
    </w:pPr>
    <w:rPr>
      <w:sz w:val="21"/>
    </w:rPr>
  </w:style>
  <w:style w:type="paragraph" w:customStyle="1" w:styleId="181">
    <w:name w:val="中等深浅网格 1 - 着色 2"/>
    <w:basedOn w:val="1"/>
    <w:qFormat/>
    <w:uiPriority w:val="0"/>
    <w:pPr>
      <w:spacing w:line="500" w:lineRule="exact"/>
      <w:ind w:firstLine="420" w:firstLineChars="200"/>
    </w:pPr>
    <w:rPr>
      <w:kern w:val="0"/>
    </w:rPr>
  </w:style>
  <w:style w:type="paragraph" w:customStyle="1" w:styleId="182">
    <w:name w:val="标题 41"/>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customStyle="1" w:styleId="183">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84">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185">
    <w:name w:val="正文 + 宋体"/>
    <w:basedOn w:val="48"/>
    <w:uiPriority w:val="0"/>
    <w:pPr>
      <w:snapToGrid w:val="0"/>
      <w:spacing w:before="0" w:beforeAutospacing="0" w:after="0" w:afterAutospacing="0" w:line="360" w:lineRule="auto"/>
      <w:ind w:firstLine="412" w:firstLineChars="196"/>
    </w:pPr>
    <w:rPr>
      <w:sz w:val="21"/>
      <w:szCs w:val="21"/>
    </w:rPr>
  </w:style>
  <w:style w:type="paragraph" w:customStyle="1" w:styleId="186">
    <w:name w:val="Char4"/>
    <w:basedOn w:val="17"/>
    <w:qFormat/>
    <w:uiPriority w:val="0"/>
    <w:pPr>
      <w:widowControl/>
      <w:spacing w:afterLines="50" w:line="360" w:lineRule="auto"/>
      <w:ind w:firstLine="480"/>
      <w:jc w:val="left"/>
    </w:pPr>
  </w:style>
  <w:style w:type="paragraph" w:customStyle="1" w:styleId="187">
    <w:name w:val="Char"/>
    <w:basedOn w:val="1"/>
    <w:qFormat/>
    <w:uiPriority w:val="0"/>
    <w:rPr>
      <w:rFonts w:ascii="仿宋_GB2312" w:eastAsia="仿宋_GB2312"/>
      <w:b/>
      <w:sz w:val="32"/>
      <w:szCs w:val="32"/>
    </w:rPr>
  </w:style>
  <w:style w:type="paragraph" w:customStyle="1" w:styleId="188">
    <w:name w:val="Proposals body"/>
    <w:basedOn w:val="1"/>
    <w:next w:val="1"/>
    <w:qFormat/>
    <w:uiPriority w:val="0"/>
    <w:pPr>
      <w:widowControl/>
      <w:spacing w:line="360" w:lineRule="auto"/>
      <w:jc w:val="left"/>
    </w:pPr>
    <w:rPr>
      <w:rFonts w:ascii="宋体"/>
      <w:color w:val="000000"/>
      <w:kern w:val="0"/>
      <w:sz w:val="24"/>
      <w:szCs w:val="20"/>
    </w:rPr>
  </w:style>
  <w:style w:type="paragraph" w:customStyle="1" w:styleId="189">
    <w:name w:val="内文正文"/>
    <w:basedOn w:val="26"/>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190">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91">
    <w:name w:val="默认段落字体 Para Char"/>
    <w:basedOn w:val="1"/>
    <w:qFormat/>
    <w:uiPriority w:val="0"/>
    <w:pPr>
      <w:tabs>
        <w:tab w:val="left" w:pos="454"/>
      </w:tabs>
      <w:ind w:firstLine="420"/>
    </w:pPr>
  </w:style>
  <w:style w:type="paragraph" w:customStyle="1" w:styleId="192">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修订2"/>
    <w:semiHidden/>
    <w:qFormat/>
    <w:uiPriority w:val="99"/>
    <w:rPr>
      <w:rFonts w:ascii="Calibri" w:hAnsi="Calibri" w:eastAsia="宋体" w:cs="Times New Roman"/>
      <w:kern w:val="2"/>
      <w:sz w:val="21"/>
      <w:szCs w:val="22"/>
      <w:lang w:val="en-US" w:eastAsia="zh-CN" w:bidi="ar-SA"/>
    </w:rPr>
  </w:style>
  <w:style w:type="paragraph" w:customStyle="1" w:styleId="19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table" w:customStyle="1" w:styleId="196">
    <w:name w:val="网格型2"/>
    <w:basedOn w:val="6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7">
    <w:name w:val="网格型1"/>
    <w:basedOn w:val="63"/>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8">
    <w:name w:val="TOC 标题2"/>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199">
    <w:name w:val="WPSOffice手动目录 1"/>
    <w:uiPriority w:val="0"/>
    <w:rPr>
      <w:rFonts w:ascii="Times New Roman" w:hAnsi="Times New Roman" w:eastAsia="宋体" w:cs="Times New Roman"/>
      <w:lang w:val="en-US" w:eastAsia="zh-CN" w:bidi="ar-SA"/>
    </w:rPr>
  </w:style>
  <w:style w:type="paragraph" w:customStyle="1" w:styleId="200">
    <w:name w:val="_Style 63"/>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02022fa-d844-413c-ac3b-89c0be01747c}"/>
        <w:style w:val=""/>
        <w:category>
          <w:name w:val="常规"/>
          <w:gallery w:val="placeholder"/>
        </w:category>
        <w:types>
          <w:type w:val="bbPlcHdr"/>
        </w:types>
        <w:behaviors>
          <w:behavior w:val="content"/>
        </w:behaviors>
        <w:description w:val=""/>
        <w:guid w:val="{402022FA-D844-413C-AC3B-89C0BE01747C}"/>
      </w:docPartPr>
      <w:docPartBody>
        <w:p>
          <w:r>
            <w:rPr>
              <w:color w:val="808080"/>
            </w:rPr>
            <w:t>单击此处输入文字。</w:t>
          </w:r>
        </w:p>
      </w:docPartBody>
    </w:docPart>
    <w:docPart>
      <w:docPartPr>
        <w:name w:val="{d13a7374-9940-4d78-90da-6040e81933dd}"/>
        <w:style w:val=""/>
        <w:category>
          <w:name w:val="常规"/>
          <w:gallery w:val="placeholder"/>
        </w:category>
        <w:types>
          <w:type w:val="bbPlcHdr"/>
        </w:types>
        <w:behaviors>
          <w:behavior w:val="content"/>
        </w:behaviors>
        <w:description w:val=""/>
        <w:guid w:val="{D13A7374-9940-4D78-90DA-6040E81933D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FE"/>
    <w:rsid w:val="000C421C"/>
    <w:rsid w:val="00320928"/>
    <w:rsid w:val="00675A55"/>
    <w:rsid w:val="00734188"/>
    <w:rsid w:val="007A0683"/>
    <w:rsid w:val="00CE68FE"/>
    <w:rsid w:val="00E6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B0374291F1EE4F489DCA36DDA7A26F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D2B3FEBEFB8941CB9AB932020E57D6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72AB974FC524748ABD5612A949040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029CAC9EEF8448AADCAA02AF920B3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89B2A543524A9AAE558485780241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02A4D85B89354925843BFFCC22344AD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44A6A-4467-4A9D-93A2-E9710B614C2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8350</Words>
  <Characters>47601</Characters>
  <Lines>396</Lines>
  <Paragraphs>111</Paragraphs>
  <TotalTime>24</TotalTime>
  <ScaleCrop>false</ScaleCrop>
  <LinksUpToDate>false</LinksUpToDate>
  <CharactersWithSpaces>55840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2020-04-20T02:17:00Z</dcterms:created>
  <dc:creator>USER</dc:creator>
  <cp:lastModifiedBy>浙江省成套招标代理有限公司--吕望</cp:lastModifiedBy>
  <cp:lastPrinted>2018-10-24T02:23:00Z</cp:lastPrinted>
  <dcterms:modified xsi:type="dcterms:W3CDTF">2020-04-26T03:01:56Z</dcterms:modified>
  <dc:title>浙江省畜牧兽医局</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