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b/>
          <w:color w:val="auto"/>
          <w:sz w:val="24"/>
        </w:rPr>
      </w:pPr>
    </w:p>
    <w:p>
      <w:pPr>
        <w:pStyle w:val="45"/>
        <w:rPr>
          <w:color w:val="auto"/>
        </w:rPr>
      </w:pPr>
    </w:p>
    <w:p>
      <w:pPr>
        <w:adjustRightInd/>
        <w:spacing w:line="360" w:lineRule="auto"/>
        <w:jc w:val="center"/>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lang w:eastAsia="zh-CN"/>
        </w:rPr>
        <w:t>药品安全信息推广服务项目</w:t>
      </w:r>
    </w:p>
    <w:p>
      <w:pPr>
        <w:pStyle w:val="24"/>
        <w:ind w:firstLine="0"/>
        <w:rPr>
          <w:rFonts w:ascii="仿宋" w:hAnsi="仿宋" w:eastAsia="仿宋" w:cs="仿宋"/>
          <w:color w:val="auto"/>
        </w:rPr>
      </w:pPr>
      <w:bookmarkStart w:id="395" w:name="_GoBack"/>
      <w:bookmarkEnd w:id="395"/>
    </w:p>
    <w:p>
      <w:pPr>
        <w:adjustRightInd/>
        <w:spacing w:line="360" w:lineRule="auto"/>
        <w:jc w:val="center"/>
        <w:rPr>
          <w:rFonts w:ascii="仿宋" w:hAnsi="仿宋" w:eastAsia="仿宋" w:cs="仿宋"/>
          <w:b/>
          <w:bCs/>
          <w:color w:val="auto"/>
          <w:sz w:val="84"/>
          <w:szCs w:val="84"/>
        </w:rPr>
      </w:pPr>
      <w:r>
        <w:rPr>
          <w:rFonts w:hint="eastAsia" w:ascii="仿宋" w:hAnsi="仿宋" w:eastAsia="仿宋" w:cs="仿宋"/>
          <w:b/>
          <w:bCs/>
          <w:color w:val="auto"/>
          <w:sz w:val="84"/>
          <w:szCs w:val="84"/>
        </w:rPr>
        <w:t>公开招标文件</w:t>
      </w:r>
    </w:p>
    <w:p>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pPr>
        <w:snapToGrid w:val="0"/>
        <w:spacing w:line="360" w:lineRule="auto"/>
        <w:jc w:val="center"/>
        <w:rPr>
          <w:rFonts w:ascii="仿宋" w:hAnsi="仿宋" w:eastAsia="仿宋" w:cs="仿宋"/>
          <w:b/>
          <w:bCs/>
          <w:color w:val="auto"/>
          <w:sz w:val="30"/>
          <w:szCs w:val="30"/>
        </w:rPr>
      </w:pPr>
      <w:r>
        <w:rPr>
          <w:rFonts w:hint="eastAsia" w:ascii="仿宋" w:hAnsi="仿宋" w:eastAsia="仿宋" w:cs="仿宋"/>
          <w:color w:val="auto"/>
          <w:sz w:val="24"/>
        </w:rPr>
        <w:drawing>
          <wp:inline distT="0" distB="0" distL="0" distR="0">
            <wp:extent cx="2343150" cy="1935480"/>
            <wp:effectExtent l="0" t="0" r="6350" b="762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noChangeArrowheads="1"/>
                    </pic:cNvPicPr>
                  </pic:nvPicPr>
                  <pic:blipFill>
                    <a:blip r:embed="rId24" cstate="print">
                      <a:extLst>
                        <a:ext uri="{28A0092B-C50C-407E-A947-70E740481C1C}">
                          <a14:useLocalDpi xmlns:a14="http://schemas.microsoft.com/office/drawing/2010/main" val="0"/>
                        </a:ext>
                      </a:extLst>
                    </a:blip>
                    <a:srcRect l="10294" t="7677" r="13889" b="8034"/>
                    <a:stretch>
                      <a:fillRect/>
                    </a:stretch>
                  </pic:blipFill>
                  <pic:spPr>
                    <a:xfrm>
                      <a:off x="0" y="0"/>
                      <a:ext cx="2343150" cy="1935480"/>
                    </a:xfrm>
                    <a:prstGeom prst="rect">
                      <a:avLst/>
                    </a:prstGeom>
                    <a:noFill/>
                    <a:ln>
                      <a:noFill/>
                    </a:ln>
                  </pic:spPr>
                </pic:pic>
              </a:graphicData>
            </a:graphic>
          </wp:inline>
        </w:drawing>
      </w:r>
    </w:p>
    <w:p>
      <w:pPr>
        <w:snapToGrid w:val="0"/>
        <w:spacing w:line="360" w:lineRule="auto"/>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eastAsia="zh-CN"/>
        </w:rPr>
        <w:t>CTZB-2024040440</w:t>
      </w:r>
    </w:p>
    <w:p>
      <w:pPr>
        <w:pStyle w:val="24"/>
        <w:ind w:firstLine="0"/>
        <w:rPr>
          <w:rFonts w:ascii="仿宋" w:hAnsi="仿宋" w:eastAsia="仿宋" w:cs="仿宋"/>
          <w:color w:val="auto"/>
          <w:sz w:val="36"/>
          <w:szCs w:val="36"/>
        </w:rPr>
      </w:pPr>
    </w:p>
    <w:p>
      <w:pPr>
        <w:tabs>
          <w:tab w:val="left" w:pos="432"/>
        </w:tabs>
        <w:rPr>
          <w:rFonts w:ascii="仿宋" w:hAnsi="仿宋" w:eastAsia="仿宋" w:cs="仿宋"/>
          <w:color w:val="auto"/>
          <w:sz w:val="36"/>
          <w:szCs w:val="36"/>
        </w:rPr>
      </w:pPr>
    </w:p>
    <w:p>
      <w:pPr>
        <w:pStyle w:val="45"/>
        <w:rPr>
          <w:color w:val="auto"/>
        </w:rPr>
      </w:pPr>
    </w:p>
    <w:p>
      <w:pPr>
        <w:pStyle w:val="79"/>
        <w:ind w:firstLine="704"/>
        <w:rPr>
          <w:rFonts w:ascii="仿宋" w:hAnsi="仿宋" w:eastAsia="仿宋" w:cs="仿宋"/>
          <w:color w:val="auto"/>
          <w:sz w:val="36"/>
          <w:szCs w:val="36"/>
        </w:rPr>
      </w:pPr>
    </w:p>
    <w:p>
      <w:pPr>
        <w:pStyle w:val="79"/>
        <w:ind w:firstLine="704"/>
        <w:rPr>
          <w:rFonts w:ascii="仿宋" w:hAnsi="仿宋" w:eastAsia="仿宋" w:cs="仿宋"/>
          <w:color w:val="auto"/>
          <w:sz w:val="36"/>
          <w:szCs w:val="36"/>
        </w:rPr>
      </w:pPr>
    </w:p>
    <w:p>
      <w:pPr>
        <w:spacing w:line="360" w:lineRule="auto"/>
        <w:ind w:firstLine="1446" w:firstLineChars="400"/>
        <w:rPr>
          <w:rFonts w:ascii="仿宋" w:hAnsi="仿宋" w:eastAsia="仿宋" w:cs="仿宋"/>
          <w:b/>
          <w:color w:val="auto"/>
          <w:sz w:val="36"/>
          <w:szCs w:val="36"/>
        </w:rPr>
      </w:pPr>
      <w:r>
        <w:rPr>
          <w:rFonts w:hint="eastAsia" w:ascii="仿宋" w:hAnsi="仿宋" w:eastAsia="仿宋" w:cs="仿宋"/>
          <w:b/>
          <w:color w:val="auto"/>
          <w:sz w:val="36"/>
          <w:szCs w:val="36"/>
        </w:rPr>
        <w:t>采   购  人：浙江省药品监督管理局</w:t>
      </w:r>
    </w:p>
    <w:p>
      <w:pPr>
        <w:spacing w:line="360" w:lineRule="auto"/>
        <w:ind w:firstLine="1446" w:firstLineChars="400"/>
        <w:rPr>
          <w:rFonts w:ascii="仿宋" w:hAnsi="仿宋" w:eastAsia="仿宋" w:cs="仿宋"/>
          <w:b/>
          <w:color w:val="auto"/>
          <w:sz w:val="36"/>
          <w:szCs w:val="36"/>
        </w:rPr>
      </w:pPr>
      <w:r>
        <w:rPr>
          <w:rFonts w:hint="eastAsia" w:ascii="仿宋" w:hAnsi="仿宋" w:eastAsia="仿宋" w:cs="仿宋"/>
          <w:b/>
          <w:color w:val="auto"/>
          <w:sz w:val="36"/>
          <w:szCs w:val="36"/>
        </w:rPr>
        <w:t>采购代理机构：浙江省成套招标代理有限公司</w:t>
      </w:r>
    </w:p>
    <w:p>
      <w:pPr>
        <w:spacing w:line="360" w:lineRule="auto"/>
        <w:ind w:firstLine="2711" w:firstLineChars="750"/>
        <w:rPr>
          <w:rFonts w:ascii="仿宋" w:hAnsi="仿宋" w:eastAsia="仿宋" w:cs="仿宋"/>
          <w:b/>
          <w:color w:val="auto"/>
          <w:sz w:val="36"/>
          <w:szCs w:val="36"/>
        </w:rPr>
      </w:pPr>
    </w:p>
    <w:p>
      <w:pPr>
        <w:pStyle w:val="45"/>
        <w:spacing w:line="360" w:lineRule="auto"/>
        <w:jc w:val="center"/>
        <w:rPr>
          <w:rFonts w:ascii="仿宋" w:hAnsi="仿宋" w:eastAsia="仿宋" w:cs="仿宋"/>
          <w:color w:val="auto"/>
          <w:sz w:val="36"/>
          <w:szCs w:val="36"/>
        </w:rPr>
        <w:sectPr>
          <w:headerReference r:id="rId5" w:type="first"/>
          <w:footerReference r:id="rId7" w:type="first"/>
          <w:headerReference r:id="rId3" w:type="default"/>
          <w:headerReference r:id="rId4" w:type="even"/>
          <w:footerReference r:id="rId6" w:type="even"/>
          <w:pgSz w:w="11905" w:h="16838"/>
          <w:pgMar w:top="1440" w:right="1247" w:bottom="1440" w:left="1247" w:header="850" w:footer="992" w:gutter="0"/>
          <w:pgNumType w:start="0"/>
          <w:cols w:space="0" w:num="1"/>
          <w:titlePg/>
          <w:docGrid w:linePitch="312" w:charSpace="0"/>
        </w:sectPr>
      </w:pPr>
      <w:r>
        <w:rPr>
          <w:rFonts w:hint="eastAsia" w:ascii="仿宋" w:hAnsi="仿宋" w:eastAsia="仿宋" w:cs="仿宋"/>
          <w:b/>
          <w:color w:val="auto"/>
          <w:sz w:val="36"/>
          <w:szCs w:val="36"/>
        </w:rPr>
        <w:t>二〇二</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年</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月</w:t>
      </w:r>
    </w:p>
    <w:p>
      <w:pPr>
        <w:pStyle w:val="23"/>
        <w:rPr>
          <w:rFonts w:ascii="仿宋" w:hAnsi="仿宋" w:eastAsia="仿宋" w:cs="仿宋"/>
          <w:color w:val="auto"/>
        </w:rPr>
      </w:pPr>
    </w:p>
    <w:p>
      <w:pPr>
        <w:spacing w:line="36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ascii="仿宋" w:hAnsi="仿宋" w:eastAsia="仿宋" w:cs="仿宋"/>
          <w:color w:val="auto"/>
          <w:sz w:val="32"/>
          <w:szCs w:val="32"/>
        </w:rPr>
      </w:pP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ascii="仿宋" w:hAnsi="仿宋" w:eastAsia="仿宋" w:cs="仿宋"/>
          <w:b/>
          <w:color w:val="auto"/>
          <w:sz w:val="36"/>
          <w:szCs w:val="20"/>
        </w:rPr>
      </w:pPr>
      <w:r>
        <w:rPr>
          <w:rFonts w:hint="eastAsia" w:ascii="仿宋" w:hAnsi="仿宋" w:eastAsia="仿宋" w:cs="仿宋"/>
          <w:color w:val="auto"/>
          <w:sz w:val="32"/>
          <w:szCs w:val="32"/>
        </w:rPr>
        <w:t>第六部分      应提交的有关格式范例</w:t>
      </w:r>
      <w:bookmarkStart w:id="0" w:name="_Hlt91233176"/>
      <w:bookmarkEnd w:id="0"/>
      <w:bookmarkStart w:id="1" w:name="第二部分"/>
      <w:bookmarkStart w:id="2" w:name="_Toc91899870"/>
      <w:bookmarkStart w:id="3" w:name="_Toc91899871"/>
      <w:r>
        <w:rPr>
          <w:rFonts w:hint="eastAsia" w:ascii="仿宋" w:hAnsi="仿宋" w:eastAsia="仿宋" w:cs="仿宋"/>
          <w:b/>
          <w:color w:val="auto"/>
          <w:sz w:val="36"/>
          <w:szCs w:val="20"/>
        </w:rPr>
        <w:br w:type="page"/>
      </w:r>
    </w:p>
    <w:p>
      <w:pPr>
        <w:jc w:val="center"/>
        <w:rPr>
          <w:rFonts w:ascii="仿宋" w:hAnsi="仿宋" w:eastAsia="仿宋" w:cs="仿宋"/>
          <w:b/>
          <w:color w:val="auto"/>
          <w:sz w:val="36"/>
          <w:szCs w:val="20"/>
        </w:rPr>
      </w:pPr>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药品安全信息推广服务项目</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color w:val="auto"/>
          <w:sz w:val="24"/>
          <w:u w:val="single"/>
        </w:rPr>
        <w:fldChar w:fldCharType="end"/>
      </w:r>
      <w:r>
        <w:rPr>
          <w:rFonts w:hint="eastAsia" w:ascii="仿宋" w:hAnsi="仿宋" w:eastAsia="仿宋" w:cs="仿宋"/>
          <w:bCs/>
          <w:color w:val="auto"/>
          <w:sz w:val="24"/>
          <w:u w:val="single"/>
        </w:rPr>
        <w:t>00秒</w:t>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eastAsia="zh-CN"/>
        </w:rPr>
        <w:t>CTZB-2024040440</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lang w:eastAsia="zh-CN"/>
        </w:rPr>
        <w:t>药品安全信息推广服务项目</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eastAsia="zh-CN"/>
        </w:rPr>
        <w:t>1060000</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b/>
          <w:color w:val="auto"/>
          <w:sz w:val="24"/>
        </w:rPr>
        <w:t>最高限价（元）：</w:t>
      </w:r>
      <w:r>
        <w:rPr>
          <w:rFonts w:hint="eastAsia" w:ascii="仿宋" w:hAnsi="仿宋" w:eastAsia="仿宋" w:cs="仿宋"/>
          <w:b/>
          <w:color w:val="auto"/>
          <w:sz w:val="24"/>
          <w:lang w:eastAsia="zh-CN"/>
        </w:rPr>
        <w:t>1060000</w:t>
      </w:r>
    </w:p>
    <w:p>
      <w:pPr>
        <w:pStyle w:val="5"/>
        <w:spacing w:line="360" w:lineRule="auto"/>
        <w:ind w:firstLine="480"/>
        <w:rPr>
          <w:rFonts w:ascii="仿宋" w:hAnsi="仿宋" w:eastAsia="仿宋" w:cs="仿宋"/>
          <w:b/>
          <w:color w:val="auto"/>
          <w:sz w:val="24"/>
        </w:rPr>
      </w:pPr>
      <w:r>
        <w:rPr>
          <w:rFonts w:hint="eastAsia" w:ascii="仿宋" w:hAnsi="仿宋" w:eastAsia="仿宋" w:cs="仿宋"/>
          <w:b/>
          <w:color w:val="auto"/>
          <w:sz w:val="24"/>
        </w:rPr>
        <w:t>采购需求：</w:t>
      </w:r>
    </w:p>
    <w:p>
      <w:pPr>
        <w:pStyle w:val="5"/>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标项名称：</w:t>
      </w:r>
      <w:r>
        <w:rPr>
          <w:rFonts w:hint="eastAsia" w:ascii="仿宋" w:hAnsi="仿宋" w:eastAsia="仿宋" w:cs="仿宋"/>
          <w:color w:val="auto"/>
          <w:sz w:val="24"/>
          <w:lang w:eastAsia="zh-CN"/>
        </w:rPr>
        <w:t>药品安全信息推广服务项目</w:t>
      </w:r>
    </w:p>
    <w:p>
      <w:pPr>
        <w:pStyle w:val="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数量：1</w:t>
      </w:r>
    </w:p>
    <w:p>
      <w:pPr>
        <w:pStyle w:val="5"/>
        <w:spacing w:line="360" w:lineRule="auto"/>
        <w:ind w:firstLine="480"/>
        <w:rPr>
          <w:rFonts w:hint="eastAsia" w:ascii="仿宋" w:hAnsi="仿宋" w:eastAsia="仿宋" w:cs="仿宋"/>
          <w:bCs/>
          <w:snapToGrid/>
          <w:color w:val="auto"/>
          <w:kern w:val="2"/>
          <w:sz w:val="24"/>
          <w:szCs w:val="24"/>
          <w:lang w:eastAsia="zh-CN"/>
        </w:rPr>
      </w:pPr>
      <w:r>
        <w:rPr>
          <w:rFonts w:hint="eastAsia" w:ascii="仿宋" w:hAnsi="仿宋" w:eastAsia="仿宋" w:cs="仿宋"/>
          <w:color w:val="auto"/>
          <w:sz w:val="24"/>
        </w:rPr>
        <w:t>预算金额（元）：</w:t>
      </w:r>
      <w:r>
        <w:rPr>
          <w:rFonts w:hint="eastAsia" w:ascii="仿宋" w:hAnsi="仿宋" w:eastAsia="仿宋" w:cs="仿宋"/>
          <w:color w:val="auto"/>
          <w:sz w:val="24"/>
          <w:lang w:eastAsia="zh-CN"/>
        </w:rPr>
        <w:t>1060000</w:t>
      </w:r>
    </w:p>
    <w:p>
      <w:pPr>
        <w:pStyle w:val="5"/>
        <w:spacing w:line="360" w:lineRule="auto"/>
        <w:ind w:firstLine="480"/>
        <w:rPr>
          <w:rFonts w:ascii="仿宋" w:hAnsi="仿宋" w:eastAsia="仿宋" w:cs="仿宋"/>
          <w:color w:val="auto"/>
          <w:sz w:val="24"/>
        </w:rPr>
      </w:pPr>
      <w:r>
        <w:rPr>
          <w:rFonts w:hint="eastAsia" w:ascii="仿宋" w:hAnsi="仿宋" w:eastAsia="仿宋" w:cs="仿宋"/>
          <w:bCs/>
          <w:snapToGrid/>
          <w:color w:val="auto"/>
          <w:kern w:val="2"/>
          <w:sz w:val="24"/>
          <w:szCs w:val="24"/>
        </w:rPr>
        <w:t>简要规格描述或项目基本概况介绍、用途：本项目为</w:t>
      </w:r>
      <w:r>
        <w:rPr>
          <w:rFonts w:hint="eastAsia" w:ascii="仿宋" w:hAnsi="仿宋" w:eastAsia="仿宋" w:cs="仿宋"/>
          <w:bCs/>
          <w:snapToGrid/>
          <w:color w:val="auto"/>
          <w:kern w:val="2"/>
          <w:sz w:val="24"/>
          <w:szCs w:val="24"/>
          <w:lang w:eastAsia="zh-CN"/>
        </w:rPr>
        <w:t>药品安全信息推广服务项目</w:t>
      </w:r>
      <w:r>
        <w:rPr>
          <w:rFonts w:hint="eastAsia" w:ascii="仿宋" w:hAnsi="仿宋" w:eastAsia="仿宋" w:cs="仿宋"/>
          <w:bCs/>
          <w:snapToGrid/>
          <w:color w:val="auto"/>
          <w:kern w:val="2"/>
          <w:sz w:val="24"/>
          <w:szCs w:val="24"/>
        </w:rPr>
        <w:t>，采购人委托第三方为浙江省药品监督管理局</w:t>
      </w:r>
      <w:r>
        <w:rPr>
          <w:rFonts w:hint="default" w:ascii="仿宋" w:hAnsi="仿宋" w:eastAsia="仿宋" w:cs="仿宋"/>
          <w:bCs/>
          <w:snapToGrid/>
          <w:color w:val="auto"/>
          <w:kern w:val="2"/>
          <w:sz w:val="24"/>
          <w:szCs w:val="24"/>
        </w:rPr>
        <w:t>提供</w:t>
      </w:r>
      <w:r>
        <w:rPr>
          <w:rFonts w:hint="eastAsia" w:ascii="仿宋" w:hAnsi="仿宋" w:eastAsia="仿宋" w:cs="仿宋"/>
          <w:bCs/>
          <w:snapToGrid/>
          <w:color w:val="auto"/>
          <w:kern w:val="2"/>
          <w:sz w:val="24"/>
          <w:szCs w:val="24"/>
          <w:lang w:val="en-US" w:eastAsia="zh-CN"/>
        </w:rPr>
        <w:t>多种形式的</w:t>
      </w:r>
      <w:r>
        <w:rPr>
          <w:rFonts w:hint="eastAsia" w:ascii="仿宋" w:hAnsi="仿宋" w:eastAsia="仿宋" w:cs="仿宋"/>
          <w:bCs/>
          <w:snapToGrid/>
          <w:color w:val="auto"/>
          <w:kern w:val="2"/>
          <w:sz w:val="24"/>
          <w:szCs w:val="24"/>
          <w:lang w:eastAsia="zh-CN"/>
        </w:rPr>
        <w:t>药品安全信息</w:t>
      </w:r>
      <w:r>
        <w:rPr>
          <w:rFonts w:hint="eastAsia" w:ascii="仿宋" w:hAnsi="仿宋" w:eastAsia="仿宋" w:cs="仿宋"/>
          <w:bCs/>
          <w:snapToGrid/>
          <w:color w:val="auto"/>
          <w:kern w:val="2"/>
          <w:sz w:val="24"/>
          <w:szCs w:val="24"/>
          <w:lang w:val="en-US" w:eastAsia="zh-CN"/>
        </w:rPr>
        <w:t>推广服务</w:t>
      </w:r>
      <w:r>
        <w:rPr>
          <w:rFonts w:hint="eastAsia" w:ascii="仿宋" w:hAnsi="仿宋" w:eastAsia="仿宋" w:cs="仿宋"/>
          <w:color w:val="auto"/>
          <w:sz w:val="24"/>
        </w:rPr>
        <w:t>；具体详见招标文件第三部分采购需求。</w:t>
      </w:r>
    </w:p>
    <w:p>
      <w:pPr>
        <w:pStyle w:val="5"/>
        <w:spacing w:line="360" w:lineRule="auto"/>
        <w:ind w:firstLine="480"/>
        <w:rPr>
          <w:rFonts w:ascii="仿宋" w:hAnsi="仿宋" w:eastAsia="仿宋" w:cs="仿宋"/>
          <w:color w:val="auto"/>
          <w:sz w:val="24"/>
        </w:rPr>
      </w:pPr>
      <w:r>
        <w:rPr>
          <w:rFonts w:hint="eastAsia" w:ascii="仿宋" w:hAnsi="仿宋" w:eastAsia="仿宋" w:cs="仿宋"/>
          <w:color w:val="auto"/>
          <w:sz w:val="24"/>
        </w:rPr>
        <w:t>备注：</w:t>
      </w:r>
    </w:p>
    <w:p>
      <w:pPr>
        <w:pStyle w:val="5"/>
        <w:spacing w:line="360" w:lineRule="auto"/>
        <w:ind w:firstLine="480"/>
        <w:outlineLvl w:val="2"/>
        <w:rPr>
          <w:rFonts w:ascii="仿宋" w:hAnsi="仿宋" w:eastAsia="仿宋" w:cs="仿宋"/>
          <w:b/>
          <w:color w:val="auto"/>
          <w:sz w:val="24"/>
        </w:rPr>
      </w:pPr>
      <w:r>
        <w:rPr>
          <w:rFonts w:hint="eastAsia" w:ascii="仿宋" w:hAnsi="仿宋" w:eastAsia="仿宋" w:cs="仿宋"/>
          <w:b/>
          <w:color w:val="auto"/>
          <w:sz w:val="24"/>
        </w:rPr>
        <w:t>合同履约期限：标项1，合同签订之日</w:t>
      </w:r>
      <w:r>
        <w:rPr>
          <w:rFonts w:hint="default" w:ascii="仿宋" w:hAnsi="仿宋" w:eastAsia="仿宋" w:cs="仿宋"/>
          <w:b/>
          <w:color w:val="auto"/>
          <w:sz w:val="24"/>
        </w:rPr>
        <w:t>起至2025年5月2</w:t>
      </w:r>
      <w:r>
        <w:rPr>
          <w:rFonts w:hint="default" w:ascii="仿宋" w:hAnsi="仿宋" w:eastAsia="仿宋" w:cs="仿宋"/>
          <w:b/>
          <w:color w:val="auto"/>
          <w:sz w:val="24"/>
          <w:lang w:val="en-US" w:eastAsia="zh-CN"/>
        </w:rPr>
        <w:t>5</w:t>
      </w:r>
      <w:r>
        <w:rPr>
          <w:rFonts w:hint="default" w:ascii="仿宋" w:hAnsi="仿宋" w:eastAsia="仿宋" w:cs="仿宋"/>
          <w:b/>
          <w:color w:val="auto"/>
          <w:sz w:val="24"/>
        </w:rPr>
        <w:t>日</w:t>
      </w:r>
      <w:r>
        <w:rPr>
          <w:rFonts w:hint="eastAsia" w:ascii="仿宋" w:hAnsi="仿宋" w:eastAsia="仿宋" w:cs="仿宋"/>
          <w:b/>
          <w:color w:val="auto"/>
          <w:sz w:val="24"/>
        </w:rPr>
        <w:t>。</w:t>
      </w:r>
    </w:p>
    <w:p>
      <w:pPr>
        <w:pStyle w:val="5"/>
        <w:spacing w:line="360" w:lineRule="auto"/>
        <w:ind w:firstLine="480"/>
        <w:rPr>
          <w:rFonts w:ascii="仿宋" w:hAnsi="仿宋" w:eastAsia="仿宋" w:cs="仿宋"/>
          <w:b/>
          <w:color w:val="auto"/>
          <w:sz w:val="24"/>
        </w:rPr>
      </w:pPr>
      <w:r>
        <w:rPr>
          <w:rFonts w:hint="eastAsia" w:ascii="仿宋" w:hAnsi="仿宋" w:eastAsia="仿宋" w:cs="仿宋"/>
          <w:b/>
          <w:color w:val="auto"/>
          <w:sz w:val="24"/>
        </w:rPr>
        <w:t>本项目（是）接受联合体投标</w:t>
      </w:r>
      <w:r>
        <w:rPr>
          <w:rFonts w:hint="eastAsia" w:ascii="仿宋" w:hAnsi="仿宋" w:eastAsia="仿宋" w:cs="仿宋"/>
          <w:color w:val="auto"/>
          <w:kern w:val="0"/>
          <w:sz w:val="24"/>
        </w:rPr>
        <w:t>。</w:t>
      </w:r>
    </w:p>
    <w:p>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2.落实政府采购政策需满足的资格要求：</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sdt>
        <w:sdtPr>
          <w:rPr>
            <w:rFonts w:hint="eastAsia" w:ascii="仿宋" w:hAnsi="仿宋" w:eastAsia="仿宋" w:cs="仿宋"/>
            <w:color w:val="auto"/>
            <w:kern w:val="0"/>
            <w:sz w:val="24"/>
          </w:rPr>
          <w:id w:val="86039804"/>
          <w:showingPlcHdr/>
        </w:sdtPr>
        <w:sdtEndPr>
          <w:rPr>
            <w:rFonts w:hint="eastAsia" w:ascii="仿宋" w:hAnsi="仿宋" w:eastAsia="仿宋" w:cs="仿宋"/>
            <w:color w:val="auto"/>
            <w:kern w:val="0"/>
            <w:sz w:val="24"/>
          </w:rPr>
        </w:sdtEndPr>
        <w:sdtContent/>
      </w:sdt>
      <w:sdt>
        <w:sdtPr>
          <w:rPr>
            <w:rFonts w:hint="eastAsia" w:ascii="仿宋" w:hAnsi="仿宋" w:eastAsia="仿宋" w:cs="仿宋"/>
            <w:color w:val="auto"/>
            <w:kern w:val="0"/>
            <w:sz w:val="24"/>
          </w:rPr>
          <w:id w:val="1928616923"/>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sz w:val="24"/>
        </w:rPr>
        <w:t>无；</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34660596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MS Gothic" w:hAnsi="MS Gothic" w:eastAsia="仿宋" w:cs="仿宋"/>
              <w:color w:val="auto"/>
              <w:kern w:val="0"/>
              <w:sz w:val="24"/>
              <w:szCs w:val="24"/>
              <w:lang w:val="en-US" w:eastAsia="zh-CN" w:bidi="ar-SA"/>
            </w:rPr>
            <w:t>☐</w:t>
          </w:r>
        </w:sdtContent>
      </w:sdt>
      <w:sdt>
        <w:sdtPr>
          <w:rPr>
            <w:rFonts w:hint="eastAsia" w:ascii="仿宋" w:hAnsi="仿宋" w:eastAsia="仿宋" w:cs="仿宋"/>
            <w:color w:val="auto"/>
            <w:kern w:val="0"/>
            <w:sz w:val="24"/>
          </w:rPr>
          <w:id w:val="731277680"/>
          <w:showingPlcHdr/>
        </w:sdtPr>
        <w:sdtEndPr>
          <w:rPr>
            <w:rFonts w:hint="eastAsia" w:ascii="仿宋" w:hAnsi="仿宋" w:eastAsia="仿宋" w:cs="仿宋"/>
            <w:color w:val="auto"/>
            <w:kern w:val="0"/>
            <w:sz w:val="24"/>
          </w:rPr>
        </w:sdtEndPr>
        <w:sdtContent/>
      </w:sdt>
      <w:sdt>
        <w:sdtPr>
          <w:rPr>
            <w:rFonts w:hint="eastAsia" w:ascii="仿宋" w:hAnsi="仿宋" w:eastAsia="仿宋" w:cs="仿宋"/>
            <w:color w:val="auto"/>
            <w:kern w:val="0"/>
            <w:sz w:val="24"/>
          </w:rPr>
          <w:id w:val="-1024704304"/>
        </w:sdtPr>
        <w:sdtEndPr>
          <w:rPr>
            <w:rFonts w:hint="eastAsia" w:ascii="仿宋" w:hAnsi="仿宋" w:eastAsia="仿宋" w:cs="仿宋"/>
            <w:color w:val="auto"/>
            <w:kern w:val="0"/>
            <w:sz w:val="24"/>
          </w:rPr>
        </w:sdtEndP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333685401"/>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95861147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MS Gothic" w:hAnsi="MS Gothic" w:eastAsia="仿宋" w:cs="仿宋"/>
                  <w:color w:val="auto"/>
                  <w:kern w:val="0"/>
                  <w:sz w:val="24"/>
                  <w:szCs w:val="24"/>
                  <w:lang w:val="en-US" w:eastAsia="zh-CN" w:bidi="ar-SA"/>
                </w:rPr>
                <w:t>☐</w:t>
              </w:r>
            </w:sdtContent>
          </w:sdt>
          <w:sdt>
            <w:sdtPr>
              <w:rPr>
                <w:rFonts w:hint="eastAsia" w:ascii="仿宋" w:hAnsi="仿宋" w:eastAsia="仿宋" w:cs="仿宋"/>
                <w:color w:val="auto"/>
                <w:kern w:val="0"/>
                <w:sz w:val="24"/>
              </w:rPr>
              <w:id w:val="1589271102"/>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ascii="仿宋" w:hAnsi="仿宋" w:eastAsia="仿宋" w:cs="仿宋"/>
          <w:color w:val="auto"/>
        </w:rPr>
      </w:pPr>
      <w:sdt>
        <w:sdtPr>
          <w:rPr>
            <w:rFonts w:hint="eastAsia" w:ascii="仿宋" w:hAnsi="仿宋" w:eastAsia="仿宋" w:cs="仿宋"/>
            <w:color w:val="auto"/>
            <w:kern w:val="0"/>
            <w:sz w:val="24"/>
          </w:rPr>
          <w:id w:val="-2141025358"/>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309195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92296685"/>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85597120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668401121"/>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如果投标人本身提供所有标的均由中小企业制造、承建或承接，视同符合了资格条件，无需再与其他中小企业组成联合体参加政府采购活动，无需提供联合协议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77277289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379825624"/>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如果投标人本身提供所有标的均由中小企业制造、承建或承接，视同符合了资格条件，无需再向中小企业分包，无需提供分包意向协议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3.本项目的特定资格要求：无；</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17</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投标人登录政采云平台https://www.zcygov.cn/在线申请获取招标文件（进入“项目采购”应用，在获取招标文件菜单中选择项目，申请获取招标文件）。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秒</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秒</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ascii="仿宋" w:hAnsi="仿宋" w:eastAsia="仿宋" w:cs="仿宋"/>
          <w:b/>
          <w:color w:val="auto"/>
          <w:sz w:val="24"/>
        </w:rPr>
      </w:pPr>
      <w:r>
        <w:rPr>
          <w:rFonts w:hint="eastAsia" w:ascii="仿宋" w:hAnsi="仿宋" w:eastAsia="仿宋" w:cs="仿宋"/>
          <w:b/>
          <w:color w:val="auto"/>
          <w:sz w:val="24"/>
        </w:rPr>
        <w:t>五、采购意向公开链接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https://zfcg.czt.zj.gov.cn/site/detail?parentId=600007&amp;articleId=65dxKC%2FYlWpzDjY75c4CTg%3D%3D&amp;utm=site.site-PC-37000.979-pc-websitegroup-zhejiang-secondPage-front.3.bb020e0002cd11efaea2b5ed4ddf1781</w:t>
      </w:r>
    </w:p>
    <w:p>
      <w:pPr>
        <w:spacing w:line="360" w:lineRule="auto"/>
        <w:rPr>
          <w:rFonts w:ascii="仿宋" w:hAnsi="仿宋" w:eastAsia="仿宋" w:cs="仿宋"/>
          <w:color w:val="auto"/>
          <w:sz w:val="24"/>
        </w:rPr>
      </w:pPr>
      <w:r>
        <w:rPr>
          <w:rFonts w:hint="eastAsia" w:ascii="仿宋" w:hAnsi="仿宋" w:eastAsia="仿宋" w:cs="仿宋"/>
          <w:b/>
          <w:color w:val="auto"/>
          <w:sz w:val="24"/>
        </w:rPr>
        <w:t xml:space="preserve">六、公告期限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ascii="仿宋" w:hAnsi="仿宋" w:eastAsia="仿宋" w:cs="仿宋"/>
          <w:b/>
          <w:color w:val="auto"/>
          <w:sz w:val="24"/>
        </w:rPr>
      </w:pPr>
      <w:r>
        <w:rPr>
          <w:rFonts w:hint="eastAsia" w:ascii="仿宋" w:hAnsi="仿宋" w:eastAsia="仿宋" w:cs="仿宋"/>
          <w:b/>
          <w:color w:val="auto"/>
          <w:sz w:val="24"/>
        </w:rPr>
        <w:t>七、其他补充事宜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投标人”。（3）招标文件公告期限与招标公告的公告期限一致。</w:t>
      </w:r>
    </w:p>
    <w:p>
      <w:pPr>
        <w:spacing w:line="360" w:lineRule="auto"/>
        <w:rPr>
          <w:rFonts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pPr>
        <w:pStyle w:val="59"/>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1.采购人信息</w:t>
      </w:r>
    </w:p>
    <w:p>
      <w:pPr>
        <w:pStyle w:val="59"/>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xml:space="preserve">名    称：浙江省药品监督管理局 </w:t>
      </w:r>
    </w:p>
    <w:p>
      <w:pPr>
        <w:pStyle w:val="59"/>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xml:space="preserve">地    址：杭州市西湖区莫干山路文北巷27号       </w:t>
      </w:r>
    </w:p>
    <w:p>
      <w:pPr>
        <w:pStyle w:val="59"/>
        <w:snapToGrid w:val="0"/>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rPr>
        <w:t xml:space="preserve">传    </w:t>
      </w:r>
      <w:r>
        <w:rPr>
          <w:rFonts w:hint="eastAsia" w:ascii="仿宋" w:hAnsi="仿宋" w:eastAsia="仿宋" w:cs="仿宋"/>
          <w:color w:val="auto"/>
          <w:highlight w:val="none"/>
        </w:rPr>
        <w:t>真： /</w:t>
      </w:r>
    </w:p>
    <w:p>
      <w:pPr>
        <w:pStyle w:val="59"/>
        <w:snapToGrid w:val="0"/>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eastAsia="zh-CN"/>
        </w:rPr>
        <w:t>葛佩菲</w:t>
      </w:r>
      <w:r>
        <w:rPr>
          <w:rFonts w:hint="eastAsia" w:ascii="仿宋" w:hAnsi="仿宋" w:eastAsia="仿宋" w:cs="仿宋"/>
          <w:color w:val="auto"/>
          <w:highlight w:val="none"/>
          <w:lang w:val="en-US" w:eastAsia="zh-CN"/>
        </w:rPr>
        <w:t xml:space="preserve"> </w:t>
      </w:r>
    </w:p>
    <w:p>
      <w:pPr>
        <w:pStyle w:val="59"/>
        <w:snapToGrid w:val="0"/>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项目联系方式（询问）：0571-</w:t>
      </w:r>
      <w:r>
        <w:rPr>
          <w:rFonts w:hint="eastAsia" w:ascii="仿宋" w:hAnsi="仿宋" w:eastAsia="仿宋" w:cs="仿宋"/>
          <w:color w:val="auto"/>
          <w:highlight w:val="none"/>
          <w:lang w:val="en-US" w:eastAsia="zh-CN"/>
        </w:rPr>
        <w:t>88903226</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质疑联系人：陈老师</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质疑联系方式：0571-88903318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名    称：浙江省成套招标代理有限公司</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地    址：杭州市文晖路42号现代置业大厦西楼18楼1806室</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项目联系人（询问）：李晓倩、洪小雨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项目联系方式（询问）：0571-85830205、15868885841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质疑联系人：冯东东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质疑联系方式：0571-85331293</w:t>
      </w:r>
    </w:p>
    <w:p>
      <w:pPr>
        <w:spacing w:line="360" w:lineRule="auto"/>
        <w:ind w:firstLine="480"/>
        <w:rPr>
          <w:rFonts w:ascii="仿宋" w:hAnsi="仿宋" w:eastAsia="仿宋" w:cs="仿宋"/>
          <w:color w:val="auto"/>
        </w:rPr>
      </w:pP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名    称：浙江省财政厅政府采购监管处、浙江省政府采购行政裁决服务中心（杭州）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地    址：杭州市上城区四季青街道新业路市民之家G03办公室</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传    真：/</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 联系人 ：朱女士、王女士   </w:t>
      </w:r>
    </w:p>
    <w:p>
      <w:pPr>
        <w:widowControl/>
        <w:adjustRightInd/>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监督投诉电话：0571-85252453 </w:t>
      </w:r>
    </w:p>
    <w:p>
      <w:pPr>
        <w:widowControl/>
        <w:adjustRightInd/>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 xml:space="preserve">政策咨询：何一平、冯华，0571-87058424、87055741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5"/>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rPr>
        <w:t xml:space="preserve">                              </w:t>
      </w:r>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1"/>
      <w:r>
        <w:rPr>
          <w:rFonts w:hint="eastAsia" w:ascii="仿宋" w:hAnsi="仿宋" w:eastAsia="仿宋" w:cs="仿宋"/>
          <w:b/>
          <w:color w:val="auto"/>
          <w:sz w:val="36"/>
          <w:szCs w:val="20"/>
        </w:rPr>
        <w:t xml:space="preserve"> 投标人须知</w:t>
      </w:r>
      <w:bookmarkEnd w:id="2"/>
    </w:p>
    <w:p>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95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57"/>
        <w:gridCol w:w="1571"/>
        <w:gridCol w:w="73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5" w:hRule="atLeast"/>
          <w:tblHeader/>
          <w:jc w:val="center"/>
        </w:trPr>
        <w:tc>
          <w:tcPr>
            <w:tcW w:w="657" w:type="dxa"/>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序号</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事项</w:t>
            </w:r>
          </w:p>
        </w:tc>
        <w:tc>
          <w:tcPr>
            <w:tcW w:w="735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145" w:hRule="atLeast"/>
          <w:tblHeader/>
          <w:jc w:val="center"/>
        </w:trPr>
        <w:tc>
          <w:tcPr>
            <w:tcW w:w="657"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7351" w:type="dxa"/>
            <w:vAlign w:val="center"/>
          </w:tcPr>
          <w:p>
            <w:pPr>
              <w:snapToGrid w:val="0"/>
              <w:spacing w:line="400" w:lineRule="exact"/>
              <w:ind w:firstLine="240" w:firstLineChars="100"/>
              <w:jc w:val="left"/>
              <w:rPr>
                <w:rFonts w:ascii="仿宋" w:hAnsi="仿宋" w:eastAsia="仿宋" w:cs="仿宋"/>
                <w:color w:val="auto"/>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rPr>
              <w:t>投标文件</w:t>
            </w:r>
            <w:r>
              <w:rPr>
                <w:rFonts w:hint="eastAsia" w:ascii="仿宋" w:hAnsi="仿宋" w:eastAsia="仿宋" w:cs="仿宋"/>
                <w:color w:val="auto"/>
                <w:kern w:val="0"/>
                <w:sz w:val="24"/>
                <w:lang w:val="zh-CN"/>
              </w:rPr>
              <w:t>中价格全部采用人民币报价。</w:t>
            </w:r>
            <w:r>
              <w:rPr>
                <w:rFonts w:hint="eastAsia" w:ascii="仿宋" w:hAnsi="仿宋" w:eastAsia="仿宋" w:cs="仿宋"/>
                <w:color w:val="auto"/>
                <w:kern w:val="0"/>
                <w:sz w:val="24"/>
              </w:rPr>
              <w:t>招标文件</w:t>
            </w:r>
            <w:r>
              <w:rPr>
                <w:rFonts w:hint="eastAsia" w:ascii="仿宋" w:hAnsi="仿宋" w:eastAsia="仿宋" w:cs="仿宋"/>
                <w:color w:val="auto"/>
                <w:kern w:val="0"/>
                <w:sz w:val="24"/>
                <w:lang w:val="zh-CN"/>
              </w:rPr>
              <w:t>未列明，而</w:t>
            </w:r>
            <w:r>
              <w:rPr>
                <w:rFonts w:hint="eastAsia" w:ascii="仿宋" w:hAnsi="仿宋" w:eastAsia="仿宋" w:cs="仿宋"/>
                <w:color w:val="auto"/>
                <w:kern w:val="0"/>
                <w:sz w:val="24"/>
              </w:rPr>
              <w:t>投标人</w:t>
            </w:r>
            <w:r>
              <w:rPr>
                <w:rFonts w:hint="eastAsia" w:ascii="仿宋" w:hAnsi="仿宋" w:eastAsia="仿宋" w:cs="仿宋"/>
                <w:color w:val="auto"/>
                <w:kern w:val="0"/>
                <w:sz w:val="24"/>
                <w:lang w:val="zh-CN"/>
              </w:rPr>
              <w:t>认为必需的费用也需列入报价。</w:t>
            </w:r>
            <w:r>
              <w:rPr>
                <w:rFonts w:hint="eastAsia" w:ascii="仿宋" w:hAnsi="仿宋" w:eastAsia="仿宋" w:cs="仿宋"/>
                <w:b/>
                <w:bCs/>
                <w:color w:val="auto"/>
                <w:sz w:val="24"/>
              </w:rPr>
              <w:t>本项目报价方式为总价包干。</w:t>
            </w:r>
          </w:p>
          <w:p>
            <w:pPr>
              <w:snapToGrid w:val="0"/>
              <w:spacing w:line="400" w:lineRule="exact"/>
              <w:jc w:val="left"/>
              <w:rPr>
                <w:rFonts w:ascii="仿宋" w:hAnsi="仿宋" w:eastAsia="仿宋" w:cs="仿宋"/>
                <w:b/>
                <w:color w:val="auto"/>
                <w:kern w:val="0"/>
                <w:sz w:val="24"/>
                <w:lang w:val="zh-CN"/>
              </w:rPr>
            </w:pPr>
            <w:r>
              <w:rPr>
                <w:rFonts w:hint="eastAsia" w:ascii="仿宋" w:hAnsi="仿宋" w:eastAsia="仿宋" w:cs="仿宋"/>
                <w:b/>
                <w:color w:val="auto"/>
                <w:kern w:val="0"/>
                <w:sz w:val="24"/>
              </w:rPr>
              <w:t>投标</w:t>
            </w:r>
            <w:r>
              <w:rPr>
                <w:rFonts w:hint="eastAsia" w:ascii="仿宋" w:hAnsi="仿宋" w:eastAsia="仿宋" w:cs="仿宋"/>
                <w:b/>
                <w:color w:val="auto"/>
                <w:kern w:val="0"/>
                <w:sz w:val="24"/>
                <w:lang w:val="zh-CN"/>
              </w:rPr>
              <w:t>报价出现下列情形的，</w:t>
            </w:r>
            <w:r>
              <w:rPr>
                <w:rFonts w:hint="eastAsia" w:ascii="仿宋" w:hAnsi="仿宋" w:eastAsia="仿宋" w:cs="仿宋"/>
                <w:b/>
                <w:color w:val="auto"/>
                <w:kern w:val="0"/>
                <w:sz w:val="24"/>
              </w:rPr>
              <w:t>投标</w:t>
            </w:r>
            <w:r>
              <w:rPr>
                <w:rFonts w:hint="eastAsia" w:ascii="仿宋" w:hAnsi="仿宋" w:eastAsia="仿宋" w:cs="仿宋"/>
                <w:b/>
                <w:color w:val="auto"/>
                <w:kern w:val="0"/>
                <w:sz w:val="24"/>
                <w:lang w:val="zh-CN"/>
              </w:rPr>
              <w:t>无效：</w:t>
            </w:r>
          </w:p>
          <w:p>
            <w:pPr>
              <w:snapToGrid w:val="0"/>
              <w:spacing w:line="400" w:lineRule="exact"/>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rPr>
              <w:t>投标文件</w:t>
            </w:r>
            <w:r>
              <w:rPr>
                <w:rFonts w:hint="eastAsia" w:ascii="仿宋" w:hAnsi="仿宋" w:eastAsia="仿宋" w:cs="仿宋"/>
                <w:b/>
                <w:color w:val="auto"/>
                <w:kern w:val="0"/>
                <w:sz w:val="24"/>
                <w:lang w:val="zh-CN"/>
              </w:rPr>
              <w:t>出现不是唯一的、有选择性</w:t>
            </w:r>
            <w:r>
              <w:rPr>
                <w:rFonts w:hint="eastAsia" w:ascii="仿宋" w:hAnsi="仿宋" w:eastAsia="仿宋" w:cs="仿宋"/>
                <w:b/>
                <w:color w:val="auto"/>
                <w:kern w:val="0"/>
                <w:sz w:val="24"/>
              </w:rPr>
              <w:t>投标报价</w:t>
            </w:r>
            <w:r>
              <w:rPr>
                <w:rFonts w:hint="eastAsia" w:ascii="仿宋" w:hAnsi="仿宋" w:eastAsia="仿宋" w:cs="仿宋"/>
                <w:b/>
                <w:color w:val="auto"/>
                <w:kern w:val="0"/>
                <w:sz w:val="24"/>
                <w:lang w:val="zh-CN"/>
              </w:rPr>
              <w:t>的；</w:t>
            </w:r>
          </w:p>
          <w:p>
            <w:pPr>
              <w:snapToGrid w:val="0"/>
              <w:spacing w:line="400" w:lineRule="exact"/>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rPr>
              <w:t>投标</w:t>
            </w:r>
            <w:r>
              <w:rPr>
                <w:rFonts w:hint="eastAsia" w:ascii="仿宋" w:hAnsi="仿宋" w:eastAsia="仿宋" w:cs="仿宋"/>
                <w:b/>
                <w:color w:val="auto"/>
                <w:kern w:val="0"/>
                <w:sz w:val="24"/>
                <w:lang w:val="zh-CN"/>
              </w:rPr>
              <w:t>报价超过</w:t>
            </w:r>
            <w:r>
              <w:rPr>
                <w:rFonts w:hint="eastAsia" w:ascii="仿宋" w:hAnsi="仿宋" w:eastAsia="仿宋" w:cs="仿宋"/>
                <w:b/>
                <w:color w:val="auto"/>
                <w:kern w:val="0"/>
                <w:sz w:val="24"/>
              </w:rPr>
              <w:t>招标文件</w:t>
            </w:r>
            <w:r>
              <w:rPr>
                <w:rFonts w:hint="eastAsia" w:ascii="仿宋" w:hAnsi="仿宋" w:eastAsia="仿宋" w:cs="仿宋"/>
                <w:b/>
                <w:color w:val="auto"/>
                <w:kern w:val="0"/>
                <w:sz w:val="24"/>
                <w:lang w:val="zh-CN"/>
              </w:rPr>
              <w:t>中规定的预算金额或者最高限价的;</w:t>
            </w:r>
          </w:p>
          <w:p>
            <w:pPr>
              <w:spacing w:line="400" w:lineRule="exact"/>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400" w:lineRule="exact"/>
              <w:ind w:firstLine="241" w:firstLineChars="100"/>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962" w:hRule="atLeast"/>
          <w:tblHeader/>
          <w:jc w:val="center"/>
        </w:trPr>
        <w:tc>
          <w:tcPr>
            <w:tcW w:w="657"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571" w:type="dxa"/>
            <w:vAlign w:val="center"/>
          </w:tcPr>
          <w:p>
            <w:pPr>
              <w:snapToGrid w:val="0"/>
              <w:spacing w:line="40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分包</w:t>
            </w:r>
          </w:p>
        </w:tc>
        <w:tc>
          <w:tcPr>
            <w:tcW w:w="7351" w:type="dxa"/>
            <w:vAlign w:val="center"/>
          </w:tcPr>
          <w:p>
            <w:pPr>
              <w:snapToGrid w:val="0"/>
              <w:spacing w:line="400" w:lineRule="exact"/>
              <w:rPr>
                <w:rFonts w:ascii="仿宋" w:hAnsi="仿宋" w:eastAsia="仿宋" w:cs="仿宋"/>
                <w:b/>
                <w:bCs/>
                <w:color w:val="auto"/>
                <w:sz w:val="24"/>
              </w:rPr>
            </w:pPr>
            <w:sdt>
              <w:sdtPr>
                <w:rPr>
                  <w:rFonts w:hint="eastAsia" w:ascii="仿宋" w:hAnsi="仿宋" w:eastAsia="仿宋" w:cs="仿宋"/>
                  <w:color w:val="auto"/>
                  <w:kern w:val="0"/>
                  <w:sz w:val="24"/>
                </w:rPr>
                <w:id w:val="-1724285961"/>
                <w14:checkbox>
                  <w14:checked w14:val="1"/>
                  <w14:checkedState w14:val="00FE" w14:font="Wingdings"/>
                  <w14:uncheckedState w14:val="2610" w14:font="MS Gothic"/>
                </w14:checkbox>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sdt>
              <w:sdtPr>
                <w:rPr>
                  <w:rFonts w:hint="eastAsia" w:ascii="仿宋" w:hAnsi="仿宋" w:eastAsia="仿宋" w:cs="仿宋"/>
                  <w:b/>
                  <w:bCs/>
                  <w:color w:val="auto"/>
                  <w:kern w:val="0"/>
                  <w:sz w:val="24"/>
                </w:rPr>
                <w:id w:val="101310334"/>
                <w:showingPlcHdr/>
              </w:sdtPr>
              <w:sdtEndPr>
                <w:rPr>
                  <w:rFonts w:hint="eastAsia" w:ascii="仿宋" w:hAnsi="仿宋" w:eastAsia="仿宋" w:cs="仿宋"/>
                  <w:b/>
                  <w:bCs/>
                  <w:color w:val="auto"/>
                  <w:kern w:val="0"/>
                  <w:sz w:val="24"/>
                </w:rPr>
              </w:sdtEndPr>
              <w:sdtContent/>
            </w:sdt>
            <w:r>
              <w:rPr>
                <w:rFonts w:hint="eastAsia" w:ascii="仿宋" w:hAnsi="仿宋" w:eastAsia="仿宋" w:cs="仿宋"/>
                <w:b/>
                <w:bCs/>
                <w:color w:val="auto"/>
                <w:kern w:val="0"/>
                <w:sz w:val="24"/>
              </w:rPr>
              <w:t xml:space="preserve"> A</w:t>
            </w:r>
            <w:r>
              <w:rPr>
                <w:rFonts w:hint="eastAsia" w:ascii="仿宋" w:hAnsi="仿宋" w:eastAsia="仿宋" w:cs="仿宋"/>
                <w:b/>
                <w:bCs/>
                <w:color w:val="auto"/>
                <w:sz w:val="24"/>
              </w:rPr>
              <w:t>同意将非主体、非关键</w:t>
            </w:r>
            <w:r>
              <w:rPr>
                <w:rFonts w:hint="eastAsia" w:ascii="仿宋" w:hAnsi="仿宋" w:eastAsia="仿宋" w:cs="仿宋"/>
                <w:b/>
                <w:bCs/>
                <w:color w:val="auto"/>
                <w:sz w:val="24"/>
                <w:highlight w:val="none"/>
              </w:rPr>
              <w:t>性</w:t>
            </w:r>
            <w:r>
              <w:rPr>
                <w:rFonts w:hint="eastAsia" w:ascii="仿宋" w:hAnsi="仿宋" w:eastAsia="仿宋" w:cs="仿宋"/>
                <w:b/>
                <w:bCs/>
                <w:color w:val="auto"/>
                <w:sz w:val="24"/>
                <w:highlight w:val="none"/>
                <w:u w:val="single"/>
                <w:lang w:val="en-US" w:eastAsia="zh-CN"/>
              </w:rPr>
              <w:t xml:space="preserve"> 摄影摄像 </w:t>
            </w:r>
            <w:r>
              <w:rPr>
                <w:rFonts w:hint="eastAsia" w:ascii="仿宋" w:hAnsi="仿宋" w:eastAsia="仿宋" w:cs="仿宋"/>
                <w:b/>
                <w:bCs/>
                <w:color w:val="auto"/>
                <w:sz w:val="24"/>
                <w:highlight w:val="none"/>
              </w:rPr>
              <w:t>工作分包。</w:t>
            </w:r>
          </w:p>
          <w:p>
            <w:pPr>
              <w:snapToGrid w:val="0"/>
              <w:spacing w:line="400" w:lineRule="exact"/>
              <w:rPr>
                <w:rFonts w:ascii="仿宋" w:hAnsi="仿宋" w:eastAsia="仿宋" w:cs="仿宋"/>
                <w:b/>
                <w:bCs/>
                <w:color w:val="auto"/>
                <w:sz w:val="24"/>
              </w:rPr>
            </w:pPr>
            <w:sdt>
              <w:sdtPr>
                <w:rPr>
                  <w:rFonts w:hint="eastAsia" w:ascii="仿宋" w:hAnsi="仿宋" w:eastAsia="仿宋" w:cs="仿宋"/>
                  <w:b/>
                  <w:bCs/>
                  <w:color w:val="auto"/>
                  <w:kern w:val="0"/>
                  <w:sz w:val="24"/>
                </w:rPr>
                <w:id w:val="-1477286927"/>
              </w:sdtPr>
              <w:sdtEndPr>
                <w:rPr>
                  <w:rFonts w:hint="eastAsia" w:ascii="仿宋" w:hAnsi="仿宋" w:eastAsia="仿宋" w:cs="仿宋"/>
                  <w:b/>
                  <w:bCs/>
                  <w:color w:val="auto"/>
                  <w:kern w:val="0"/>
                  <w:sz w:val="24"/>
                </w:rPr>
              </w:sdtEndPr>
              <w:sdtContent>
                <w:sdt>
                  <w:sdtPr>
                    <w:rPr>
                      <w:rFonts w:hint="eastAsia" w:ascii="仿宋" w:hAnsi="仿宋" w:eastAsia="仿宋" w:cs="仿宋"/>
                      <w:b/>
                      <w:bCs/>
                      <w:color w:val="auto"/>
                      <w:kern w:val="0"/>
                      <w:sz w:val="24"/>
                    </w:rPr>
                    <w:id w:val="1029771954"/>
                    <w14:checkbox>
                      <w14:checked w14:val="1"/>
                      <w14:checkedState w14:val="00FE" w14:font="Wingdings"/>
                      <w14:uncheckedState w14:val="2610" w14:font="MS Gothic"/>
                    </w14:checkbox>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sdt>
                  <w:sdtPr>
                    <w:rPr>
                      <w:rFonts w:hint="eastAsia" w:ascii="仿宋" w:hAnsi="仿宋" w:eastAsia="仿宋" w:cs="仿宋"/>
                      <w:b/>
                      <w:bCs/>
                      <w:color w:val="auto"/>
                      <w:kern w:val="0"/>
                      <w:sz w:val="24"/>
                    </w:rPr>
                    <w:id w:val="-1804916646"/>
                    <w:showingPlcHdr/>
                  </w:sdtPr>
                  <w:sdtEndPr>
                    <w:rPr>
                      <w:rFonts w:hint="eastAsia" w:ascii="仿宋" w:hAnsi="仿宋" w:eastAsia="仿宋" w:cs="仿宋"/>
                      <w:b/>
                      <w:bCs/>
                      <w:color w:val="auto"/>
                      <w:kern w:val="0"/>
                      <w:sz w:val="24"/>
                    </w:rPr>
                  </w:sdtEndPr>
                  <w:sdtContent/>
                </w:sdt>
              </w:sdtContent>
            </w:sdt>
            <w:r>
              <w:rPr>
                <w:rFonts w:hint="eastAsia" w:ascii="仿宋" w:hAnsi="仿宋" w:eastAsia="仿宋" w:cs="仿宋"/>
                <w:b/>
                <w:bCs/>
                <w:color w:val="auto"/>
                <w:kern w:val="0"/>
                <w:sz w:val="24"/>
              </w:rPr>
              <w:t xml:space="preserve"> B</w:t>
            </w:r>
            <w:r>
              <w:rPr>
                <w:rFonts w:hint="eastAsia" w:ascii="仿宋" w:hAnsi="仿宋" w:eastAsia="仿宋" w:cs="仿宋"/>
                <w:b/>
                <w:bCs/>
                <w:color w:val="auto"/>
                <w:sz w:val="24"/>
              </w:rPr>
              <w:t>同意大型企业向小微企业、中型企业向小微企业、小微企业向小微企业合理分包。</w:t>
            </w:r>
          </w:p>
          <w:p>
            <w:pPr>
              <w:spacing w:line="400" w:lineRule="exact"/>
              <w:rPr>
                <w:rFonts w:ascii="仿宋" w:hAnsi="仿宋" w:eastAsia="仿宋" w:cs="仿宋"/>
                <w:color w:val="auto"/>
                <w:sz w:val="24"/>
              </w:rPr>
            </w:pPr>
            <w:sdt>
              <w:sdtPr>
                <w:rPr>
                  <w:rFonts w:hint="eastAsia" w:ascii="仿宋" w:hAnsi="仿宋" w:eastAsia="仿宋" w:cs="仿宋"/>
                  <w:color w:val="auto"/>
                  <w:kern w:val="0"/>
                  <w:sz w:val="24"/>
                </w:rPr>
                <w:id w:val="-1276331357"/>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46961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371353504"/>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 xml:space="preserve"> C</w:t>
            </w:r>
            <w:r>
              <w:rPr>
                <w:rFonts w:hint="eastAsia" w:ascii="仿宋" w:hAnsi="仿宋" w:eastAsia="仿宋" w:cs="仿宋"/>
                <w:color w:val="auto"/>
                <w:sz w:val="24"/>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37" w:hRule="atLeast"/>
          <w:tblHeader/>
          <w:jc w:val="center"/>
        </w:trPr>
        <w:tc>
          <w:tcPr>
            <w:tcW w:w="657" w:type="dxa"/>
            <w:vMerge w:val="restart"/>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571" w:type="dxa"/>
            <w:vMerge w:val="restart"/>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7351"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（1）资格证明文件：见招标文件第二部分11.1。</w:t>
            </w:r>
          </w:p>
          <w:p>
            <w:pPr>
              <w:snapToGrid w:val="0"/>
              <w:spacing w:line="400" w:lineRule="exact"/>
              <w:rPr>
                <w:rFonts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w:t>
            </w:r>
            <w:r>
              <w:rPr>
                <w:rFonts w:hint="eastAsia" w:ascii="仿宋" w:hAnsi="仿宋" w:eastAsia="仿宋" w:cs="仿宋"/>
                <w:color w:val="auto"/>
                <w:sz w:val="24"/>
                <w:lang w:val="zh-CN"/>
              </w:rPr>
              <w:t>投标</w:t>
            </w:r>
            <w:r>
              <w:rPr>
                <w:rFonts w:hint="eastAsia" w:ascii="仿宋" w:hAnsi="仿宋" w:eastAsia="仿宋" w:cs="仿宋"/>
                <w:color w:val="auto"/>
                <w:kern w:val="0"/>
                <w:sz w:val="24"/>
                <w:lang w:val="zh-CN"/>
              </w:rPr>
              <w:t>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69" w:hRule="atLeast"/>
          <w:tblHeader/>
          <w:jc w:val="center"/>
        </w:trPr>
        <w:tc>
          <w:tcPr>
            <w:tcW w:w="657" w:type="dxa"/>
            <w:vMerge w:val="continue"/>
          </w:tcPr>
          <w:p>
            <w:pPr>
              <w:snapToGrid w:val="0"/>
              <w:spacing w:line="400" w:lineRule="exact"/>
              <w:jc w:val="center"/>
              <w:rPr>
                <w:rFonts w:ascii="仿宋" w:hAnsi="仿宋" w:eastAsia="仿宋" w:cs="仿宋"/>
                <w:color w:val="auto"/>
                <w:sz w:val="24"/>
              </w:rPr>
            </w:pPr>
          </w:p>
        </w:tc>
        <w:tc>
          <w:tcPr>
            <w:tcW w:w="1571" w:type="dxa"/>
            <w:vMerge w:val="continue"/>
            <w:vAlign w:val="center"/>
          </w:tcPr>
          <w:p>
            <w:pPr>
              <w:snapToGrid w:val="0"/>
              <w:spacing w:line="400" w:lineRule="exact"/>
              <w:jc w:val="center"/>
              <w:rPr>
                <w:rFonts w:ascii="仿宋" w:hAnsi="仿宋" w:eastAsia="仿宋" w:cs="仿宋"/>
                <w:b/>
                <w:color w:val="auto"/>
                <w:sz w:val="24"/>
              </w:rPr>
            </w:pPr>
          </w:p>
        </w:tc>
        <w:tc>
          <w:tcPr>
            <w:tcW w:w="7351"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17" w:hRule="atLeast"/>
          <w:tblHeader/>
          <w:jc w:val="center"/>
        </w:trPr>
        <w:tc>
          <w:tcPr>
            <w:tcW w:w="657" w:type="dxa"/>
          </w:tcPr>
          <w:p>
            <w:pPr>
              <w:snapToGrid w:val="0"/>
              <w:spacing w:line="400" w:lineRule="exact"/>
              <w:jc w:val="center"/>
              <w:rPr>
                <w:rFonts w:ascii="仿宋" w:hAnsi="仿宋" w:eastAsia="仿宋" w:cs="仿宋"/>
                <w:color w:val="auto"/>
                <w:sz w:val="24"/>
              </w:rPr>
            </w:pPr>
          </w:p>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7351" w:type="dxa"/>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212966419"/>
              </w:sdtPr>
              <w:sdtEndPr>
                <w:rPr>
                  <w:rFonts w:hint="eastAsia" w:ascii="仿宋" w:hAnsi="仿宋" w:eastAsia="仿宋" w:cs="仿宋"/>
                  <w:b/>
                  <w:bCs/>
                  <w:color w:val="auto"/>
                  <w:kern w:val="0"/>
                  <w:sz w:val="24"/>
                </w:rPr>
              </w:sdtEndPr>
              <w:sdtContent>
                <w:sdt>
                  <w:sdtPr>
                    <w:rPr>
                      <w:rFonts w:hint="eastAsia" w:ascii="仿宋" w:hAnsi="仿宋" w:eastAsia="仿宋" w:cs="仿宋"/>
                      <w:color w:val="auto"/>
                      <w:kern w:val="0"/>
                      <w:sz w:val="24"/>
                    </w:rPr>
                    <w:id w:val="-1380781987"/>
                    <w14:checkbox>
                      <w14:checked w14:val="1"/>
                      <w14:checkedState w14:val="00FE" w14:font="Wingdings"/>
                      <w14:uncheckedState w14:val="2610" w14:font="MS Gothic"/>
                    </w14:checkbox>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sdt>
                  <w:sdtPr>
                    <w:rPr>
                      <w:rFonts w:hint="eastAsia" w:ascii="仿宋" w:hAnsi="仿宋" w:eastAsia="仿宋" w:cs="仿宋"/>
                      <w:b/>
                      <w:bCs/>
                      <w:color w:val="auto"/>
                      <w:kern w:val="0"/>
                      <w:sz w:val="24"/>
                    </w:rPr>
                    <w:id w:val="-1822184964"/>
                    <w:showingPlcHdr/>
                  </w:sdtPr>
                  <w:sdtEndPr>
                    <w:rPr>
                      <w:rFonts w:hint="eastAsia" w:ascii="仿宋" w:hAnsi="仿宋" w:eastAsia="仿宋" w:cs="仿宋"/>
                      <w:b/>
                      <w:bCs/>
                      <w:color w:val="auto"/>
                      <w:kern w:val="0"/>
                      <w:sz w:val="24"/>
                    </w:rPr>
                  </w:sdtEndPr>
                  <w:sdtContent/>
                </w:sdt>
              </w:sdtContent>
            </w:sdt>
            <w:r>
              <w:rPr>
                <w:rFonts w:hint="eastAsia" w:ascii="仿宋" w:hAnsi="仿宋" w:eastAsia="仿宋" w:cs="仿宋"/>
                <w:b/>
                <w:bCs/>
                <w:color w:val="auto"/>
                <w:kern w:val="0"/>
                <w:sz w:val="24"/>
              </w:rPr>
              <w:t>A</w:t>
            </w:r>
            <w:r>
              <w:rPr>
                <w:rFonts w:hint="eastAsia" w:ascii="仿宋" w:hAnsi="仿宋" w:eastAsia="仿宋" w:cs="仿宋"/>
                <w:b/>
                <w:bCs/>
                <w:color w:val="auto"/>
                <w:sz w:val="24"/>
              </w:rPr>
              <w:t>不组织。</w:t>
            </w:r>
          </w:p>
          <w:p>
            <w:pPr>
              <w:snapToGrid w:val="0"/>
              <w:spacing w:line="400" w:lineRule="exact"/>
              <w:rPr>
                <w:rFonts w:ascii="仿宋" w:hAnsi="仿宋" w:eastAsia="仿宋" w:cs="仿宋"/>
                <w:color w:val="auto"/>
                <w:sz w:val="24"/>
                <w:szCs w:val="20"/>
              </w:rPr>
            </w:pPr>
            <w:sdt>
              <w:sdtPr>
                <w:rPr>
                  <w:rFonts w:hint="eastAsia" w:ascii="仿宋" w:hAnsi="仿宋" w:eastAsia="仿宋" w:cs="仿宋"/>
                  <w:color w:val="auto"/>
                  <w:kern w:val="0"/>
                  <w:sz w:val="24"/>
                </w:rPr>
                <w:id w:val="-99980297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78379734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703634833"/>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402" w:hRule="atLeast"/>
          <w:tblHeader/>
          <w:jc w:val="center"/>
        </w:trPr>
        <w:tc>
          <w:tcPr>
            <w:tcW w:w="657"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7351" w:type="dxa"/>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1960797104"/>
                <w14:checkbox>
                  <w14:checked w14:val="1"/>
                  <w14:checkedState w14:val="00FE" w14:font="Wingdings"/>
                  <w14:uncheckedState w14:val="2610" w14:font="MS Gothic"/>
                </w14:checkbox>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sdt>
              <w:sdtPr>
                <w:rPr>
                  <w:rFonts w:hint="eastAsia" w:ascii="仿宋" w:hAnsi="仿宋" w:eastAsia="仿宋" w:cs="仿宋"/>
                  <w:b/>
                  <w:bCs/>
                  <w:color w:val="auto"/>
                  <w:kern w:val="0"/>
                  <w:sz w:val="24"/>
                </w:rPr>
                <w:id w:val="424851111"/>
                <w:showingPlcHdr/>
              </w:sdtPr>
              <w:sdtEndPr>
                <w:rPr>
                  <w:rFonts w:hint="eastAsia" w:ascii="仿宋" w:hAnsi="仿宋" w:eastAsia="仿宋" w:cs="仿宋"/>
                  <w:b/>
                  <w:bCs/>
                  <w:color w:val="auto"/>
                  <w:kern w:val="0"/>
                  <w:sz w:val="24"/>
                </w:rPr>
              </w:sdtEndPr>
              <w:sdtContent/>
            </w:sdt>
            <w:r>
              <w:rPr>
                <w:rFonts w:hint="eastAsia" w:ascii="仿宋" w:hAnsi="仿宋" w:eastAsia="仿宋" w:cs="仿宋"/>
                <w:b/>
                <w:bCs/>
                <w:color w:val="auto"/>
                <w:kern w:val="0"/>
                <w:sz w:val="24"/>
              </w:rPr>
              <w:t>A</w:t>
            </w:r>
            <w:r>
              <w:rPr>
                <w:rFonts w:hint="eastAsia" w:ascii="仿宋" w:hAnsi="仿宋" w:eastAsia="仿宋" w:cs="仿宋"/>
                <w:b/>
                <w:bCs/>
                <w:color w:val="auto"/>
                <w:sz w:val="24"/>
              </w:rPr>
              <w:t>不要求提供。</w:t>
            </w:r>
          </w:p>
          <w:p>
            <w:pPr>
              <w:snapToGrid w:val="0"/>
              <w:spacing w:line="400" w:lineRule="exact"/>
              <w:rPr>
                <w:rFonts w:ascii="仿宋" w:hAnsi="仿宋" w:eastAsia="仿宋" w:cs="仿宋"/>
                <w:color w:val="auto"/>
                <w:kern w:val="0"/>
                <w:sz w:val="24"/>
              </w:rPr>
            </w:pPr>
            <w:sdt>
              <w:sdtPr>
                <w:rPr>
                  <w:rFonts w:hint="eastAsia" w:ascii="仿宋" w:hAnsi="仿宋" w:eastAsia="仿宋" w:cs="仿宋"/>
                  <w:color w:val="auto"/>
                  <w:kern w:val="0"/>
                  <w:sz w:val="24"/>
                </w:rPr>
                <w:id w:val="1026831988"/>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74987938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913043077"/>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B要求提供，</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47194894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588347909"/>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78288005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818389671"/>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napToGrid w:val="0"/>
              <w:spacing w:line="400" w:lineRule="exact"/>
              <w:rPr>
                <w:rFonts w:ascii="仿宋" w:hAnsi="仿宋" w:eastAsia="仿宋" w:cs="仿宋"/>
                <w:b/>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spacing w:line="400" w:lineRule="exact"/>
              <w:rPr>
                <w:rFonts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24" w:hRule="atLeast"/>
          <w:tblHeader/>
          <w:jc w:val="center"/>
        </w:trPr>
        <w:tc>
          <w:tcPr>
            <w:tcW w:w="657"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1571" w:type="dxa"/>
            <w:vAlign w:val="center"/>
          </w:tcPr>
          <w:p>
            <w:pPr>
              <w:snapToGrid w:val="0"/>
              <w:spacing w:line="400" w:lineRule="exact"/>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7351" w:type="dxa"/>
            <w:vAlign w:val="center"/>
          </w:tcPr>
          <w:p>
            <w:pPr>
              <w:snapToGrid w:val="0"/>
              <w:spacing w:line="400" w:lineRule="exact"/>
              <w:rPr>
                <w:rFonts w:ascii="仿宋" w:hAnsi="仿宋" w:eastAsia="仿宋" w:cs="仿宋"/>
                <w:b/>
                <w:bCs/>
                <w:color w:val="auto"/>
                <w:sz w:val="24"/>
              </w:rPr>
            </w:pPr>
            <w:sdt>
              <w:sdtPr>
                <w:rPr>
                  <w:rFonts w:hint="eastAsia" w:ascii="仿宋" w:hAnsi="仿宋" w:eastAsia="仿宋" w:cs="仿宋"/>
                  <w:color w:val="auto"/>
                  <w:kern w:val="0"/>
                  <w:sz w:val="24"/>
                </w:rPr>
                <w:id w:val="1113408566"/>
                <w14:checkbox>
                  <w14:checked w14:val="1"/>
                  <w14:checkedState w14:val="00FE" w14:font="Wingdings"/>
                  <w14:uncheckedState w14:val="2610" w14:font="MS Gothic"/>
                </w14:checkbox>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sdt>
              <w:sdtPr>
                <w:rPr>
                  <w:rFonts w:hint="eastAsia" w:ascii="仿宋" w:hAnsi="仿宋" w:eastAsia="仿宋" w:cs="仿宋"/>
                  <w:b/>
                  <w:bCs/>
                  <w:color w:val="auto"/>
                  <w:kern w:val="0"/>
                  <w:sz w:val="24"/>
                </w:rPr>
                <w:id w:val="822782882"/>
                <w:showingPlcHdr/>
              </w:sdtPr>
              <w:sdtEndPr>
                <w:rPr>
                  <w:rFonts w:hint="eastAsia" w:ascii="仿宋" w:hAnsi="仿宋" w:eastAsia="仿宋" w:cs="仿宋"/>
                  <w:b/>
                  <w:bCs/>
                  <w:color w:val="auto"/>
                  <w:kern w:val="0"/>
                  <w:sz w:val="24"/>
                </w:rPr>
              </w:sdtEndPr>
              <w:sdtContent/>
            </w:sdt>
            <w:r>
              <w:rPr>
                <w:rFonts w:hint="eastAsia" w:ascii="仿宋" w:hAnsi="仿宋" w:eastAsia="仿宋" w:cs="仿宋"/>
                <w:b/>
                <w:bCs/>
                <w:color w:val="auto"/>
                <w:kern w:val="0"/>
                <w:sz w:val="24"/>
              </w:rPr>
              <w:t>A</w:t>
            </w:r>
            <w:r>
              <w:rPr>
                <w:rFonts w:hint="eastAsia" w:ascii="仿宋" w:hAnsi="仿宋" w:eastAsia="仿宋" w:cs="仿宋"/>
                <w:b/>
                <w:bCs/>
                <w:color w:val="auto"/>
                <w:sz w:val="24"/>
              </w:rPr>
              <w:t>不组织。</w:t>
            </w:r>
          </w:p>
          <w:p>
            <w:pPr>
              <w:snapToGrid w:val="0"/>
              <w:spacing w:line="400" w:lineRule="exact"/>
              <w:rPr>
                <w:rFonts w:ascii="仿宋" w:hAnsi="仿宋" w:eastAsia="仿宋" w:cs="仿宋"/>
                <w:color w:val="auto"/>
                <w:kern w:val="0"/>
                <w:sz w:val="24"/>
              </w:rPr>
            </w:pPr>
            <w:sdt>
              <w:sdtPr>
                <w:rPr>
                  <w:rFonts w:hint="eastAsia" w:ascii="仿宋" w:hAnsi="仿宋" w:eastAsia="仿宋" w:cs="仿宋"/>
                  <w:color w:val="auto"/>
                  <w:kern w:val="0"/>
                  <w:sz w:val="24"/>
                </w:rPr>
                <w:id w:val="117407171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08106087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613563143"/>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B组织。</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400" w:lineRule="exact"/>
              <w:rPr>
                <w:rFonts w:ascii="仿宋" w:hAnsi="仿宋" w:eastAsia="仿宋" w:cs="仿宋"/>
                <w:color w:val="auto"/>
                <w:kern w:val="0"/>
                <w:sz w:val="24"/>
              </w:rPr>
            </w:pPr>
            <w:sdt>
              <w:sdtPr>
                <w:rPr>
                  <w:rFonts w:hint="eastAsia" w:ascii="仿宋" w:hAnsi="仿宋" w:eastAsia="仿宋" w:cs="仿宋"/>
                  <w:color w:val="auto"/>
                  <w:kern w:val="0"/>
                  <w:sz w:val="24"/>
                </w:rPr>
                <w:id w:val="38970466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451760369"/>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400" w:lineRule="exact"/>
              <w:rPr>
                <w:rFonts w:ascii="仿宋" w:hAnsi="仿宋" w:eastAsia="仿宋" w:cs="仿宋"/>
                <w:color w:val="auto"/>
                <w:kern w:val="0"/>
                <w:sz w:val="24"/>
              </w:rPr>
            </w:pPr>
            <w:sdt>
              <w:sdtPr>
                <w:rPr>
                  <w:rFonts w:hint="eastAsia" w:ascii="仿宋" w:hAnsi="仿宋" w:eastAsia="仿宋" w:cs="仿宋"/>
                  <w:color w:val="auto"/>
                  <w:kern w:val="0"/>
                  <w:sz w:val="24"/>
                </w:rPr>
                <w:id w:val="201703734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764603630"/>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，讲解演示所用电脑等设备由投标人自备。现场讲解演示人员进场时提供讲解人员名单（加盖公章）及身份证明，否则不得讲解演示。</w:t>
            </w:r>
          </w:p>
          <w:p>
            <w:pPr>
              <w:snapToGrid w:val="0"/>
              <w:spacing w:line="400" w:lineRule="exact"/>
              <w:rPr>
                <w:rFonts w:ascii="仿宋" w:hAnsi="仿宋" w:eastAsia="仿宋" w:cs="仿宋"/>
                <w:color w:val="auto"/>
              </w:rPr>
            </w:pPr>
            <w:sdt>
              <w:sdtPr>
                <w:rPr>
                  <w:rFonts w:hint="eastAsia" w:ascii="仿宋" w:hAnsi="仿宋" w:eastAsia="仿宋" w:cs="仿宋"/>
                  <w:color w:val="auto"/>
                  <w:kern w:val="0"/>
                  <w:sz w:val="24"/>
                </w:rPr>
                <w:id w:val="-189349317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654569095"/>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kern w:val="0"/>
                <w:sz w:val="24"/>
              </w:rPr>
              <w:t>方式三：采用视频录制方式，用U盘介质储存快递或邮寄至代理机构（公告中列明的地址），视频中演示人应出示身份证。未派遣投标文件中的项目组人员进行演示讲解或未提供身份证明的，评分项不得分。若因U盘损坏或打不开则按视为未提交。</w:t>
            </w:r>
          </w:p>
          <w:p>
            <w:pPr>
              <w:snapToGrid w:val="0"/>
              <w:spacing w:line="400" w:lineRule="exact"/>
              <w:rPr>
                <w:rFonts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07" w:hRule="atLeast"/>
          <w:tblHeader/>
          <w:jc w:val="center"/>
        </w:trPr>
        <w:tc>
          <w:tcPr>
            <w:tcW w:w="657"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7351" w:type="dxa"/>
            <w:vAlign w:val="center"/>
          </w:tcPr>
          <w:p>
            <w:pPr>
              <w:snapToGrid w:val="0"/>
              <w:spacing w:line="400" w:lineRule="exact"/>
              <w:rPr>
                <w:rFonts w:ascii="仿宋" w:hAnsi="仿宋" w:eastAsia="仿宋" w:cs="仿宋"/>
                <w:b/>
                <w:bCs/>
                <w:color w:val="auto"/>
                <w:kern w:val="0"/>
                <w:sz w:val="24"/>
              </w:rPr>
            </w:pPr>
            <w:sdt>
              <w:sdtPr>
                <w:rPr>
                  <w:rFonts w:hint="eastAsia" w:ascii="仿宋" w:hAnsi="仿宋" w:eastAsia="仿宋" w:cs="仿宋"/>
                  <w:color w:val="auto"/>
                  <w:kern w:val="0"/>
                  <w:sz w:val="24"/>
                </w:rPr>
                <w:id w:val="-1828425707"/>
              </w:sdtPr>
              <w:sdtEndPr>
                <w:rPr>
                  <w:rFonts w:hint="eastAsia" w:ascii="仿宋" w:hAnsi="仿宋" w:eastAsia="仿宋" w:cs="仿宋"/>
                  <w:b/>
                  <w:bCs/>
                  <w:color w:val="auto"/>
                  <w:kern w:val="0"/>
                  <w:sz w:val="24"/>
                </w:rPr>
              </w:sdtEndPr>
              <w:sdtContent>
                <w:sdt>
                  <w:sdtPr>
                    <w:rPr>
                      <w:rFonts w:hint="eastAsia" w:ascii="仿宋" w:hAnsi="仿宋" w:eastAsia="仿宋" w:cs="仿宋"/>
                      <w:color w:val="auto"/>
                      <w:kern w:val="0"/>
                      <w:sz w:val="24"/>
                    </w:rPr>
                    <w:id w:val="642395438"/>
                    <w14:checkbox>
                      <w14:checked w14:val="1"/>
                      <w14:checkedState w14:val="00FE" w14:font="Wingdings"/>
                      <w14:uncheckedState w14:val="2610" w14:font="MS Gothic"/>
                    </w14:checkbox>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sdt>
                  <w:sdtPr>
                    <w:rPr>
                      <w:rFonts w:hint="eastAsia" w:ascii="仿宋" w:hAnsi="仿宋" w:eastAsia="仿宋" w:cs="仿宋"/>
                      <w:b/>
                      <w:bCs/>
                      <w:color w:val="auto"/>
                      <w:kern w:val="0"/>
                      <w:sz w:val="24"/>
                    </w:rPr>
                    <w:id w:val="-1905748635"/>
                    <w:showingPlcHdr/>
                  </w:sdtPr>
                  <w:sdtEndPr>
                    <w:rPr>
                      <w:rFonts w:hint="eastAsia" w:ascii="仿宋" w:hAnsi="仿宋" w:eastAsia="仿宋" w:cs="仿宋"/>
                      <w:b/>
                      <w:bCs/>
                      <w:color w:val="auto"/>
                      <w:kern w:val="0"/>
                      <w:sz w:val="24"/>
                    </w:rPr>
                  </w:sdtEndPr>
                  <w:sdtContent/>
                </w:sdt>
              </w:sdtContent>
            </w:sdt>
            <w:r>
              <w:rPr>
                <w:rFonts w:hint="eastAsia" w:ascii="仿宋" w:hAnsi="仿宋" w:eastAsia="仿宋" w:cs="仿宋"/>
                <w:b/>
                <w:bCs/>
                <w:color w:val="auto"/>
                <w:kern w:val="0"/>
                <w:sz w:val="24"/>
              </w:rPr>
              <w:t>本项目不允许采购进口产品。</w:t>
            </w:r>
          </w:p>
          <w:p>
            <w:pPr>
              <w:snapToGrid w:val="0"/>
              <w:spacing w:line="400" w:lineRule="exact"/>
              <w:rPr>
                <w:rFonts w:ascii="仿宋" w:hAnsi="仿宋" w:eastAsia="仿宋" w:cs="仿宋"/>
                <w:color w:val="auto"/>
              </w:rPr>
            </w:pPr>
            <w:sdt>
              <w:sdtPr>
                <w:rPr>
                  <w:rFonts w:hint="eastAsia" w:ascii="仿宋" w:hAnsi="仿宋" w:eastAsia="仿宋" w:cs="仿宋"/>
                  <w:color w:val="auto"/>
                  <w:kern w:val="0"/>
                  <w:sz w:val="24"/>
                </w:rPr>
                <w:id w:val="-5285282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23354118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412769661"/>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kern w:val="0"/>
                <w:sz w:val="24"/>
              </w:rPr>
              <w:t>可以采购进口产品，优先采购向我国企业转让技术、与我国企业签订消化吸收再创新方案的投标人的进口产品；但如果因信息不对称等原因，仍有满足需求的国内产品要求参与采购竞争的，采购人及其委托的采购代理机构不对其加以限制，将按照公平竞争原则实施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51" w:hRule="atLeast"/>
          <w:tblHeader/>
          <w:jc w:val="center"/>
        </w:trPr>
        <w:tc>
          <w:tcPr>
            <w:tcW w:w="657" w:type="dxa"/>
          </w:tcPr>
          <w:p>
            <w:pPr>
              <w:snapToGrid w:val="0"/>
              <w:spacing w:line="400" w:lineRule="exact"/>
              <w:jc w:val="center"/>
              <w:rPr>
                <w:rFonts w:ascii="仿宋" w:hAnsi="仿宋" w:eastAsia="仿宋" w:cs="仿宋"/>
                <w:color w:val="auto"/>
                <w:sz w:val="24"/>
              </w:rPr>
            </w:pPr>
          </w:p>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项目属性与核心产品</w:t>
            </w:r>
          </w:p>
        </w:tc>
        <w:tc>
          <w:tcPr>
            <w:tcW w:w="7351" w:type="dxa"/>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199791212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1179194256"/>
                <w:showingPlcHdr/>
              </w:sdtPr>
              <w:sdtEndPr>
                <w:rPr>
                  <w:rFonts w:hint="eastAsia" w:ascii="仿宋" w:hAnsi="仿宋" w:eastAsia="仿宋" w:cs="仿宋"/>
                  <w:color w:val="auto"/>
                  <w:kern w:val="0"/>
                  <w:sz w:val="24"/>
                </w:rPr>
              </w:sdtEndP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400" w:lineRule="exact"/>
              <w:rPr>
                <w:rFonts w:ascii="仿宋" w:hAnsi="仿宋" w:eastAsia="仿宋" w:cs="仿宋"/>
                <w:color w:val="auto"/>
                <w:sz w:val="24"/>
              </w:rPr>
            </w:pPr>
            <w:sdt>
              <w:sdtPr>
                <w:rPr>
                  <w:rFonts w:hint="eastAsia" w:ascii="仿宋" w:hAnsi="仿宋" w:eastAsia="仿宋" w:cs="仿宋"/>
                  <w:color w:val="auto"/>
                  <w:kern w:val="0"/>
                  <w:sz w:val="24"/>
                </w:rPr>
                <w:id w:val="-566653236"/>
                <w14:checkbox>
                  <w14:checked w14:val="1"/>
                  <w14:checkedState w14:val="00FE" w14:font="Wingdings"/>
                  <w14:uncheckedState w14:val="2610" w14:font="MS Gothic"/>
                </w14:checkbox>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sdt>
              <w:sdtPr>
                <w:rPr>
                  <w:rFonts w:hint="eastAsia" w:ascii="仿宋" w:hAnsi="仿宋" w:eastAsia="仿宋" w:cs="仿宋"/>
                  <w:b/>
                  <w:bCs/>
                  <w:color w:val="auto"/>
                  <w:kern w:val="0"/>
                  <w:sz w:val="24"/>
                </w:rPr>
                <w:id w:val="2013725427"/>
                <w:showingPlcHdr/>
              </w:sdtPr>
              <w:sdtEndPr>
                <w:rPr>
                  <w:rFonts w:hint="eastAsia" w:ascii="仿宋" w:hAnsi="仿宋" w:eastAsia="仿宋" w:cs="仿宋"/>
                  <w:b/>
                  <w:bCs/>
                  <w:color w:val="auto"/>
                  <w:kern w:val="0"/>
                  <w:sz w:val="24"/>
                </w:rPr>
              </w:sdtEndPr>
              <w:sdtContent/>
            </w:sdt>
            <w:r>
              <w:rPr>
                <w:rFonts w:hint="eastAsia" w:ascii="仿宋" w:hAnsi="仿宋" w:eastAsia="仿宋" w:cs="仿宋"/>
                <w:b/>
                <w:bCs/>
                <w:color w:val="auto"/>
                <w:kern w:val="0"/>
                <w:sz w:val="24"/>
              </w:rPr>
              <w:t>B</w:t>
            </w:r>
            <w:r>
              <w:rPr>
                <w:rFonts w:hint="eastAsia" w:ascii="仿宋" w:hAnsi="仿宋" w:eastAsia="仿宋" w:cs="仿宋"/>
                <w:b/>
                <w:bCs/>
                <w:color w:val="auto"/>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943" w:hRule="atLeast"/>
          <w:tblHeader/>
          <w:jc w:val="center"/>
        </w:trPr>
        <w:tc>
          <w:tcPr>
            <w:tcW w:w="657" w:type="dxa"/>
            <w:vAlign w:val="center"/>
          </w:tcPr>
          <w:p>
            <w:pPr>
              <w:snapToGrid w:val="0"/>
              <w:spacing w:line="400" w:lineRule="exact"/>
              <w:jc w:val="center"/>
              <w:rPr>
                <w:rFonts w:ascii="仿宋" w:hAnsi="仿宋" w:eastAsia="仿宋" w:cs="仿宋"/>
                <w:color w:val="auto"/>
                <w:sz w:val="24"/>
              </w:rPr>
            </w:pPr>
          </w:p>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7351" w:type="dxa"/>
            <w:vAlign w:val="center"/>
          </w:tcPr>
          <w:p>
            <w:pPr>
              <w:spacing w:line="400" w:lineRule="exact"/>
              <w:rPr>
                <w:rFonts w:ascii="仿宋" w:hAnsi="仿宋" w:eastAsia="仿宋" w:cs="仿宋"/>
                <w:b/>
                <w:bCs/>
                <w:color w:val="auto"/>
                <w:sz w:val="24"/>
              </w:rPr>
            </w:pPr>
            <w:r>
              <w:rPr>
                <w:rFonts w:hint="eastAsia" w:ascii="仿宋" w:hAnsi="仿宋" w:eastAsia="仿宋" w:cs="仿宋"/>
                <w:b/>
                <w:bCs/>
                <w:color w:val="auto"/>
                <w:sz w:val="24"/>
              </w:rPr>
              <w:t>（1）采购标的</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eastAsia="zh-CN"/>
              </w:rPr>
              <w:t>药品安全信息推广服务项目</w:t>
            </w:r>
            <w:r>
              <w:rPr>
                <w:rFonts w:hint="eastAsia" w:ascii="仿宋" w:hAnsi="仿宋" w:eastAsia="仿宋" w:cs="仿宋"/>
                <w:b/>
                <w:bCs/>
                <w:color w:val="auto"/>
                <w:sz w:val="24"/>
              </w:rPr>
              <w:t>；所属行业：</w:t>
            </w:r>
            <w:r>
              <w:rPr>
                <w:rFonts w:hint="eastAsia" w:ascii="仿宋" w:hAnsi="仿宋" w:eastAsia="仿宋" w:cs="仿宋"/>
                <w:b/>
                <w:bCs/>
                <w:color w:val="auto"/>
                <w:sz w:val="24"/>
                <w:u w:val="single"/>
              </w:rPr>
              <w:t xml:space="preserve"> 其他未列明行业 </w:t>
            </w:r>
            <w:r>
              <w:rPr>
                <w:rFonts w:hint="eastAsia" w:ascii="仿宋" w:hAnsi="仿宋" w:eastAsia="仿宋" w:cs="仿宋"/>
                <w:b/>
                <w:bCs/>
                <w:color w:val="auto"/>
                <w:sz w:val="24"/>
              </w:rPr>
              <w:t xml:space="preserve">。 </w:t>
            </w:r>
          </w:p>
          <w:p>
            <w:pPr>
              <w:snapToGrid w:val="0"/>
              <w:spacing w:line="400" w:lineRule="exact"/>
              <w:rPr>
                <w:rFonts w:ascii="仿宋" w:hAnsi="仿宋" w:eastAsia="仿宋" w:cs="仿宋"/>
                <w:color w:val="auto"/>
              </w:rPr>
            </w:pPr>
            <w:r>
              <w:rPr>
                <w:rFonts w:hint="eastAsia" w:ascii="仿宋" w:hAnsi="仿宋" w:eastAsia="仿宋" w:cs="仿宋"/>
                <w:color w:val="auto"/>
                <w:kern w:val="0"/>
                <w:sz w:val="24"/>
              </w:rPr>
              <w:t>【说明：其他未列明行业。从业人员300人以下的为中小微型企业。其中，从业人员100人及以上的为</w:t>
            </w:r>
            <w:r>
              <w:rPr>
                <w:rFonts w:hint="eastAsia" w:ascii="仿宋" w:hAnsi="仿宋" w:eastAsia="仿宋" w:cs="仿宋"/>
                <w:b/>
                <w:bCs/>
                <w:color w:val="auto"/>
                <w:kern w:val="0"/>
                <w:sz w:val="24"/>
              </w:rPr>
              <w:t>中型企业</w:t>
            </w:r>
            <w:r>
              <w:rPr>
                <w:rFonts w:hint="eastAsia" w:ascii="仿宋" w:hAnsi="仿宋" w:eastAsia="仿宋" w:cs="仿宋"/>
                <w:color w:val="auto"/>
                <w:kern w:val="0"/>
                <w:sz w:val="24"/>
              </w:rPr>
              <w:t>；从业人员10人及以上的为</w:t>
            </w:r>
            <w:r>
              <w:rPr>
                <w:rFonts w:hint="eastAsia" w:ascii="仿宋" w:hAnsi="仿宋" w:eastAsia="仿宋" w:cs="仿宋"/>
                <w:b/>
                <w:bCs/>
                <w:color w:val="auto"/>
                <w:kern w:val="0"/>
                <w:sz w:val="24"/>
              </w:rPr>
              <w:t>小型企业</w:t>
            </w:r>
            <w:r>
              <w:rPr>
                <w:rFonts w:hint="eastAsia" w:ascii="仿宋" w:hAnsi="仿宋" w:eastAsia="仿宋" w:cs="仿宋"/>
                <w:color w:val="auto"/>
                <w:kern w:val="0"/>
                <w:sz w:val="24"/>
              </w:rPr>
              <w:t>；从业人员10人以下的为</w:t>
            </w:r>
            <w:r>
              <w:rPr>
                <w:rFonts w:hint="eastAsia" w:ascii="仿宋" w:hAnsi="仿宋" w:eastAsia="仿宋" w:cs="仿宋"/>
                <w:b/>
                <w:bCs/>
                <w:color w:val="auto"/>
                <w:kern w:val="0"/>
                <w:sz w:val="24"/>
              </w:rPr>
              <w:t>微型企业</w:t>
            </w:r>
            <w:r>
              <w:rPr>
                <w:rFonts w:hint="eastAsia" w:ascii="仿宋" w:hAnsi="仿宋" w:eastAsia="仿宋" w:cs="仿宋"/>
                <w:color w:val="auto"/>
                <w:kern w:val="0"/>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85" w:hRule="atLeast"/>
          <w:tblHeader/>
          <w:jc w:val="center"/>
        </w:trPr>
        <w:tc>
          <w:tcPr>
            <w:tcW w:w="657"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7351" w:type="dxa"/>
            <w:vAlign w:val="center"/>
          </w:tcPr>
          <w:p>
            <w:pPr>
              <w:snapToGrid w:val="0"/>
              <w:rPr>
                <w:rFonts w:ascii="仿宋" w:hAnsi="仿宋" w:eastAsia="仿宋" w:cs="仿宋"/>
                <w:color w:val="auto"/>
              </w:rPr>
            </w:pPr>
            <w:r>
              <w:rPr>
                <w:rFonts w:hint="eastAsia" w:ascii="仿宋" w:hAnsi="仿宋" w:eastAsia="仿宋" w:cs="仿宋"/>
                <w:color w:val="auto"/>
                <w:kern w:val="0"/>
                <w:sz w:val="24"/>
              </w:rPr>
              <w:t>采</w:t>
            </w:r>
            <w:r>
              <w:rPr>
                <w:rFonts w:hint="eastAsia" w:ascii="仿宋" w:hAnsi="仿宋" w:eastAsia="仿宋" w:cs="仿宋"/>
                <w:color w:val="auto"/>
                <w:kern w:val="28"/>
                <w:sz w:val="24"/>
              </w:rPr>
              <w:t>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49" w:hRule="atLeast"/>
          <w:tblHeader/>
          <w:jc w:val="center"/>
        </w:trPr>
        <w:tc>
          <w:tcPr>
            <w:tcW w:w="657"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中小企业信用融资</w:t>
            </w:r>
          </w:p>
        </w:tc>
        <w:tc>
          <w:tcPr>
            <w:tcW w:w="7351" w:type="dxa"/>
            <w:vAlign w:val="center"/>
          </w:tcPr>
          <w:p>
            <w:pPr>
              <w:spacing w:line="400" w:lineRule="exact"/>
              <w:rPr>
                <w:rFonts w:ascii="仿宋" w:hAnsi="仿宋" w:eastAsia="仿宋" w:cs="仿宋"/>
                <w:color w:val="auto"/>
                <w:sz w:val="24"/>
              </w:rPr>
            </w:pPr>
            <w:r>
              <w:rPr>
                <w:rFonts w:hint="eastAsia" w:ascii="仿宋" w:hAnsi="仿宋" w:eastAsia="仿宋" w:cs="仿宋"/>
                <w:color w:val="auto"/>
                <w:kern w:val="28"/>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759" w:hRule="atLeast"/>
          <w:tblHeader/>
          <w:jc w:val="center"/>
        </w:trPr>
        <w:tc>
          <w:tcPr>
            <w:tcW w:w="657"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7351" w:type="dxa"/>
            <w:vAlign w:val="center"/>
          </w:tcPr>
          <w:p>
            <w:pPr>
              <w:spacing w:line="400" w:lineRule="exact"/>
              <w:rPr>
                <w:rFonts w:ascii="仿宋" w:hAnsi="仿宋" w:eastAsia="仿宋" w:cs="仿宋"/>
                <w:color w:val="auto"/>
                <w:sz w:val="24"/>
              </w:rPr>
            </w:pPr>
            <w:r>
              <w:rPr>
                <w:rFonts w:hint="eastAsia" w:ascii="仿宋" w:hAnsi="仿宋" w:eastAsia="仿宋" w:cs="仿宋"/>
                <w:color w:val="auto"/>
                <w:kern w:val="28"/>
                <w:sz w:val="24"/>
              </w:rPr>
              <w:t>备份投标文件送达地点：</w:t>
            </w:r>
            <w:r>
              <w:rPr>
                <w:rFonts w:hint="eastAsia" w:ascii="仿宋" w:hAnsi="仿宋" w:eastAsia="仿宋" w:cs="仿宋"/>
                <w:b/>
                <w:bCs/>
                <w:color w:val="auto"/>
                <w:kern w:val="28"/>
                <w:sz w:val="24"/>
                <w:u w:val="single"/>
              </w:rPr>
              <w:t>邮寄送达的：</w:t>
            </w:r>
            <w:r>
              <w:rPr>
                <w:rFonts w:hint="eastAsia" w:ascii="仿宋" w:hAnsi="仿宋" w:eastAsia="仿宋" w:cs="仿宋"/>
                <w:color w:val="auto"/>
                <w:kern w:val="28"/>
                <w:sz w:val="24"/>
                <w:u w:val="single"/>
              </w:rPr>
              <w:t>邮寄的备份投标文件请在投标截止时间前一个工作日送达；（邮寄地址: 杭州市文晖路42号现代置业大厦西楼18楼1806室李晓倩收）；</w:t>
            </w:r>
            <w:r>
              <w:rPr>
                <w:rFonts w:hint="eastAsia" w:ascii="仿宋" w:hAnsi="仿宋" w:eastAsia="仿宋" w:cs="仿宋"/>
                <w:b/>
                <w:bCs/>
                <w:color w:val="auto"/>
                <w:kern w:val="28"/>
                <w:sz w:val="24"/>
                <w:u w:val="single"/>
              </w:rPr>
              <w:t>直接送达的：</w:t>
            </w:r>
            <w:r>
              <w:rPr>
                <w:rFonts w:hint="eastAsia" w:ascii="仿宋" w:hAnsi="仿宋" w:eastAsia="仿宋" w:cs="仿宋"/>
                <w:color w:val="auto"/>
                <w:kern w:val="28"/>
                <w:sz w:val="24"/>
                <w:u w:val="single"/>
              </w:rPr>
              <w:t>在开标当天的投标截止时间前送至杭州市文晖路42号现代置业大厦西楼17楼开标室</w:t>
            </w:r>
            <w:r>
              <w:rPr>
                <w:rFonts w:hint="eastAsia" w:ascii="仿宋" w:hAnsi="仿宋" w:eastAsia="仿宋" w:cs="仿宋"/>
                <w:color w:val="auto"/>
                <w:kern w:val="28"/>
                <w:sz w:val="24"/>
              </w:rPr>
              <w:t>；备份投标文件签收人员联系电话：</w:t>
            </w:r>
            <w:r>
              <w:rPr>
                <w:rFonts w:hint="eastAsia" w:ascii="仿宋" w:hAnsi="仿宋" w:eastAsia="仿宋" w:cs="仿宋"/>
                <w:color w:val="auto"/>
                <w:sz w:val="24"/>
                <w:u w:val="single"/>
              </w:rPr>
              <w:t>李晓倩、0571-85830205、15868885841</w:t>
            </w:r>
            <w:r>
              <w:rPr>
                <w:rFonts w:hint="eastAsia" w:ascii="仿宋" w:hAnsi="仿宋" w:eastAsia="仿宋" w:cs="仿宋"/>
                <w:color w:val="auto"/>
                <w:sz w:val="24"/>
              </w:rPr>
              <w:t>。</w:t>
            </w:r>
            <w:r>
              <w:rPr>
                <w:rFonts w:hint="eastAsia" w:ascii="仿宋" w:hAnsi="仿宋" w:eastAsia="仿宋" w:cs="仿宋"/>
                <w:b/>
                <w:color w:val="auto"/>
                <w:sz w:val="24"/>
              </w:rPr>
              <w:t>以上二种方式任选其一即可。</w:t>
            </w:r>
          </w:p>
          <w:p>
            <w:pPr>
              <w:spacing w:line="400" w:lineRule="exact"/>
              <w:rPr>
                <w:rFonts w:ascii="仿宋" w:hAnsi="仿宋" w:eastAsia="仿宋" w:cs="仿宋"/>
                <w:color w:val="auto"/>
                <w:kern w:val="28"/>
                <w:sz w:val="24"/>
              </w:rPr>
            </w:pPr>
            <w:r>
              <w:rPr>
                <w:rFonts w:hint="eastAsia" w:ascii="仿宋" w:hAnsi="仿宋" w:eastAsia="仿宋" w:cs="仿宋"/>
                <w:b/>
                <w:color w:val="auto"/>
                <w:sz w:val="24"/>
              </w:rPr>
              <w:t>采购人、采购机构不强制或变相强制投标人提交备份投标文件。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975" w:hRule="atLeast"/>
          <w:tblHeader/>
          <w:jc w:val="center"/>
        </w:trPr>
        <w:tc>
          <w:tcPr>
            <w:tcW w:w="657"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采购代理服务费</w:t>
            </w:r>
          </w:p>
        </w:tc>
        <w:tc>
          <w:tcPr>
            <w:tcW w:w="7351" w:type="dxa"/>
            <w:vAlign w:val="center"/>
          </w:tcPr>
          <w:p>
            <w:pPr>
              <w:spacing w:line="400" w:lineRule="exact"/>
              <w:rPr>
                <w:rFonts w:ascii="仿宋" w:hAnsi="仿宋" w:eastAsia="仿宋" w:cs="仿宋"/>
                <w:b/>
                <w:color w:val="auto"/>
                <w:kern w:val="0"/>
                <w:sz w:val="24"/>
              </w:rPr>
            </w:pPr>
            <w:r>
              <w:rPr>
                <w:rFonts w:hint="eastAsia" w:ascii="仿宋" w:hAnsi="仿宋" w:eastAsia="仿宋" w:cs="仿宋"/>
                <w:b/>
                <w:color w:val="auto"/>
                <w:kern w:val="0"/>
                <w:sz w:val="24"/>
              </w:rPr>
              <w:t>以中标金额为计算基数,计费标准按发改价格〔2011〕534号文件中采购代理服务费收费标准规定的</w:t>
            </w:r>
            <w:r>
              <w:rPr>
                <w:rFonts w:hint="eastAsia" w:ascii="仿宋" w:hAnsi="仿宋" w:eastAsia="仿宋" w:cs="仿宋"/>
                <w:b/>
                <w:color w:val="auto"/>
                <w:kern w:val="0"/>
                <w:sz w:val="24"/>
                <w:u w:val="single"/>
              </w:rPr>
              <w:t xml:space="preserve"> 服务类 </w:t>
            </w:r>
            <w:r>
              <w:rPr>
                <w:rFonts w:hint="eastAsia" w:ascii="仿宋" w:hAnsi="仿宋" w:eastAsia="仿宋" w:cs="仿宋"/>
                <w:b/>
                <w:color w:val="auto"/>
                <w:kern w:val="0"/>
                <w:sz w:val="24"/>
              </w:rPr>
              <w:t>收费标准的60%计取，单个项目采购代理服务费保底</w:t>
            </w:r>
            <w:r>
              <w:rPr>
                <w:rFonts w:hint="eastAsia" w:ascii="仿宋" w:hAnsi="仿宋" w:eastAsia="仿宋" w:cs="仿宋"/>
                <w:b/>
                <w:color w:val="auto"/>
                <w:kern w:val="0"/>
                <w:sz w:val="24"/>
                <w:lang w:val="en-US" w:eastAsia="zh-CN"/>
              </w:rPr>
              <w:t>收费</w:t>
            </w:r>
            <w:r>
              <w:rPr>
                <w:rFonts w:hint="eastAsia" w:ascii="仿宋" w:hAnsi="仿宋" w:eastAsia="仿宋" w:cs="仿宋"/>
                <w:b/>
                <w:color w:val="auto"/>
                <w:kern w:val="0"/>
                <w:sz w:val="24"/>
              </w:rPr>
              <w:t>为</w:t>
            </w:r>
            <w:r>
              <w:rPr>
                <w:rFonts w:hint="eastAsia" w:ascii="仿宋" w:hAnsi="仿宋" w:eastAsia="仿宋" w:cs="仿宋"/>
                <w:b/>
                <w:color w:val="auto"/>
                <w:kern w:val="0"/>
                <w:sz w:val="24"/>
                <w:u w:val="single"/>
              </w:rPr>
              <w:t>1500</w:t>
            </w:r>
            <w:r>
              <w:rPr>
                <w:rFonts w:hint="eastAsia" w:ascii="仿宋" w:hAnsi="仿宋" w:eastAsia="仿宋" w:cs="仿宋"/>
                <w:b/>
                <w:color w:val="auto"/>
                <w:kern w:val="0"/>
                <w:sz w:val="24"/>
              </w:rPr>
              <w:t>元。</w:t>
            </w:r>
          </w:p>
          <w:p>
            <w:pPr>
              <w:spacing w:line="400" w:lineRule="exact"/>
              <w:rPr>
                <w:rFonts w:ascii="仿宋" w:hAnsi="仿宋" w:eastAsia="仿宋" w:cs="仿宋"/>
                <w:b/>
                <w:color w:val="auto"/>
                <w:kern w:val="0"/>
                <w:sz w:val="24"/>
              </w:rPr>
            </w:pPr>
            <w:r>
              <w:rPr>
                <w:rFonts w:hint="eastAsia" w:ascii="仿宋" w:hAnsi="仿宋" w:eastAsia="仿宋" w:cs="仿宋"/>
                <w:b/>
                <w:color w:val="auto"/>
                <w:kern w:val="0"/>
                <w:sz w:val="24"/>
              </w:rPr>
              <w:t>上述费用由</w:t>
            </w:r>
            <w:r>
              <w:rPr>
                <w:rFonts w:hint="eastAsia" w:ascii="仿宋" w:hAnsi="仿宋" w:eastAsia="仿宋" w:cs="仿宋"/>
                <w:b/>
                <w:color w:val="auto"/>
                <w:kern w:val="0"/>
                <w:sz w:val="24"/>
                <w:u w:val="single"/>
              </w:rPr>
              <w:t>中标人</w:t>
            </w:r>
            <w:r>
              <w:rPr>
                <w:rFonts w:hint="eastAsia" w:ascii="仿宋" w:hAnsi="仿宋" w:eastAsia="仿宋" w:cs="仿宋"/>
                <w:b/>
                <w:color w:val="auto"/>
                <w:kern w:val="0"/>
                <w:sz w:val="24"/>
              </w:rPr>
              <w:t>在领取成交通知书时支付给采购代理机构</w:t>
            </w:r>
          </w:p>
          <w:p>
            <w:pPr>
              <w:spacing w:line="400" w:lineRule="exact"/>
              <w:rPr>
                <w:rFonts w:ascii="仿宋" w:hAnsi="仿宋" w:eastAsia="仿宋" w:cs="仿宋"/>
                <w:bCs/>
                <w:color w:val="auto"/>
                <w:kern w:val="0"/>
                <w:sz w:val="24"/>
              </w:rPr>
            </w:pPr>
            <w:r>
              <w:rPr>
                <w:rFonts w:hint="eastAsia" w:ascii="仿宋" w:hAnsi="仿宋" w:eastAsia="仿宋" w:cs="仿宋"/>
                <w:bCs/>
                <w:color w:val="auto"/>
                <w:kern w:val="0"/>
                <w:sz w:val="24"/>
              </w:rPr>
              <w:t>汇入以下账户：</w:t>
            </w:r>
          </w:p>
          <w:p>
            <w:pPr>
              <w:spacing w:line="400" w:lineRule="exact"/>
              <w:rPr>
                <w:rFonts w:ascii="仿宋" w:hAnsi="仿宋" w:eastAsia="仿宋" w:cs="仿宋"/>
                <w:bCs/>
                <w:color w:val="auto"/>
                <w:kern w:val="0"/>
                <w:sz w:val="24"/>
              </w:rPr>
            </w:pPr>
            <w:r>
              <w:rPr>
                <w:rFonts w:hint="eastAsia" w:ascii="仿宋" w:hAnsi="仿宋" w:eastAsia="仿宋" w:cs="仿宋"/>
                <w:bCs/>
                <w:color w:val="auto"/>
                <w:kern w:val="0"/>
                <w:sz w:val="24"/>
              </w:rPr>
              <w:t>户 名：浙江省成套招标代理有限公司</w:t>
            </w:r>
          </w:p>
          <w:p>
            <w:pPr>
              <w:spacing w:line="400" w:lineRule="exact"/>
              <w:rPr>
                <w:rFonts w:ascii="仿宋" w:hAnsi="仿宋" w:eastAsia="仿宋" w:cs="仿宋"/>
                <w:bCs/>
                <w:color w:val="auto"/>
                <w:kern w:val="0"/>
                <w:sz w:val="24"/>
              </w:rPr>
            </w:pPr>
            <w:r>
              <w:rPr>
                <w:rFonts w:hint="eastAsia" w:ascii="仿宋" w:hAnsi="仿宋" w:eastAsia="仿宋" w:cs="仿宋"/>
                <w:bCs/>
                <w:color w:val="auto"/>
                <w:kern w:val="0"/>
                <w:sz w:val="24"/>
              </w:rPr>
              <w:t xml:space="preserve">开 户：中信银行杭州西湖支行 </w:t>
            </w:r>
          </w:p>
          <w:p>
            <w:pPr>
              <w:spacing w:line="400" w:lineRule="exact"/>
              <w:rPr>
                <w:rFonts w:ascii="仿宋" w:hAnsi="仿宋" w:eastAsia="仿宋" w:cs="仿宋"/>
                <w:snapToGrid w:val="0"/>
                <w:color w:val="auto"/>
                <w:kern w:val="28"/>
                <w:sz w:val="24"/>
              </w:rPr>
            </w:pPr>
            <w:r>
              <w:rPr>
                <w:rFonts w:hint="eastAsia" w:ascii="仿宋" w:hAnsi="仿宋" w:eastAsia="仿宋" w:cs="仿宋"/>
                <w:bCs/>
                <w:color w:val="auto"/>
                <w:kern w:val="0"/>
                <w:sz w:val="24"/>
              </w:rPr>
              <w:t>账 号：7331610182600126385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51" w:hRule="atLeast"/>
          <w:tblHeader/>
          <w:jc w:val="center"/>
        </w:trPr>
        <w:tc>
          <w:tcPr>
            <w:tcW w:w="657" w:type="dxa"/>
            <w:vMerge w:val="restart"/>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14</w:t>
            </w:r>
          </w:p>
        </w:tc>
        <w:tc>
          <w:tcPr>
            <w:tcW w:w="1571" w:type="dxa"/>
            <w:vMerge w:val="restart"/>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7351" w:type="dxa"/>
            <w:vAlign w:val="center"/>
          </w:tcPr>
          <w:p>
            <w:pPr>
              <w:spacing w:line="400" w:lineRule="exact"/>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51" w:hRule="atLeast"/>
          <w:tblHeader/>
          <w:jc w:val="center"/>
        </w:trPr>
        <w:tc>
          <w:tcPr>
            <w:tcW w:w="657" w:type="dxa"/>
            <w:vMerge w:val="continue"/>
            <w:vAlign w:val="center"/>
          </w:tcPr>
          <w:p>
            <w:pPr>
              <w:snapToGrid w:val="0"/>
              <w:spacing w:line="400" w:lineRule="exact"/>
              <w:jc w:val="center"/>
              <w:rPr>
                <w:rFonts w:ascii="仿宋" w:hAnsi="仿宋" w:eastAsia="仿宋" w:cs="仿宋"/>
                <w:color w:val="auto"/>
                <w:sz w:val="24"/>
              </w:rPr>
            </w:pPr>
          </w:p>
        </w:tc>
        <w:tc>
          <w:tcPr>
            <w:tcW w:w="1571" w:type="dxa"/>
            <w:vMerge w:val="continue"/>
            <w:vAlign w:val="center"/>
          </w:tcPr>
          <w:p>
            <w:pPr>
              <w:snapToGrid w:val="0"/>
              <w:spacing w:line="400" w:lineRule="exact"/>
              <w:jc w:val="center"/>
              <w:rPr>
                <w:rFonts w:ascii="仿宋" w:hAnsi="仿宋" w:eastAsia="仿宋" w:cs="仿宋"/>
                <w:b/>
                <w:color w:val="auto"/>
                <w:sz w:val="24"/>
              </w:rPr>
            </w:pPr>
          </w:p>
        </w:tc>
        <w:tc>
          <w:tcPr>
            <w:tcW w:w="7351" w:type="dxa"/>
            <w:vAlign w:val="center"/>
          </w:tcPr>
          <w:p>
            <w:pPr>
              <w:spacing w:line="400" w:lineRule="exact"/>
              <w:rPr>
                <w:rFonts w:ascii="仿宋" w:hAnsi="仿宋" w:eastAsia="仿宋" w:cs="仿宋"/>
                <w:snapToGrid w:val="0"/>
                <w:color w:val="auto"/>
                <w:kern w:val="28"/>
                <w:sz w:val="24"/>
              </w:rPr>
            </w:pPr>
            <w:sdt>
              <w:sdtPr>
                <w:rPr>
                  <w:rFonts w:hint="eastAsia" w:ascii="仿宋" w:hAnsi="仿宋" w:eastAsia="仿宋" w:cs="仿宋"/>
                  <w:snapToGrid w:val="0"/>
                  <w:color w:val="auto"/>
                  <w:kern w:val="28"/>
                  <w:sz w:val="24"/>
                </w:rPr>
                <w:id w:val="-181633666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rPr>
              </w:sdtEndPr>
              <w:sdtContent>
                <w:r>
                  <w:rPr>
                    <w:rFonts w:hint="eastAsia" w:ascii="仿宋" w:hAnsi="仿宋" w:eastAsia="仿宋" w:cs="仿宋"/>
                    <w:snapToGrid w:val="0"/>
                    <w:color w:val="auto"/>
                    <w:kern w:val="28"/>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spacing w:line="400" w:lineRule="exact"/>
              <w:rPr>
                <w:rFonts w:ascii="仿宋" w:hAnsi="仿宋" w:eastAsia="仿宋" w:cs="仿宋"/>
                <w:snapToGrid w:val="0"/>
                <w:color w:val="auto"/>
                <w:kern w:val="28"/>
                <w:sz w:val="24"/>
              </w:rPr>
            </w:pPr>
            <w:sdt>
              <w:sdtPr>
                <w:rPr>
                  <w:rFonts w:hint="eastAsia" w:ascii="仿宋" w:hAnsi="仿宋" w:eastAsia="仿宋" w:cs="仿宋"/>
                  <w:snapToGrid w:val="0"/>
                  <w:color w:val="auto"/>
                  <w:kern w:val="28"/>
                  <w:sz w:val="24"/>
                </w:rPr>
                <w:id w:val="-23231189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rPr>
              </w:sdtEndPr>
              <w:sdtContent>
                <w:r>
                  <w:rPr>
                    <w:rFonts w:hint="eastAsia" w:ascii="仿宋" w:hAnsi="仿宋" w:eastAsia="仿宋" w:cs="仿宋"/>
                    <w:snapToGrid w:val="0"/>
                    <w:color w:val="auto"/>
                    <w:kern w:val="28"/>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51" w:hRule="atLeast"/>
          <w:tblHeader/>
          <w:jc w:val="center"/>
        </w:trPr>
        <w:tc>
          <w:tcPr>
            <w:tcW w:w="657" w:type="dxa"/>
            <w:vMerge w:val="continue"/>
            <w:vAlign w:val="center"/>
          </w:tcPr>
          <w:p>
            <w:pPr>
              <w:snapToGrid w:val="0"/>
              <w:spacing w:line="400" w:lineRule="exact"/>
              <w:jc w:val="center"/>
              <w:rPr>
                <w:rFonts w:ascii="仿宋" w:hAnsi="仿宋" w:eastAsia="仿宋" w:cs="仿宋"/>
                <w:color w:val="auto"/>
                <w:sz w:val="24"/>
              </w:rPr>
            </w:pPr>
          </w:p>
        </w:tc>
        <w:tc>
          <w:tcPr>
            <w:tcW w:w="1571" w:type="dxa"/>
            <w:vMerge w:val="continue"/>
            <w:vAlign w:val="center"/>
          </w:tcPr>
          <w:p>
            <w:pPr>
              <w:snapToGrid w:val="0"/>
              <w:spacing w:line="400" w:lineRule="exact"/>
              <w:jc w:val="center"/>
              <w:rPr>
                <w:rFonts w:ascii="仿宋" w:hAnsi="仿宋" w:eastAsia="仿宋" w:cs="仿宋"/>
                <w:b/>
                <w:color w:val="auto"/>
                <w:sz w:val="24"/>
              </w:rPr>
            </w:pPr>
          </w:p>
        </w:tc>
        <w:tc>
          <w:tcPr>
            <w:tcW w:w="7351" w:type="dxa"/>
            <w:vAlign w:val="center"/>
          </w:tcPr>
          <w:p>
            <w:pPr>
              <w:spacing w:line="400" w:lineRule="exact"/>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中标人在收到中标通知后3个工作日内提交纸质版投标文件（内容同电子投标文件）一正一副，用于项目资料存档。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1" w:hRule="atLeast"/>
          <w:tblHeader/>
          <w:jc w:val="center"/>
        </w:trPr>
        <w:tc>
          <w:tcPr>
            <w:tcW w:w="657" w:type="dxa"/>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15</w:t>
            </w:r>
          </w:p>
        </w:tc>
        <w:tc>
          <w:tcPr>
            <w:tcW w:w="157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招标文件解释权</w:t>
            </w:r>
          </w:p>
        </w:tc>
        <w:tc>
          <w:tcPr>
            <w:tcW w:w="7351" w:type="dxa"/>
            <w:vAlign w:val="center"/>
          </w:tcPr>
          <w:p>
            <w:pPr>
              <w:spacing w:line="400" w:lineRule="exact"/>
              <w:rPr>
                <w:rFonts w:ascii="仿宋" w:hAnsi="仿宋" w:eastAsia="仿宋" w:cs="仿宋"/>
                <w:snapToGrid w:val="0"/>
                <w:color w:val="auto"/>
                <w:kern w:val="28"/>
                <w:sz w:val="24"/>
              </w:rPr>
            </w:pPr>
            <w:r>
              <w:rPr>
                <w:rFonts w:hint="eastAsia" w:ascii="仿宋" w:hAnsi="仿宋" w:eastAsia="仿宋" w:cs="仿宋"/>
                <w:bCs/>
                <w:color w:val="auto"/>
                <w:sz w:val="24"/>
              </w:rPr>
              <w:t>本文件的解释权归浙江省成套招标代理有限公司和浙江省药品监督管理局所有。</w:t>
            </w:r>
          </w:p>
        </w:tc>
      </w:tr>
    </w:tbl>
    <w:p>
      <w:pPr>
        <w:snapToGrid w:val="0"/>
        <w:spacing w:line="360" w:lineRule="auto"/>
        <w:jc w:val="center"/>
        <w:rPr>
          <w:rFonts w:ascii="仿宋" w:hAnsi="仿宋" w:eastAsia="仿宋" w:cs="仿宋"/>
          <w:b/>
          <w:color w:val="auto"/>
          <w:sz w:val="32"/>
          <w:szCs w:val="20"/>
        </w:rPr>
      </w:pPr>
    </w:p>
    <w:bookmarkEnd w:id="3"/>
    <w:p>
      <w:pPr>
        <w:rPr>
          <w:rFonts w:ascii="仿宋" w:hAnsi="仿宋" w:eastAsia="仿宋" w:cs="仿宋"/>
          <w:b/>
          <w:color w:val="auto"/>
          <w:sz w:val="32"/>
          <w:szCs w:val="20"/>
        </w:rPr>
      </w:pPr>
      <w:bookmarkStart w:id="4" w:name="第三部分"/>
      <w:bookmarkStart w:id="5" w:name="_Toc164416483"/>
      <w:r>
        <w:rPr>
          <w:rFonts w:hint="eastAsia" w:ascii="仿宋" w:hAnsi="仿宋" w:eastAsia="仿宋" w:cs="仿宋"/>
          <w:b/>
          <w:color w:val="auto"/>
          <w:sz w:val="32"/>
          <w:szCs w:val="20"/>
        </w:rPr>
        <w:br w:type="page"/>
      </w:r>
    </w:p>
    <w:p>
      <w:pPr>
        <w:adjustRightInd/>
        <w:spacing w:line="36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2.定义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71538679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sdt>
            <w:sdtPr>
              <w:rPr>
                <w:rFonts w:hint="eastAsia" w:ascii="仿宋" w:hAnsi="仿宋" w:eastAsia="仿宋" w:cs="仿宋"/>
                <w:color w:val="auto"/>
                <w:kern w:val="0"/>
                <w:sz w:val="24"/>
              </w:rPr>
              <w:id w:val="1437637723"/>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08059438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346484563"/>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 系指不适用本项目的要求。</w:t>
      </w:r>
    </w:p>
    <w:p>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 本项目采购本国生产的货物、工程和服务，不允许采购进口产品。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r>
        <w:rPr>
          <w:rFonts w:hint="eastAsia" w:ascii="楷体" w:hAnsi="楷体" w:eastAsia="楷体" w:cs="楷体"/>
          <w:b/>
          <w:bCs/>
          <w:color w:val="auto"/>
        </w:rPr>
        <w:t>【</w:t>
      </w:r>
      <w:r>
        <w:rPr>
          <w:rFonts w:hint="eastAsia" w:ascii="楷体" w:hAnsi="楷体" w:eastAsia="楷体" w:cs="楷体"/>
          <w:b/>
          <w:bCs/>
          <w:color w:val="auto"/>
          <w:lang w:val="en-US" w:eastAsia="zh-CN"/>
        </w:rPr>
        <w:t>说明：</w:t>
      </w:r>
      <w:r>
        <w:rPr>
          <w:rFonts w:hint="eastAsia" w:ascii="楷体" w:hAnsi="楷体" w:eastAsia="楷体" w:cs="楷体"/>
          <w:b/>
          <w:bCs/>
          <w:color w:val="auto"/>
        </w:rPr>
        <w:t>本项目不涉及强制节能产品】</w:t>
      </w:r>
    </w:p>
    <w:p>
      <w:pPr>
        <w:snapToGrid w:val="0"/>
        <w:spacing w:line="300" w:lineRule="auto"/>
        <w:ind w:firstLine="480" w:firstLineChars="200"/>
        <w:rPr>
          <w:rFonts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r>
        <w:rPr>
          <w:rFonts w:hint="default" w:ascii="Calibri" w:hAnsi="Calibri" w:eastAsia="宋体" w:cs="Calibri"/>
          <w:b/>
          <w:bCs/>
          <w:color w:val="auto"/>
          <w:sz w:val="21"/>
          <w:szCs w:val="21"/>
        </w:rPr>
        <w:t>【</w:t>
      </w:r>
      <w:r>
        <w:rPr>
          <w:rFonts w:hint="eastAsia" w:ascii="楷体" w:hAnsi="楷体" w:eastAsia="楷体" w:cs="楷体"/>
          <w:b/>
          <w:bCs/>
          <w:color w:val="auto"/>
          <w:lang w:val="en-US" w:eastAsia="zh-CN"/>
        </w:rPr>
        <w:t>说明：</w:t>
      </w:r>
      <w:r>
        <w:rPr>
          <w:rFonts w:hint="eastAsia" w:ascii="楷体" w:hAnsi="楷体" w:eastAsia="楷体" w:cs="楷体"/>
          <w:b/>
          <w:bCs/>
          <w:color w:val="auto"/>
          <w:sz w:val="21"/>
          <w:szCs w:val="21"/>
        </w:rPr>
        <w:t>本项目不涉及建材</w:t>
      </w:r>
      <w:r>
        <w:rPr>
          <w:rFonts w:hint="default" w:ascii="Calibri" w:hAnsi="Calibri" w:eastAsia="宋体" w:cs="Calibri"/>
          <w:b/>
          <w:bCs/>
          <w:color w:val="auto"/>
          <w:sz w:val="21"/>
          <w:szCs w:val="21"/>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sz w:val="24"/>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3.4.1采购人优先采购被认定为首台套产品和“制造精品”的自主创新产品。</w:t>
      </w:r>
      <w:r>
        <w:rPr>
          <w:rFonts w:hint="eastAsia" w:cs="Calibri"/>
          <w:b/>
          <w:bCs/>
          <w:color w:val="auto"/>
          <w:sz w:val="21"/>
          <w:szCs w:val="21"/>
          <w:lang w:eastAsia="zh-CN"/>
        </w:rPr>
        <w:t>【</w:t>
      </w:r>
      <w:r>
        <w:rPr>
          <w:rFonts w:hint="eastAsia" w:ascii="楷体" w:hAnsi="楷体" w:eastAsia="楷体" w:cs="楷体"/>
          <w:b/>
          <w:bCs/>
          <w:color w:val="auto"/>
          <w:lang w:val="en-US" w:eastAsia="zh-CN"/>
        </w:rPr>
        <w:t>说明：</w:t>
      </w:r>
      <w:r>
        <w:rPr>
          <w:rFonts w:hint="eastAsia" w:ascii="楷体" w:hAnsi="楷体" w:eastAsia="楷体" w:cs="楷体"/>
          <w:b/>
          <w:bCs/>
          <w:color w:val="auto"/>
          <w:sz w:val="21"/>
          <w:szCs w:val="21"/>
          <w:lang w:val="en-US" w:eastAsia="zh-CN"/>
        </w:rPr>
        <w:t>本项目不涉及</w:t>
      </w:r>
      <w:r>
        <w:rPr>
          <w:rFonts w:hint="eastAsia" w:cs="Calibri"/>
          <w:b/>
          <w:bCs/>
          <w:color w:val="auto"/>
          <w:sz w:val="21"/>
          <w:szCs w:val="21"/>
          <w:lang w:eastAsia="zh-CN"/>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cs="Calibri"/>
          <w:b/>
          <w:bCs/>
          <w:color w:val="auto"/>
          <w:sz w:val="21"/>
          <w:szCs w:val="21"/>
          <w:lang w:eastAsia="zh-CN"/>
        </w:rPr>
        <w:t>【</w:t>
      </w:r>
      <w:r>
        <w:rPr>
          <w:rFonts w:hint="eastAsia" w:ascii="楷体" w:hAnsi="楷体" w:eastAsia="楷体" w:cs="楷体"/>
          <w:b/>
          <w:bCs/>
          <w:color w:val="auto"/>
          <w:lang w:val="en-US" w:eastAsia="zh-CN"/>
        </w:rPr>
        <w:t>说明：</w:t>
      </w:r>
      <w:r>
        <w:rPr>
          <w:rFonts w:hint="eastAsia" w:ascii="楷体" w:hAnsi="楷体" w:eastAsia="楷体" w:cs="楷体"/>
          <w:b/>
          <w:bCs/>
          <w:color w:val="auto"/>
          <w:sz w:val="21"/>
          <w:szCs w:val="21"/>
          <w:lang w:val="en-US" w:eastAsia="zh-CN"/>
        </w:rPr>
        <w:t>本项目不涉及</w:t>
      </w:r>
      <w:r>
        <w:rPr>
          <w:rFonts w:hint="eastAsia" w:cs="Calibri"/>
          <w:b/>
          <w:bCs/>
          <w:color w:val="auto"/>
          <w:sz w:val="21"/>
          <w:szCs w:val="21"/>
          <w:lang w:eastAsia="zh-CN"/>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w:t>
      </w:r>
      <w:r>
        <w:rPr>
          <w:rFonts w:hint="eastAsia" w:ascii="仿宋" w:hAnsi="仿宋" w:eastAsia="仿宋" w:cs="仿宋"/>
          <w:color w:val="auto"/>
          <w:kern w:val="0"/>
          <w:sz w:val="24"/>
        </w:rPr>
        <w:t>投标人</w:t>
      </w:r>
      <w:r>
        <w:rPr>
          <w:rFonts w:hint="eastAsia" w:ascii="仿宋" w:hAnsi="仿宋" w:eastAsia="仿宋" w:cs="仿宋"/>
          <w:color w:val="auto"/>
          <w:kern w:val="0"/>
          <w:sz w:val="24"/>
          <w:lang w:val="zh-CN"/>
        </w:rPr>
        <w:t>在线提起询问，路径为：政采云-项目采购-询问质疑投诉-询问列表；鼓励</w:t>
      </w:r>
      <w:r>
        <w:rPr>
          <w:rFonts w:hint="eastAsia" w:ascii="仿宋" w:hAnsi="仿宋" w:eastAsia="仿宋" w:cs="仿宋"/>
          <w:color w:val="auto"/>
          <w:kern w:val="0"/>
          <w:sz w:val="24"/>
        </w:rPr>
        <w:t>投标人</w:t>
      </w:r>
      <w:r>
        <w:rPr>
          <w:rFonts w:hint="eastAsia" w:ascii="仿宋" w:hAnsi="仿宋" w:eastAsia="仿宋" w:cs="仿宋"/>
          <w:color w:val="auto"/>
          <w:kern w:val="0"/>
          <w:sz w:val="24"/>
          <w:lang w:val="zh-CN"/>
        </w:rPr>
        <w:t>在线提起质疑，路径为：政采云-项目采购-询问质疑投诉-质疑列表。质疑</w:t>
      </w:r>
      <w:r>
        <w:rPr>
          <w:rFonts w:hint="eastAsia" w:ascii="仿宋" w:hAnsi="仿宋" w:eastAsia="仿宋" w:cs="仿宋"/>
          <w:color w:val="auto"/>
          <w:kern w:val="0"/>
          <w:sz w:val="24"/>
        </w:rPr>
        <w:t>投标人</w:t>
      </w:r>
      <w:r>
        <w:rPr>
          <w:rFonts w:hint="eastAsia" w:ascii="仿宋" w:hAnsi="仿宋" w:eastAsia="仿宋" w:cs="仿宋"/>
          <w:color w:val="auto"/>
          <w:kern w:val="0"/>
          <w:sz w:val="24"/>
          <w:lang w:val="zh-CN"/>
        </w:rPr>
        <w:t>对在线质疑答复不满意的，可在线提起投诉，路径为：浙江政府服务网-政府采购投诉处理-在线办理。</w:t>
      </w:r>
    </w:p>
    <w:p>
      <w:pPr>
        <w:autoSpaceDE w:val="0"/>
        <w:autoSpaceDN w:val="0"/>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4.</w:t>
      </w:r>
      <w:r>
        <w:rPr>
          <w:rFonts w:hint="eastAsia" w:ascii="仿宋" w:hAnsi="仿宋" w:eastAsia="仿宋" w:cs="仿宋"/>
          <w:color w:val="auto"/>
          <w:kern w:val="0"/>
          <w:sz w:val="24"/>
        </w:rPr>
        <w:t>2</w:t>
      </w:r>
      <w:r>
        <w:rPr>
          <w:rFonts w:hint="eastAsia" w:ascii="仿宋" w:hAnsi="仿宋" w:eastAsia="仿宋" w:cs="仿宋"/>
          <w:color w:val="auto"/>
          <w:kern w:val="0"/>
          <w:sz w:val="24"/>
          <w:lang w:val="zh-CN"/>
        </w:rPr>
        <w:t>投标人询问</w:t>
      </w:r>
    </w:p>
    <w:p>
      <w:pPr>
        <w:autoSpaceDE w:val="0"/>
        <w:autoSpaceDN w:val="0"/>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autoSpaceDE w:val="0"/>
        <w:autoSpaceDN w:val="0"/>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4.</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投标人质疑</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w:t>
      </w:r>
      <w:r>
        <w:rPr>
          <w:rFonts w:hint="eastAsia" w:ascii="仿宋" w:hAnsi="仿宋" w:eastAsia="仿宋" w:cs="仿宋"/>
          <w:color w:val="auto"/>
          <w:kern w:val="0"/>
          <w:sz w:val="24"/>
        </w:rPr>
        <w:t>3</w:t>
      </w:r>
      <w:r>
        <w:rPr>
          <w:rFonts w:hint="eastAsia" w:ascii="仿宋" w:hAnsi="仿宋" w:eastAsia="仿宋" w:cs="仿宋"/>
          <w:color w:val="auto"/>
          <w:sz w:val="24"/>
        </w:rPr>
        <w:t>.1提出质疑的投标人应当是参与所质疑项目采购活动的投标人。潜在投标人已依法获取其可质疑的招标文件的，可以对该文件提出质疑。</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w:t>
      </w:r>
      <w:r>
        <w:rPr>
          <w:rFonts w:hint="eastAsia" w:ascii="仿宋" w:hAnsi="仿宋" w:eastAsia="仿宋" w:cs="仿宋"/>
          <w:color w:val="auto"/>
          <w:kern w:val="0"/>
          <w:sz w:val="24"/>
        </w:rPr>
        <w:t>3</w:t>
      </w:r>
      <w:r>
        <w:rPr>
          <w:rFonts w:hint="eastAsia" w:ascii="仿宋" w:hAnsi="仿宋" w:eastAsia="仿宋" w:cs="仿宋"/>
          <w:color w:val="auto"/>
          <w:sz w:val="24"/>
        </w:rPr>
        <w:t>.2投标人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4.3.2.1对招标文件提出质疑的，质疑期限为投标人获得招标文件之日或者招标文件公告期限届满之日起计算。</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4.3.2.2对采购过程提出质疑的，质疑期限为各采购程序环节结束之日起计算。对同一采购程序环节的质疑，投标人须一次性提出。</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4.3.2.3对采购结果提出质疑的，质疑期限自采购结果公告期限届满之日起计算。</w:t>
      </w:r>
    </w:p>
    <w:p>
      <w:pPr>
        <w:pStyle w:val="35"/>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4.</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.3</w:t>
      </w:r>
      <w:r>
        <w:rPr>
          <w:rFonts w:hint="eastAsia" w:ascii="仿宋" w:hAnsi="仿宋" w:eastAsia="仿宋" w:cs="仿宋"/>
          <w:color w:val="auto"/>
          <w:sz w:val="24"/>
        </w:rPr>
        <w:t>投标人提出质疑应当提交质疑函和必要的证明材料。质疑函应当包括下列内容：</w:t>
      </w:r>
    </w:p>
    <w:p>
      <w:pPr>
        <w:pStyle w:val="35"/>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4.</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.3.1投标人的姓名或者名称、地址、邮编、联系人及联系电话；</w:t>
      </w:r>
    </w:p>
    <w:p>
      <w:pPr>
        <w:pStyle w:val="35"/>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4.</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.3.2质疑项目的名称、编号；</w:t>
      </w:r>
    </w:p>
    <w:p>
      <w:pPr>
        <w:pStyle w:val="35"/>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4.</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.3.3具体、明确的质疑事项和与质疑事项相关的请求；</w:t>
      </w:r>
    </w:p>
    <w:p>
      <w:pPr>
        <w:pStyle w:val="35"/>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4.</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.3.4事实依据；</w:t>
      </w:r>
    </w:p>
    <w:p>
      <w:pPr>
        <w:pStyle w:val="35"/>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4.</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.3.5必要的法律依据；</w:t>
      </w:r>
    </w:p>
    <w:p>
      <w:pPr>
        <w:pStyle w:val="35"/>
        <w:spacing w:line="360" w:lineRule="auto"/>
        <w:ind w:firstLine="960" w:firstLineChars="400"/>
        <w:rPr>
          <w:rFonts w:ascii="仿宋" w:hAnsi="仿宋" w:eastAsia="仿宋" w:cs="仿宋"/>
          <w:color w:val="auto"/>
          <w:kern w:val="0"/>
          <w:sz w:val="24"/>
          <w:lang w:val="zh-CN"/>
        </w:rPr>
      </w:pPr>
      <w:r>
        <w:rPr>
          <w:rFonts w:hint="eastAsia" w:ascii="仿宋" w:hAnsi="仿宋" w:eastAsia="仿宋" w:cs="仿宋"/>
          <w:color w:val="auto"/>
          <w:kern w:val="0"/>
          <w:sz w:val="24"/>
          <w:lang w:val="zh-CN"/>
        </w:rPr>
        <w:t>4.</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.3.6提出质疑的日期。</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投标人提交的质疑函需一式三份。投标人为自然人的，应当由本人签字；投标人为法人或者其他组织的，应当由法定代表人、主要负责人，或者其授权代表签字或者盖章，并加盖公章。</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质疑函范本及制作说明详见附件2。</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4.</w:t>
      </w:r>
      <w:r>
        <w:rPr>
          <w:rFonts w:hint="eastAsia" w:ascii="仿宋" w:hAnsi="仿宋" w:eastAsia="仿宋" w:cs="仿宋"/>
          <w:color w:val="auto"/>
          <w:sz w:val="24"/>
        </w:rPr>
        <w:t>3.4采购人或者采购机构应当在收到投标人的书面质疑后七个工作日内作出答复，并以书面形式通知质疑投标人和其他与质疑处理结果有利害关系的政府采购当事人，但答复的内容不得涉及商业秘密。《浙江省财政厅关于进一步促进政府采购公平竞争打造最优营商环境的通知》（浙财采监〔2021〕22号）,质疑答复内容应全面完整，质疑答复人应将质疑答复内容及时在浙江政府采购网公开，涉及国家秘密、个人隐私、商业秘密以及法律、法规规定应予保密的信息内容除外。</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4.</w:t>
      </w:r>
      <w:r>
        <w:rPr>
          <w:rFonts w:hint="eastAsia" w:ascii="仿宋" w:hAnsi="仿宋" w:eastAsia="仿宋" w:cs="仿宋"/>
          <w:color w:val="auto"/>
          <w:sz w:val="24"/>
        </w:rPr>
        <w:t>3.5询问或者质疑事项可能影响采购结果的，采购人应当暂停签订合同，已经签订合同的，应当中止履行合同。</w:t>
      </w:r>
    </w:p>
    <w:p>
      <w:pPr>
        <w:pStyle w:val="35"/>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4.</w:t>
      </w:r>
      <w:r>
        <w:rPr>
          <w:rFonts w:hint="eastAsia" w:ascii="仿宋" w:hAnsi="仿宋" w:eastAsia="仿宋" w:cs="仿宋"/>
          <w:color w:val="auto"/>
          <w:sz w:val="24"/>
        </w:rPr>
        <w:t>4</w:t>
      </w:r>
      <w:r>
        <w:rPr>
          <w:rFonts w:hint="eastAsia" w:ascii="仿宋" w:hAnsi="仿宋" w:eastAsia="仿宋" w:cs="仿宋"/>
          <w:color w:val="auto"/>
          <w:sz w:val="24"/>
          <w:lang w:val="zh-CN"/>
        </w:rPr>
        <w:t>投标人投诉</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4.4.1质疑投标人对采购人、采购机构的答复不满意或者采购人、采购机构未在规定的时间内作出答复的，可以在答复期满后十五个工作日内向同级政府采购监督管理部门提出投诉。</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w:t>
      </w:r>
      <w:r>
        <w:rPr>
          <w:rFonts w:hint="eastAsia" w:ascii="仿宋" w:hAnsi="仿宋" w:eastAsia="仿宋" w:cs="仿宋"/>
          <w:color w:val="auto"/>
          <w:sz w:val="24"/>
          <w:lang w:val="zh-CN"/>
        </w:rPr>
        <w:t>2</w:t>
      </w:r>
      <w:r>
        <w:rPr>
          <w:rFonts w:hint="eastAsia" w:ascii="仿宋" w:hAnsi="仿宋" w:eastAsia="仿宋" w:cs="仿宋"/>
          <w:color w:val="auto"/>
          <w:sz w:val="24"/>
        </w:rPr>
        <w:t>投标人投诉的事项不得超出已质疑事项的范围，基于质疑答复内容提出的投诉事项除外。</w:t>
      </w:r>
    </w:p>
    <w:p>
      <w:pPr>
        <w:pStyle w:val="3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4.4.3投标人投诉应当有明确的请求和必要的证明材料。</w:t>
      </w:r>
    </w:p>
    <w:p>
      <w:pPr>
        <w:pStyle w:val="35"/>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4.4.4 以联合体形式参加政府采购活动的，其投诉应当由组成联合体的所有投标人共同提出。</w:t>
      </w:r>
    </w:p>
    <w:p>
      <w:pPr>
        <w:pStyle w:val="35"/>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5"/>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5"/>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5"/>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5.1.1招标公告；</w:t>
      </w:r>
    </w:p>
    <w:p>
      <w:pPr>
        <w:pStyle w:val="35"/>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5"/>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5.1.3采购需求；</w:t>
      </w:r>
    </w:p>
    <w:p>
      <w:pPr>
        <w:pStyle w:val="35"/>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5.1.4评标办法；</w:t>
      </w:r>
    </w:p>
    <w:p>
      <w:pPr>
        <w:pStyle w:val="35"/>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5"/>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5"/>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6.1已获取招标文件的潜在投标人，若有问题需要澄清，应于投标截止时间前，以书面形式或政采云线上询问方式向采购机构提出。</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ascii="仿宋" w:hAnsi="仿宋" w:eastAsia="仿宋" w:cs="仿宋"/>
          <w:b/>
          <w:color w:val="auto"/>
          <w:sz w:val="30"/>
          <w:szCs w:val="20"/>
        </w:rPr>
      </w:pPr>
      <w:r>
        <w:rPr>
          <w:rFonts w:hint="eastAsia" w:ascii="仿宋" w:hAnsi="仿宋" w:eastAsia="仿宋" w:cs="仿宋"/>
          <w:b/>
          <w:color w:val="auto"/>
          <w:sz w:val="30"/>
          <w:szCs w:val="20"/>
        </w:rPr>
        <w:t>三、投标</w:t>
      </w:r>
    </w:p>
    <w:p>
      <w:pPr>
        <w:pStyle w:val="35"/>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5"/>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5"/>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11.1资格文件：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11.1.2联合协议（如果有)；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11.1.3落实政府采购政策需满足的其他资格要求；</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11.1.4本项目的特定资格要求（如果有)。</w:t>
      </w:r>
    </w:p>
    <w:p>
      <w:pPr>
        <w:snapToGrid w:val="0"/>
        <w:spacing w:line="360" w:lineRule="auto"/>
        <w:ind w:firstLine="482" w:firstLineChars="200"/>
        <w:rPr>
          <w:rFonts w:ascii="仿宋" w:hAnsi="仿宋" w:eastAsia="仿宋" w:cs="仿宋"/>
          <w:b/>
          <w:bCs/>
          <w:color w:val="auto"/>
          <w:sz w:val="24"/>
          <w:lang w:val="zh-CN"/>
        </w:rPr>
      </w:pPr>
      <w:r>
        <w:rPr>
          <w:rFonts w:hint="eastAsia" w:ascii="仿宋" w:hAnsi="仿宋" w:eastAsia="仿宋" w:cs="仿宋"/>
          <w:b/>
          <w:bCs/>
          <w:color w:val="auto"/>
          <w:sz w:val="24"/>
          <w:lang w:val="zh-CN"/>
        </w:rPr>
        <w:t>11.</w:t>
      </w:r>
      <w:r>
        <w:rPr>
          <w:rFonts w:hint="eastAsia" w:ascii="仿宋" w:hAnsi="仿宋" w:eastAsia="仿宋" w:cs="仿宋"/>
          <w:b/>
          <w:bCs/>
          <w:color w:val="auto"/>
          <w:sz w:val="24"/>
        </w:rPr>
        <w:t>2</w:t>
      </w:r>
      <w:r>
        <w:rPr>
          <w:rFonts w:hint="eastAsia" w:ascii="仿宋" w:hAnsi="仿宋" w:eastAsia="仿宋" w:cs="仿宋"/>
          <w:b/>
          <w:bCs/>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11.2.3分包意向协议（如果有)；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11.2.4符合性审查资料；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11.2.5评标标准相应的商务技术资料；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11.2.6投标标的清单；</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政府采购投标人廉洁自律承诺书；</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9投标人认为需要的其他技术文件资料或说明。</w:t>
      </w:r>
    </w:p>
    <w:p>
      <w:pPr>
        <w:snapToGrid w:val="0"/>
        <w:spacing w:line="360" w:lineRule="auto"/>
        <w:ind w:firstLine="482" w:firstLineChars="200"/>
        <w:rPr>
          <w:rFonts w:ascii="仿宋" w:hAnsi="仿宋" w:eastAsia="仿宋" w:cs="仿宋"/>
          <w:b/>
          <w:bCs/>
          <w:color w:val="auto"/>
          <w:sz w:val="24"/>
          <w:u w:val="single"/>
          <w:lang w:val="zh-CN"/>
        </w:rPr>
      </w:pPr>
      <w:r>
        <w:rPr>
          <w:rFonts w:hint="eastAsia" w:ascii="仿宋" w:hAnsi="仿宋" w:eastAsia="仿宋" w:cs="仿宋"/>
          <w:b/>
          <w:bCs/>
          <w:color w:val="auto"/>
          <w:kern w:val="0"/>
          <w:sz w:val="24"/>
          <w:lang w:val="zh-CN"/>
        </w:rPr>
        <w:t>11.</w:t>
      </w:r>
      <w:r>
        <w:rPr>
          <w:rFonts w:hint="eastAsia" w:ascii="仿宋" w:hAnsi="仿宋" w:eastAsia="仿宋" w:cs="仿宋"/>
          <w:b/>
          <w:bCs/>
          <w:color w:val="auto"/>
          <w:kern w:val="0"/>
          <w:sz w:val="24"/>
        </w:rPr>
        <w:t>3</w:t>
      </w:r>
      <w:r>
        <w:rPr>
          <w:rFonts w:hint="eastAsia" w:ascii="仿宋" w:hAnsi="仿宋" w:eastAsia="仿宋" w:cs="仿宋"/>
          <w:b/>
          <w:bCs/>
          <w:color w:val="auto"/>
          <w:sz w:val="24"/>
        </w:rPr>
        <w:t xml:space="preserve">报价文件： </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11.3.1开标一览表（报价表）；</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0"/>
        <w:snapToGrid w:val="0"/>
        <w:spacing w:before="0"/>
        <w:ind w:firstLine="0" w:firstLineChars="0"/>
        <w:outlineLvl w:val="0"/>
        <w:rPr>
          <w:rFonts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14. 投标文件的提交、补充、修改、撤回</w:t>
      </w:r>
    </w:p>
    <w:p>
      <w:pPr>
        <w:pStyle w:val="130"/>
        <w:snapToGrid w:val="0"/>
        <w:spacing w:before="0"/>
        <w:ind w:firstLine="480"/>
        <w:rPr>
          <w:rFonts w:ascii="仿宋" w:hAnsi="仿宋" w:eastAsia="仿宋" w:cs="仿宋"/>
          <w:color w:val="auto"/>
          <w:szCs w:val="24"/>
        </w:rPr>
      </w:pPr>
      <w:r>
        <w:rPr>
          <w:rFonts w:hint="eastAsia" w:ascii="仿宋" w:hAnsi="仿宋" w:eastAsia="仿宋" w:cs="仿宋"/>
          <w:color w:val="auto"/>
          <w:szCs w:val="24"/>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14.2电子交易平台收到投标文件，将妥善保存并即时向投标人发出确认回执通知。在投标截止时间前，除投标人补充、修改或者撤回投标文件外，任何单位和个人不得解密或提取投标文件。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5"/>
        <w:spacing w:line="360" w:lineRule="auto"/>
        <w:ind w:firstLine="360" w:firstLineChars="150"/>
        <w:rPr>
          <w:rFonts w:ascii="仿宋" w:hAnsi="仿宋" w:eastAsia="仿宋" w:cs="仿宋"/>
          <w:b/>
          <w:bCs/>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bCs/>
          <w:color w:val="auto"/>
          <w:sz w:val="24"/>
          <w:szCs w:val="24"/>
        </w:rPr>
        <w:t>但采购人、采购机构不强制或变相强制投标人提交备份投标文件。</w:t>
      </w:r>
    </w:p>
    <w:p>
      <w:pPr>
        <w:pStyle w:val="35"/>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5"/>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7" w:firstLineChars="199"/>
        <w:rPr>
          <w:rFonts w:ascii="仿宋" w:hAnsi="仿宋" w:eastAsia="仿宋" w:cs="仿宋"/>
          <w:b/>
          <w:color w:val="auto"/>
          <w:sz w:val="24"/>
          <w:szCs w:val="24"/>
        </w:rPr>
      </w:pPr>
      <w:r>
        <w:rPr>
          <w:rFonts w:hint="eastAsia" w:ascii="仿宋" w:hAnsi="仿宋" w:eastAsia="仿宋" w:cs="仿宋"/>
          <w:color w:val="auto"/>
          <w:sz w:val="24"/>
          <w:szCs w:val="20"/>
        </w:rPr>
        <w:t>▲</w:t>
      </w:r>
      <w:r>
        <w:rPr>
          <w:rFonts w:hint="eastAsia" w:ascii="仿宋" w:hAnsi="仿宋" w:eastAsia="仿宋" w:cs="仿宋"/>
          <w:b/>
          <w:color w:val="auto"/>
          <w:sz w:val="24"/>
          <w:szCs w:val="24"/>
        </w:rPr>
        <w:t>15.5投标人仅提交备份投标文件，没有在电子交易平台传输递交投标文件的，投标无效。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16.投标文件的无效处理</w:t>
      </w:r>
    </w:p>
    <w:p>
      <w:pPr>
        <w:pStyle w:val="26"/>
        <w:spacing w:line="360" w:lineRule="auto"/>
        <w:ind w:firstLine="361" w:firstLineChars="150"/>
        <w:rPr>
          <w:rFonts w:ascii="仿宋" w:hAnsi="仿宋" w:eastAsia="仿宋" w:cs="仿宋"/>
          <w:b/>
          <w:bCs/>
          <w:color w:val="auto"/>
          <w:szCs w:val="21"/>
        </w:rPr>
      </w:pPr>
      <w:r>
        <w:rPr>
          <w:rFonts w:hint="eastAsia" w:ascii="仿宋" w:hAnsi="仿宋" w:eastAsia="仿宋" w:cs="仿宋"/>
          <w:b/>
          <w:bCs/>
          <w:color w:val="auto"/>
          <w:szCs w:val="20"/>
        </w:rPr>
        <w:t>▲</w:t>
      </w:r>
      <w:r>
        <w:rPr>
          <w:rFonts w:hint="eastAsia" w:ascii="仿宋" w:hAnsi="仿宋" w:eastAsia="仿宋" w:cs="仿宋"/>
          <w:b/>
          <w:bCs/>
          <w:color w:val="auto"/>
          <w:szCs w:val="21"/>
        </w:rPr>
        <w:t>有招标文件第四部分</w:t>
      </w:r>
      <w:r>
        <w:rPr>
          <w:rFonts w:hint="eastAsia" w:ascii="仿宋" w:hAnsi="仿宋" w:eastAsia="仿宋" w:cs="仿宋"/>
          <w:b/>
          <w:bCs/>
          <w:color w:val="auto"/>
        </w:rPr>
        <w:t>4.2规定</w:t>
      </w:r>
      <w:r>
        <w:rPr>
          <w:rFonts w:hint="eastAsia" w:ascii="仿宋" w:hAnsi="仿宋" w:eastAsia="仿宋" w:cs="仿宋"/>
          <w:b/>
          <w:bCs/>
          <w:color w:val="auto"/>
          <w:szCs w:val="21"/>
        </w:rPr>
        <w:t>的情形之一的，投标无效；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480"/>
        <w:rPr>
          <w:rFonts w:ascii="仿宋" w:hAnsi="仿宋" w:eastAsia="仿宋" w:cs="仿宋"/>
          <w:color w:val="auto"/>
        </w:rPr>
      </w:pPr>
    </w:p>
    <w:p>
      <w:pPr>
        <w:pStyle w:val="130"/>
        <w:spacing w:before="0"/>
        <w:ind w:firstLine="1928" w:firstLineChars="600"/>
        <w:rPr>
          <w:rFonts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 xml:space="preserve">18.开标 </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 w:hAnsi="仿宋" w:eastAsia="仿宋" w:cs="仿宋"/>
          <w:b/>
          <w:color w:val="auto"/>
          <w:sz w:val="24"/>
        </w:rPr>
      </w:pPr>
      <w:r>
        <w:rPr>
          <w:rFonts w:hint="eastAsia" w:ascii="仿宋" w:hAnsi="仿宋" w:eastAsia="仿宋" w:cs="仿宋"/>
          <w:color w:val="auto"/>
          <w:sz w:val="24"/>
        </w:rPr>
        <w:t>　</w:t>
      </w:r>
      <w:r>
        <w:rPr>
          <w:rFonts w:hint="eastAsia" w:ascii="仿宋" w:hAnsi="仿宋" w:eastAsia="仿宋" w:cs="仿宋"/>
          <w:b/>
          <w:bCs/>
          <w:color w:val="auto"/>
          <w:sz w:val="24"/>
        </w:rPr>
        <w:t>18.3投标文</w:t>
      </w:r>
      <w:r>
        <w:rPr>
          <w:rFonts w:hint="eastAsia" w:ascii="仿宋" w:hAnsi="仿宋" w:eastAsia="仿宋" w:cs="仿宋"/>
          <w:b/>
          <w:color w:val="auto"/>
          <w:sz w:val="24"/>
        </w:rPr>
        <w:t>件未按时解密，投标人提供了备份投标文件的，以备份投标文件作为依据，否则视为投标文件撤回。投标文件已按时解密的，备份投标文件自动失效。</w:t>
      </w:r>
    </w:p>
    <w:p>
      <w:pPr>
        <w:pStyle w:val="130"/>
        <w:spacing w:before="0"/>
        <w:ind w:firstLine="0" w:firstLineChars="0"/>
        <w:rPr>
          <w:rFonts w:ascii="仿宋" w:hAnsi="仿宋" w:eastAsia="仿宋" w:cs="仿宋"/>
          <w:b/>
          <w:color w:val="auto"/>
        </w:rPr>
      </w:pPr>
      <w:r>
        <w:rPr>
          <w:rFonts w:hint="eastAsia" w:ascii="仿宋" w:hAnsi="仿宋" w:eastAsia="仿宋" w:cs="仿宋"/>
          <w:b/>
          <w:color w:val="auto"/>
        </w:rPr>
        <w:t>19、资格审查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3对未通过资格审查的投标人，采购人或采购机构告知其未通过的原因。</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20、信用信息查询</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20.1信用信息查询渠道及截止时间：采购机构将通过“信用中国”网站(www.creditchina.gov.cn)、中国政府采购网(www.ccgp.gov.cn)等渠道查询投标人投标截止时间当天的信用记录。</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20.2信用信息查询记录和证据留存的具体方式：现场查询的投标人的信用记录、查询结果经确认后将与招标文件一起存档。</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20.3信用信息的使用规则：经查询列入失信被执行人名单、重大税收违法失信主体、政府采购严重违法失信行为记录名单的投标人将被拒绝参与政府采购活动。</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30"/>
        <w:spacing w:before="0"/>
        <w:ind w:firstLine="0" w:firstLineChars="0"/>
        <w:rPr>
          <w:rFonts w:ascii="仿宋" w:hAnsi="仿宋" w:eastAsia="仿宋" w:cs="仿宋"/>
          <w:color w:val="auto"/>
          <w:kern w:val="0"/>
          <w:szCs w:val="24"/>
        </w:rPr>
      </w:pP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五、评</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标</w:t>
      </w:r>
    </w:p>
    <w:p>
      <w:pPr>
        <w:spacing w:line="360" w:lineRule="auto"/>
        <w:rPr>
          <w:rFonts w:ascii="仿宋" w:hAnsi="仿宋" w:eastAsia="仿宋" w:cs="仿宋"/>
          <w:b/>
          <w:color w:val="auto"/>
          <w:sz w:val="24"/>
        </w:rPr>
      </w:pPr>
      <w:bookmarkStart w:id="6"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ascii="仿宋" w:hAnsi="仿宋" w:eastAsia="仿宋" w:cs="仿宋"/>
          <w:b/>
          <w:color w:val="auto"/>
          <w:sz w:val="24"/>
        </w:rPr>
      </w:pP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六、定 标</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22. 确定中标人</w:t>
      </w:r>
    </w:p>
    <w:p>
      <w:pPr>
        <w:pStyle w:val="130"/>
        <w:snapToGrid w:val="0"/>
        <w:spacing w:before="0"/>
        <w:ind w:firstLine="480"/>
        <w:rPr>
          <w:rFonts w:ascii="仿宋" w:hAnsi="仿宋" w:eastAsia="仿宋" w:cs="仿宋"/>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政府采购项目实行全流程电子化，评审报告送交、采购结果确定和结果公告均在线完成。为进一步提升采购结果确定效率，采购代理机构应当依法及时将评审报告在线送交采购人。采购人将自收到评审报告之日起</w:t>
      </w:r>
      <w:r>
        <w:rPr>
          <w:rFonts w:hint="eastAsia" w:ascii="仿宋" w:hAnsi="仿宋" w:eastAsia="仿宋" w:cs="仿宋"/>
          <w:b w:val="0"/>
          <w:bCs w:val="0"/>
          <w:color w:val="auto"/>
          <w:szCs w:val="24"/>
          <w:lang w:val="en-US" w:eastAsia="zh-CN"/>
        </w:rPr>
        <w:t>在规定的时间内</w:t>
      </w:r>
      <w:r>
        <w:rPr>
          <w:rFonts w:hint="eastAsia" w:ascii="仿宋" w:hAnsi="仿宋" w:eastAsia="仿宋" w:cs="仿宋"/>
          <w:color w:val="auto"/>
          <w:szCs w:val="24"/>
        </w:rPr>
        <w:t>通过电子交易平台在评审报告推荐的中标候选人中按顺序确定中标人。中标、成交通知书和中标、成交结果公告应当在规定时间内同时发出。</w:t>
      </w:r>
    </w:p>
    <w:p>
      <w:pPr>
        <w:pStyle w:val="130"/>
        <w:numPr>
          <w:ilvl w:val="0"/>
          <w:numId w:val="1"/>
        </w:numPr>
        <w:snapToGrid w:val="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中标通知与中标结果公告</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23.1自中标人确定之日起2个工作日内，采购机构通过电子交易平台向中标人发出中标通知书，同时编制发布采购结果公告。采购机构也可以以纸质形式进行中标通知。</w:t>
      </w:r>
    </w:p>
    <w:p>
      <w:pPr>
        <w:pStyle w:val="130"/>
        <w:snapToGrid w:val="0"/>
        <w:spacing w:before="0"/>
        <w:ind w:firstLine="480"/>
        <w:rPr>
          <w:rFonts w:hint="eastAsia" w:ascii="仿宋" w:hAnsi="仿宋" w:eastAsia="仿宋" w:cs="仿宋"/>
          <w:color w:val="auto"/>
          <w:sz w:val="24"/>
          <w:szCs w:val="20"/>
        </w:rPr>
      </w:pPr>
      <w:r>
        <w:rPr>
          <w:rFonts w:hint="eastAsia" w:ascii="仿宋" w:hAnsi="仿宋" w:eastAsia="仿宋" w:cs="仿宋"/>
          <w:color w:val="auto"/>
        </w:rPr>
        <w:t>23.2</w:t>
      </w:r>
      <w:r>
        <w:rPr>
          <w:rFonts w:hint="eastAsia" w:ascii="仿宋" w:hAnsi="仿宋" w:eastAsia="仿宋" w:cs="仿宋"/>
          <w:color w:val="auto"/>
          <w:sz w:val="24"/>
          <w:szCs w:val="20"/>
        </w:rPr>
        <w:t>中标结果公告内容包括采购人及其委托的采购代理机构的名称、地址、联系方式，项目名称和项目编号，中标人名称、地址和中标金额，主要中标标的的名称、规格型号、数量、单价、服务要求，开标记录、</w:t>
      </w:r>
      <w:bookmarkStart w:id="7" w:name="_Hlk101184471"/>
      <w:r>
        <w:rPr>
          <w:rFonts w:hint="eastAsia" w:ascii="仿宋" w:hAnsi="仿宋" w:eastAsia="仿宋" w:cs="仿宋"/>
          <w:color w:val="auto"/>
          <w:sz w:val="24"/>
          <w:szCs w:val="20"/>
        </w:rPr>
        <w:t>资格审查情况、评审专家抽取规则、符合性审查情况、</w:t>
      </w:r>
      <w:bookmarkEnd w:id="7"/>
      <w:r>
        <w:rPr>
          <w:rFonts w:hint="eastAsia" w:ascii="仿宋" w:hAnsi="仿宋" w:eastAsia="仿宋" w:cs="仿宋"/>
          <w:color w:val="auto"/>
          <w:sz w:val="24"/>
          <w:szCs w:val="20"/>
        </w:rPr>
        <w:t>未中标情况说明、中标公告期限以及评审专家名单、评分汇总及明细。</w:t>
      </w:r>
    </w:p>
    <w:p>
      <w:pPr>
        <w:pStyle w:val="130"/>
        <w:snapToGrid w:val="0"/>
        <w:spacing w:before="0"/>
        <w:ind w:firstLine="480"/>
        <w:rPr>
          <w:rFonts w:hint="eastAsia" w:ascii="仿宋" w:hAnsi="仿宋" w:eastAsia="仿宋" w:cs="仿宋"/>
          <w:color w:val="auto"/>
          <w:sz w:val="24"/>
          <w:szCs w:val="20"/>
        </w:rPr>
      </w:pPr>
      <w:r>
        <w:rPr>
          <w:rFonts w:hint="eastAsia" w:ascii="仿宋" w:hAnsi="仿宋" w:eastAsia="仿宋" w:cs="仿宋"/>
          <w:color w:val="auto"/>
          <w:sz w:val="24"/>
          <w:szCs w:val="20"/>
        </w:rPr>
        <w:t>23.3公告期限为1个工作日。</w:t>
      </w:r>
    </w:p>
    <w:p>
      <w:pPr>
        <w:pStyle w:val="130"/>
        <w:snapToGrid w:val="0"/>
        <w:spacing w:before="0"/>
        <w:ind w:firstLine="480"/>
        <w:rPr>
          <w:rFonts w:ascii="仿宋" w:hAnsi="仿宋" w:eastAsia="仿宋" w:cs="仿宋"/>
          <w:color w:val="auto"/>
        </w:rPr>
      </w:pPr>
    </w:p>
    <w:p>
      <w:pPr>
        <w:snapToGrid w:val="0"/>
        <w:spacing w:line="360" w:lineRule="auto"/>
        <w:ind w:left="120" w:leftChars="57" w:firstLine="482" w:firstLineChars="150"/>
        <w:jc w:val="center"/>
        <w:rPr>
          <w:rFonts w:ascii="仿宋" w:hAnsi="仿宋" w:eastAsia="仿宋" w:cs="仿宋"/>
          <w:b/>
          <w:color w:val="auto"/>
          <w:sz w:val="32"/>
        </w:rPr>
      </w:pPr>
      <w:r>
        <w:rPr>
          <w:rFonts w:hint="eastAsia" w:ascii="仿宋" w:hAnsi="仿宋" w:eastAsia="仿宋" w:cs="仿宋"/>
          <w:b/>
          <w:color w:val="auto"/>
          <w:sz w:val="32"/>
        </w:rPr>
        <w:t>七、合同授予</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25. 合同的签订</w:t>
      </w:r>
    </w:p>
    <w:p>
      <w:pPr>
        <w:pStyle w:val="130"/>
        <w:snapToGrid w:val="0"/>
        <w:spacing w:before="0"/>
        <w:ind w:firstLine="480"/>
        <w:rPr>
          <w:rFonts w:hint="eastAsia" w:ascii="仿宋" w:hAnsi="仿宋" w:eastAsia="仿宋" w:cs="仿宋"/>
          <w:color w:val="auto"/>
          <w:kern w:val="0"/>
          <w:lang w:val="zh-CN"/>
        </w:rPr>
      </w:pPr>
      <w:r>
        <w:rPr>
          <w:rFonts w:hint="eastAsia" w:ascii="仿宋" w:hAnsi="仿宋" w:eastAsia="仿宋" w:cs="仿宋"/>
          <w:color w:val="auto"/>
          <w:kern w:val="0"/>
          <w:lang w:val="zh-CN"/>
        </w:rPr>
        <w:t>25.1 采购人与中标人应当通过电子交易平台在中标通知书发出之日起</w:t>
      </w:r>
      <w:r>
        <w:rPr>
          <w:rFonts w:hint="eastAsia" w:ascii="仿宋" w:hAnsi="仿宋" w:eastAsia="仿宋" w:cs="仿宋"/>
          <w:color w:val="auto"/>
          <w:kern w:val="0"/>
          <w:highlight w:val="none"/>
          <w:lang w:val="zh-CN"/>
        </w:rPr>
        <w:t>三十日内，按照招标文件确定的事项签订政府采购合同，并在签订之日起2个工作日内将</w:t>
      </w:r>
      <w:r>
        <w:rPr>
          <w:rFonts w:hint="eastAsia" w:ascii="仿宋" w:hAnsi="仿宋" w:eastAsia="仿宋" w:cs="仿宋"/>
          <w:color w:val="auto"/>
          <w:kern w:val="0"/>
          <w:lang w:val="zh-CN"/>
        </w:rPr>
        <w:t>政府采购合同在浙江政府采购网上公告。</w:t>
      </w:r>
    </w:p>
    <w:p>
      <w:pPr>
        <w:pStyle w:val="130"/>
        <w:snapToGrid w:val="0"/>
        <w:spacing w:before="0"/>
        <w:ind w:firstLine="480"/>
        <w:rPr>
          <w:rFonts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25.3如签订合同并生效后，投标人无故拒绝或延期，除按照合同条款处理外，列入不良行为记录一次，并给予通报。</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25.4中标人拒绝与采购人签订合同的，采购人可以按照评审报告推荐的中标或者成交候选人名单排序，确定下一候选人为中标人，也可以重新开展政府采购活动。</w:t>
      </w:r>
    </w:p>
    <w:p>
      <w:pPr>
        <w:pStyle w:val="130"/>
        <w:snapToGrid w:val="0"/>
        <w:spacing w:before="0" w:after="120"/>
        <w:ind w:firstLine="480"/>
        <w:rPr>
          <w:rFonts w:ascii="仿宋" w:hAnsi="仿宋" w:eastAsia="仿宋" w:cs="仿宋"/>
          <w:color w:val="auto"/>
        </w:rPr>
      </w:pPr>
      <w:r>
        <w:rPr>
          <w:rFonts w:hint="eastAsia" w:ascii="仿宋" w:hAnsi="仿宋" w:eastAsia="仿宋" w:cs="仿宋"/>
          <w:color w:val="auto"/>
        </w:rPr>
        <w:t>25.5采购合同由采购人与中标人根据招标文件、投标文件等内容通过政府采购电子交易平台在线签订，自动备案。</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ascii="仿宋" w:hAnsi="仿宋" w:eastAsia="仿宋" w:cs="仿宋"/>
          <w:color w:val="auto"/>
          <w:kern w:val="0"/>
          <w:sz w:val="24"/>
        </w:rPr>
      </w:pPr>
      <w:r>
        <w:rPr>
          <w:rFonts w:hint="eastAsia" w:ascii="仿宋" w:hAnsi="仿宋" w:eastAsia="仿宋" w:cs="仿宋"/>
          <w:color w:val="auto"/>
          <w:kern w:val="0"/>
          <w:sz w:val="24"/>
        </w:rPr>
        <w:t>拟签订的合同文本要求中标人提交履约保证金的，中标人应当以支票、汇票、本票或者金融机构、担保机构出具的保函等非现金形式提交</w:t>
      </w:r>
      <w:r>
        <w:rPr>
          <w:rFonts w:hint="eastAsia" w:ascii="仿宋" w:hAnsi="仿宋" w:eastAsia="仿宋" w:cs="仿宋"/>
          <w:color w:val="auto"/>
          <w:sz w:val="24"/>
        </w:rPr>
        <w:t>。</w:t>
      </w:r>
      <w:r>
        <w:rPr>
          <w:rFonts w:hint="eastAsia" w:ascii="仿宋" w:hAnsi="仿宋" w:eastAsia="仿宋" w:cs="仿宋"/>
          <w:b/>
          <w:bCs/>
          <w:color w:val="auto"/>
          <w:sz w:val="24"/>
        </w:rPr>
        <w:t>履约保证金的数额不得超过政府采购合同金额的1%</w:t>
      </w:r>
      <w:r>
        <w:rPr>
          <w:rFonts w:hint="eastAsia" w:ascii="仿宋" w:hAnsi="仿宋" w:eastAsia="仿宋" w:cs="仿宋"/>
          <w:color w:val="auto"/>
          <w:kern w:val="0"/>
          <w:sz w:val="24"/>
        </w:rPr>
        <w:t>，鼓励根据项目特点、投标人诚信等因素免收履约保证金或降低缴纳比例。鼓励和支持投标人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color w:val="auto"/>
          <w:sz w:val="24"/>
        </w:rPr>
      </w:pPr>
      <w:r>
        <w:rPr>
          <w:rFonts w:hint="eastAsia" w:ascii="仿宋" w:hAnsi="仿宋" w:eastAsia="仿宋" w:cs="仿宋"/>
          <w:b/>
          <w:color w:val="auto"/>
          <w:sz w:val="24"/>
        </w:rPr>
        <w:t>本项目无履约保证金。</w:t>
      </w:r>
    </w:p>
    <w:p>
      <w:pPr>
        <w:tabs>
          <w:tab w:val="left" w:pos="0"/>
        </w:tabs>
        <w:spacing w:line="360" w:lineRule="auto"/>
        <w:ind w:firstLine="482"/>
        <w:rPr>
          <w:rFonts w:ascii="仿宋" w:hAnsi="仿宋" w:eastAsia="仿宋" w:cs="仿宋"/>
          <w:color w:val="auto"/>
          <w:sz w:val="24"/>
          <w:szCs w:val="20"/>
        </w:rPr>
      </w:pPr>
      <w:r>
        <w:rPr>
          <w:rFonts w:hint="eastAsia" w:ascii="仿宋" w:hAnsi="仿宋" w:eastAsia="仿宋" w:cs="仿宋"/>
          <w:color w:val="auto"/>
          <w:sz w:val="24"/>
          <w:szCs w:val="20"/>
        </w:rPr>
        <w:t>投标人可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p>
    <w:p>
      <w:pPr>
        <w:pStyle w:val="3"/>
        <w:rPr>
          <w:rFonts w:ascii="仿宋" w:eastAsia="仿宋" w:cs="仿宋"/>
          <w:bCs w:val="0"/>
          <w:color w:val="auto"/>
          <w:sz w:val="24"/>
          <w:szCs w:val="24"/>
          <w:lang w:val="en-US"/>
        </w:rPr>
      </w:pPr>
      <w:r>
        <w:rPr>
          <w:rFonts w:hint="eastAsia" w:ascii="仿宋" w:eastAsia="仿宋" w:cs="仿宋"/>
          <w:bCs w:val="0"/>
          <w:color w:val="auto"/>
          <w:sz w:val="24"/>
          <w:szCs w:val="24"/>
          <w:lang w:val="en-US"/>
        </w:rPr>
        <w:t>27.预付款</w:t>
      </w:r>
    </w:p>
    <w:p>
      <w:pPr>
        <w:tabs>
          <w:tab w:val="left" w:pos="0"/>
        </w:tabs>
        <w:spacing w:line="360" w:lineRule="auto"/>
        <w:ind w:firstLine="482"/>
        <w:rPr>
          <w:rFonts w:ascii="仿宋" w:hAnsi="仿宋" w:eastAsia="仿宋" w:cs="仿宋"/>
          <w:color w:val="auto"/>
        </w:rPr>
      </w:pPr>
      <w:r>
        <w:rPr>
          <w:rFonts w:hint="eastAsia" w:ascii="仿宋" w:hAnsi="仿宋" w:eastAsia="仿宋" w:cs="仿宋"/>
          <w:color w:val="auto"/>
          <w:sz w:val="24"/>
          <w:szCs w:val="20"/>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投标人为大型企业的项目或者以人工投入为主且实行按月定期结算支付款项的项目，预付款可低于上述比例或者不约定预付款。在签订合同时，投标人明确表示无需预付款或者主动要求降低预付款比例的，采购人可不适用前述规定。采购人根据项目特点、投标人诚信等因素，可以要求投标人提交银行、保险公司等金融机构出具的预付款保函或其他担保措施。政府采购预付款应在合同生效以及具备实施条件后</w:t>
      </w:r>
      <w:r>
        <w:rPr>
          <w:rFonts w:hint="eastAsia" w:ascii="仿宋" w:hAnsi="仿宋" w:eastAsia="仿宋" w:cs="仿宋"/>
          <w:color w:val="auto"/>
          <w:sz w:val="24"/>
          <w:szCs w:val="20"/>
          <w:lang w:val="en-US" w:eastAsia="zh-CN"/>
        </w:rPr>
        <w:t>7</w:t>
      </w:r>
      <w:r>
        <w:rPr>
          <w:rFonts w:hint="eastAsia" w:ascii="仿宋" w:hAnsi="仿宋" w:eastAsia="仿宋" w:cs="仿宋"/>
          <w:color w:val="auto"/>
          <w:sz w:val="24"/>
          <w:szCs w:val="20"/>
        </w:rPr>
        <w:t>个工作日内支付。政府采购工程以及与工程建设有关的货物、服务，采用招标方式采购的，预付款从其相关规定。投标人可登录政采云前台大厅选择金融服务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ind w:firstLine="482"/>
        <w:rPr>
          <w:rFonts w:ascii="仿宋" w:hAnsi="仿宋" w:eastAsia="仿宋" w:cs="仿宋"/>
          <w:color w:val="auto"/>
        </w:rPr>
      </w:pPr>
    </w:p>
    <w:p>
      <w:pPr>
        <w:snapToGrid w:val="0"/>
        <w:spacing w:line="360" w:lineRule="auto"/>
        <w:ind w:firstLine="3357" w:firstLineChars="1045"/>
        <w:rPr>
          <w:rFonts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ascii="仿宋" w:hAnsi="仿宋" w:eastAsia="仿宋" w:cs="仿宋"/>
          <w:b/>
          <w:color w:val="auto"/>
          <w:szCs w:val="24"/>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 电子交易活动的中止</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28.1电子交易平台发生故障而无法登录访问的；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28.2电子交易平台应用或数据库出现错误，不能进行正常操作的；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28.3电子交易平台发现严重安全漏洞，有潜在泄密危险的；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28.4病毒发作导致不能进行正常操作的；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28.5其他无法保证电子交易的公平、公正和安全的情况。</w:t>
      </w:r>
    </w:p>
    <w:p>
      <w:pPr>
        <w:pStyle w:val="130"/>
        <w:snapToGrid w:val="0"/>
        <w:spacing w:before="0"/>
        <w:ind w:firstLine="0" w:firstLineChars="0"/>
        <w:rPr>
          <w:rFonts w:ascii="仿宋" w:hAnsi="仿宋" w:eastAsia="仿宋" w:cs="仿宋"/>
          <w:color w:val="auto"/>
        </w:rPr>
      </w:pPr>
      <w:r>
        <w:rPr>
          <w:rFonts w:hint="eastAsia" w:ascii="仿宋" w:hAnsi="仿宋" w:eastAsia="仿宋" w:cs="仿宋"/>
          <w:b/>
          <w:bCs/>
          <w:color w:val="auto"/>
        </w:rPr>
        <w:t>29.</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color w:val="auto"/>
          <w:sz w:val="32"/>
        </w:rPr>
      </w:pPr>
      <w:r>
        <w:rPr>
          <w:rFonts w:hint="eastAsia" w:ascii="仿宋" w:hAnsi="仿宋" w:eastAsia="仿宋" w:cs="仿宋"/>
          <w:b/>
          <w:color w:val="auto"/>
          <w:sz w:val="32"/>
        </w:rPr>
        <w:t>九、验</w:t>
      </w:r>
      <w:r>
        <w:rPr>
          <w:rFonts w:hint="eastAsia" w:ascii="仿宋" w:hAnsi="仿宋" w:eastAsia="仿宋" w:cs="仿宋"/>
          <w:b/>
          <w:color w:val="auto"/>
          <w:sz w:val="32"/>
          <w:lang w:val="en-US" w:eastAsia="zh-CN"/>
        </w:rPr>
        <w:t xml:space="preserve"> </w:t>
      </w:r>
      <w:r>
        <w:rPr>
          <w:rFonts w:hint="eastAsia" w:ascii="仿宋" w:hAnsi="仿宋" w:eastAsia="仿宋" w:cs="仿宋"/>
          <w:b/>
          <w:color w:val="auto"/>
          <w:sz w:val="32"/>
        </w:rPr>
        <w:t>收</w:t>
      </w:r>
    </w:p>
    <w:p>
      <w:pPr>
        <w:pStyle w:val="26"/>
        <w:spacing w:line="360" w:lineRule="auto"/>
        <w:ind w:firstLine="0" w:firstLineChars="0"/>
        <w:rPr>
          <w:rFonts w:ascii="仿宋" w:hAnsi="仿宋" w:eastAsia="仿宋" w:cs="仿宋"/>
          <w:b/>
          <w:color w:val="auto"/>
        </w:rPr>
      </w:pPr>
      <w:r>
        <w:rPr>
          <w:rFonts w:hint="eastAsia" w:ascii="仿宋" w:hAnsi="仿宋" w:eastAsia="仿宋" w:cs="仿宋"/>
          <w:b/>
          <w:color w:val="auto"/>
        </w:rPr>
        <w:t>30.验收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rPr>
      </w:pPr>
      <w:r>
        <w:rPr>
          <w:rFonts w:hint="eastAsia" w:ascii="仿宋" w:hAnsi="仿宋" w:eastAsia="仿宋" w:cs="仿宋"/>
          <w:color w:val="auto"/>
          <w:kern w:val="0"/>
          <w:sz w:val="24"/>
        </w:rPr>
        <w:t>30.4验收合格的项目，采购人将根据采购合同的约定及时向投标人支付采购资金、退还履约保证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bookmarkEnd w:id="6"/>
    <w:p>
      <w:pPr>
        <w:tabs>
          <w:tab w:val="left" w:pos="0"/>
        </w:tabs>
        <w:spacing w:line="360" w:lineRule="auto"/>
        <w:ind w:firstLine="480"/>
        <w:rPr>
          <w:rFonts w:ascii="仿宋" w:hAnsi="仿宋" w:eastAsia="仿宋" w:cs="仿宋"/>
          <w:color w:val="auto"/>
          <w:kern w:val="0"/>
          <w:sz w:val="24"/>
        </w:rPr>
        <w:sectPr>
          <w:headerReference r:id="rId8" w:type="default"/>
          <w:footerReference r:id="rId9" w:type="default"/>
          <w:pgSz w:w="11906" w:h="16838"/>
          <w:pgMar w:top="1440" w:right="1247" w:bottom="1440" w:left="1247" w:header="851" w:footer="992" w:gutter="0"/>
          <w:pgNumType w:start="1"/>
          <w:cols w:space="720" w:num="1"/>
          <w:docGrid w:linePitch="312" w:charSpace="0"/>
        </w:sectPr>
      </w:pPr>
      <w:bookmarkStart w:id="8" w:name="_Hlt68072998"/>
      <w:bookmarkEnd w:id="8"/>
      <w:bookmarkStart w:id="9" w:name="_Hlt75236290"/>
      <w:bookmarkEnd w:id="9"/>
      <w:bookmarkStart w:id="10" w:name="_Hlt74730295"/>
      <w:bookmarkEnd w:id="10"/>
      <w:bookmarkStart w:id="11" w:name="_Hlt74714665"/>
      <w:bookmarkEnd w:id="11"/>
      <w:bookmarkStart w:id="12" w:name="_Hlt68073093"/>
      <w:bookmarkEnd w:id="12"/>
      <w:bookmarkStart w:id="13" w:name="_Hlt68403820"/>
      <w:bookmarkEnd w:id="13"/>
      <w:bookmarkStart w:id="14" w:name="_Hlt75236101"/>
      <w:bookmarkEnd w:id="14"/>
      <w:bookmarkStart w:id="15" w:name="_Hlt68072990"/>
      <w:bookmarkEnd w:id="15"/>
      <w:bookmarkStart w:id="16" w:name="_Hlt75236011"/>
      <w:bookmarkEnd w:id="16"/>
      <w:bookmarkStart w:id="17" w:name="_Hlt74729768"/>
      <w:bookmarkEnd w:id="17"/>
      <w:bookmarkStart w:id="18" w:name="_Hlt74707468"/>
      <w:bookmarkEnd w:id="18"/>
      <w:bookmarkStart w:id="19" w:name="_Hlt68057669"/>
      <w:bookmarkEnd w:id="19"/>
    </w:p>
    <w:bookmarkEnd w:id="4"/>
    <w:bookmarkEnd w:id="5"/>
    <w:p>
      <w:pPr>
        <w:spacing w:line="360" w:lineRule="auto"/>
        <w:jc w:val="center"/>
        <w:outlineLvl w:val="0"/>
        <w:rPr>
          <w:rFonts w:ascii="仿宋" w:hAnsi="仿宋" w:eastAsia="仿宋" w:cs="仿宋"/>
          <w:b/>
          <w:color w:val="auto"/>
          <w:sz w:val="36"/>
          <w:szCs w:val="36"/>
        </w:rPr>
      </w:pPr>
      <w:bookmarkStart w:id="20" w:name="第四部分"/>
      <w:r>
        <w:rPr>
          <w:rFonts w:hint="eastAsia" w:ascii="仿宋" w:hAnsi="仿宋" w:eastAsia="仿宋" w:cs="仿宋"/>
          <w:b/>
          <w:color w:val="auto"/>
          <w:sz w:val="36"/>
          <w:szCs w:val="36"/>
        </w:rPr>
        <w:t>第三部分   采购需求</w:t>
      </w:r>
    </w:p>
    <w:p>
      <w:pPr>
        <w:snapToGrid w:val="0"/>
        <w:spacing w:line="360" w:lineRule="auto"/>
        <w:rPr>
          <w:rFonts w:hint="eastAsia" w:ascii="仿宋" w:hAnsi="仿宋" w:eastAsia="仿宋" w:cs="仿宋"/>
          <w:b/>
          <w:color w:val="auto"/>
          <w:sz w:val="24"/>
          <w:lang w:eastAsia="zh-CN"/>
        </w:rPr>
      </w:pPr>
      <w:r>
        <w:rPr>
          <w:rFonts w:hint="eastAsia" w:ascii="仿宋" w:hAnsi="仿宋" w:eastAsia="仿宋" w:cs="仿宋"/>
          <w:b/>
          <w:color w:val="auto"/>
          <w:sz w:val="24"/>
        </w:rPr>
        <w:t>一、项目</w:t>
      </w:r>
      <w:r>
        <w:rPr>
          <w:rFonts w:hint="eastAsia" w:ascii="仿宋" w:hAnsi="仿宋" w:eastAsia="仿宋" w:cs="仿宋"/>
          <w:b/>
          <w:color w:val="auto"/>
          <w:sz w:val="24"/>
          <w:lang w:val="en-US" w:eastAsia="zh-CN"/>
        </w:rPr>
        <w:t>概述</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default" w:ascii="仿宋" w:hAnsi="仿宋" w:eastAsia="仿宋" w:cs="仿宋"/>
          <w:snapToGrid/>
          <w:color w:val="auto"/>
          <w:kern w:val="0"/>
          <w:szCs w:val="24"/>
          <w:lang w:val="en-US"/>
        </w:rPr>
        <w:t>宣传思想工作是一项极端重要的工作，习近平总书记强调，要着力建设具有强大凝聚力和引领力的社会主义意识形态，着力提升新闻舆论传播力引导力影响力公信力，为全面建设社会主义现代化国家、全面推进中华民族伟大复兴提供坚强思想保证。全省宣传思想</w:t>
      </w:r>
      <w:r>
        <w:rPr>
          <w:rFonts w:hint="default" w:ascii="仿宋" w:hAnsi="仿宋" w:eastAsia="仿宋" w:cs="仿宋"/>
          <w:snapToGrid/>
          <w:color w:val="auto"/>
          <w:kern w:val="0"/>
          <w:szCs w:val="24"/>
          <w:lang w:val="en-US" w:eastAsia="zh-CN"/>
        </w:rPr>
        <w:t>工作会议要求，要</w:t>
      </w:r>
      <w:r>
        <w:rPr>
          <w:rFonts w:hint="default" w:ascii="仿宋" w:hAnsi="仿宋" w:eastAsia="仿宋" w:cs="仿宋"/>
          <w:snapToGrid/>
          <w:color w:val="auto"/>
          <w:kern w:val="0"/>
          <w:szCs w:val="24"/>
          <w:lang w:val="en-US"/>
        </w:rPr>
        <w:t>推动理论武装走得更深更实、主流舆论立得更稳更强、精神富有抓得更优更好、浙江声音传得更远更广、底线防线筑得更紧更牢。</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default" w:ascii="仿宋" w:hAnsi="仿宋" w:eastAsia="仿宋" w:cs="仿宋"/>
          <w:snapToGrid/>
          <w:color w:val="auto"/>
          <w:kern w:val="0"/>
          <w:szCs w:val="24"/>
          <w:lang w:val="en-US"/>
        </w:rPr>
        <w:t>本项目将以习近平新时代中国特色社会主义思想为指导，紧紧围绕省药监局重点工作、重要活动、重大政策，聚焦社会各界关心关切的药械化安全监管和产业发展问题，严守纪律、开拓思路、积极作为，深度讲好药监故事、传播药监声音、打造精品力作，以大合力构建药监宣传大格局，为我省实现药品监管现代化营造良好舆论氛围、提供坚强思想保证。同时，着重加强国际传播力建设，不断提升“浙江药监”在全球的美誉度和影响力。</w:t>
      </w:r>
    </w:p>
    <w:p>
      <w:pPr>
        <w:snapToGrid w:val="0"/>
        <w:spacing w:line="360" w:lineRule="auto"/>
        <w:rPr>
          <w:rFonts w:ascii="仿宋_GB2312" w:hAnsi="仿宋" w:eastAsia="仿宋_GB2312" w:cs="Helvetica"/>
          <w:b/>
          <w:bCs/>
          <w:color w:val="auto"/>
          <w:kern w:val="0"/>
          <w:sz w:val="24"/>
        </w:rPr>
      </w:pPr>
      <w:r>
        <w:rPr>
          <w:rFonts w:hint="eastAsia" w:ascii="仿宋" w:hAnsi="仿宋" w:eastAsia="仿宋" w:cs="仿宋"/>
          <w:b/>
          <w:color w:val="auto"/>
          <w:sz w:val="24"/>
        </w:rPr>
        <w:t>二、</w:t>
      </w:r>
      <w:r>
        <w:rPr>
          <w:rFonts w:hint="default" w:ascii="仿宋" w:hAnsi="仿宋" w:eastAsia="仿宋" w:cs="仿宋"/>
          <w:b/>
          <w:color w:val="auto"/>
          <w:sz w:val="24"/>
          <w:lang w:eastAsia="zh-CN"/>
        </w:rPr>
        <w:t>项目</w:t>
      </w:r>
      <w:r>
        <w:rPr>
          <w:rFonts w:hint="default" w:ascii="仿宋" w:hAnsi="仿宋" w:eastAsia="仿宋" w:cs="仿宋"/>
          <w:b/>
          <w:color w:val="auto"/>
          <w:sz w:val="24"/>
        </w:rPr>
        <w:t>内容及要求</w:t>
      </w:r>
    </w:p>
    <w:p>
      <w:pPr>
        <w:pStyle w:val="23"/>
        <w:autoSpaceDE/>
        <w:autoSpaceDN/>
        <w:ind w:firstLine="482" w:firstLineChars="200"/>
        <w:rPr>
          <w:rFonts w:hint="eastAsia" w:ascii="仿宋" w:hAnsi="仿宋" w:eastAsia="仿宋" w:cs="仿宋"/>
          <w:b/>
          <w:bCs/>
          <w:snapToGrid/>
          <w:color w:val="auto"/>
          <w:kern w:val="0"/>
          <w:szCs w:val="24"/>
          <w:lang w:val="en-US"/>
        </w:rPr>
      </w:pPr>
      <w:r>
        <w:rPr>
          <w:rFonts w:hint="eastAsia" w:ascii="仿宋" w:hAnsi="仿宋" w:eastAsia="仿宋" w:cs="仿宋"/>
          <w:b/>
          <w:bCs/>
          <w:snapToGrid/>
          <w:color w:val="auto"/>
          <w:kern w:val="0"/>
          <w:szCs w:val="24"/>
          <w:lang w:val="en-US"/>
        </w:rPr>
        <w:t>1、</w:t>
      </w:r>
      <w:r>
        <w:rPr>
          <w:rFonts w:hint="default" w:ascii="仿宋" w:hAnsi="仿宋" w:eastAsia="仿宋" w:cs="仿宋"/>
          <w:b/>
          <w:bCs/>
          <w:snapToGrid/>
          <w:color w:val="auto"/>
          <w:kern w:val="0"/>
          <w:szCs w:val="24"/>
          <w:lang w:val="en-US"/>
        </w:rPr>
        <w:t>具体服务内容及要求</w:t>
      </w:r>
    </w:p>
    <w:p>
      <w:pPr>
        <w:pStyle w:val="23"/>
        <w:autoSpaceDE/>
        <w:autoSpaceDN/>
        <w:snapToGrid w:val="0"/>
        <w:ind w:firstLine="480" w:firstLineChars="200"/>
        <w:rPr>
          <w:rFonts w:hint="default" w:ascii="仿宋" w:hAnsi="仿宋" w:eastAsia="仿宋" w:cs="仿宋"/>
          <w:snapToGrid/>
          <w:color w:val="auto"/>
          <w:kern w:val="0"/>
          <w:szCs w:val="24"/>
          <w:lang w:val="en-US" w:eastAsia="zh-CN"/>
        </w:rPr>
      </w:pPr>
      <w:r>
        <w:rPr>
          <w:rFonts w:hint="eastAsia" w:ascii="仿宋" w:hAnsi="仿宋" w:eastAsia="仿宋" w:cs="仿宋"/>
          <w:snapToGrid/>
          <w:color w:val="auto"/>
          <w:kern w:val="0"/>
          <w:szCs w:val="24"/>
          <w:lang w:val="en-US" w:eastAsia="zh-CN"/>
        </w:rPr>
        <w:t>（1）</w:t>
      </w:r>
      <w:r>
        <w:rPr>
          <w:rFonts w:hint="default" w:ascii="仿宋" w:hAnsi="仿宋" w:eastAsia="仿宋" w:cs="仿宋"/>
          <w:snapToGrid/>
          <w:color w:val="auto"/>
          <w:kern w:val="0"/>
          <w:szCs w:val="24"/>
          <w:lang w:val="en-US"/>
        </w:rPr>
        <w:t>服务期内，</w:t>
      </w:r>
      <w:r>
        <w:rPr>
          <w:rFonts w:hint="default" w:ascii="仿宋" w:hAnsi="仿宋" w:eastAsia="仿宋" w:cs="仿宋"/>
          <w:snapToGrid/>
          <w:color w:val="auto"/>
          <w:kern w:val="0"/>
          <w:szCs w:val="24"/>
          <w:lang w:val="en-US" w:eastAsia="zh-CN"/>
        </w:rPr>
        <w:t>中标人</w:t>
      </w:r>
      <w:r>
        <w:rPr>
          <w:rFonts w:hint="default" w:ascii="仿宋" w:hAnsi="仿宋" w:eastAsia="仿宋" w:cs="仿宋"/>
          <w:snapToGrid/>
          <w:color w:val="auto"/>
          <w:kern w:val="0"/>
          <w:szCs w:val="24"/>
          <w:lang w:val="en-US"/>
        </w:rPr>
        <w:t>为采购人提供资讯推广服务，并邀请其他省级或中央媒体平台</w:t>
      </w:r>
      <w:r>
        <w:rPr>
          <w:rFonts w:hint="default" w:ascii="仿宋" w:hAnsi="仿宋" w:eastAsia="仿宋" w:cs="仿宋"/>
          <w:snapToGrid/>
          <w:color w:val="auto"/>
          <w:kern w:val="0"/>
          <w:szCs w:val="24"/>
          <w:lang w:val="en-US" w:eastAsia="zh-CN"/>
        </w:rPr>
        <w:t>推广</w:t>
      </w:r>
      <w:r>
        <w:rPr>
          <w:rFonts w:hint="default" w:ascii="仿宋" w:hAnsi="仿宋" w:eastAsia="仿宋" w:cs="仿宋"/>
          <w:snapToGrid/>
          <w:color w:val="auto"/>
          <w:kern w:val="0"/>
          <w:szCs w:val="24"/>
          <w:lang w:val="en-US"/>
        </w:rPr>
        <w:t>相关资讯。服务期内，提供12期相关资讯推广汇编，结束</w:t>
      </w:r>
      <w:r>
        <w:rPr>
          <w:rFonts w:hint="default" w:ascii="仿宋" w:hAnsi="仿宋" w:eastAsia="仿宋" w:cs="仿宋"/>
          <w:snapToGrid/>
          <w:color w:val="auto"/>
          <w:kern w:val="0"/>
          <w:szCs w:val="24"/>
          <w:lang w:val="en-US" w:eastAsia="zh-CN"/>
        </w:rPr>
        <w:t>服务</w:t>
      </w:r>
      <w:r>
        <w:rPr>
          <w:rFonts w:hint="default" w:ascii="仿宋" w:hAnsi="仿宋" w:eastAsia="仿宋" w:cs="仿宋"/>
          <w:snapToGrid/>
          <w:color w:val="auto"/>
          <w:kern w:val="0"/>
          <w:szCs w:val="24"/>
          <w:lang w:val="en-US"/>
        </w:rPr>
        <w:t>时提供相关资讯推广成果集1册。</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（2）</w:t>
      </w:r>
      <w:r>
        <w:rPr>
          <w:rFonts w:hint="default" w:ascii="仿宋" w:hAnsi="仿宋" w:eastAsia="仿宋" w:cs="仿宋"/>
          <w:snapToGrid/>
          <w:color w:val="auto"/>
          <w:kern w:val="0"/>
          <w:szCs w:val="24"/>
          <w:lang w:val="en-US"/>
        </w:rPr>
        <w:t>投标人需具有主办大型活动的丰富经验。服务期内，协助策划组织1个在全省范围内的主题推广活动。</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（3）</w:t>
      </w:r>
      <w:r>
        <w:rPr>
          <w:rFonts w:hint="default" w:ascii="仿宋" w:hAnsi="仿宋" w:eastAsia="仿宋" w:cs="仿宋"/>
          <w:snapToGrid/>
          <w:color w:val="auto"/>
          <w:kern w:val="0"/>
          <w:szCs w:val="24"/>
          <w:lang w:val="en-US"/>
        </w:rPr>
        <w:t>采购人举办较为重大的活动、重要会议期间，除</w:t>
      </w:r>
      <w:r>
        <w:rPr>
          <w:rFonts w:hint="eastAsia" w:ascii="仿宋" w:hAnsi="仿宋" w:eastAsia="仿宋" w:cs="仿宋"/>
          <w:snapToGrid/>
          <w:color w:val="auto"/>
          <w:kern w:val="0"/>
          <w:szCs w:val="24"/>
          <w:lang w:val="en-US" w:eastAsia="zh-CN"/>
        </w:rPr>
        <w:t>团队</w:t>
      </w:r>
      <w:r>
        <w:rPr>
          <w:rFonts w:hint="default" w:ascii="仿宋" w:hAnsi="仿宋" w:eastAsia="仿宋" w:cs="仿宋"/>
          <w:snapToGrid/>
          <w:color w:val="auto"/>
          <w:kern w:val="0"/>
          <w:szCs w:val="24"/>
          <w:lang w:val="en-US"/>
        </w:rPr>
        <w:t>人员外，</w:t>
      </w:r>
      <w:r>
        <w:rPr>
          <w:rFonts w:hint="default" w:ascii="仿宋" w:hAnsi="仿宋" w:eastAsia="仿宋" w:cs="仿宋"/>
          <w:snapToGrid/>
          <w:color w:val="auto"/>
          <w:kern w:val="0"/>
          <w:szCs w:val="24"/>
          <w:lang w:val="en-US" w:eastAsia="zh-CN"/>
        </w:rPr>
        <w:t>中标人</w:t>
      </w:r>
      <w:r>
        <w:rPr>
          <w:rFonts w:hint="default" w:ascii="仿宋" w:hAnsi="仿宋" w:eastAsia="仿宋" w:cs="仿宋"/>
          <w:snapToGrid/>
          <w:color w:val="auto"/>
          <w:kern w:val="0"/>
          <w:szCs w:val="24"/>
          <w:lang w:val="en-US"/>
        </w:rPr>
        <w:t>应根据实际工作需要增加人员力量，并通过文字、图片、视频、网络等形式对活动进行多元化推广。</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（4）</w:t>
      </w:r>
      <w:r>
        <w:rPr>
          <w:rFonts w:hint="default" w:ascii="仿宋" w:hAnsi="仿宋" w:eastAsia="仿宋" w:cs="仿宋"/>
          <w:snapToGrid/>
          <w:color w:val="auto"/>
          <w:kern w:val="0"/>
          <w:szCs w:val="24"/>
          <w:lang w:val="en-US"/>
        </w:rPr>
        <w:t>投标人需自主拥有具有较大影响力的网站</w:t>
      </w:r>
      <w:r>
        <w:rPr>
          <w:rFonts w:hint="default" w:ascii="仿宋" w:hAnsi="仿宋" w:eastAsia="仿宋" w:cs="仿宋"/>
          <w:snapToGrid/>
          <w:color w:val="auto"/>
          <w:kern w:val="0"/>
          <w:szCs w:val="24"/>
          <w:lang w:val="en-US" w:eastAsia="zh-CN"/>
        </w:rPr>
        <w:t>或新媒体平台</w:t>
      </w:r>
      <w:r>
        <w:rPr>
          <w:rFonts w:hint="default" w:ascii="仿宋" w:hAnsi="仿宋" w:eastAsia="仿宋" w:cs="仿宋"/>
          <w:snapToGrid/>
          <w:color w:val="auto"/>
          <w:kern w:val="0"/>
          <w:szCs w:val="24"/>
          <w:lang w:val="en-US"/>
        </w:rPr>
        <w:t>。根据采购人需求，</w:t>
      </w:r>
      <w:r>
        <w:rPr>
          <w:rFonts w:hint="default" w:ascii="仿宋" w:hAnsi="仿宋" w:eastAsia="仿宋" w:cs="仿宋"/>
          <w:snapToGrid/>
          <w:color w:val="auto"/>
          <w:kern w:val="0"/>
          <w:szCs w:val="24"/>
          <w:lang w:val="en-US" w:eastAsia="zh-CN"/>
        </w:rPr>
        <w:t>中标人</w:t>
      </w:r>
      <w:r>
        <w:rPr>
          <w:rFonts w:hint="default" w:ascii="仿宋" w:hAnsi="仿宋" w:eastAsia="仿宋" w:cs="仿宋"/>
          <w:snapToGrid/>
          <w:color w:val="auto"/>
          <w:kern w:val="0"/>
          <w:szCs w:val="24"/>
          <w:lang w:val="en-US"/>
        </w:rPr>
        <w:t>在旗下网站</w:t>
      </w:r>
      <w:r>
        <w:rPr>
          <w:rFonts w:hint="default" w:ascii="仿宋" w:hAnsi="仿宋" w:eastAsia="仿宋" w:cs="仿宋"/>
          <w:snapToGrid/>
          <w:color w:val="auto"/>
          <w:kern w:val="0"/>
          <w:szCs w:val="24"/>
          <w:lang w:val="en-US" w:eastAsia="zh-CN"/>
        </w:rPr>
        <w:t>或新媒体平台</w:t>
      </w:r>
      <w:r>
        <w:rPr>
          <w:rFonts w:hint="default" w:ascii="仿宋" w:hAnsi="仿宋" w:eastAsia="仿宋" w:cs="仿宋"/>
          <w:snapToGrid/>
          <w:color w:val="auto"/>
          <w:kern w:val="0"/>
          <w:szCs w:val="24"/>
          <w:lang w:val="en-US"/>
        </w:rPr>
        <w:t>为采购人提供为期1个月的网络运营推广服务</w:t>
      </w:r>
      <w:r>
        <w:rPr>
          <w:rFonts w:hint="default" w:ascii="仿宋" w:hAnsi="仿宋" w:eastAsia="仿宋" w:cs="仿宋"/>
          <w:snapToGrid/>
          <w:color w:val="auto"/>
          <w:kern w:val="0"/>
          <w:szCs w:val="24"/>
          <w:lang w:val="en-US" w:eastAsia="zh-CN"/>
        </w:rPr>
        <w:t>1次</w:t>
      </w:r>
      <w:r>
        <w:rPr>
          <w:rFonts w:hint="default" w:ascii="仿宋" w:hAnsi="仿宋" w:eastAsia="仿宋" w:cs="仿宋"/>
          <w:snapToGrid/>
          <w:color w:val="auto"/>
          <w:kern w:val="0"/>
          <w:szCs w:val="24"/>
          <w:lang w:val="en-US"/>
        </w:rPr>
        <w:t>。</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（5）</w:t>
      </w:r>
      <w:r>
        <w:rPr>
          <w:rFonts w:hint="default" w:ascii="仿宋" w:hAnsi="仿宋" w:eastAsia="仿宋" w:cs="仿宋"/>
          <w:snapToGrid/>
          <w:color w:val="auto"/>
          <w:kern w:val="0"/>
          <w:szCs w:val="24"/>
          <w:lang w:val="en-US"/>
        </w:rPr>
        <w:t>投标人需安排摄影摄像人员</w:t>
      </w:r>
      <w:r>
        <w:rPr>
          <w:rFonts w:hint="default" w:ascii="仿宋" w:hAnsi="仿宋" w:eastAsia="仿宋" w:cs="仿宋"/>
          <w:snapToGrid/>
          <w:color w:val="auto"/>
          <w:kern w:val="0"/>
          <w:szCs w:val="24"/>
          <w:lang w:val="en-US" w:eastAsia="zh-CN"/>
        </w:rPr>
        <w:t>（自带相关设备）</w:t>
      </w:r>
      <w:r>
        <w:rPr>
          <w:rFonts w:hint="default" w:ascii="仿宋" w:hAnsi="仿宋" w:eastAsia="仿宋" w:cs="仿宋"/>
          <w:snapToGrid/>
          <w:color w:val="auto"/>
          <w:kern w:val="0"/>
          <w:szCs w:val="24"/>
          <w:lang w:val="en-US"/>
        </w:rPr>
        <w:t>对采购人各类活动、会议等进行拍摄，并留资存档。根据采购人需求，</w:t>
      </w:r>
      <w:r>
        <w:rPr>
          <w:rFonts w:hint="default" w:ascii="仿宋" w:hAnsi="仿宋" w:eastAsia="仿宋" w:cs="仿宋"/>
          <w:snapToGrid/>
          <w:color w:val="auto"/>
          <w:kern w:val="0"/>
          <w:szCs w:val="24"/>
          <w:lang w:val="en-US" w:eastAsia="zh-CN"/>
        </w:rPr>
        <w:t>2025</w:t>
      </w:r>
      <w:r>
        <w:rPr>
          <w:rFonts w:hint="default" w:ascii="仿宋" w:hAnsi="仿宋" w:eastAsia="仿宋" w:cs="仿宋"/>
          <w:snapToGrid/>
          <w:color w:val="auto"/>
          <w:kern w:val="0"/>
          <w:szCs w:val="24"/>
          <w:lang w:val="en-US"/>
        </w:rPr>
        <w:t>年</w:t>
      </w:r>
      <w:r>
        <w:rPr>
          <w:rFonts w:hint="default" w:ascii="仿宋" w:hAnsi="仿宋" w:eastAsia="仿宋" w:cs="仿宋"/>
          <w:snapToGrid/>
          <w:color w:val="auto"/>
          <w:kern w:val="0"/>
          <w:szCs w:val="24"/>
          <w:lang w:val="en-US" w:eastAsia="zh-CN"/>
        </w:rPr>
        <w:t>一季度前</w:t>
      </w:r>
      <w:r>
        <w:rPr>
          <w:rFonts w:hint="default" w:ascii="仿宋" w:hAnsi="仿宋" w:eastAsia="仿宋" w:cs="仿宋"/>
          <w:snapToGrid/>
          <w:color w:val="auto"/>
          <w:kern w:val="0"/>
          <w:szCs w:val="24"/>
          <w:lang w:val="en-US"/>
        </w:rPr>
        <w:t>为采购人制作1部</w:t>
      </w:r>
      <w:r>
        <w:rPr>
          <w:rFonts w:hint="default" w:ascii="仿宋" w:hAnsi="仿宋" w:eastAsia="仿宋" w:cs="仿宋"/>
          <w:snapToGrid/>
          <w:color w:val="auto"/>
          <w:kern w:val="0"/>
          <w:szCs w:val="24"/>
          <w:lang w:val="en-US" w:eastAsia="zh-CN"/>
        </w:rPr>
        <w:t>2024</w:t>
      </w:r>
      <w:r>
        <w:rPr>
          <w:rFonts w:hint="default" w:ascii="仿宋" w:hAnsi="仿宋" w:eastAsia="仿宋" w:cs="仿宋"/>
          <w:snapToGrid/>
          <w:color w:val="auto"/>
          <w:kern w:val="0"/>
          <w:szCs w:val="24"/>
          <w:lang w:val="en-US"/>
        </w:rPr>
        <w:t>年工作纪实片。</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（6）</w:t>
      </w:r>
      <w:r>
        <w:rPr>
          <w:rFonts w:hint="default" w:ascii="仿宋" w:hAnsi="仿宋" w:eastAsia="仿宋" w:cs="仿宋"/>
          <w:snapToGrid/>
          <w:color w:val="auto"/>
          <w:kern w:val="0"/>
          <w:szCs w:val="24"/>
          <w:lang w:val="en-US"/>
        </w:rPr>
        <w:t>根据采购人需求，投标人提供1次视频直播服务，并在投标人旗下平台进行发布；投标人在自主拥有的</w:t>
      </w:r>
      <w:r>
        <w:rPr>
          <w:rFonts w:hint="default" w:ascii="仿宋" w:hAnsi="仿宋" w:eastAsia="仿宋" w:cs="仿宋"/>
          <w:snapToGrid/>
          <w:color w:val="auto"/>
          <w:kern w:val="0"/>
          <w:szCs w:val="24"/>
          <w:lang w:val="en-US" w:eastAsia="zh-CN"/>
        </w:rPr>
        <w:t>网站、</w:t>
      </w:r>
      <w:r>
        <w:rPr>
          <w:rFonts w:hint="default" w:ascii="仿宋" w:hAnsi="仿宋" w:eastAsia="仿宋" w:cs="仿宋"/>
          <w:snapToGrid/>
          <w:color w:val="auto"/>
          <w:kern w:val="0"/>
          <w:szCs w:val="24"/>
          <w:lang w:val="en-US"/>
        </w:rPr>
        <w:t>微信、微博等平台上为采购人提供工作资讯推广服务4次（</w:t>
      </w:r>
      <w:r>
        <w:rPr>
          <w:rFonts w:hint="default" w:ascii="仿宋" w:hAnsi="仿宋" w:eastAsia="仿宋" w:cs="仿宋"/>
          <w:snapToGrid/>
          <w:color w:val="auto"/>
          <w:kern w:val="0"/>
          <w:szCs w:val="24"/>
          <w:lang w:val="en-US" w:eastAsia="zh-CN"/>
        </w:rPr>
        <w:t>不包括</w:t>
      </w:r>
      <w:r>
        <w:rPr>
          <w:rFonts w:hint="default" w:ascii="仿宋" w:hAnsi="仿宋" w:eastAsia="仿宋" w:cs="仿宋"/>
          <w:snapToGrid/>
          <w:color w:val="auto"/>
          <w:kern w:val="0"/>
          <w:szCs w:val="24"/>
          <w:lang w:val="en-US"/>
        </w:rPr>
        <w:t>1次视频直播服务）。</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（7）</w:t>
      </w:r>
      <w:r>
        <w:rPr>
          <w:rFonts w:hint="default" w:ascii="仿宋" w:hAnsi="仿宋" w:eastAsia="仿宋" w:cs="仿宋"/>
          <w:snapToGrid/>
          <w:color w:val="auto"/>
          <w:kern w:val="0"/>
          <w:szCs w:val="24"/>
          <w:lang w:val="en-US"/>
        </w:rPr>
        <w:t>根据采购人需求，投标人为采购人其他工作视频提供</w:t>
      </w:r>
      <w:r>
        <w:rPr>
          <w:rFonts w:hint="default" w:ascii="仿宋" w:hAnsi="仿宋" w:eastAsia="仿宋" w:cs="仿宋"/>
          <w:snapToGrid/>
          <w:color w:val="auto"/>
          <w:kern w:val="0"/>
          <w:szCs w:val="24"/>
          <w:lang w:val="en-US" w:eastAsia="zh-CN"/>
        </w:rPr>
        <w:t>1-2次</w:t>
      </w:r>
      <w:r>
        <w:rPr>
          <w:rFonts w:hint="default" w:ascii="仿宋" w:hAnsi="仿宋" w:eastAsia="仿宋" w:cs="仿宋"/>
          <w:snapToGrid/>
          <w:color w:val="auto"/>
          <w:kern w:val="0"/>
          <w:szCs w:val="24"/>
          <w:lang w:val="en-US"/>
        </w:rPr>
        <w:t>配音服务。</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（8）</w:t>
      </w:r>
      <w:r>
        <w:rPr>
          <w:rFonts w:hint="default" w:ascii="仿宋" w:hAnsi="仿宋" w:eastAsia="仿宋" w:cs="仿宋"/>
          <w:snapToGrid/>
          <w:color w:val="auto"/>
          <w:kern w:val="0"/>
          <w:szCs w:val="24"/>
          <w:lang w:val="en-US"/>
        </w:rPr>
        <w:t>根据采购人需求，投标人为采购人提供相关培训1次。</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（9）</w:t>
      </w:r>
      <w:r>
        <w:rPr>
          <w:rFonts w:hint="default" w:ascii="仿宋" w:hAnsi="仿宋" w:eastAsia="仿宋" w:cs="仿宋"/>
          <w:snapToGrid/>
          <w:color w:val="auto"/>
          <w:kern w:val="0"/>
          <w:szCs w:val="24"/>
          <w:lang w:val="en-US"/>
        </w:rPr>
        <w:t>根据采购人要求进行境外落地推广，在世界舞台上唱响“浙江药监”声音。</w:t>
      </w:r>
    </w:p>
    <w:p>
      <w:pPr>
        <w:pStyle w:val="23"/>
        <w:autoSpaceDE/>
        <w:autoSpaceDN/>
        <w:ind w:firstLine="482" w:firstLineChars="200"/>
        <w:rPr>
          <w:rFonts w:hint="default" w:ascii="仿宋" w:hAnsi="仿宋" w:eastAsia="仿宋" w:cs="仿宋"/>
          <w:b/>
          <w:bCs/>
          <w:snapToGrid/>
          <w:color w:val="auto"/>
          <w:kern w:val="0"/>
          <w:szCs w:val="24"/>
          <w:lang w:val="en-US" w:eastAsia="zh-CN"/>
        </w:rPr>
      </w:pPr>
      <w:r>
        <w:rPr>
          <w:rFonts w:hint="eastAsia" w:ascii="仿宋" w:hAnsi="仿宋" w:eastAsia="仿宋" w:cs="仿宋"/>
          <w:b/>
          <w:bCs/>
          <w:snapToGrid/>
          <w:color w:val="auto"/>
          <w:kern w:val="0"/>
          <w:szCs w:val="24"/>
          <w:lang w:val="en-US"/>
        </w:rPr>
        <w:t>2、</w:t>
      </w:r>
      <w:r>
        <w:rPr>
          <w:rFonts w:hint="eastAsia" w:ascii="仿宋" w:hAnsi="仿宋" w:eastAsia="仿宋" w:cs="仿宋"/>
          <w:b/>
          <w:bCs/>
          <w:snapToGrid/>
          <w:color w:val="auto"/>
          <w:kern w:val="0"/>
          <w:szCs w:val="24"/>
          <w:lang w:val="en-US" w:eastAsia="zh-CN"/>
        </w:rPr>
        <w:t>服务人员及团队要求</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（1）</w:t>
      </w:r>
      <w:r>
        <w:rPr>
          <w:rFonts w:hint="default" w:ascii="仿宋" w:hAnsi="仿宋" w:eastAsia="仿宋" w:cs="仿宋"/>
          <w:snapToGrid/>
          <w:color w:val="auto"/>
          <w:kern w:val="0"/>
          <w:szCs w:val="24"/>
          <w:lang w:val="en-US"/>
        </w:rPr>
        <w:t>投标人需拥有一支熟悉药品安全信息推广工作，</w:t>
      </w:r>
      <w:r>
        <w:rPr>
          <w:rFonts w:hint="default" w:ascii="仿宋" w:hAnsi="仿宋" w:eastAsia="仿宋" w:cs="仿宋"/>
          <w:snapToGrid/>
          <w:color w:val="auto"/>
          <w:kern w:val="0"/>
          <w:szCs w:val="24"/>
          <w:lang w:val="en-US" w:eastAsia="zh-CN"/>
        </w:rPr>
        <w:t>具有信息推广、活动策划等相关领域经验的</w:t>
      </w:r>
      <w:r>
        <w:rPr>
          <w:rFonts w:hint="default" w:ascii="仿宋" w:hAnsi="仿宋" w:eastAsia="仿宋" w:cs="仿宋"/>
          <w:snapToGrid/>
          <w:color w:val="auto"/>
          <w:kern w:val="0"/>
          <w:szCs w:val="24"/>
          <w:lang w:val="en-US"/>
        </w:rPr>
        <w:t>服务团队</w:t>
      </w:r>
      <w:r>
        <w:rPr>
          <w:rFonts w:hint="default" w:ascii="仿宋" w:hAnsi="仿宋" w:eastAsia="仿宋" w:cs="仿宋"/>
          <w:snapToGrid/>
          <w:color w:val="auto"/>
          <w:kern w:val="0"/>
          <w:szCs w:val="24"/>
          <w:lang w:val="en-US" w:eastAsia="zh-CN"/>
        </w:rPr>
        <w:t>，</w:t>
      </w:r>
      <w:r>
        <w:rPr>
          <w:rFonts w:hint="default" w:ascii="仿宋" w:hAnsi="仿宋" w:eastAsia="仿宋" w:cs="仿宋"/>
          <w:snapToGrid/>
          <w:color w:val="auto"/>
          <w:kern w:val="0"/>
          <w:szCs w:val="24"/>
          <w:lang w:val="en-US"/>
        </w:rPr>
        <w:t>为该项目成立的团队人数须不少于8人（均须为投标人在职员工），在其他重要活动期间，应根据实际工作需要增加人员力量。团队人员中须有新闻类、美编设计类相关专业人员。</w:t>
      </w:r>
    </w:p>
    <w:p>
      <w:pPr>
        <w:pStyle w:val="23"/>
        <w:autoSpaceDE/>
        <w:autoSpaceDN/>
        <w:snapToGrid w:val="0"/>
        <w:ind w:firstLine="480" w:firstLineChars="200"/>
        <w:rPr>
          <w:rFonts w:hint="default" w:ascii="仿宋" w:hAnsi="仿宋" w:eastAsia="仿宋" w:cs="仿宋"/>
          <w:snapToGrid/>
          <w:color w:val="auto"/>
          <w:kern w:val="0"/>
          <w:szCs w:val="24"/>
          <w:lang w:val="en-US" w:eastAsia="zh-CN"/>
        </w:rPr>
      </w:pPr>
      <w:r>
        <w:rPr>
          <w:rFonts w:hint="eastAsia" w:ascii="仿宋" w:hAnsi="仿宋" w:eastAsia="仿宋" w:cs="仿宋"/>
          <w:snapToGrid/>
          <w:color w:val="auto"/>
          <w:kern w:val="0"/>
          <w:szCs w:val="24"/>
          <w:lang w:val="en-US" w:eastAsia="zh-CN"/>
        </w:rPr>
        <w:t>（2）为保障本项目服务内容高质量完成，中标人须承诺</w:t>
      </w:r>
      <w:r>
        <w:rPr>
          <w:rFonts w:hint="default" w:ascii="仿宋" w:hAnsi="仿宋" w:eastAsia="仿宋" w:cs="仿宋"/>
          <w:snapToGrid/>
          <w:color w:val="auto"/>
          <w:kern w:val="0"/>
          <w:szCs w:val="24"/>
          <w:lang w:val="en-US" w:eastAsia="zh-CN"/>
        </w:rPr>
        <w:t>服务期内</w:t>
      </w:r>
      <w:r>
        <w:rPr>
          <w:rFonts w:hint="eastAsia" w:ascii="仿宋" w:hAnsi="仿宋" w:eastAsia="仿宋" w:cs="仿宋"/>
          <w:snapToGrid/>
          <w:color w:val="auto"/>
          <w:kern w:val="0"/>
          <w:szCs w:val="24"/>
          <w:lang w:val="en-US" w:eastAsia="zh-CN"/>
        </w:rPr>
        <w:t>安排不少于</w:t>
      </w:r>
      <w:r>
        <w:rPr>
          <w:rFonts w:hint="default" w:ascii="仿宋" w:hAnsi="仿宋" w:eastAsia="仿宋" w:cs="仿宋"/>
          <w:snapToGrid/>
          <w:color w:val="auto"/>
          <w:kern w:val="0"/>
          <w:szCs w:val="24"/>
          <w:lang w:val="en-US" w:eastAsia="zh-CN"/>
        </w:rPr>
        <w:t>4名人员</w:t>
      </w:r>
      <w:r>
        <w:rPr>
          <w:rFonts w:hint="eastAsia" w:ascii="仿宋" w:hAnsi="仿宋" w:eastAsia="仿宋" w:cs="仿宋"/>
          <w:snapToGrid/>
          <w:color w:val="auto"/>
          <w:kern w:val="0"/>
          <w:szCs w:val="24"/>
          <w:lang w:val="en-US" w:eastAsia="zh-CN"/>
        </w:rPr>
        <w:t>能专职为本项目服务。4名</w:t>
      </w:r>
      <w:r>
        <w:rPr>
          <w:rFonts w:hint="default" w:ascii="仿宋" w:hAnsi="仿宋" w:eastAsia="仿宋" w:cs="仿宋"/>
          <w:snapToGrid/>
          <w:color w:val="auto"/>
          <w:kern w:val="0"/>
          <w:szCs w:val="24"/>
          <w:lang w:val="en-US" w:eastAsia="zh-CN"/>
        </w:rPr>
        <w:t>人员</w:t>
      </w:r>
      <w:r>
        <w:rPr>
          <w:rFonts w:hint="eastAsia" w:ascii="仿宋" w:hAnsi="仿宋" w:eastAsia="仿宋" w:cs="仿宋"/>
          <w:snapToGrid/>
          <w:color w:val="auto"/>
          <w:kern w:val="0"/>
          <w:szCs w:val="24"/>
          <w:lang w:val="en-US" w:eastAsia="zh-CN"/>
        </w:rPr>
        <w:t>有</w:t>
      </w:r>
      <w:r>
        <w:rPr>
          <w:rFonts w:hint="default" w:ascii="仿宋" w:hAnsi="仿宋" w:eastAsia="仿宋" w:cs="仿宋"/>
          <w:snapToGrid/>
          <w:color w:val="auto"/>
          <w:kern w:val="0"/>
          <w:szCs w:val="24"/>
          <w:lang w:val="en-US"/>
        </w:rPr>
        <w:t>药品安全信息推广工作</w:t>
      </w:r>
      <w:r>
        <w:rPr>
          <w:rFonts w:hint="eastAsia" w:ascii="仿宋" w:hAnsi="仿宋" w:eastAsia="仿宋" w:cs="仿宋"/>
          <w:snapToGrid/>
          <w:color w:val="auto"/>
          <w:kern w:val="0"/>
          <w:szCs w:val="24"/>
          <w:lang w:val="en-US" w:eastAsia="zh-CN"/>
        </w:rPr>
        <w:t>经验的优先考虑。</w:t>
      </w:r>
      <w:r>
        <w:rPr>
          <w:rFonts w:hint="default" w:ascii="仿宋" w:hAnsi="仿宋" w:eastAsia="仿宋" w:cs="仿宋"/>
          <w:snapToGrid/>
          <w:color w:val="auto"/>
          <w:kern w:val="0"/>
          <w:szCs w:val="24"/>
          <w:lang w:val="en-US" w:eastAsia="zh-CN"/>
        </w:rPr>
        <w:t>未经</w:t>
      </w:r>
      <w:r>
        <w:rPr>
          <w:rFonts w:hint="eastAsia" w:ascii="仿宋" w:hAnsi="仿宋" w:eastAsia="仿宋" w:cs="仿宋"/>
          <w:snapToGrid/>
          <w:color w:val="auto"/>
          <w:kern w:val="0"/>
          <w:szCs w:val="24"/>
          <w:lang w:val="en-US" w:eastAsia="zh-CN"/>
        </w:rPr>
        <w:t>采购人</w:t>
      </w:r>
      <w:r>
        <w:rPr>
          <w:rFonts w:hint="default" w:ascii="仿宋" w:hAnsi="仿宋" w:eastAsia="仿宋" w:cs="仿宋"/>
          <w:snapToGrid/>
          <w:color w:val="auto"/>
          <w:kern w:val="0"/>
          <w:szCs w:val="24"/>
          <w:lang w:val="en-US" w:eastAsia="zh-CN"/>
        </w:rPr>
        <w:t>同意不得随意更换</w:t>
      </w:r>
      <w:r>
        <w:rPr>
          <w:rFonts w:hint="eastAsia" w:ascii="仿宋" w:hAnsi="仿宋" w:eastAsia="仿宋" w:cs="仿宋"/>
          <w:snapToGrid/>
          <w:color w:val="auto"/>
          <w:kern w:val="0"/>
          <w:szCs w:val="24"/>
          <w:lang w:val="en-US" w:eastAsia="zh-CN"/>
        </w:rPr>
        <w:t>4名专职</w:t>
      </w:r>
      <w:r>
        <w:rPr>
          <w:rFonts w:hint="default" w:ascii="仿宋" w:hAnsi="仿宋" w:eastAsia="仿宋" w:cs="仿宋"/>
          <w:snapToGrid/>
          <w:color w:val="auto"/>
          <w:kern w:val="0"/>
          <w:szCs w:val="24"/>
          <w:lang w:val="en-US" w:eastAsia="zh-CN"/>
        </w:rPr>
        <w:t>人员。</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（3）</w:t>
      </w:r>
      <w:r>
        <w:rPr>
          <w:rFonts w:hint="default" w:ascii="仿宋" w:hAnsi="仿宋" w:eastAsia="仿宋" w:cs="仿宋"/>
          <w:snapToGrid/>
          <w:color w:val="auto"/>
          <w:kern w:val="0"/>
          <w:szCs w:val="24"/>
          <w:lang w:val="en-US"/>
        </w:rPr>
        <w:t>项目负责人须为投标人在职员工，新闻类或管理类相关专业，具有硕士及以上学位（须是新闻类或管理类相关专业），有类似宣传推广项目负责人经验的优先考虑。</w:t>
      </w:r>
    </w:p>
    <w:p>
      <w:pPr>
        <w:pStyle w:val="23"/>
        <w:autoSpaceDE/>
        <w:autoSpaceDN/>
        <w:ind w:firstLine="482" w:firstLineChars="200"/>
        <w:rPr>
          <w:rFonts w:hint="eastAsia" w:ascii="仿宋" w:hAnsi="仿宋" w:eastAsia="仿宋" w:cs="仿宋"/>
          <w:b/>
          <w:bCs/>
          <w:snapToGrid/>
          <w:color w:val="auto"/>
          <w:kern w:val="0"/>
          <w:szCs w:val="24"/>
          <w:lang w:val="en-US"/>
        </w:rPr>
      </w:pPr>
      <w:r>
        <w:rPr>
          <w:rFonts w:hint="eastAsia" w:ascii="仿宋" w:hAnsi="仿宋" w:eastAsia="仿宋" w:cs="仿宋"/>
          <w:b/>
          <w:bCs/>
          <w:snapToGrid/>
          <w:color w:val="auto"/>
          <w:kern w:val="0"/>
          <w:szCs w:val="24"/>
          <w:lang w:val="en-US" w:eastAsia="zh-CN"/>
        </w:rPr>
        <w:t>3</w:t>
      </w:r>
      <w:r>
        <w:rPr>
          <w:rFonts w:hint="eastAsia" w:ascii="仿宋" w:hAnsi="仿宋" w:eastAsia="仿宋" w:cs="仿宋"/>
          <w:b/>
          <w:bCs/>
          <w:snapToGrid/>
          <w:color w:val="auto"/>
          <w:kern w:val="0"/>
          <w:szCs w:val="24"/>
          <w:lang w:val="en-US"/>
        </w:rPr>
        <w:t>、</w:t>
      </w:r>
      <w:r>
        <w:rPr>
          <w:rFonts w:hint="default" w:ascii="仿宋" w:hAnsi="仿宋" w:eastAsia="仿宋" w:cs="仿宋"/>
          <w:b/>
          <w:bCs/>
          <w:snapToGrid/>
          <w:color w:val="auto"/>
          <w:kern w:val="0"/>
          <w:szCs w:val="24"/>
          <w:lang w:val="en-US"/>
        </w:rPr>
        <w:t>其他相关服务要求</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（1）</w:t>
      </w:r>
      <w:r>
        <w:rPr>
          <w:rFonts w:hint="default" w:ascii="仿宋" w:hAnsi="仿宋" w:eastAsia="仿宋" w:cs="仿宋"/>
          <w:snapToGrid/>
          <w:color w:val="auto"/>
          <w:kern w:val="0"/>
          <w:szCs w:val="24"/>
          <w:lang w:val="en-US"/>
        </w:rPr>
        <w:t>投标人撰写的资讯信息、活动策划案等内容均须经采购人审核同意后才可对外发布。</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（2）</w:t>
      </w:r>
      <w:r>
        <w:rPr>
          <w:rFonts w:hint="default" w:ascii="仿宋" w:hAnsi="仿宋" w:eastAsia="仿宋" w:cs="仿宋"/>
          <w:snapToGrid/>
          <w:color w:val="auto"/>
          <w:kern w:val="0"/>
          <w:szCs w:val="24"/>
          <w:lang w:val="en-US"/>
        </w:rPr>
        <w:t>投标人应具有与本项目实施相匹配的履约能力，包括专业硬件和软件、技术力量、境外落地推广平台等。</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（3）</w:t>
      </w:r>
      <w:r>
        <w:rPr>
          <w:rFonts w:hint="default" w:ascii="仿宋" w:hAnsi="仿宋" w:eastAsia="仿宋" w:cs="仿宋"/>
          <w:snapToGrid/>
          <w:color w:val="auto"/>
          <w:kern w:val="0"/>
          <w:szCs w:val="24"/>
          <w:lang w:val="en-US"/>
        </w:rPr>
        <w:t>投标人针对本项目应有明确详细的背景分析和需求理解，相应内容契合本项目采购要求和采购人意图。</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（4）</w:t>
      </w:r>
      <w:r>
        <w:rPr>
          <w:rFonts w:hint="default" w:ascii="仿宋" w:hAnsi="仿宋" w:eastAsia="仿宋" w:cs="仿宋"/>
          <w:snapToGrid/>
          <w:color w:val="auto"/>
          <w:kern w:val="0"/>
          <w:szCs w:val="24"/>
          <w:lang w:val="en-US" w:eastAsia="zh-CN"/>
        </w:rPr>
        <w:t>本项目需在全省或全国范围内进行资讯推广，投标人需具有在浙江省或全国范围内提供资讯推广服务的履约能力，获得过</w:t>
      </w:r>
      <w:r>
        <w:rPr>
          <w:rFonts w:hint="default" w:ascii="仿宋" w:hAnsi="仿宋" w:eastAsia="仿宋" w:cs="仿宋"/>
          <w:snapToGrid/>
          <w:color w:val="auto"/>
          <w:kern w:val="0"/>
          <w:szCs w:val="24"/>
          <w:lang w:val="en-US"/>
        </w:rPr>
        <w:t>新闻主管部门颁发的省级及以上奖项</w:t>
      </w:r>
      <w:r>
        <w:rPr>
          <w:rFonts w:hint="default" w:ascii="仿宋" w:hAnsi="仿宋" w:eastAsia="仿宋" w:cs="仿宋"/>
          <w:snapToGrid/>
          <w:color w:val="auto"/>
          <w:kern w:val="0"/>
          <w:szCs w:val="24"/>
          <w:lang w:val="en-US" w:eastAsia="zh-CN"/>
        </w:rPr>
        <w:t>。</w:t>
      </w:r>
      <w:r>
        <w:rPr>
          <w:rFonts w:hint="default" w:ascii="仿宋" w:hAnsi="仿宋" w:eastAsia="仿宋" w:cs="仿宋"/>
          <w:snapToGrid/>
          <w:color w:val="auto"/>
          <w:kern w:val="0"/>
          <w:szCs w:val="24"/>
          <w:lang w:val="en-US"/>
        </w:rPr>
        <w:t>投标人应具有较大影响力的推广平台，具有较强的宣传、引流、推广、活动策划组织能力，除了拥有较强的文字功底外，还需利用图片、短视频、微信、客户端、网站专题等互联网技术进行多元化传播。</w:t>
      </w:r>
    </w:p>
    <w:p>
      <w:pPr>
        <w:pStyle w:val="23"/>
        <w:autoSpaceDE/>
        <w:autoSpaceDN/>
        <w:snapToGrid w:val="0"/>
        <w:ind w:firstLine="480" w:firstLineChars="200"/>
        <w:rPr>
          <w:rFonts w:hint="default"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eastAsia="zh-CN"/>
        </w:rPr>
        <w:t>（5）</w:t>
      </w:r>
      <w:r>
        <w:rPr>
          <w:rFonts w:hint="default" w:ascii="仿宋" w:hAnsi="仿宋" w:eastAsia="仿宋" w:cs="仿宋"/>
          <w:snapToGrid/>
          <w:color w:val="auto"/>
          <w:kern w:val="0"/>
          <w:szCs w:val="24"/>
          <w:lang w:val="en-US"/>
        </w:rPr>
        <w:t>本项目投入的团队应组织架构合理、人员数量充足，并且团队分工明确合理、岗位职责清晰到位。</w:t>
      </w:r>
    </w:p>
    <w:p>
      <w:pPr>
        <w:autoSpaceDE w:val="0"/>
        <w:autoSpaceDN w:val="0"/>
        <w:spacing w:line="360" w:lineRule="auto"/>
        <w:rPr>
          <w:rFonts w:ascii="仿宋" w:hAnsi="仿宋" w:eastAsia="仿宋" w:cs="仿宋"/>
          <w:b/>
          <w:color w:val="auto"/>
          <w:sz w:val="24"/>
        </w:rPr>
      </w:pPr>
      <w:r>
        <w:rPr>
          <w:rFonts w:hint="eastAsia" w:ascii="仿宋" w:hAnsi="仿宋" w:eastAsia="仿宋" w:cs="仿宋"/>
          <w:b/>
          <w:color w:val="auto"/>
          <w:sz w:val="24"/>
          <w:lang w:val="en-US" w:eastAsia="zh-CN"/>
        </w:rPr>
        <w:t>三</w:t>
      </w:r>
      <w:r>
        <w:rPr>
          <w:rFonts w:hint="eastAsia" w:ascii="仿宋" w:hAnsi="仿宋" w:eastAsia="仿宋" w:cs="仿宋"/>
          <w:b/>
          <w:color w:val="auto"/>
          <w:sz w:val="24"/>
        </w:rPr>
        <w:t>、商务要求</w:t>
      </w:r>
    </w:p>
    <w:p>
      <w:pPr>
        <w:pStyle w:val="23"/>
        <w:autoSpaceDE/>
        <w:autoSpaceDN/>
        <w:snapToGrid w:val="0"/>
        <w:rPr>
          <w:rFonts w:ascii="仿宋" w:hAnsi="仿宋" w:eastAsia="仿宋" w:cs="仿宋"/>
          <w:b/>
          <w:bCs/>
          <w:snapToGrid/>
          <w:color w:val="auto"/>
          <w:kern w:val="0"/>
          <w:szCs w:val="24"/>
          <w:lang w:val="en-US"/>
        </w:rPr>
      </w:pPr>
      <w:r>
        <w:rPr>
          <w:rFonts w:hint="eastAsia" w:ascii="仿宋" w:hAnsi="仿宋" w:eastAsia="仿宋" w:cs="仿宋"/>
          <w:b/>
          <w:bCs/>
          <w:snapToGrid/>
          <w:color w:val="auto"/>
          <w:kern w:val="0"/>
          <w:szCs w:val="24"/>
          <w:lang w:val="en-US"/>
        </w:rPr>
        <w:t xml:space="preserve">   </w:t>
      </w:r>
      <w:r>
        <w:rPr>
          <w:rFonts w:hint="eastAsia" w:ascii="仿宋" w:hAnsi="仿宋" w:eastAsia="仿宋" w:cs="仿宋"/>
          <w:b/>
          <w:snapToGrid/>
          <w:color w:val="auto"/>
          <w:szCs w:val="24"/>
          <w:lang w:val="en-US"/>
        </w:rPr>
        <w:t xml:space="preserve"> 1、投标报价</w:t>
      </w:r>
    </w:p>
    <w:p>
      <w:pPr>
        <w:pStyle w:val="23"/>
        <w:autoSpaceDE/>
        <w:autoSpaceDN/>
        <w:snapToGrid w:val="0"/>
        <w:ind w:firstLine="480" w:firstLineChars="200"/>
        <w:rPr>
          <w:color w:val="auto"/>
          <w:lang w:val="en-US"/>
        </w:rPr>
      </w:pPr>
      <w:r>
        <w:rPr>
          <w:rFonts w:hint="eastAsia" w:ascii="仿宋" w:hAnsi="仿宋" w:eastAsia="仿宋" w:cs="仿宋"/>
          <w:snapToGrid/>
          <w:color w:val="auto"/>
          <w:kern w:val="0"/>
          <w:szCs w:val="24"/>
          <w:lang w:val="en-US"/>
        </w:rPr>
        <w:t>（1）投标人应考虑企业自身实力、经验及项目实施过程中的各种因素，根据采购要求，详细说明所能提供的各项具体服务内容，在保证服务质量与最精简优化人员配备的前提下，</w:t>
      </w:r>
      <w:r>
        <w:rPr>
          <w:rFonts w:hint="eastAsia" w:ascii="仿宋" w:hAnsi="仿宋" w:eastAsia="仿宋" w:cs="仿宋"/>
          <w:b/>
          <w:bCs/>
          <w:snapToGrid/>
          <w:color w:val="auto"/>
          <w:kern w:val="0"/>
          <w:szCs w:val="24"/>
          <w:lang w:val="en-US"/>
        </w:rPr>
        <w:t>本项目实行总价包干</w:t>
      </w:r>
      <w:r>
        <w:rPr>
          <w:rFonts w:hint="eastAsia" w:ascii="仿宋" w:hAnsi="仿宋" w:eastAsia="仿宋" w:cs="仿宋"/>
          <w:snapToGrid/>
          <w:color w:val="auto"/>
          <w:kern w:val="0"/>
          <w:szCs w:val="24"/>
          <w:lang w:val="en-US"/>
        </w:rPr>
        <w:t>，合同价包含完成本项目所需的所有工作量及相应税费等，不仅包含投标文件中所列项目。中标人因执行项目所产生的交通、食宿、通信及各种办公经费均由项目费用负担。</w:t>
      </w:r>
    </w:p>
    <w:p>
      <w:pPr>
        <w:pStyle w:val="23"/>
        <w:autoSpaceDE/>
        <w:autoSpaceDN/>
        <w:snapToGrid w:val="0"/>
        <w:ind w:firstLine="480" w:firstLineChars="200"/>
        <w:rPr>
          <w:rFonts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rPr>
        <w:t>（2）按国家规定由中标人缴纳的各种税收已包含在投标总价中，由中标人向税务机关缴纳。</w:t>
      </w:r>
    </w:p>
    <w:p>
      <w:pPr>
        <w:pStyle w:val="23"/>
        <w:autoSpaceDE/>
        <w:autoSpaceDN/>
        <w:snapToGrid w:val="0"/>
        <w:ind w:firstLine="480" w:firstLineChars="200"/>
        <w:rPr>
          <w:color w:val="auto"/>
          <w:lang w:val="en-US"/>
        </w:rPr>
      </w:pPr>
      <w:r>
        <w:rPr>
          <w:rFonts w:hint="eastAsia" w:ascii="仿宋" w:hAnsi="仿宋" w:eastAsia="仿宋" w:cs="仿宋"/>
          <w:snapToGrid/>
          <w:color w:val="auto"/>
          <w:kern w:val="0"/>
          <w:szCs w:val="24"/>
          <w:lang w:val="en-US"/>
        </w:rPr>
        <w:t>（3）采购代理费由中标人支付，相关成本支出由投标人自行考虑。</w:t>
      </w:r>
    </w:p>
    <w:p>
      <w:pPr>
        <w:pStyle w:val="23"/>
        <w:autoSpaceDE/>
        <w:autoSpaceDN/>
        <w:snapToGrid w:val="0"/>
        <w:ind w:firstLine="482" w:firstLineChars="200"/>
        <w:rPr>
          <w:rFonts w:ascii="仿宋" w:hAnsi="仿宋" w:eastAsia="仿宋" w:cs="仿宋"/>
          <w:b/>
          <w:snapToGrid/>
          <w:color w:val="auto"/>
          <w:szCs w:val="24"/>
          <w:lang w:val="en-US"/>
        </w:rPr>
      </w:pPr>
      <w:bookmarkStart w:id="21" w:name="_Toc16266"/>
      <w:bookmarkStart w:id="22" w:name="_Toc17154"/>
      <w:r>
        <w:rPr>
          <w:rFonts w:hint="eastAsia" w:ascii="仿宋" w:hAnsi="仿宋" w:eastAsia="仿宋" w:cs="仿宋"/>
          <w:b/>
          <w:snapToGrid/>
          <w:color w:val="auto"/>
          <w:szCs w:val="24"/>
          <w:lang w:val="en-US"/>
        </w:rPr>
        <w:t>2、采购预算及最高限价</w:t>
      </w:r>
    </w:p>
    <w:p>
      <w:pPr>
        <w:pStyle w:val="23"/>
        <w:snapToGrid w:val="0"/>
        <w:ind w:firstLine="482" w:firstLineChars="200"/>
        <w:rPr>
          <w:rFonts w:ascii="仿宋" w:hAnsi="仿宋" w:eastAsia="仿宋" w:cs="仿宋"/>
          <w:b/>
          <w:bCs/>
          <w:color w:val="auto"/>
        </w:rPr>
      </w:pPr>
      <w:r>
        <w:rPr>
          <w:rFonts w:hint="eastAsia" w:ascii="仿宋" w:hAnsi="仿宋" w:eastAsia="仿宋" w:cs="仿宋"/>
          <w:b/>
          <w:bCs/>
          <w:color w:val="auto"/>
        </w:rPr>
        <w:t>采购预算为</w:t>
      </w:r>
      <w:r>
        <w:rPr>
          <w:rFonts w:hint="eastAsia" w:ascii="仿宋" w:hAnsi="仿宋" w:eastAsia="仿宋" w:cs="仿宋"/>
          <w:b/>
          <w:bCs/>
          <w:color w:val="auto"/>
          <w:lang w:val="en-US"/>
        </w:rPr>
        <w:t>：¥</w:t>
      </w:r>
      <w:r>
        <w:rPr>
          <w:rFonts w:hint="eastAsia" w:ascii="仿宋" w:hAnsi="仿宋" w:eastAsia="仿宋" w:cs="仿宋"/>
          <w:b/>
          <w:bCs/>
          <w:color w:val="auto"/>
          <w:lang w:eastAsia="zh-CN"/>
        </w:rPr>
        <w:t>1060000</w:t>
      </w:r>
      <w:r>
        <w:rPr>
          <w:rFonts w:hint="eastAsia" w:ascii="仿宋" w:hAnsi="仿宋" w:eastAsia="仿宋" w:cs="仿宋"/>
          <w:b/>
          <w:bCs/>
          <w:color w:val="auto"/>
        </w:rPr>
        <w:t>元</w:t>
      </w:r>
    </w:p>
    <w:p>
      <w:pPr>
        <w:pStyle w:val="23"/>
        <w:snapToGrid w:val="0"/>
        <w:ind w:firstLine="482" w:firstLineChars="200"/>
        <w:rPr>
          <w:rFonts w:ascii="仿宋" w:hAnsi="仿宋" w:eastAsia="仿宋" w:cs="仿宋"/>
          <w:b/>
          <w:bCs/>
          <w:color w:val="auto"/>
          <w:lang w:val="en-US"/>
        </w:rPr>
      </w:pPr>
      <w:r>
        <w:rPr>
          <w:rFonts w:hint="eastAsia" w:ascii="仿宋" w:hAnsi="仿宋" w:eastAsia="仿宋" w:cs="仿宋"/>
          <w:b/>
          <w:bCs/>
          <w:color w:val="auto"/>
        </w:rPr>
        <w:t>最高限价为：</w:t>
      </w:r>
      <w:r>
        <w:rPr>
          <w:rFonts w:hint="eastAsia" w:ascii="仿宋" w:hAnsi="仿宋" w:eastAsia="仿宋" w:cs="仿宋"/>
          <w:b/>
          <w:bCs/>
          <w:color w:val="auto"/>
          <w:lang w:val="en-US"/>
        </w:rPr>
        <w:t>¥</w:t>
      </w:r>
      <w:r>
        <w:rPr>
          <w:rFonts w:hint="eastAsia" w:ascii="仿宋" w:hAnsi="仿宋" w:eastAsia="仿宋" w:cs="仿宋"/>
          <w:b/>
          <w:bCs/>
          <w:color w:val="auto"/>
          <w:lang w:eastAsia="zh-CN"/>
        </w:rPr>
        <w:t>1060000</w:t>
      </w:r>
      <w:r>
        <w:rPr>
          <w:rFonts w:hint="eastAsia" w:ascii="仿宋" w:hAnsi="仿宋" w:eastAsia="仿宋" w:cs="仿宋"/>
          <w:b/>
          <w:bCs/>
          <w:color w:val="auto"/>
        </w:rPr>
        <w:t>元</w:t>
      </w:r>
      <w:r>
        <w:rPr>
          <w:rFonts w:hint="eastAsia" w:ascii="仿宋" w:hAnsi="仿宋" w:eastAsia="仿宋" w:cs="仿宋"/>
          <w:b/>
          <w:bCs/>
          <w:color w:val="auto"/>
          <w:lang w:val="en-US" w:eastAsia="zh-CN"/>
        </w:rPr>
        <w:t>，</w:t>
      </w:r>
      <w:r>
        <w:rPr>
          <w:rFonts w:hint="eastAsia" w:ascii="仿宋" w:hAnsi="仿宋" w:eastAsia="仿宋" w:cs="仿宋"/>
          <w:b/>
          <w:bCs/>
          <w:color w:val="auto"/>
        </w:rPr>
        <w:t>超过最高限价的投标将作无效标处理。</w:t>
      </w:r>
    </w:p>
    <w:p>
      <w:pPr>
        <w:pStyle w:val="23"/>
        <w:autoSpaceDE/>
        <w:autoSpaceDN/>
        <w:snapToGrid w:val="0"/>
        <w:ind w:firstLine="482" w:firstLineChars="200"/>
        <w:rPr>
          <w:rFonts w:ascii="仿宋" w:hAnsi="仿宋" w:eastAsia="仿宋" w:cs="仿宋"/>
          <w:b/>
          <w:snapToGrid/>
          <w:color w:val="auto"/>
          <w:szCs w:val="24"/>
          <w:lang w:val="en-US"/>
        </w:rPr>
      </w:pPr>
      <w:r>
        <w:rPr>
          <w:rFonts w:hint="eastAsia" w:ascii="仿宋" w:hAnsi="仿宋" w:eastAsia="仿宋" w:cs="仿宋"/>
          <w:b/>
          <w:snapToGrid/>
          <w:color w:val="auto"/>
          <w:szCs w:val="24"/>
          <w:lang w:val="en-US"/>
        </w:rPr>
        <w:t>3、履约保证金（本项目无履约保证金。）</w:t>
      </w:r>
    </w:p>
    <w:p>
      <w:pPr>
        <w:pStyle w:val="23"/>
        <w:autoSpaceDE/>
        <w:autoSpaceDN/>
        <w:snapToGrid w:val="0"/>
        <w:ind w:firstLine="482" w:firstLineChars="200"/>
        <w:rPr>
          <w:rFonts w:ascii="仿宋" w:hAnsi="仿宋" w:eastAsia="仿宋" w:cs="仿宋"/>
          <w:color w:val="auto"/>
        </w:rPr>
      </w:pPr>
      <w:r>
        <w:rPr>
          <w:rFonts w:hint="eastAsia" w:ascii="仿宋" w:hAnsi="仿宋" w:eastAsia="仿宋" w:cs="仿宋"/>
          <w:b/>
          <w:snapToGrid/>
          <w:color w:val="auto"/>
          <w:szCs w:val="24"/>
          <w:lang w:val="en-US"/>
        </w:rPr>
        <w:t>4、服务期限要求：</w:t>
      </w:r>
      <w:r>
        <w:rPr>
          <w:rFonts w:hint="default" w:ascii="仿宋" w:hAnsi="仿宋" w:eastAsia="仿宋" w:cs="仿宋"/>
          <w:color w:val="auto"/>
        </w:rPr>
        <w:t>合同签订之日起至2025年5月2</w:t>
      </w:r>
      <w:r>
        <w:rPr>
          <w:rFonts w:hint="default" w:ascii="仿宋" w:hAnsi="仿宋" w:eastAsia="仿宋" w:cs="仿宋"/>
          <w:color w:val="auto"/>
          <w:lang w:val="en-US" w:eastAsia="zh-CN"/>
        </w:rPr>
        <w:t>5</w:t>
      </w:r>
      <w:r>
        <w:rPr>
          <w:rFonts w:hint="default" w:ascii="仿宋" w:hAnsi="仿宋" w:eastAsia="仿宋" w:cs="仿宋"/>
          <w:color w:val="auto"/>
        </w:rPr>
        <w:t>日</w:t>
      </w:r>
      <w:r>
        <w:rPr>
          <w:rFonts w:hint="eastAsia" w:ascii="仿宋" w:hAnsi="仿宋" w:eastAsia="仿宋" w:cs="仿宋"/>
          <w:color w:val="auto"/>
        </w:rPr>
        <w:t>。</w:t>
      </w:r>
    </w:p>
    <w:p>
      <w:pPr>
        <w:pStyle w:val="23"/>
        <w:autoSpaceDE/>
        <w:autoSpaceDN/>
        <w:snapToGrid w:val="0"/>
        <w:ind w:firstLine="482" w:firstLineChars="200"/>
        <w:rPr>
          <w:rFonts w:ascii="仿宋" w:hAnsi="仿宋" w:eastAsia="仿宋" w:cs="仿宋"/>
          <w:b/>
          <w:snapToGrid/>
          <w:color w:val="auto"/>
          <w:szCs w:val="24"/>
          <w:lang w:val="en-US"/>
        </w:rPr>
      </w:pPr>
      <w:r>
        <w:rPr>
          <w:rFonts w:hint="eastAsia" w:ascii="仿宋" w:hAnsi="仿宋" w:eastAsia="仿宋" w:cs="仿宋"/>
          <w:b/>
          <w:snapToGrid/>
          <w:color w:val="auto"/>
          <w:szCs w:val="24"/>
          <w:lang w:val="en-US" w:eastAsia="zh-CN"/>
        </w:rPr>
        <w:t>5</w:t>
      </w:r>
      <w:r>
        <w:rPr>
          <w:rFonts w:hint="eastAsia" w:ascii="仿宋" w:hAnsi="仿宋" w:eastAsia="仿宋" w:cs="仿宋"/>
          <w:b/>
          <w:snapToGrid/>
          <w:color w:val="auto"/>
          <w:szCs w:val="24"/>
          <w:lang w:val="en-US"/>
        </w:rPr>
        <w:t>、</w:t>
      </w:r>
      <w:r>
        <w:rPr>
          <w:rFonts w:hint="eastAsia" w:ascii="仿宋" w:hAnsi="仿宋" w:eastAsia="仿宋" w:cs="仿宋"/>
          <w:b/>
          <w:snapToGrid/>
          <w:color w:val="auto"/>
          <w:szCs w:val="24"/>
          <w:lang w:val="en-US" w:eastAsia="zh-CN"/>
        </w:rPr>
        <w:t>支付</w:t>
      </w:r>
      <w:r>
        <w:rPr>
          <w:rFonts w:hint="eastAsia" w:ascii="仿宋" w:hAnsi="仿宋" w:eastAsia="仿宋" w:cs="仿宋"/>
          <w:b/>
          <w:snapToGrid/>
          <w:color w:val="auto"/>
          <w:szCs w:val="24"/>
          <w:lang w:val="en-US"/>
        </w:rPr>
        <w:t>方式</w:t>
      </w:r>
    </w:p>
    <w:p>
      <w:pPr>
        <w:pStyle w:val="23"/>
        <w:snapToGrid w:val="0"/>
        <w:ind w:firstLine="480" w:firstLineChars="200"/>
        <w:rPr>
          <w:rFonts w:hint="eastAsia" w:ascii="仿宋" w:hAnsi="仿宋" w:eastAsia="仿宋" w:cs="仿宋"/>
          <w:color w:val="auto"/>
        </w:rPr>
      </w:pPr>
      <w:r>
        <w:rPr>
          <w:rFonts w:hint="default" w:ascii="仿宋" w:hAnsi="仿宋" w:eastAsia="仿宋" w:cs="仿宋"/>
          <w:color w:val="auto"/>
        </w:rPr>
        <w:t>合同签订生效且具备实施条件后，</w:t>
      </w:r>
      <w:r>
        <w:rPr>
          <w:rFonts w:hint="eastAsia" w:ascii="仿宋" w:hAnsi="仿宋" w:eastAsia="仿宋" w:cs="仿宋"/>
          <w:color w:val="auto"/>
        </w:rPr>
        <w:t>采购人</w:t>
      </w:r>
      <w:r>
        <w:rPr>
          <w:rFonts w:hint="default" w:ascii="仿宋" w:hAnsi="仿宋" w:eastAsia="仿宋" w:cs="仿宋"/>
          <w:color w:val="auto"/>
        </w:rPr>
        <w:t>收到相应金额发票后7个工作日</w:t>
      </w:r>
      <w:r>
        <w:rPr>
          <w:rFonts w:hint="eastAsia" w:ascii="仿宋" w:hAnsi="仿宋" w:eastAsia="仿宋" w:cs="仿宋"/>
          <w:color w:val="auto"/>
        </w:rPr>
        <w:t>内支付给中标人项目202</w:t>
      </w:r>
      <w:r>
        <w:rPr>
          <w:rFonts w:hint="default" w:ascii="仿宋" w:hAnsi="仿宋" w:eastAsia="仿宋" w:cs="仿宋"/>
          <w:color w:val="auto"/>
        </w:rPr>
        <w:t>4</w:t>
      </w:r>
      <w:r>
        <w:rPr>
          <w:rFonts w:hint="eastAsia" w:ascii="仿宋" w:hAnsi="仿宋" w:eastAsia="仿宋" w:cs="仿宋"/>
          <w:color w:val="auto"/>
        </w:rPr>
        <w:t>年度计划支付资金额的40%；202</w:t>
      </w:r>
      <w:r>
        <w:rPr>
          <w:rFonts w:hint="default" w:ascii="仿宋" w:hAnsi="仿宋" w:eastAsia="仿宋" w:cs="仿宋"/>
          <w:color w:val="auto"/>
        </w:rPr>
        <w:t>4</w:t>
      </w:r>
      <w:r>
        <w:rPr>
          <w:rFonts w:hint="eastAsia" w:ascii="仿宋" w:hAnsi="仿宋" w:eastAsia="仿宋" w:cs="仿宋"/>
          <w:color w:val="auto"/>
        </w:rPr>
        <w:t>年9月30日前，完成2次新媒体平台上资讯推广服务且收到发票后7个工作日内采购人支付项目202</w:t>
      </w:r>
      <w:r>
        <w:rPr>
          <w:rFonts w:hint="default" w:ascii="仿宋" w:hAnsi="仿宋" w:eastAsia="仿宋" w:cs="仿宋"/>
          <w:color w:val="auto"/>
        </w:rPr>
        <w:t>4</w:t>
      </w:r>
      <w:r>
        <w:rPr>
          <w:rFonts w:hint="eastAsia" w:ascii="仿宋" w:hAnsi="仿宋" w:eastAsia="仿宋" w:cs="仿宋"/>
          <w:color w:val="auto"/>
        </w:rPr>
        <w:t>年度计划支付资金额的30%；202</w:t>
      </w:r>
      <w:r>
        <w:rPr>
          <w:rFonts w:hint="default" w:ascii="仿宋" w:hAnsi="仿宋" w:eastAsia="仿宋" w:cs="仿宋"/>
          <w:color w:val="auto"/>
        </w:rPr>
        <w:t>4</w:t>
      </w:r>
      <w:r>
        <w:rPr>
          <w:rFonts w:hint="eastAsia" w:ascii="仿宋" w:hAnsi="仿宋" w:eastAsia="仿宋" w:cs="仿宋"/>
          <w:color w:val="auto"/>
        </w:rPr>
        <w:t>年12月15日前，中标人</w:t>
      </w:r>
      <w:r>
        <w:rPr>
          <w:rFonts w:hint="default" w:ascii="仿宋" w:hAnsi="仿宋" w:eastAsia="仿宋" w:cs="仿宋"/>
          <w:color w:val="auto"/>
        </w:rPr>
        <w:t>提供为期1个月的网络运营推广服务</w:t>
      </w:r>
      <w:r>
        <w:rPr>
          <w:rFonts w:hint="eastAsia" w:ascii="仿宋" w:hAnsi="仿宋" w:eastAsia="仿宋" w:cs="仿宋"/>
          <w:color w:val="auto"/>
        </w:rPr>
        <w:t>且采购人收到发票后7个工作日内采购人支付项目202</w:t>
      </w:r>
      <w:r>
        <w:rPr>
          <w:rFonts w:hint="default" w:ascii="仿宋" w:hAnsi="仿宋" w:eastAsia="仿宋" w:cs="仿宋"/>
          <w:color w:val="auto"/>
        </w:rPr>
        <w:t>4</w:t>
      </w:r>
      <w:r>
        <w:rPr>
          <w:rFonts w:hint="eastAsia" w:ascii="仿宋" w:hAnsi="仿宋" w:eastAsia="仿宋" w:cs="仿宋"/>
          <w:color w:val="auto"/>
        </w:rPr>
        <w:t>年度计划支付资金额的30%；全部项目经验收合格并收到发票后7个工作日内采购人支付剩余部分。</w:t>
      </w:r>
    </w:p>
    <w:p>
      <w:pPr>
        <w:pStyle w:val="23"/>
        <w:snapToGrid w:val="0"/>
        <w:ind w:firstLine="480" w:firstLineChars="200"/>
        <w:rPr>
          <w:rFonts w:hint="default" w:ascii="仿宋" w:hAnsi="仿宋" w:eastAsia="仿宋" w:cs="仿宋"/>
          <w:color w:val="auto"/>
          <w:lang w:val="en-US" w:eastAsia="zh-CN"/>
        </w:rPr>
      </w:pPr>
      <w:r>
        <w:rPr>
          <w:rFonts w:hint="eastAsia" w:ascii="仿宋" w:hAnsi="仿宋" w:eastAsia="仿宋" w:cs="仿宋"/>
          <w:color w:val="auto"/>
        </w:rPr>
        <w:t>项目202</w:t>
      </w:r>
      <w:r>
        <w:rPr>
          <w:rFonts w:hint="default" w:ascii="仿宋" w:hAnsi="仿宋" w:eastAsia="仿宋" w:cs="仿宋"/>
          <w:color w:val="auto"/>
        </w:rPr>
        <w:t>4</w:t>
      </w:r>
      <w:r>
        <w:rPr>
          <w:rFonts w:hint="eastAsia" w:ascii="仿宋" w:hAnsi="仿宋" w:eastAsia="仿宋" w:cs="仿宋"/>
          <w:color w:val="auto"/>
        </w:rPr>
        <w:t>年度计划支付资金额为79.5万元，项目202</w:t>
      </w:r>
      <w:r>
        <w:rPr>
          <w:rFonts w:hint="default" w:ascii="仿宋" w:hAnsi="仿宋" w:eastAsia="仿宋" w:cs="仿宋"/>
          <w:color w:val="auto"/>
        </w:rPr>
        <w:t>5</w:t>
      </w:r>
      <w:r>
        <w:rPr>
          <w:rFonts w:hint="eastAsia" w:ascii="仿宋" w:hAnsi="仿宋" w:eastAsia="仿宋" w:cs="仿宋"/>
          <w:color w:val="auto"/>
        </w:rPr>
        <w:t>年度计划支付资金额为合同支付剩余金额</w:t>
      </w:r>
      <w:r>
        <w:rPr>
          <w:rFonts w:hint="default" w:ascii="仿宋" w:hAnsi="仿宋" w:eastAsia="仿宋" w:cs="仿宋"/>
          <w:color w:val="auto"/>
          <w:lang w:eastAsia="zh-CN"/>
        </w:rPr>
        <w:t>；若合同总金额低于</w:t>
      </w:r>
      <w:r>
        <w:rPr>
          <w:rFonts w:hint="default" w:ascii="仿宋" w:hAnsi="仿宋" w:eastAsia="仿宋" w:cs="仿宋"/>
          <w:color w:val="auto"/>
          <w:lang w:val="en-US" w:eastAsia="zh-CN"/>
        </w:rPr>
        <w:t>79.5万元，则</w:t>
      </w:r>
      <w:r>
        <w:rPr>
          <w:rFonts w:hint="eastAsia" w:ascii="仿宋" w:hAnsi="仿宋" w:eastAsia="仿宋" w:cs="仿宋"/>
          <w:color w:val="auto"/>
        </w:rPr>
        <w:t>202</w:t>
      </w:r>
      <w:r>
        <w:rPr>
          <w:rFonts w:hint="default" w:ascii="仿宋" w:hAnsi="仿宋" w:eastAsia="仿宋" w:cs="仿宋"/>
          <w:color w:val="auto"/>
        </w:rPr>
        <w:t>4</w:t>
      </w:r>
      <w:r>
        <w:rPr>
          <w:rFonts w:hint="eastAsia" w:ascii="仿宋" w:hAnsi="仿宋" w:eastAsia="仿宋" w:cs="仿宋"/>
          <w:color w:val="auto"/>
        </w:rPr>
        <w:t>年度计划支付资金额为</w:t>
      </w:r>
      <w:r>
        <w:rPr>
          <w:rFonts w:hint="default" w:ascii="仿宋" w:hAnsi="仿宋" w:eastAsia="仿宋" w:cs="仿宋"/>
          <w:color w:val="auto"/>
          <w:lang w:eastAsia="zh-CN"/>
        </w:rPr>
        <w:t>合同总金额的</w:t>
      </w:r>
      <w:r>
        <w:rPr>
          <w:rFonts w:hint="default" w:ascii="仿宋" w:hAnsi="仿宋" w:eastAsia="仿宋" w:cs="仿宋"/>
          <w:color w:val="auto"/>
          <w:lang w:val="en-US" w:eastAsia="zh-CN"/>
        </w:rPr>
        <w:t>75%。</w:t>
      </w:r>
      <w:bookmarkEnd w:id="21"/>
      <w:bookmarkEnd w:id="22"/>
    </w:p>
    <w:p>
      <w:pPr>
        <w:numPr>
          <w:ilvl w:val="0"/>
          <w:numId w:val="2"/>
        </w:numPr>
        <w:autoSpaceDE w:val="0"/>
        <w:autoSpaceDN w:val="0"/>
        <w:spacing w:line="360" w:lineRule="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验收要求</w:t>
      </w:r>
    </w:p>
    <w:p>
      <w:pPr>
        <w:pStyle w:val="23"/>
        <w:autoSpaceDE/>
        <w:autoSpaceDN/>
        <w:snapToGrid w:val="0"/>
        <w:ind w:firstLine="482" w:firstLineChars="200"/>
        <w:rPr>
          <w:rFonts w:hint="eastAsia" w:ascii="仿宋" w:hAnsi="仿宋" w:eastAsia="仿宋" w:cs="仿宋"/>
          <w:b/>
          <w:snapToGrid/>
          <w:color w:val="auto"/>
          <w:szCs w:val="24"/>
          <w:lang w:val="en-US"/>
        </w:rPr>
      </w:pPr>
      <w:r>
        <w:rPr>
          <w:rFonts w:hint="eastAsia" w:ascii="仿宋" w:hAnsi="仿宋" w:eastAsia="仿宋" w:cs="仿宋"/>
          <w:b/>
          <w:snapToGrid/>
          <w:color w:val="auto"/>
          <w:szCs w:val="24"/>
          <w:lang w:val="en-US" w:eastAsia="zh-CN"/>
        </w:rPr>
        <w:t>1、</w:t>
      </w:r>
      <w:r>
        <w:rPr>
          <w:rFonts w:hint="eastAsia" w:ascii="仿宋" w:hAnsi="仿宋" w:eastAsia="仿宋" w:cs="仿宋"/>
          <w:b/>
          <w:snapToGrid/>
          <w:color w:val="auto"/>
          <w:szCs w:val="24"/>
          <w:lang w:val="en-US"/>
        </w:rPr>
        <w:t>验收时间：</w:t>
      </w:r>
    </w:p>
    <w:p>
      <w:pPr>
        <w:pStyle w:val="23"/>
        <w:autoSpaceDE/>
        <w:autoSpaceDN/>
        <w:snapToGrid w:val="0"/>
        <w:ind w:firstLine="480" w:firstLineChars="200"/>
        <w:rPr>
          <w:rFonts w:hint="eastAsia" w:ascii="仿宋" w:hAnsi="仿宋" w:eastAsia="仿宋" w:cs="仿宋"/>
          <w:b/>
          <w:snapToGrid/>
          <w:color w:val="auto"/>
          <w:szCs w:val="24"/>
          <w:lang w:val="en-US"/>
        </w:rPr>
      </w:pPr>
      <w:r>
        <w:rPr>
          <w:rFonts w:hint="default" w:ascii="仿宋" w:hAnsi="仿宋" w:eastAsia="仿宋" w:cs="仿宋"/>
          <w:b w:val="0"/>
          <w:bCs/>
          <w:snapToGrid/>
          <w:color w:val="auto"/>
          <w:szCs w:val="24"/>
          <w:lang w:val="en-US" w:eastAsia="zh-CN"/>
        </w:rPr>
        <w:t>中标人</w:t>
      </w:r>
      <w:r>
        <w:rPr>
          <w:rFonts w:hint="default" w:ascii="仿宋" w:hAnsi="仿宋" w:eastAsia="仿宋" w:cs="仿宋"/>
          <w:b w:val="0"/>
          <w:bCs/>
          <w:snapToGrid/>
          <w:color w:val="auto"/>
          <w:szCs w:val="24"/>
          <w:lang w:val="en-US"/>
        </w:rPr>
        <w:t>完成本项目所有服务内容并递交《项目验收申请表》后10个工作日内</w:t>
      </w:r>
      <w:r>
        <w:rPr>
          <w:rFonts w:hint="default" w:ascii="仿宋" w:hAnsi="仿宋" w:eastAsia="仿宋" w:cs="仿宋"/>
          <w:b w:val="0"/>
          <w:bCs/>
          <w:snapToGrid/>
          <w:color w:val="auto"/>
          <w:szCs w:val="24"/>
          <w:lang w:val="en-US" w:eastAsia="zh-CN"/>
        </w:rPr>
        <w:t>采购人</w:t>
      </w:r>
      <w:r>
        <w:rPr>
          <w:rFonts w:hint="default" w:ascii="仿宋" w:hAnsi="仿宋" w:eastAsia="仿宋" w:cs="仿宋"/>
          <w:b w:val="0"/>
          <w:bCs/>
          <w:snapToGrid/>
          <w:color w:val="auto"/>
          <w:szCs w:val="24"/>
          <w:lang w:val="en-US"/>
        </w:rPr>
        <w:t>组织验收。</w:t>
      </w:r>
    </w:p>
    <w:p>
      <w:pPr>
        <w:pStyle w:val="23"/>
        <w:autoSpaceDE/>
        <w:autoSpaceDN/>
        <w:snapToGrid w:val="0"/>
        <w:ind w:firstLine="482" w:firstLineChars="200"/>
        <w:rPr>
          <w:rFonts w:hint="eastAsia" w:ascii="仿宋" w:hAnsi="仿宋" w:eastAsia="仿宋" w:cs="仿宋"/>
          <w:b/>
          <w:snapToGrid/>
          <w:color w:val="auto"/>
          <w:szCs w:val="24"/>
          <w:lang w:val="en-US"/>
        </w:rPr>
      </w:pPr>
      <w:r>
        <w:rPr>
          <w:rFonts w:hint="eastAsia" w:ascii="仿宋" w:hAnsi="仿宋" w:eastAsia="仿宋" w:cs="仿宋"/>
          <w:b/>
          <w:snapToGrid/>
          <w:color w:val="auto"/>
          <w:szCs w:val="24"/>
          <w:lang w:val="en-US" w:eastAsia="zh-CN"/>
        </w:rPr>
        <w:t>2、</w:t>
      </w:r>
      <w:r>
        <w:rPr>
          <w:rFonts w:hint="eastAsia" w:ascii="仿宋" w:hAnsi="仿宋" w:eastAsia="仿宋" w:cs="仿宋"/>
          <w:b/>
          <w:snapToGrid/>
          <w:color w:val="auto"/>
          <w:szCs w:val="24"/>
          <w:lang w:val="en-US"/>
        </w:rPr>
        <w:t>验收标准：</w:t>
      </w:r>
    </w:p>
    <w:p>
      <w:pPr>
        <w:pStyle w:val="23"/>
        <w:autoSpaceDE/>
        <w:autoSpaceDN/>
        <w:snapToGrid w:val="0"/>
        <w:ind w:firstLine="480" w:firstLineChars="200"/>
        <w:rPr>
          <w:rFonts w:hint="eastAsia" w:ascii="仿宋" w:hAnsi="仿宋" w:eastAsia="仿宋" w:cs="仿宋"/>
          <w:b/>
          <w:snapToGrid/>
          <w:color w:val="auto"/>
          <w:szCs w:val="24"/>
          <w:lang w:val="en-US"/>
        </w:rPr>
      </w:pPr>
      <w:r>
        <w:rPr>
          <w:rFonts w:hint="default" w:ascii="仿宋" w:hAnsi="仿宋" w:eastAsia="仿宋" w:cs="仿宋"/>
          <w:b w:val="0"/>
          <w:bCs/>
          <w:snapToGrid/>
          <w:color w:val="auto"/>
          <w:szCs w:val="24"/>
          <w:lang w:val="en-US" w:eastAsia="zh-CN"/>
        </w:rPr>
        <w:t>中标人</w:t>
      </w:r>
      <w:r>
        <w:rPr>
          <w:rFonts w:hint="eastAsia" w:ascii="仿宋" w:hAnsi="仿宋" w:eastAsia="仿宋" w:cs="仿宋"/>
          <w:b w:val="0"/>
          <w:bCs/>
          <w:snapToGrid/>
          <w:color w:val="auto"/>
          <w:szCs w:val="24"/>
          <w:lang w:val="en-US"/>
        </w:rPr>
        <w:t>于服务期结束后7个工作日内向采购</w:t>
      </w:r>
      <w:r>
        <w:rPr>
          <w:rFonts w:hint="default" w:ascii="仿宋" w:hAnsi="仿宋" w:eastAsia="仿宋" w:cs="仿宋"/>
          <w:b w:val="0"/>
          <w:bCs/>
          <w:snapToGrid/>
          <w:color w:val="auto"/>
          <w:szCs w:val="24"/>
          <w:lang w:val="en-US" w:eastAsia="zh-CN"/>
        </w:rPr>
        <w:t>人</w:t>
      </w:r>
      <w:r>
        <w:rPr>
          <w:rFonts w:hint="eastAsia" w:ascii="仿宋" w:hAnsi="仿宋" w:eastAsia="仿宋" w:cs="仿宋"/>
          <w:b w:val="0"/>
          <w:bCs/>
          <w:snapToGrid/>
          <w:color w:val="auto"/>
          <w:szCs w:val="24"/>
          <w:lang w:val="en-US"/>
        </w:rPr>
        <w:t>提供完成</w:t>
      </w:r>
      <w:r>
        <w:rPr>
          <w:rFonts w:hint="default" w:ascii="仿宋" w:hAnsi="仿宋" w:eastAsia="仿宋" w:cs="仿宋"/>
          <w:b w:val="0"/>
          <w:bCs/>
          <w:snapToGrid/>
          <w:color w:val="auto"/>
          <w:szCs w:val="24"/>
          <w:lang w:val="en-US"/>
        </w:rPr>
        <w:t>合同</w:t>
      </w:r>
      <w:r>
        <w:rPr>
          <w:rFonts w:hint="default" w:ascii="仿宋" w:hAnsi="仿宋" w:eastAsia="仿宋" w:cs="仿宋"/>
          <w:b w:val="0"/>
          <w:bCs/>
          <w:snapToGrid/>
          <w:color w:val="auto"/>
          <w:szCs w:val="24"/>
          <w:lang w:val="en-US" w:eastAsia="zh-CN"/>
        </w:rPr>
        <w:t>服务</w:t>
      </w:r>
      <w:r>
        <w:rPr>
          <w:rFonts w:hint="eastAsia" w:ascii="仿宋" w:hAnsi="仿宋" w:eastAsia="仿宋" w:cs="仿宋"/>
          <w:b w:val="0"/>
          <w:bCs/>
          <w:snapToGrid/>
          <w:color w:val="auto"/>
          <w:szCs w:val="24"/>
          <w:lang w:val="en-US"/>
        </w:rPr>
        <w:t>内容的佐证材料，包括</w:t>
      </w:r>
      <w:r>
        <w:rPr>
          <w:rFonts w:hint="eastAsia" w:ascii="仿宋" w:hAnsi="仿宋" w:eastAsia="仿宋" w:cs="仿宋"/>
          <w:b w:val="0"/>
          <w:bCs/>
          <w:snapToGrid/>
          <w:color w:val="auto"/>
          <w:szCs w:val="24"/>
          <w:lang w:val="en-US" w:eastAsia="zh-CN"/>
        </w:rPr>
        <w:t>（但不限于）</w:t>
      </w:r>
      <w:r>
        <w:rPr>
          <w:rFonts w:hint="eastAsia" w:ascii="仿宋" w:hAnsi="仿宋" w:eastAsia="仿宋" w:cs="仿宋"/>
          <w:b w:val="0"/>
          <w:bCs/>
          <w:snapToGrid/>
          <w:color w:val="auto"/>
          <w:szCs w:val="24"/>
          <w:lang w:val="en-US"/>
        </w:rPr>
        <w:t>12期相关资讯推广汇编、相关资讯推广成果集1册、1个在全省范围内的主题推广活动策划方案、为期</w:t>
      </w:r>
      <w:r>
        <w:rPr>
          <w:rFonts w:hint="default" w:ascii="仿宋" w:hAnsi="仿宋" w:eastAsia="仿宋" w:cs="仿宋"/>
          <w:b w:val="0"/>
          <w:bCs/>
          <w:snapToGrid/>
          <w:color w:val="auto"/>
          <w:szCs w:val="24"/>
          <w:lang w:val="en-US"/>
        </w:rPr>
        <w:t>1</w:t>
      </w:r>
      <w:r>
        <w:rPr>
          <w:rFonts w:hint="eastAsia" w:ascii="仿宋" w:hAnsi="仿宋" w:eastAsia="仿宋" w:cs="仿宋"/>
          <w:b w:val="0"/>
          <w:bCs/>
          <w:snapToGrid/>
          <w:color w:val="auto"/>
          <w:szCs w:val="24"/>
          <w:lang w:val="en-US"/>
        </w:rPr>
        <w:t>个月的网络运营推广服务、1部</w:t>
      </w:r>
      <w:r>
        <w:rPr>
          <w:rFonts w:hint="default" w:ascii="仿宋" w:hAnsi="仿宋" w:eastAsia="仿宋" w:cs="仿宋"/>
          <w:b w:val="0"/>
          <w:bCs/>
          <w:snapToGrid/>
          <w:color w:val="auto"/>
          <w:szCs w:val="24"/>
          <w:lang w:val="en-US" w:eastAsia="zh-CN"/>
        </w:rPr>
        <w:t>2024</w:t>
      </w:r>
      <w:r>
        <w:rPr>
          <w:rFonts w:hint="eastAsia" w:ascii="仿宋" w:hAnsi="仿宋" w:eastAsia="仿宋" w:cs="仿宋"/>
          <w:b w:val="0"/>
          <w:bCs/>
          <w:snapToGrid/>
          <w:color w:val="auto"/>
          <w:szCs w:val="24"/>
          <w:lang w:val="en-US"/>
        </w:rPr>
        <w:t>年工作纪实片、</w:t>
      </w:r>
      <w:r>
        <w:rPr>
          <w:rFonts w:hint="default" w:ascii="仿宋" w:hAnsi="仿宋" w:eastAsia="仿宋" w:cs="仿宋"/>
          <w:b w:val="0"/>
          <w:bCs/>
          <w:snapToGrid/>
          <w:color w:val="auto"/>
          <w:szCs w:val="24"/>
          <w:lang w:val="en-US"/>
        </w:rPr>
        <w:t>1</w:t>
      </w:r>
      <w:r>
        <w:rPr>
          <w:rFonts w:hint="eastAsia" w:ascii="仿宋" w:hAnsi="仿宋" w:eastAsia="仿宋" w:cs="仿宋"/>
          <w:b w:val="0"/>
          <w:bCs/>
          <w:snapToGrid/>
          <w:color w:val="auto"/>
          <w:szCs w:val="24"/>
          <w:lang w:val="en-US"/>
        </w:rPr>
        <w:t>次视频直播、4次新媒体平台上工作资讯推广</w:t>
      </w:r>
      <w:r>
        <w:rPr>
          <w:rFonts w:hint="default" w:ascii="仿宋" w:hAnsi="仿宋" w:eastAsia="仿宋" w:cs="仿宋"/>
          <w:b w:val="0"/>
          <w:bCs/>
          <w:snapToGrid/>
          <w:color w:val="auto"/>
          <w:szCs w:val="24"/>
          <w:lang w:val="en-US"/>
        </w:rPr>
        <w:t>、1次培训</w:t>
      </w:r>
      <w:r>
        <w:rPr>
          <w:rFonts w:hint="eastAsia" w:ascii="仿宋" w:hAnsi="仿宋" w:eastAsia="仿宋" w:cs="仿宋"/>
          <w:b w:val="0"/>
          <w:bCs/>
          <w:snapToGrid/>
          <w:color w:val="auto"/>
          <w:szCs w:val="24"/>
          <w:lang w:val="en-US"/>
        </w:rPr>
        <w:t>等相关佐证材料。</w:t>
      </w:r>
    </w:p>
    <w:p>
      <w:pPr>
        <w:snapToGrid w:val="0"/>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3" w:name="_Toc184314474"/>
      <w:bookmarkEnd w:id="23"/>
      <w:bookmarkStart w:id="24" w:name="_Toc184313282"/>
      <w:bookmarkEnd w:id="24"/>
      <w:bookmarkStart w:id="25" w:name="_Toc184313275"/>
      <w:bookmarkEnd w:id="25"/>
      <w:bookmarkStart w:id="26" w:name="_Toc184310327"/>
      <w:bookmarkEnd w:id="26"/>
      <w:bookmarkStart w:id="27" w:name="_Toc184314417"/>
      <w:bookmarkEnd w:id="27"/>
      <w:bookmarkStart w:id="28" w:name="_Toc184312123"/>
      <w:bookmarkEnd w:id="28"/>
      <w:bookmarkStart w:id="29" w:name="_Toc184308097"/>
      <w:bookmarkEnd w:id="29"/>
      <w:bookmarkStart w:id="30" w:name="_Toc184312114"/>
      <w:bookmarkEnd w:id="30"/>
      <w:bookmarkStart w:id="31" w:name="_Toc184310321"/>
      <w:bookmarkEnd w:id="31"/>
      <w:bookmarkStart w:id="32" w:name="_Toc184314475"/>
      <w:bookmarkEnd w:id="32"/>
      <w:bookmarkStart w:id="33" w:name="_Toc184312102"/>
      <w:bookmarkEnd w:id="33"/>
      <w:bookmarkStart w:id="34" w:name="_Toc184313280"/>
      <w:bookmarkEnd w:id="34"/>
      <w:bookmarkStart w:id="35" w:name="_Toc184313278"/>
      <w:bookmarkEnd w:id="35"/>
      <w:bookmarkStart w:id="36" w:name="_Toc184313247"/>
      <w:bookmarkEnd w:id="36"/>
      <w:bookmarkStart w:id="37" w:name="_Toc184310281"/>
      <w:bookmarkEnd w:id="37"/>
      <w:bookmarkStart w:id="38" w:name="_Toc184313248"/>
      <w:bookmarkEnd w:id="38"/>
      <w:bookmarkStart w:id="39" w:name="_Toc184310341"/>
      <w:bookmarkEnd w:id="39"/>
      <w:bookmarkStart w:id="40" w:name="_Toc184314435"/>
      <w:bookmarkEnd w:id="40"/>
      <w:bookmarkStart w:id="41" w:name="_Toc184310290"/>
      <w:bookmarkEnd w:id="41"/>
      <w:bookmarkStart w:id="42" w:name="_Toc184314465"/>
      <w:bookmarkEnd w:id="42"/>
      <w:bookmarkStart w:id="43" w:name="_Toc184308088"/>
      <w:bookmarkEnd w:id="43"/>
      <w:bookmarkStart w:id="44" w:name="_Toc184308091"/>
      <w:bookmarkEnd w:id="44"/>
      <w:bookmarkStart w:id="45" w:name="_Toc184314461"/>
      <w:bookmarkEnd w:id="45"/>
      <w:bookmarkStart w:id="46" w:name="_Toc184312138"/>
      <w:bookmarkEnd w:id="46"/>
      <w:bookmarkStart w:id="47" w:name="_Toc184312139"/>
      <w:bookmarkEnd w:id="47"/>
      <w:bookmarkStart w:id="48" w:name="_Toc184313293"/>
      <w:bookmarkEnd w:id="48"/>
      <w:bookmarkStart w:id="49" w:name="_Toc184308085"/>
      <w:bookmarkEnd w:id="49"/>
      <w:bookmarkStart w:id="50" w:name="_Toc184314418"/>
      <w:bookmarkEnd w:id="50"/>
      <w:bookmarkStart w:id="51" w:name="_Toc184310339"/>
      <w:bookmarkEnd w:id="51"/>
      <w:bookmarkStart w:id="52" w:name="_Toc184313271"/>
      <w:bookmarkEnd w:id="52"/>
      <w:bookmarkStart w:id="53" w:name="_Toc184314426"/>
      <w:bookmarkEnd w:id="53"/>
      <w:bookmarkStart w:id="54" w:name="_Toc184310275"/>
      <w:bookmarkEnd w:id="54"/>
      <w:bookmarkStart w:id="55" w:name="_Toc184312122"/>
      <w:bookmarkEnd w:id="55"/>
      <w:bookmarkStart w:id="56" w:name="_Toc184308063"/>
      <w:bookmarkEnd w:id="56"/>
      <w:bookmarkStart w:id="57" w:name="_Toc184312070"/>
      <w:bookmarkEnd w:id="57"/>
      <w:bookmarkStart w:id="58" w:name="_Toc184312137"/>
      <w:bookmarkEnd w:id="58"/>
      <w:bookmarkStart w:id="59" w:name="_Toc184310314"/>
      <w:bookmarkEnd w:id="59"/>
      <w:bookmarkStart w:id="60" w:name="_Toc184312120"/>
      <w:bookmarkEnd w:id="60"/>
      <w:bookmarkStart w:id="61" w:name="_Toc184308099"/>
      <w:bookmarkEnd w:id="61"/>
      <w:bookmarkStart w:id="62" w:name="_Toc184312090"/>
      <w:bookmarkEnd w:id="62"/>
      <w:bookmarkStart w:id="63" w:name="_Toc184308069"/>
      <w:bookmarkEnd w:id="63"/>
      <w:bookmarkStart w:id="64" w:name="_Toc184310325"/>
      <w:bookmarkEnd w:id="64"/>
      <w:bookmarkStart w:id="65" w:name="_Toc184313245"/>
      <w:bookmarkEnd w:id="65"/>
      <w:bookmarkStart w:id="66" w:name="_Toc184314442"/>
      <w:bookmarkEnd w:id="66"/>
      <w:bookmarkStart w:id="67" w:name="_Toc184312125"/>
      <w:bookmarkEnd w:id="67"/>
      <w:bookmarkStart w:id="68" w:name="_Toc184314431"/>
      <w:bookmarkEnd w:id="68"/>
      <w:bookmarkStart w:id="69" w:name="_Toc184312129"/>
      <w:bookmarkEnd w:id="69"/>
      <w:bookmarkStart w:id="70" w:name="_Toc184314449"/>
      <w:bookmarkEnd w:id="70"/>
      <w:bookmarkStart w:id="71" w:name="_Toc184314425"/>
      <w:bookmarkEnd w:id="71"/>
      <w:bookmarkStart w:id="72" w:name="_Toc184308083"/>
      <w:bookmarkEnd w:id="72"/>
      <w:bookmarkStart w:id="73" w:name="_Toc184310304"/>
      <w:bookmarkEnd w:id="73"/>
      <w:bookmarkStart w:id="74" w:name="_Toc184308095"/>
      <w:bookmarkEnd w:id="74"/>
      <w:bookmarkStart w:id="75" w:name="_Toc184313308"/>
      <w:bookmarkEnd w:id="75"/>
      <w:bookmarkStart w:id="76" w:name="_Toc184313305"/>
      <w:bookmarkEnd w:id="76"/>
      <w:bookmarkStart w:id="77" w:name="_Toc184310337"/>
      <w:bookmarkEnd w:id="77"/>
      <w:bookmarkStart w:id="78" w:name="_Toc184308072"/>
      <w:bookmarkEnd w:id="78"/>
      <w:bookmarkStart w:id="79" w:name="_Toc184308106"/>
      <w:bookmarkEnd w:id="79"/>
      <w:bookmarkStart w:id="80" w:name="_Toc184314414"/>
      <w:bookmarkEnd w:id="80"/>
      <w:bookmarkStart w:id="81" w:name="_Toc184314445"/>
      <w:bookmarkEnd w:id="81"/>
      <w:bookmarkStart w:id="82" w:name="_Toc184312087"/>
      <w:bookmarkEnd w:id="82"/>
      <w:bookmarkStart w:id="83" w:name="_Toc184310344"/>
      <w:bookmarkEnd w:id="83"/>
      <w:bookmarkStart w:id="84" w:name="_Toc184308068"/>
      <w:bookmarkEnd w:id="84"/>
      <w:bookmarkStart w:id="85" w:name="_Toc184313238"/>
      <w:bookmarkEnd w:id="85"/>
      <w:bookmarkStart w:id="86" w:name="_Toc184314443"/>
      <w:bookmarkEnd w:id="86"/>
      <w:bookmarkStart w:id="87" w:name="_Toc184308075"/>
      <w:bookmarkEnd w:id="87"/>
      <w:bookmarkStart w:id="88" w:name="_Toc184313256"/>
      <w:bookmarkEnd w:id="88"/>
      <w:bookmarkStart w:id="89" w:name="_Toc184313289"/>
      <w:bookmarkEnd w:id="89"/>
      <w:bookmarkStart w:id="90" w:name="_Toc184312130"/>
      <w:bookmarkEnd w:id="90"/>
      <w:bookmarkStart w:id="91" w:name="_Toc184312084"/>
      <w:bookmarkEnd w:id="91"/>
      <w:bookmarkStart w:id="92" w:name="_Toc184314476"/>
      <w:bookmarkEnd w:id="92"/>
      <w:bookmarkStart w:id="93" w:name="_Toc184310279"/>
      <w:bookmarkEnd w:id="93"/>
      <w:bookmarkStart w:id="94" w:name="_Toc184314478"/>
      <w:bookmarkEnd w:id="94"/>
      <w:bookmarkStart w:id="95" w:name="_Toc184308060"/>
      <w:bookmarkEnd w:id="95"/>
      <w:bookmarkStart w:id="96" w:name="_Toc184308043"/>
      <w:bookmarkEnd w:id="96"/>
      <w:bookmarkStart w:id="97" w:name="_Toc184313304"/>
      <w:bookmarkEnd w:id="97"/>
      <w:bookmarkStart w:id="98" w:name="_Toc184308074"/>
      <w:bookmarkEnd w:id="98"/>
      <w:bookmarkStart w:id="99" w:name="_Toc184312116"/>
      <w:bookmarkEnd w:id="99"/>
      <w:bookmarkStart w:id="100" w:name="_Toc184314481"/>
      <w:bookmarkEnd w:id="100"/>
      <w:bookmarkStart w:id="101" w:name="_Toc184313281"/>
      <w:bookmarkEnd w:id="101"/>
      <w:bookmarkStart w:id="102" w:name="_Toc184313274"/>
      <w:bookmarkEnd w:id="102"/>
      <w:bookmarkStart w:id="103" w:name="_Toc184310330"/>
      <w:bookmarkEnd w:id="103"/>
      <w:bookmarkStart w:id="104" w:name="_Toc184314415"/>
      <w:bookmarkEnd w:id="104"/>
      <w:bookmarkStart w:id="105" w:name="_Toc184313272"/>
      <w:bookmarkEnd w:id="105"/>
      <w:bookmarkStart w:id="106" w:name="_Toc184313286"/>
      <w:bookmarkEnd w:id="106"/>
      <w:bookmarkStart w:id="107" w:name="_Toc184314447"/>
      <w:bookmarkEnd w:id="107"/>
      <w:bookmarkStart w:id="108" w:name="_Toc184313291"/>
      <w:bookmarkEnd w:id="108"/>
      <w:bookmarkStart w:id="109" w:name="_Toc184313302"/>
      <w:bookmarkEnd w:id="109"/>
      <w:bookmarkStart w:id="110" w:name="_Toc184308059"/>
      <w:bookmarkEnd w:id="110"/>
      <w:bookmarkStart w:id="111" w:name="_Toc184313239"/>
      <w:bookmarkEnd w:id="111"/>
      <w:bookmarkStart w:id="112" w:name="_Toc184314430"/>
      <w:bookmarkEnd w:id="112"/>
      <w:bookmarkStart w:id="113" w:name="_Toc184314434"/>
      <w:bookmarkEnd w:id="113"/>
      <w:bookmarkStart w:id="114" w:name="_Toc184310343"/>
      <w:bookmarkEnd w:id="114"/>
      <w:bookmarkStart w:id="115" w:name="_Toc184313268"/>
      <w:bookmarkEnd w:id="115"/>
      <w:bookmarkStart w:id="116" w:name="_Toc184313262"/>
      <w:bookmarkEnd w:id="116"/>
      <w:bookmarkStart w:id="117" w:name="_Toc184312085"/>
      <w:bookmarkEnd w:id="117"/>
      <w:bookmarkStart w:id="118" w:name="_Toc184312110"/>
      <w:bookmarkEnd w:id="118"/>
      <w:bookmarkStart w:id="119" w:name="_Toc184312119"/>
      <w:bookmarkEnd w:id="119"/>
      <w:bookmarkStart w:id="120" w:name="_Toc184308040"/>
      <w:bookmarkEnd w:id="120"/>
      <w:bookmarkStart w:id="121" w:name="_Toc184314420"/>
      <w:bookmarkEnd w:id="121"/>
      <w:bookmarkStart w:id="122" w:name="_Toc184310292"/>
      <w:bookmarkEnd w:id="122"/>
      <w:bookmarkStart w:id="123" w:name="_Toc184310295"/>
      <w:bookmarkEnd w:id="123"/>
      <w:bookmarkStart w:id="124" w:name="_Toc184308039"/>
      <w:bookmarkEnd w:id="124"/>
      <w:bookmarkStart w:id="125" w:name="_Toc184313284"/>
      <w:bookmarkEnd w:id="125"/>
      <w:bookmarkStart w:id="126" w:name="_Toc184308036"/>
      <w:bookmarkEnd w:id="126"/>
      <w:bookmarkStart w:id="127" w:name="_Toc184314463"/>
      <w:bookmarkEnd w:id="127"/>
      <w:bookmarkStart w:id="128" w:name="_Toc184314412"/>
      <w:bookmarkEnd w:id="128"/>
      <w:bookmarkStart w:id="129" w:name="_Toc184312076"/>
      <w:bookmarkEnd w:id="129"/>
      <w:bookmarkStart w:id="130" w:name="_Toc184312126"/>
      <w:bookmarkEnd w:id="130"/>
      <w:bookmarkStart w:id="131" w:name="_Toc184314468"/>
      <w:bookmarkEnd w:id="131"/>
      <w:bookmarkStart w:id="132" w:name="_Toc184310312"/>
      <w:bookmarkEnd w:id="132"/>
      <w:bookmarkStart w:id="133" w:name="_Toc184312121"/>
      <w:bookmarkEnd w:id="133"/>
      <w:bookmarkStart w:id="134" w:name="_Toc184312099"/>
      <w:bookmarkEnd w:id="134"/>
      <w:bookmarkStart w:id="135" w:name="_Toc184310277"/>
      <w:bookmarkEnd w:id="135"/>
      <w:bookmarkStart w:id="136" w:name="_Toc184313244"/>
      <w:bookmarkEnd w:id="136"/>
      <w:bookmarkStart w:id="137" w:name="_Toc184312067"/>
      <w:bookmarkEnd w:id="137"/>
      <w:bookmarkStart w:id="138" w:name="_Toc184308037"/>
      <w:bookmarkEnd w:id="138"/>
      <w:bookmarkStart w:id="139" w:name="_Toc184313283"/>
      <w:bookmarkEnd w:id="139"/>
      <w:bookmarkStart w:id="140" w:name="_Toc184314456"/>
      <w:bookmarkEnd w:id="140"/>
      <w:bookmarkStart w:id="141" w:name="_Toc184310331"/>
      <w:bookmarkEnd w:id="141"/>
      <w:bookmarkStart w:id="142" w:name="_Toc184313267"/>
      <w:bookmarkEnd w:id="142"/>
      <w:bookmarkStart w:id="143" w:name="_Toc184313295"/>
      <w:bookmarkEnd w:id="143"/>
      <w:bookmarkStart w:id="144" w:name="_Toc184310340"/>
      <w:bookmarkEnd w:id="144"/>
      <w:bookmarkStart w:id="145" w:name="_Toc184308055"/>
      <w:bookmarkEnd w:id="145"/>
      <w:bookmarkStart w:id="146" w:name="_Toc184310310"/>
      <w:bookmarkEnd w:id="146"/>
      <w:bookmarkStart w:id="147" w:name="_Toc184308062"/>
      <w:bookmarkEnd w:id="147"/>
      <w:bookmarkStart w:id="148" w:name="_Toc184312103"/>
      <w:bookmarkEnd w:id="148"/>
      <w:bookmarkStart w:id="149" w:name="_Toc184312115"/>
      <w:bookmarkEnd w:id="149"/>
      <w:bookmarkStart w:id="150" w:name="_Toc184313251"/>
      <w:bookmarkEnd w:id="150"/>
      <w:bookmarkStart w:id="151" w:name="_Toc184313242"/>
      <w:bookmarkEnd w:id="151"/>
      <w:bookmarkStart w:id="152" w:name="_Toc184310287"/>
      <w:bookmarkEnd w:id="152"/>
      <w:bookmarkStart w:id="153" w:name="_Toc184312132"/>
      <w:bookmarkEnd w:id="153"/>
      <w:bookmarkStart w:id="154" w:name="_Toc184308079"/>
      <w:bookmarkEnd w:id="154"/>
      <w:bookmarkStart w:id="155" w:name="_Toc184310313"/>
      <w:bookmarkEnd w:id="155"/>
      <w:bookmarkStart w:id="156" w:name="_Toc184308050"/>
      <w:bookmarkEnd w:id="156"/>
      <w:bookmarkStart w:id="157" w:name="_Toc184310316"/>
      <w:bookmarkEnd w:id="157"/>
      <w:bookmarkStart w:id="158" w:name="_Toc184310273"/>
      <w:bookmarkEnd w:id="158"/>
      <w:bookmarkStart w:id="159" w:name="_Toc184310326"/>
      <w:bookmarkEnd w:id="159"/>
      <w:bookmarkStart w:id="160" w:name="_Toc184308044"/>
      <w:bookmarkEnd w:id="160"/>
      <w:bookmarkStart w:id="161" w:name="_Toc184310298"/>
      <w:bookmarkEnd w:id="161"/>
      <w:bookmarkStart w:id="162" w:name="_Toc184310328"/>
      <w:bookmarkEnd w:id="162"/>
      <w:bookmarkStart w:id="163" w:name="_Toc184310306"/>
      <w:bookmarkEnd w:id="163"/>
      <w:bookmarkStart w:id="164" w:name="_Toc184312095"/>
      <w:bookmarkEnd w:id="164"/>
      <w:bookmarkStart w:id="165" w:name="_Toc184314467"/>
      <w:bookmarkEnd w:id="165"/>
      <w:bookmarkStart w:id="166" w:name="_Toc184310272"/>
      <w:bookmarkEnd w:id="166"/>
      <w:bookmarkStart w:id="167" w:name="_Toc184310318"/>
      <w:bookmarkEnd w:id="167"/>
      <w:bookmarkStart w:id="168" w:name="_Toc184310334"/>
      <w:bookmarkEnd w:id="168"/>
      <w:bookmarkStart w:id="169" w:name="_Toc184313264"/>
      <w:bookmarkEnd w:id="169"/>
      <w:bookmarkStart w:id="170" w:name="_Toc184310342"/>
      <w:bookmarkEnd w:id="170"/>
      <w:bookmarkStart w:id="171" w:name="_Toc184308087"/>
      <w:bookmarkEnd w:id="171"/>
      <w:bookmarkStart w:id="172" w:name="_Toc184314451"/>
      <w:bookmarkEnd w:id="172"/>
      <w:bookmarkStart w:id="173" w:name="_Toc184308102"/>
      <w:bookmarkEnd w:id="173"/>
      <w:bookmarkStart w:id="174" w:name="_Toc184308104"/>
      <w:bookmarkEnd w:id="174"/>
      <w:bookmarkStart w:id="175" w:name="_Toc184313303"/>
      <w:bookmarkEnd w:id="175"/>
      <w:bookmarkStart w:id="176" w:name="_Toc184308101"/>
      <w:bookmarkEnd w:id="176"/>
      <w:bookmarkStart w:id="177" w:name="_Toc184312083"/>
      <w:bookmarkEnd w:id="177"/>
      <w:bookmarkStart w:id="178" w:name="_Toc184310333"/>
      <w:bookmarkEnd w:id="178"/>
      <w:bookmarkStart w:id="179" w:name="_Toc184313298"/>
      <w:bookmarkEnd w:id="179"/>
      <w:bookmarkStart w:id="180" w:name="_Toc184310297"/>
      <w:bookmarkEnd w:id="180"/>
      <w:bookmarkStart w:id="181" w:name="_Toc184313290"/>
      <w:bookmarkEnd w:id="181"/>
      <w:bookmarkStart w:id="182" w:name="_Toc184308098"/>
      <w:bookmarkEnd w:id="182"/>
      <w:bookmarkStart w:id="183" w:name="_Toc184310276"/>
      <w:bookmarkEnd w:id="183"/>
      <w:bookmarkStart w:id="184" w:name="_Toc184314423"/>
      <w:bookmarkEnd w:id="184"/>
      <w:bookmarkStart w:id="185" w:name="_Toc184314411"/>
      <w:bookmarkEnd w:id="185"/>
      <w:bookmarkStart w:id="186" w:name="_Toc184313301"/>
      <w:bookmarkEnd w:id="186"/>
      <w:bookmarkStart w:id="187" w:name="_Toc184312134"/>
      <w:bookmarkEnd w:id="187"/>
      <w:bookmarkStart w:id="188" w:name="_Toc184313265"/>
      <w:bookmarkEnd w:id="188"/>
      <w:bookmarkStart w:id="189" w:name="_Toc184308086"/>
      <w:bookmarkEnd w:id="189"/>
      <w:bookmarkStart w:id="190" w:name="_Toc184308076"/>
      <w:bookmarkEnd w:id="190"/>
      <w:bookmarkStart w:id="191" w:name="_Toc184312131"/>
      <w:bookmarkEnd w:id="191"/>
      <w:bookmarkStart w:id="192" w:name="_Toc184308041"/>
      <w:bookmarkEnd w:id="192"/>
      <w:bookmarkStart w:id="193" w:name="_Toc184310274"/>
      <w:bookmarkEnd w:id="193"/>
      <w:bookmarkStart w:id="194" w:name="_Toc184313279"/>
      <w:bookmarkEnd w:id="194"/>
      <w:bookmarkStart w:id="195" w:name="_Toc184312093"/>
      <w:bookmarkEnd w:id="195"/>
      <w:bookmarkStart w:id="196" w:name="_Toc184312101"/>
      <w:bookmarkEnd w:id="196"/>
      <w:bookmarkStart w:id="197" w:name="_Toc184313241"/>
      <w:bookmarkEnd w:id="197"/>
      <w:bookmarkStart w:id="198" w:name="_Toc184314433"/>
      <w:bookmarkEnd w:id="198"/>
      <w:bookmarkStart w:id="199" w:name="_Toc184313255"/>
      <w:bookmarkEnd w:id="199"/>
      <w:bookmarkStart w:id="200" w:name="_Toc184308047"/>
      <w:bookmarkEnd w:id="200"/>
      <w:bookmarkStart w:id="201" w:name="_Toc184314436"/>
      <w:bookmarkEnd w:id="201"/>
      <w:bookmarkStart w:id="202" w:name="_Toc184308100"/>
      <w:bookmarkEnd w:id="202"/>
      <w:bookmarkStart w:id="203" w:name="_Toc184312071"/>
      <w:bookmarkEnd w:id="203"/>
      <w:bookmarkStart w:id="204" w:name="_Toc184314416"/>
      <w:bookmarkEnd w:id="204"/>
      <w:bookmarkStart w:id="205" w:name="_Toc184314479"/>
      <w:bookmarkEnd w:id="205"/>
      <w:bookmarkStart w:id="206" w:name="_Toc184310311"/>
      <w:bookmarkEnd w:id="206"/>
      <w:bookmarkStart w:id="207" w:name="_Toc184313257"/>
      <w:bookmarkEnd w:id="207"/>
      <w:bookmarkStart w:id="208" w:name="_Toc184310323"/>
      <w:bookmarkEnd w:id="208"/>
      <w:bookmarkStart w:id="209" w:name="_Toc184314453"/>
      <w:bookmarkEnd w:id="209"/>
      <w:bookmarkStart w:id="210" w:name="_Toc184308103"/>
      <w:bookmarkEnd w:id="210"/>
      <w:bookmarkStart w:id="211" w:name="_Toc184310280"/>
      <w:bookmarkEnd w:id="211"/>
      <w:bookmarkStart w:id="212" w:name="_Toc184310317"/>
      <w:bookmarkEnd w:id="212"/>
      <w:bookmarkStart w:id="213" w:name="_Toc184308066"/>
      <w:bookmarkEnd w:id="213"/>
      <w:bookmarkStart w:id="214" w:name="_Toc184314421"/>
      <w:bookmarkEnd w:id="214"/>
      <w:bookmarkStart w:id="215" w:name="_Toc184313307"/>
      <w:bookmarkEnd w:id="215"/>
      <w:bookmarkStart w:id="216" w:name="_Toc184308080"/>
      <w:bookmarkEnd w:id="216"/>
      <w:bookmarkStart w:id="217" w:name="_Toc184308051"/>
      <w:bookmarkEnd w:id="217"/>
      <w:bookmarkStart w:id="218" w:name="_Toc184312097"/>
      <w:bookmarkEnd w:id="218"/>
      <w:bookmarkStart w:id="219" w:name="_Toc184308073"/>
      <w:bookmarkEnd w:id="219"/>
      <w:bookmarkStart w:id="220" w:name="_Toc184314444"/>
      <w:bookmarkEnd w:id="220"/>
      <w:bookmarkStart w:id="221" w:name="_Toc184312082"/>
      <w:bookmarkEnd w:id="221"/>
      <w:bookmarkStart w:id="222" w:name="_Toc184314466"/>
      <w:bookmarkEnd w:id="222"/>
      <w:bookmarkStart w:id="223" w:name="_Toc184310329"/>
      <w:bookmarkEnd w:id="223"/>
      <w:bookmarkStart w:id="224" w:name="_Toc184314460"/>
      <w:bookmarkEnd w:id="224"/>
      <w:bookmarkStart w:id="225" w:name="_Toc184314439"/>
      <w:bookmarkEnd w:id="225"/>
      <w:bookmarkStart w:id="226" w:name="_Toc184313296"/>
      <w:bookmarkEnd w:id="226"/>
      <w:bookmarkStart w:id="227" w:name="_Toc184308046"/>
      <w:bookmarkEnd w:id="227"/>
      <w:bookmarkStart w:id="228" w:name="_Toc184313270"/>
      <w:bookmarkEnd w:id="228"/>
      <w:bookmarkStart w:id="229" w:name="_Toc184314458"/>
      <w:bookmarkEnd w:id="229"/>
      <w:bookmarkStart w:id="230" w:name="_Toc184312078"/>
      <w:bookmarkEnd w:id="230"/>
      <w:bookmarkStart w:id="231" w:name="_Toc184312128"/>
      <w:bookmarkEnd w:id="231"/>
      <w:bookmarkStart w:id="232" w:name="_Toc184314464"/>
      <w:bookmarkEnd w:id="232"/>
      <w:bookmarkStart w:id="233" w:name="_Toc184310302"/>
      <w:bookmarkEnd w:id="233"/>
      <w:bookmarkStart w:id="234" w:name="_Toc184312107"/>
      <w:bookmarkEnd w:id="234"/>
      <w:bookmarkStart w:id="235" w:name="_Toc184312075"/>
      <w:bookmarkEnd w:id="235"/>
      <w:bookmarkStart w:id="236" w:name="_Toc184308108"/>
      <w:bookmarkEnd w:id="236"/>
      <w:bookmarkStart w:id="237" w:name="_Toc184314477"/>
      <w:bookmarkEnd w:id="237"/>
      <w:bookmarkStart w:id="238" w:name="_Toc184312111"/>
      <w:bookmarkEnd w:id="238"/>
      <w:bookmarkStart w:id="239" w:name="_Toc184308054"/>
      <w:bookmarkEnd w:id="239"/>
      <w:bookmarkStart w:id="240" w:name="_Toc184310284"/>
      <w:bookmarkEnd w:id="240"/>
      <w:bookmarkStart w:id="241" w:name="_Toc184313269"/>
      <w:bookmarkEnd w:id="241"/>
      <w:bookmarkStart w:id="242" w:name="_Toc184310289"/>
      <w:bookmarkEnd w:id="242"/>
      <w:bookmarkStart w:id="243" w:name="_Toc184312069"/>
      <w:bookmarkEnd w:id="243"/>
      <w:bookmarkStart w:id="244" w:name="_Toc184314480"/>
      <w:bookmarkEnd w:id="244"/>
      <w:bookmarkStart w:id="245" w:name="_Toc184313258"/>
      <w:bookmarkEnd w:id="245"/>
      <w:bookmarkStart w:id="246" w:name="_Toc184313273"/>
      <w:bookmarkEnd w:id="246"/>
      <w:bookmarkStart w:id="247" w:name="_Toc184308089"/>
      <w:bookmarkEnd w:id="247"/>
      <w:bookmarkStart w:id="248" w:name="_Toc184312105"/>
      <w:bookmarkEnd w:id="248"/>
      <w:bookmarkStart w:id="249" w:name="_Toc184312074"/>
      <w:bookmarkEnd w:id="249"/>
      <w:bookmarkStart w:id="250" w:name="_Toc184310319"/>
      <w:bookmarkEnd w:id="250"/>
      <w:bookmarkStart w:id="251" w:name="_Toc184310315"/>
      <w:bookmarkEnd w:id="251"/>
      <w:bookmarkStart w:id="252" w:name="_Toc184308094"/>
      <w:bookmarkEnd w:id="252"/>
      <w:bookmarkStart w:id="253" w:name="_Toc184312080"/>
      <w:bookmarkEnd w:id="253"/>
      <w:bookmarkStart w:id="254" w:name="_Toc184314473"/>
      <w:bookmarkEnd w:id="254"/>
      <w:bookmarkStart w:id="255" w:name="_Toc184314424"/>
      <w:bookmarkEnd w:id="255"/>
      <w:bookmarkStart w:id="256" w:name="_Toc184312089"/>
      <w:bookmarkEnd w:id="256"/>
      <w:bookmarkStart w:id="257" w:name="_Toc184313299"/>
      <w:bookmarkEnd w:id="257"/>
      <w:bookmarkStart w:id="258" w:name="_Toc184312106"/>
      <w:bookmarkEnd w:id="258"/>
      <w:bookmarkStart w:id="259" w:name="_Toc184314440"/>
      <w:bookmarkEnd w:id="259"/>
      <w:bookmarkStart w:id="260" w:name="_Toc184308061"/>
      <w:bookmarkEnd w:id="260"/>
      <w:bookmarkStart w:id="261" w:name="_Toc184314459"/>
      <w:bookmarkEnd w:id="261"/>
      <w:bookmarkStart w:id="262" w:name="_Toc184313297"/>
      <w:bookmarkEnd w:id="262"/>
      <w:bookmarkStart w:id="263" w:name="_Toc184308090"/>
      <w:bookmarkEnd w:id="263"/>
      <w:bookmarkStart w:id="264" w:name="_Toc184313260"/>
      <w:bookmarkEnd w:id="264"/>
      <w:bookmarkStart w:id="265" w:name="_Toc184310299"/>
      <w:bookmarkEnd w:id="265"/>
      <w:bookmarkStart w:id="266" w:name="_Toc184308081"/>
      <w:bookmarkEnd w:id="266"/>
      <w:bookmarkStart w:id="267" w:name="_Toc184308057"/>
      <w:bookmarkEnd w:id="267"/>
      <w:bookmarkStart w:id="268" w:name="_Toc184308077"/>
      <w:bookmarkEnd w:id="268"/>
      <w:bookmarkStart w:id="269" w:name="_Toc184310278"/>
      <w:bookmarkEnd w:id="269"/>
      <w:bookmarkStart w:id="270" w:name="_Toc184310309"/>
      <w:bookmarkEnd w:id="270"/>
      <w:bookmarkStart w:id="271" w:name="_Toc184313246"/>
      <w:bookmarkEnd w:id="271"/>
      <w:bookmarkStart w:id="272" w:name="_Toc184308056"/>
      <w:bookmarkEnd w:id="272"/>
      <w:bookmarkStart w:id="273" w:name="_Toc184310322"/>
      <w:bookmarkEnd w:id="273"/>
      <w:bookmarkStart w:id="274" w:name="_Toc184314419"/>
      <w:bookmarkEnd w:id="274"/>
      <w:bookmarkStart w:id="275" w:name="_Toc184310336"/>
      <w:bookmarkEnd w:id="275"/>
      <w:bookmarkStart w:id="276" w:name="_Toc184313252"/>
      <w:bookmarkEnd w:id="276"/>
      <w:bookmarkStart w:id="277" w:name="_Toc184308058"/>
      <w:bookmarkEnd w:id="277"/>
      <w:bookmarkStart w:id="278" w:name="_Toc184314472"/>
      <w:bookmarkEnd w:id="278"/>
      <w:bookmarkStart w:id="279" w:name="_Toc184308096"/>
      <w:bookmarkEnd w:id="279"/>
      <w:bookmarkStart w:id="280" w:name="_Toc184313254"/>
      <w:bookmarkEnd w:id="280"/>
      <w:bookmarkStart w:id="281" w:name="_Toc184310332"/>
      <w:bookmarkEnd w:id="281"/>
      <w:bookmarkStart w:id="282" w:name="_Toc184314471"/>
      <w:bookmarkEnd w:id="282"/>
      <w:bookmarkStart w:id="283" w:name="_Toc184308107"/>
      <w:bookmarkEnd w:id="283"/>
      <w:bookmarkStart w:id="284" w:name="_Toc184308052"/>
      <w:bookmarkEnd w:id="284"/>
      <w:bookmarkStart w:id="285" w:name="_Toc184310338"/>
      <w:bookmarkEnd w:id="285"/>
      <w:bookmarkStart w:id="286" w:name="_Toc184308093"/>
      <w:bookmarkEnd w:id="286"/>
      <w:bookmarkStart w:id="287" w:name="_Toc184310305"/>
      <w:bookmarkEnd w:id="287"/>
      <w:bookmarkStart w:id="288" w:name="_Toc184308105"/>
      <w:bookmarkEnd w:id="288"/>
      <w:bookmarkStart w:id="289" w:name="_Toc184312077"/>
      <w:bookmarkEnd w:id="289"/>
      <w:bookmarkStart w:id="290" w:name="_Toc184310296"/>
      <w:bookmarkEnd w:id="290"/>
      <w:bookmarkStart w:id="291" w:name="_Toc184308084"/>
      <w:bookmarkEnd w:id="291"/>
      <w:bookmarkStart w:id="292" w:name="_Toc184314410"/>
      <w:bookmarkEnd w:id="292"/>
      <w:bookmarkStart w:id="293" w:name="_Toc184313294"/>
      <w:bookmarkEnd w:id="293"/>
      <w:bookmarkStart w:id="294" w:name="_Toc184313309"/>
      <w:bookmarkEnd w:id="294"/>
      <w:bookmarkStart w:id="295" w:name="_Toc184313261"/>
      <w:bookmarkEnd w:id="295"/>
      <w:bookmarkStart w:id="296" w:name="_Toc184310320"/>
      <w:bookmarkEnd w:id="296"/>
      <w:bookmarkStart w:id="297" w:name="_Toc184308070"/>
      <w:bookmarkEnd w:id="297"/>
      <w:bookmarkStart w:id="298" w:name="_Toc184312098"/>
      <w:bookmarkEnd w:id="298"/>
      <w:bookmarkStart w:id="299" w:name="_Toc184312088"/>
      <w:bookmarkEnd w:id="299"/>
      <w:bookmarkStart w:id="300" w:name="_Toc184314462"/>
      <w:bookmarkEnd w:id="300"/>
      <w:bookmarkStart w:id="301" w:name="_Toc184312118"/>
      <w:bookmarkEnd w:id="301"/>
      <w:bookmarkStart w:id="302" w:name="_Toc184312092"/>
      <w:bookmarkEnd w:id="302"/>
      <w:bookmarkStart w:id="303" w:name="_Toc184314448"/>
      <w:bookmarkEnd w:id="303"/>
      <w:bookmarkStart w:id="304" w:name="_Toc184308071"/>
      <w:bookmarkEnd w:id="304"/>
      <w:bookmarkStart w:id="305" w:name="_Toc184310324"/>
      <w:bookmarkEnd w:id="305"/>
      <w:bookmarkStart w:id="306" w:name="_Toc184314457"/>
      <w:bookmarkEnd w:id="306"/>
      <w:bookmarkStart w:id="307" w:name="_Toc184313306"/>
      <w:bookmarkEnd w:id="307"/>
      <w:bookmarkStart w:id="308" w:name="_Toc184314437"/>
      <w:bookmarkEnd w:id="308"/>
      <w:bookmarkStart w:id="309" w:name="_Toc184314429"/>
      <w:bookmarkEnd w:id="309"/>
      <w:bookmarkStart w:id="310" w:name="_Toc184312081"/>
      <w:bookmarkEnd w:id="310"/>
      <w:bookmarkStart w:id="311" w:name="_Toc184312108"/>
      <w:bookmarkEnd w:id="311"/>
      <w:bookmarkStart w:id="312" w:name="_Toc184313266"/>
      <w:bookmarkEnd w:id="312"/>
      <w:bookmarkStart w:id="313" w:name="_Toc184308067"/>
      <w:bookmarkEnd w:id="313"/>
      <w:bookmarkStart w:id="314" w:name="_Toc184312124"/>
      <w:bookmarkEnd w:id="314"/>
      <w:bookmarkStart w:id="315" w:name="_Toc184308042"/>
      <w:bookmarkEnd w:id="315"/>
      <w:bookmarkStart w:id="316" w:name="_Toc184308049"/>
      <w:bookmarkEnd w:id="316"/>
      <w:bookmarkStart w:id="317" w:name="_Toc184313240"/>
      <w:bookmarkEnd w:id="317"/>
      <w:bookmarkStart w:id="318" w:name="_Toc184313285"/>
      <w:bookmarkEnd w:id="318"/>
      <w:bookmarkStart w:id="319" w:name="_Toc184313276"/>
      <w:bookmarkEnd w:id="319"/>
      <w:bookmarkStart w:id="320" w:name="_Toc184310294"/>
      <w:bookmarkEnd w:id="320"/>
      <w:bookmarkStart w:id="321" w:name="_Toc184308065"/>
      <w:bookmarkEnd w:id="321"/>
      <w:bookmarkStart w:id="322" w:name="_Toc184312127"/>
      <w:bookmarkEnd w:id="322"/>
      <w:bookmarkStart w:id="323" w:name="_Toc184308045"/>
      <w:bookmarkEnd w:id="323"/>
      <w:bookmarkStart w:id="324" w:name="_Toc184310300"/>
      <w:bookmarkEnd w:id="324"/>
      <w:bookmarkStart w:id="325" w:name="_Toc184310335"/>
      <w:bookmarkEnd w:id="325"/>
      <w:bookmarkStart w:id="326" w:name="_Toc184313287"/>
      <w:bookmarkEnd w:id="326"/>
      <w:bookmarkStart w:id="327" w:name="_Toc184313259"/>
      <w:bookmarkEnd w:id="327"/>
      <w:bookmarkStart w:id="328" w:name="_Toc184314452"/>
      <w:bookmarkEnd w:id="328"/>
      <w:bookmarkStart w:id="329" w:name="_Toc184310283"/>
      <w:bookmarkEnd w:id="329"/>
      <w:bookmarkStart w:id="330" w:name="_Toc184313249"/>
      <w:bookmarkEnd w:id="330"/>
      <w:bookmarkStart w:id="331" w:name="_Toc184310308"/>
      <w:bookmarkEnd w:id="331"/>
      <w:bookmarkStart w:id="332" w:name="_Toc184314470"/>
      <w:bookmarkEnd w:id="332"/>
      <w:bookmarkStart w:id="333" w:name="_Toc184314454"/>
      <w:bookmarkEnd w:id="333"/>
      <w:bookmarkStart w:id="334" w:name="_Toc184308082"/>
      <w:bookmarkEnd w:id="334"/>
      <w:bookmarkStart w:id="335" w:name="_Toc184310282"/>
      <w:bookmarkEnd w:id="335"/>
      <w:bookmarkStart w:id="336" w:name="_Toc184312072"/>
      <w:bookmarkEnd w:id="336"/>
      <w:bookmarkStart w:id="337" w:name="_Toc184312113"/>
      <w:bookmarkEnd w:id="337"/>
      <w:bookmarkStart w:id="338" w:name="_Toc184314446"/>
      <w:bookmarkEnd w:id="338"/>
      <w:bookmarkStart w:id="339" w:name="_Toc184314427"/>
      <w:bookmarkEnd w:id="339"/>
      <w:bookmarkStart w:id="340" w:name="_Toc184312133"/>
      <w:bookmarkEnd w:id="340"/>
      <w:bookmarkStart w:id="341" w:name="_Toc184312109"/>
      <w:bookmarkEnd w:id="341"/>
      <w:bookmarkStart w:id="342" w:name="_Toc184310293"/>
      <w:bookmarkEnd w:id="342"/>
      <w:bookmarkStart w:id="343" w:name="_Toc184313300"/>
      <w:bookmarkEnd w:id="343"/>
      <w:bookmarkStart w:id="344" w:name="_Toc184313243"/>
      <w:bookmarkEnd w:id="344"/>
      <w:bookmarkStart w:id="345" w:name="_Toc184314482"/>
      <w:bookmarkEnd w:id="345"/>
      <w:bookmarkStart w:id="346" w:name="_Toc184313310"/>
      <w:bookmarkEnd w:id="346"/>
      <w:bookmarkStart w:id="347" w:name="_Toc184312117"/>
      <w:bookmarkEnd w:id="347"/>
      <w:bookmarkStart w:id="348" w:name="_Toc184312135"/>
      <w:bookmarkEnd w:id="348"/>
      <w:bookmarkStart w:id="349" w:name="_Toc184310291"/>
      <w:bookmarkEnd w:id="349"/>
      <w:bookmarkStart w:id="350" w:name="_Toc184313277"/>
      <w:bookmarkEnd w:id="350"/>
      <w:bookmarkStart w:id="351" w:name="_Toc184314428"/>
      <w:bookmarkEnd w:id="351"/>
      <w:bookmarkStart w:id="352" w:name="_Toc184312104"/>
      <w:bookmarkEnd w:id="352"/>
      <w:bookmarkStart w:id="353" w:name="_Toc184314422"/>
      <w:bookmarkEnd w:id="353"/>
      <w:bookmarkStart w:id="354" w:name="_Toc184313250"/>
      <w:bookmarkEnd w:id="354"/>
      <w:bookmarkStart w:id="355" w:name="_Toc184308053"/>
      <w:bookmarkEnd w:id="355"/>
      <w:bookmarkStart w:id="356" w:name="_Toc184314441"/>
      <w:bookmarkEnd w:id="356"/>
      <w:bookmarkStart w:id="357" w:name="_Toc184310285"/>
      <w:bookmarkEnd w:id="357"/>
      <w:bookmarkStart w:id="358" w:name="_Toc184314438"/>
      <w:bookmarkEnd w:id="358"/>
      <w:bookmarkStart w:id="359" w:name="_Toc184314450"/>
      <w:bookmarkEnd w:id="359"/>
      <w:bookmarkStart w:id="360" w:name="_Toc184312096"/>
      <w:bookmarkEnd w:id="360"/>
      <w:bookmarkStart w:id="361" w:name="_Toc184308092"/>
      <w:bookmarkEnd w:id="361"/>
      <w:bookmarkStart w:id="362" w:name="_Toc184313288"/>
      <w:bookmarkEnd w:id="362"/>
      <w:bookmarkStart w:id="363" w:name="_Toc184310307"/>
      <w:bookmarkEnd w:id="363"/>
      <w:bookmarkStart w:id="364" w:name="_Toc184310288"/>
      <w:bookmarkEnd w:id="364"/>
      <w:bookmarkStart w:id="365" w:name="_Toc184308048"/>
      <w:bookmarkEnd w:id="365"/>
      <w:bookmarkStart w:id="366" w:name="_Toc184313292"/>
      <w:bookmarkEnd w:id="366"/>
      <w:bookmarkStart w:id="367" w:name="_Toc184310301"/>
      <w:bookmarkEnd w:id="367"/>
      <w:bookmarkStart w:id="368" w:name="_Toc184312100"/>
      <w:bookmarkEnd w:id="368"/>
      <w:bookmarkStart w:id="369" w:name="_Toc184308078"/>
      <w:bookmarkEnd w:id="369"/>
      <w:bookmarkStart w:id="370" w:name="_Toc184310303"/>
      <w:bookmarkEnd w:id="370"/>
      <w:bookmarkStart w:id="371" w:name="_Toc184312079"/>
      <w:bookmarkEnd w:id="371"/>
      <w:bookmarkStart w:id="372" w:name="_Toc184314455"/>
      <w:bookmarkEnd w:id="372"/>
      <w:bookmarkStart w:id="373" w:name="_Toc184312068"/>
      <w:bookmarkEnd w:id="373"/>
      <w:bookmarkStart w:id="374" w:name="_Toc184314413"/>
      <w:bookmarkEnd w:id="374"/>
      <w:bookmarkStart w:id="375" w:name="_Toc184312112"/>
      <w:bookmarkEnd w:id="375"/>
      <w:bookmarkStart w:id="376" w:name="_Toc184313253"/>
      <w:bookmarkEnd w:id="376"/>
      <w:bookmarkStart w:id="377" w:name="_Toc184312086"/>
      <w:bookmarkEnd w:id="377"/>
      <w:bookmarkStart w:id="378" w:name="_Toc184312136"/>
      <w:bookmarkEnd w:id="378"/>
      <w:bookmarkStart w:id="379" w:name="_Toc184312094"/>
      <w:bookmarkEnd w:id="379"/>
      <w:bookmarkStart w:id="380" w:name="_Toc184310286"/>
      <w:bookmarkEnd w:id="380"/>
      <w:bookmarkStart w:id="381" w:name="_Toc184314432"/>
      <w:bookmarkEnd w:id="381"/>
      <w:bookmarkStart w:id="382" w:name="_Toc184312073"/>
      <w:bookmarkEnd w:id="382"/>
      <w:bookmarkStart w:id="383" w:name="_Toc184312091"/>
      <w:bookmarkEnd w:id="383"/>
      <w:bookmarkStart w:id="384" w:name="_Toc184308064"/>
      <w:bookmarkEnd w:id="384"/>
      <w:bookmarkStart w:id="385" w:name="_Toc184314469"/>
      <w:bookmarkEnd w:id="385"/>
      <w:bookmarkStart w:id="386" w:name="_Toc184313263"/>
      <w:bookmarkEnd w:id="386"/>
      <w:bookmarkStart w:id="387" w:name="_Toc184308038"/>
      <w:bookmarkEnd w:id="387"/>
      <w:r>
        <w:rPr>
          <w:rFonts w:hint="eastAsia" w:ascii="仿宋" w:hAnsi="仿宋" w:eastAsia="仿宋" w:cs="仿宋"/>
          <w:b/>
          <w:color w:val="auto"/>
          <w:sz w:val="36"/>
          <w:szCs w:val="36"/>
        </w:rPr>
        <w:t>评标办法</w:t>
      </w:r>
    </w:p>
    <w:p>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3"/>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061"/>
        <w:gridCol w:w="880"/>
        <w:gridCol w:w="96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5"/>
              <w:rPr>
                <w:rFonts w:ascii="仿宋" w:hAnsi="仿宋" w:eastAsia="仿宋" w:cs="仿宋"/>
                <w:color w:val="auto"/>
              </w:rPr>
            </w:pPr>
            <w:r>
              <w:rPr>
                <w:rFonts w:hint="eastAsia" w:ascii="仿宋" w:hAnsi="仿宋" w:eastAsia="仿宋" w:cs="仿宋"/>
                <w:bCs/>
                <w:color w:val="auto"/>
                <w:sz w:val="24"/>
              </w:rPr>
              <w:t>序号</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5"/>
              <w:rPr>
                <w:rFonts w:ascii="仿宋" w:hAnsi="仿宋" w:eastAsia="仿宋" w:cs="仿宋"/>
                <w:color w:val="auto"/>
              </w:rPr>
            </w:pPr>
            <w:r>
              <w:rPr>
                <w:rFonts w:hint="eastAsia" w:ascii="仿宋" w:hAnsi="仿宋" w:eastAsia="仿宋" w:cs="仿宋"/>
                <w:bCs/>
                <w:color w:val="auto"/>
                <w:sz w:val="24"/>
              </w:rPr>
              <w:t>评标标准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5"/>
              <w:rPr>
                <w:rFonts w:ascii="仿宋" w:hAnsi="仿宋" w:eastAsia="仿宋" w:cs="仿宋"/>
                <w:color w:val="auto"/>
              </w:rPr>
            </w:pPr>
            <w:r>
              <w:rPr>
                <w:rFonts w:hint="eastAsia" w:ascii="仿宋" w:hAnsi="仿宋" w:eastAsia="仿宋" w:cs="仿宋"/>
                <w:bCs/>
                <w:color w:val="auto"/>
                <w:sz w:val="24"/>
              </w:rPr>
              <w:t>权重</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ascii="仿宋" w:hAnsi="仿宋" w:eastAsia="仿宋" w:cs="仿宋"/>
                <w:color w:val="auto"/>
              </w:rPr>
            </w:pPr>
            <w:r>
              <w:rPr>
                <w:rFonts w:hint="eastAsia" w:ascii="仿宋" w:hAnsi="仿宋" w:eastAsia="仿宋" w:cs="仿宋"/>
                <w:bCs/>
                <w:color w:val="auto"/>
                <w:sz w:val="24"/>
              </w:rPr>
              <w:t>主观分/客观分属性</w:t>
            </w:r>
          </w:p>
        </w:tc>
        <w:tc>
          <w:tcPr>
            <w:tcW w:w="98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ascii="仿宋" w:hAnsi="仿宋" w:eastAsia="仿宋" w:cs="仿宋"/>
                <w:bCs/>
                <w:color w:val="auto"/>
                <w:sz w:val="24"/>
              </w:rPr>
            </w:pPr>
            <w:r>
              <w:rPr>
                <w:rFonts w:hint="eastAsia" w:ascii="仿宋" w:hAnsi="仿宋" w:eastAsia="仿宋" w:cs="仿宋"/>
                <w:bCs/>
                <w:color w:val="auto"/>
                <w:sz w:val="24"/>
              </w:rPr>
              <w:t>投标文件中评标标准相应的商务技术资料目录</w:t>
            </w:r>
            <w:r>
              <w:rPr>
                <w:rFonts w:hint="eastAsia" w:ascii="仿宋" w:hAnsi="仿宋" w:eastAsia="仿宋" w:cs="仿宋"/>
                <w:color w:val="auto"/>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5"/>
              <w:rPr>
                <w:rFonts w:ascii="仿宋" w:hAnsi="仿宋" w:eastAsia="仿宋" w:cs="仿宋"/>
                <w:bCs/>
                <w:color w:val="auto"/>
                <w:sz w:val="24"/>
              </w:rPr>
            </w:pPr>
            <w:r>
              <w:rPr>
                <w:rFonts w:hint="eastAsia" w:ascii="仿宋" w:hAnsi="仿宋" w:eastAsia="仿宋" w:cs="仿宋"/>
                <w:bCs/>
                <w:color w:val="auto"/>
                <w:sz w:val="24"/>
              </w:rPr>
              <w:t>1</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ascii="仿宋" w:hAnsi="仿宋" w:eastAsia="仿宋" w:cs="仿宋"/>
                <w:bCs/>
                <w:color w:val="auto"/>
                <w:sz w:val="24"/>
              </w:rPr>
            </w:pPr>
            <w:r>
              <w:rPr>
                <w:rFonts w:hint="default" w:ascii="仿宋" w:hAnsi="仿宋" w:eastAsia="仿宋" w:cs="仿宋"/>
                <w:color w:val="auto"/>
                <w:sz w:val="24"/>
              </w:rPr>
              <w:t>投标人自202</w:t>
            </w:r>
            <w:r>
              <w:rPr>
                <w:rFonts w:hint="default" w:ascii="仿宋" w:hAnsi="仿宋" w:eastAsia="仿宋" w:cs="仿宋"/>
                <w:color w:val="auto"/>
                <w:sz w:val="24"/>
                <w:lang w:val="en-US" w:eastAsia="zh-CN"/>
              </w:rPr>
              <w:t>1</w:t>
            </w:r>
            <w:r>
              <w:rPr>
                <w:rFonts w:hint="default" w:ascii="仿宋" w:hAnsi="仿宋" w:eastAsia="仿宋" w:cs="仿宋"/>
                <w:color w:val="auto"/>
                <w:sz w:val="24"/>
              </w:rPr>
              <w:t>年1月1日（以合同签订时间为准）以来承担过类似政务宣传项目，每提供一个得0.5分，最高得1分。（须提供合同复印件加盖公章），否则不得分。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ascii="仿宋" w:hAnsi="仿宋" w:eastAsia="仿宋" w:cs="仿宋"/>
                <w:bCs/>
                <w:color w:val="auto"/>
                <w:sz w:val="24"/>
              </w:rPr>
            </w:pPr>
            <w:r>
              <w:rPr>
                <w:rFonts w:hint="eastAsia" w:ascii="仿宋" w:hAnsi="仿宋" w:eastAsia="仿宋" w:cs="仿宋"/>
                <w:color w:val="auto"/>
                <w:sz w:val="24"/>
              </w:rPr>
              <w:t>0-1分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ascii="仿宋" w:hAnsi="仿宋" w:eastAsia="仿宋" w:cs="仿宋"/>
                <w:bCs/>
                <w:color w:val="auto"/>
                <w:sz w:val="24"/>
              </w:rPr>
            </w:pPr>
            <w:r>
              <w:rPr>
                <w:rFonts w:hint="eastAsia" w:ascii="仿宋" w:hAnsi="仿宋" w:eastAsia="仿宋" w:cs="仿宋"/>
                <w:color w:val="auto"/>
                <w:sz w:val="24"/>
              </w:rPr>
              <w:t>客观分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default" w:ascii="仿宋" w:hAnsi="仿宋" w:eastAsia="仿宋" w:cs="仿宋"/>
                <w:color w:val="auto"/>
                <w:sz w:val="24"/>
              </w:rPr>
              <w:t>同类项目经验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针对投标文件中提供的与本项目履约相关的专业软硬件设备的投入情况进行评审：</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（1）提供与本项目履约相关的专业软硬件设备充足且先进、专业技术力量强的得</w:t>
            </w:r>
            <w:r>
              <w:rPr>
                <w:rFonts w:hint="default" w:ascii="仿宋" w:hAnsi="仿宋" w:eastAsia="仿宋" w:cs="仿宋"/>
                <w:color w:val="auto"/>
                <w:sz w:val="24"/>
                <w:lang w:val="en-US" w:eastAsia="zh-CN"/>
              </w:rPr>
              <w:t>5</w:t>
            </w:r>
            <w:r>
              <w:rPr>
                <w:rFonts w:hint="default" w:ascii="仿宋" w:hAnsi="仿宋" w:eastAsia="仿宋" w:cs="仿宋"/>
                <w:color w:val="auto"/>
                <w:sz w:val="24"/>
              </w:rPr>
              <w:t>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（2）提供与本项目履约相关的专业软硬件设备充足、专业技术力量较强的得</w:t>
            </w:r>
            <w:r>
              <w:rPr>
                <w:rFonts w:hint="default" w:ascii="仿宋" w:hAnsi="仿宋" w:eastAsia="仿宋" w:cs="仿宋"/>
                <w:color w:val="auto"/>
                <w:sz w:val="24"/>
                <w:lang w:val="en-US" w:eastAsia="zh-CN"/>
              </w:rPr>
              <w:t>3</w:t>
            </w:r>
            <w:r>
              <w:rPr>
                <w:rFonts w:hint="default" w:ascii="仿宋" w:hAnsi="仿宋" w:eastAsia="仿宋" w:cs="仿宋"/>
                <w:color w:val="auto"/>
                <w:sz w:val="24"/>
              </w:rPr>
              <w:t>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（3）提供与本项目履约相关的专业软硬件设备不充足或专业技术力量不强的得1分。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color w:val="auto"/>
              </w:rPr>
            </w:pPr>
            <w:r>
              <w:rPr>
                <w:rFonts w:hint="default" w:ascii="仿宋" w:hAnsi="仿宋" w:eastAsia="仿宋" w:cs="仿宋"/>
                <w:color w:val="auto"/>
                <w:sz w:val="24"/>
              </w:rPr>
              <w:t>（4）未提供或者完全不符合的得0分。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default" w:ascii="仿宋" w:hAnsi="仿宋" w:eastAsia="仿宋" w:cs="仿宋"/>
                <w:color w:val="auto"/>
                <w:sz w:val="24"/>
              </w:rPr>
              <w:t>履约能力评价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针对投标人对本项目的背景分析和需求理解情况进行评审：</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（1）针对本项目的背景分析及需求理解清晰明确的得</w:t>
            </w:r>
            <w:r>
              <w:rPr>
                <w:rFonts w:hint="default" w:ascii="仿宋" w:hAnsi="仿宋" w:eastAsia="仿宋" w:cs="仿宋"/>
                <w:color w:val="auto"/>
                <w:sz w:val="24"/>
                <w:lang w:val="en-US" w:eastAsia="zh-CN"/>
              </w:rPr>
              <w:t>3</w:t>
            </w:r>
            <w:r>
              <w:rPr>
                <w:rFonts w:hint="default" w:ascii="仿宋" w:hAnsi="仿宋" w:eastAsia="仿宋" w:cs="仿宋"/>
                <w:color w:val="auto"/>
                <w:sz w:val="24"/>
              </w:rPr>
              <w:t>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（2）针对本项目的背景分析及需求理解基本清晰明确的得</w:t>
            </w:r>
            <w:r>
              <w:rPr>
                <w:rFonts w:hint="default" w:ascii="仿宋" w:hAnsi="仿宋" w:eastAsia="仿宋" w:cs="仿宋"/>
                <w:color w:val="auto"/>
                <w:sz w:val="24"/>
                <w:lang w:val="en-US" w:eastAsia="zh-CN"/>
              </w:rPr>
              <w:t>2</w:t>
            </w:r>
            <w:r>
              <w:rPr>
                <w:rFonts w:hint="default" w:ascii="仿宋" w:hAnsi="仿宋" w:eastAsia="仿宋" w:cs="仿宋"/>
                <w:color w:val="auto"/>
                <w:sz w:val="24"/>
              </w:rPr>
              <w:t>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（3）针对本项目的背景分析及需求理解有明显欠缺的得1分；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（4）未提供或者完全不符合的得0分。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default" w:ascii="仿宋" w:hAnsi="仿宋" w:eastAsia="仿宋" w:cs="仿宋"/>
                <w:color w:val="auto"/>
                <w:sz w:val="24"/>
              </w:rPr>
              <w:t>背景分析和需求理解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对投标人宣传推广能力的影响效力和范围进行评价打分：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default" w:ascii="仿宋" w:hAnsi="仿宋" w:eastAsia="仿宋" w:cs="仿宋"/>
                <w:color w:val="auto"/>
                <w:sz w:val="24"/>
              </w:rPr>
              <w:t>宣传推广影响效力大，范围广的得5分；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default" w:ascii="仿宋" w:hAnsi="仿宋" w:eastAsia="仿宋" w:cs="仿宋"/>
                <w:color w:val="auto"/>
                <w:sz w:val="24"/>
              </w:rPr>
              <w:t>宣传推广影响效力和范围一般的得3分；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default" w:ascii="仿宋" w:hAnsi="仿宋" w:eastAsia="仿宋" w:cs="仿宋"/>
                <w:color w:val="auto"/>
                <w:sz w:val="24"/>
              </w:rPr>
              <w:t>宣传推广影响效力和范围较小的得1分；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default" w:ascii="仿宋" w:hAnsi="仿宋" w:eastAsia="仿宋" w:cs="仿宋"/>
                <w:color w:val="auto"/>
                <w:sz w:val="24"/>
              </w:rPr>
              <w:t>未提供宣传推广能力的影响效力和范围相关说明</w:t>
            </w:r>
            <w:r>
              <w:rPr>
                <w:rFonts w:hint="default" w:ascii="仿宋" w:hAnsi="仿宋" w:eastAsia="仿宋" w:cs="仿宋"/>
                <w:color w:val="auto"/>
                <w:sz w:val="24"/>
                <w:lang w:eastAsia="zh-CN"/>
              </w:rPr>
              <w:t>的</w:t>
            </w:r>
            <w:r>
              <w:rPr>
                <w:rFonts w:hint="default" w:ascii="仿宋" w:hAnsi="仿宋" w:eastAsia="仿宋" w:cs="仿宋"/>
                <w:color w:val="auto"/>
                <w:sz w:val="24"/>
              </w:rPr>
              <w:t>得0分。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default" w:ascii="仿宋" w:hAnsi="仿宋" w:eastAsia="仿宋" w:cs="仿宋"/>
                <w:color w:val="auto"/>
                <w:sz w:val="24"/>
              </w:rPr>
              <w:t>宣传推广能力的影响效力和范围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eastAsia" w:ascii="仿宋" w:hAnsi="仿宋" w:eastAsia="仿宋" w:cs="仿宋"/>
                <w:color w:val="auto"/>
                <w:sz w:val="24"/>
                <w:lang w:eastAsia="zh-CN"/>
              </w:rPr>
            </w:pPr>
            <w:r>
              <w:rPr>
                <w:rFonts w:hint="default" w:ascii="仿宋" w:hAnsi="仿宋" w:eastAsia="仿宋" w:cs="仿宋"/>
                <w:color w:val="auto"/>
                <w:sz w:val="24"/>
              </w:rPr>
              <w:t>投标人获得过新闻主管部门颁发的国家级奖项的得</w:t>
            </w:r>
            <w:r>
              <w:rPr>
                <w:rFonts w:hint="default" w:ascii="仿宋" w:hAnsi="仿宋" w:eastAsia="仿宋" w:cs="仿宋"/>
                <w:color w:val="auto"/>
                <w:sz w:val="24"/>
                <w:lang w:val="en-US" w:eastAsia="zh-CN"/>
              </w:rPr>
              <w:t>1</w:t>
            </w:r>
            <w:r>
              <w:rPr>
                <w:rFonts w:hint="default" w:ascii="仿宋" w:hAnsi="仿宋" w:eastAsia="仿宋" w:cs="仿宋"/>
                <w:color w:val="auto"/>
                <w:sz w:val="24"/>
              </w:rPr>
              <w:t>分，获得过新闻主管部门颁发的省级奖项的得</w:t>
            </w:r>
            <w:r>
              <w:rPr>
                <w:rFonts w:hint="default" w:ascii="仿宋" w:hAnsi="仿宋" w:eastAsia="仿宋" w:cs="仿宋"/>
                <w:color w:val="auto"/>
                <w:sz w:val="24"/>
                <w:lang w:val="en-US" w:eastAsia="zh-CN"/>
              </w:rPr>
              <w:t>0.5</w:t>
            </w:r>
            <w:r>
              <w:rPr>
                <w:rFonts w:hint="default" w:ascii="仿宋" w:hAnsi="仿宋" w:eastAsia="仿宋" w:cs="仿宋"/>
                <w:color w:val="auto"/>
                <w:sz w:val="24"/>
              </w:rPr>
              <w:t>分，最高得</w:t>
            </w:r>
            <w:r>
              <w:rPr>
                <w:rFonts w:hint="default" w:ascii="仿宋" w:hAnsi="仿宋" w:eastAsia="仿宋" w:cs="仿宋"/>
                <w:color w:val="auto"/>
                <w:sz w:val="24"/>
                <w:lang w:val="en-US" w:eastAsia="zh-CN"/>
              </w:rPr>
              <w:t>1</w:t>
            </w:r>
            <w:r>
              <w:rPr>
                <w:rFonts w:hint="default" w:ascii="仿宋" w:hAnsi="仿宋" w:eastAsia="仿宋" w:cs="仿宋"/>
                <w:color w:val="auto"/>
                <w:sz w:val="24"/>
              </w:rPr>
              <w:t>分</w:t>
            </w:r>
            <w:r>
              <w:rPr>
                <w:rFonts w:hint="eastAsia" w:ascii="仿宋" w:hAnsi="仿宋" w:eastAsia="仿宋" w:cs="仿宋"/>
                <w:color w:val="auto"/>
                <w:sz w:val="24"/>
              </w:rPr>
              <w:t>（需提供</w:t>
            </w:r>
            <w:r>
              <w:rPr>
                <w:rFonts w:hint="eastAsia" w:ascii="仿宋" w:hAnsi="仿宋" w:eastAsia="仿宋" w:cs="仿宋"/>
                <w:color w:val="auto"/>
                <w:sz w:val="24"/>
                <w:lang w:val="en-US" w:eastAsia="zh-CN"/>
              </w:rPr>
              <w:t>奖项证书或文件复印件加盖公章</w:t>
            </w:r>
            <w:r>
              <w:rPr>
                <w:rFonts w:hint="eastAsia" w:ascii="仿宋" w:hAnsi="仿宋" w:eastAsia="仿宋" w:cs="仿宋"/>
                <w:color w:val="auto"/>
                <w:sz w:val="24"/>
              </w:rPr>
              <w:t>）</w:t>
            </w:r>
            <w:r>
              <w:rPr>
                <w:rFonts w:hint="eastAsia" w:ascii="仿宋" w:hAnsi="仿宋" w:eastAsia="仿宋" w:cs="仿宋"/>
                <w:color w:val="auto"/>
                <w:sz w:val="24"/>
                <w:lang w:eastAsia="zh-CN"/>
              </w:rPr>
              <w:t>。</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0-1分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客观分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default" w:ascii="仿宋" w:hAnsi="仿宋" w:eastAsia="仿宋" w:cs="仿宋"/>
                <w:color w:val="auto"/>
                <w:sz w:val="24"/>
              </w:rPr>
              <w:t>对外宣传推广能力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eastAsia" w:ascii="仿宋" w:hAnsi="仿宋" w:eastAsia="仿宋" w:cs="仿宋"/>
                <w:color w:val="auto"/>
                <w:sz w:val="24"/>
                <w:lang w:eastAsia="zh-CN"/>
              </w:rPr>
            </w:pPr>
            <w:r>
              <w:rPr>
                <w:rFonts w:hint="default" w:ascii="仿宋" w:hAnsi="仿宋" w:eastAsia="仿宋" w:cs="仿宋"/>
                <w:color w:val="auto"/>
                <w:sz w:val="24"/>
                <w:lang w:val="zh-CN"/>
              </w:rPr>
              <w:t>投标人拥有较强的自主新媒体推广平台，如微信公众号（粉丝量</w:t>
            </w:r>
            <w:r>
              <w:rPr>
                <w:rFonts w:hint="default" w:ascii="仿宋" w:hAnsi="仿宋" w:eastAsia="仿宋" w:cs="仿宋"/>
                <w:color w:val="auto"/>
                <w:sz w:val="24"/>
              </w:rPr>
              <w:t>10万及以上</w:t>
            </w:r>
            <w:r>
              <w:rPr>
                <w:rFonts w:hint="default" w:ascii="仿宋" w:hAnsi="仿宋" w:eastAsia="仿宋" w:cs="仿宋"/>
                <w:color w:val="auto"/>
                <w:sz w:val="24"/>
                <w:lang w:val="zh-CN"/>
              </w:rPr>
              <w:t>）、微博（粉丝量</w:t>
            </w:r>
            <w:r>
              <w:rPr>
                <w:rFonts w:hint="default" w:ascii="仿宋" w:hAnsi="仿宋" w:eastAsia="仿宋" w:cs="仿宋"/>
                <w:color w:val="auto"/>
                <w:sz w:val="24"/>
              </w:rPr>
              <w:t>10万及以上</w:t>
            </w:r>
            <w:r>
              <w:rPr>
                <w:rFonts w:hint="default" w:ascii="仿宋" w:hAnsi="仿宋" w:eastAsia="仿宋" w:cs="仿宋"/>
                <w:color w:val="auto"/>
                <w:sz w:val="24"/>
                <w:lang w:val="zh-CN"/>
              </w:rPr>
              <w:t>）、app（日均阅读量</w:t>
            </w:r>
            <w:r>
              <w:rPr>
                <w:rFonts w:hint="default" w:ascii="仿宋" w:hAnsi="仿宋" w:eastAsia="仿宋" w:cs="仿宋"/>
                <w:color w:val="auto"/>
                <w:sz w:val="24"/>
              </w:rPr>
              <w:t>10万及以上</w:t>
            </w:r>
            <w:r>
              <w:rPr>
                <w:rFonts w:hint="default" w:ascii="仿宋" w:hAnsi="仿宋" w:eastAsia="仿宋" w:cs="仿宋"/>
                <w:color w:val="auto"/>
                <w:sz w:val="24"/>
                <w:lang w:val="zh-CN"/>
              </w:rPr>
              <w:t>）、抖音（粉丝量</w:t>
            </w:r>
            <w:r>
              <w:rPr>
                <w:rFonts w:hint="default" w:ascii="仿宋" w:hAnsi="仿宋" w:eastAsia="仿宋" w:cs="仿宋"/>
                <w:color w:val="auto"/>
                <w:sz w:val="24"/>
              </w:rPr>
              <w:t>10万及以上</w:t>
            </w:r>
            <w:r>
              <w:rPr>
                <w:rFonts w:hint="default" w:ascii="仿宋" w:hAnsi="仿宋" w:eastAsia="仿宋" w:cs="仿宋"/>
                <w:color w:val="auto"/>
                <w:sz w:val="24"/>
                <w:lang w:val="zh-CN"/>
              </w:rPr>
              <w:t>）、视频号（粉丝量</w:t>
            </w:r>
            <w:r>
              <w:rPr>
                <w:rFonts w:hint="default" w:ascii="仿宋" w:hAnsi="仿宋" w:eastAsia="仿宋" w:cs="仿宋"/>
                <w:color w:val="auto"/>
                <w:sz w:val="24"/>
              </w:rPr>
              <w:t>10万及以上</w:t>
            </w:r>
            <w:r>
              <w:rPr>
                <w:rFonts w:hint="default" w:ascii="仿宋" w:hAnsi="仿宋" w:eastAsia="仿宋" w:cs="仿宋"/>
                <w:color w:val="auto"/>
                <w:sz w:val="24"/>
                <w:lang w:val="zh-CN"/>
              </w:rPr>
              <w:t>），每个得2分，最多得6分</w:t>
            </w:r>
            <w:r>
              <w:rPr>
                <w:rFonts w:hint="eastAsia" w:ascii="仿宋" w:hAnsi="仿宋" w:eastAsia="仿宋" w:cs="仿宋"/>
                <w:color w:val="auto"/>
                <w:sz w:val="24"/>
              </w:rPr>
              <w:t>（需提供</w:t>
            </w:r>
            <w:r>
              <w:rPr>
                <w:rFonts w:hint="eastAsia" w:ascii="仿宋" w:hAnsi="仿宋" w:eastAsia="仿宋" w:cs="仿宋"/>
                <w:color w:val="auto"/>
                <w:sz w:val="24"/>
                <w:lang w:val="en-US" w:eastAsia="zh-CN"/>
              </w:rPr>
              <w:t>有效的相关证明材料复印件加盖公章</w:t>
            </w:r>
            <w:r>
              <w:rPr>
                <w:rFonts w:hint="eastAsia" w:ascii="仿宋" w:hAnsi="仿宋" w:eastAsia="仿宋" w:cs="仿宋"/>
                <w:color w:val="auto"/>
                <w:sz w:val="24"/>
              </w:rPr>
              <w:t>）</w:t>
            </w:r>
            <w:r>
              <w:rPr>
                <w:rFonts w:hint="eastAsia" w:ascii="仿宋" w:hAnsi="仿宋" w:eastAsia="仿宋" w:cs="仿宋"/>
                <w:color w:val="auto"/>
                <w:sz w:val="24"/>
                <w:lang w:eastAsia="zh-CN"/>
              </w:rPr>
              <w:t>。</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客观分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default" w:ascii="仿宋" w:hAnsi="仿宋" w:eastAsia="仿宋" w:cs="仿宋"/>
                <w:color w:val="auto"/>
                <w:sz w:val="24"/>
              </w:rPr>
              <w:t>对外宣传推广能力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eastAsia" w:ascii="仿宋" w:hAnsi="仿宋" w:eastAsia="仿宋" w:cs="仿宋"/>
                <w:color w:val="auto"/>
                <w:sz w:val="24"/>
                <w:lang w:eastAsia="zh-CN"/>
              </w:rPr>
            </w:pPr>
            <w:r>
              <w:rPr>
                <w:rFonts w:hint="default" w:ascii="仿宋" w:hAnsi="仿宋" w:eastAsia="仿宋" w:cs="仿宋"/>
                <w:color w:val="auto"/>
                <w:sz w:val="24"/>
                <w:lang w:val="zh-CN"/>
              </w:rPr>
              <w:t>投标人具有境外落地推广平台的得</w:t>
            </w:r>
            <w:r>
              <w:rPr>
                <w:rFonts w:hint="default" w:ascii="仿宋" w:hAnsi="仿宋" w:eastAsia="仿宋" w:cs="仿宋"/>
                <w:color w:val="auto"/>
                <w:sz w:val="24"/>
              </w:rPr>
              <w:t>5</w:t>
            </w:r>
            <w:r>
              <w:rPr>
                <w:rFonts w:hint="default" w:ascii="仿宋" w:hAnsi="仿宋" w:eastAsia="仿宋" w:cs="仿宋"/>
                <w:color w:val="auto"/>
                <w:sz w:val="24"/>
                <w:lang w:val="zh-CN"/>
              </w:rPr>
              <w:t>分</w:t>
            </w:r>
            <w:r>
              <w:rPr>
                <w:rFonts w:hint="eastAsia" w:ascii="仿宋" w:hAnsi="仿宋" w:eastAsia="仿宋" w:cs="仿宋"/>
                <w:color w:val="auto"/>
                <w:sz w:val="24"/>
              </w:rPr>
              <w:t>（需提供</w:t>
            </w:r>
            <w:r>
              <w:rPr>
                <w:rFonts w:hint="eastAsia" w:ascii="仿宋" w:hAnsi="仿宋" w:eastAsia="仿宋" w:cs="仿宋"/>
                <w:color w:val="auto"/>
                <w:sz w:val="24"/>
                <w:lang w:val="en-US" w:eastAsia="zh-CN"/>
              </w:rPr>
              <w:t>有效的相关证明材料复印件加盖公章</w:t>
            </w:r>
            <w:r>
              <w:rPr>
                <w:rFonts w:hint="eastAsia" w:ascii="仿宋" w:hAnsi="仿宋" w:eastAsia="仿宋" w:cs="仿宋"/>
                <w:color w:val="auto"/>
                <w:sz w:val="24"/>
              </w:rPr>
              <w:t>）</w:t>
            </w:r>
            <w:r>
              <w:rPr>
                <w:rFonts w:hint="eastAsia" w:ascii="仿宋" w:hAnsi="仿宋" w:eastAsia="仿宋" w:cs="仿宋"/>
                <w:color w:val="auto"/>
                <w:sz w:val="24"/>
                <w:lang w:eastAsia="zh-CN"/>
              </w:rPr>
              <w:t>。</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客观分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default" w:ascii="仿宋" w:hAnsi="仿宋" w:eastAsia="仿宋" w:cs="仿宋"/>
                <w:color w:val="auto"/>
                <w:sz w:val="24"/>
              </w:rPr>
              <w:t>对外宣传推广能力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eastAsia" w:ascii="仿宋" w:hAnsi="仿宋" w:eastAsia="仿宋" w:cs="仿宋"/>
                <w:color w:val="auto"/>
                <w:sz w:val="24"/>
                <w:lang w:eastAsia="zh-CN"/>
              </w:rPr>
            </w:pPr>
            <w:r>
              <w:rPr>
                <w:rFonts w:hint="default" w:ascii="仿宋" w:hAnsi="仿宋" w:eastAsia="仿宋" w:cs="仿宋"/>
                <w:color w:val="auto"/>
                <w:sz w:val="24"/>
              </w:rPr>
              <w:t>投标人</w:t>
            </w:r>
            <w:r>
              <w:rPr>
                <w:rFonts w:hint="default" w:ascii="仿宋" w:hAnsi="仿宋" w:eastAsia="仿宋" w:cs="仿宋"/>
                <w:color w:val="auto"/>
                <w:sz w:val="24"/>
                <w:lang w:val="zh-CN"/>
              </w:rPr>
              <w:t>具</w:t>
            </w:r>
            <w:r>
              <w:rPr>
                <w:rFonts w:hint="default" w:ascii="仿宋" w:hAnsi="仿宋" w:eastAsia="仿宋" w:cs="仿宋"/>
                <w:color w:val="auto"/>
                <w:sz w:val="24"/>
              </w:rPr>
              <w:t>有主办</w:t>
            </w:r>
            <w:r>
              <w:rPr>
                <w:rFonts w:hint="default" w:ascii="仿宋" w:hAnsi="仿宋" w:eastAsia="仿宋" w:cs="仿宋"/>
                <w:color w:val="auto"/>
                <w:sz w:val="24"/>
                <w:lang w:val="en-US" w:eastAsia="zh-CN"/>
              </w:rPr>
              <w:t>2</w:t>
            </w:r>
            <w:r>
              <w:rPr>
                <w:rFonts w:hint="default" w:ascii="仿宋" w:hAnsi="仿宋" w:eastAsia="仿宋" w:cs="仿宋"/>
                <w:color w:val="auto"/>
                <w:sz w:val="24"/>
              </w:rPr>
              <w:t>00人以上大型活动经验的得5分，</w:t>
            </w:r>
            <w:r>
              <w:rPr>
                <w:rFonts w:hint="default" w:ascii="仿宋" w:hAnsi="仿宋" w:eastAsia="仿宋" w:cs="仿宋"/>
                <w:color w:val="auto"/>
                <w:sz w:val="24"/>
                <w:lang w:val="en-US" w:eastAsia="zh-CN"/>
              </w:rPr>
              <w:t>1</w:t>
            </w:r>
            <w:r>
              <w:rPr>
                <w:rFonts w:hint="default" w:ascii="仿宋" w:hAnsi="仿宋" w:eastAsia="仿宋" w:cs="仿宋"/>
                <w:color w:val="auto"/>
                <w:sz w:val="24"/>
              </w:rPr>
              <w:t>00人以上大型活动经验的得2分，最高得5分</w:t>
            </w:r>
            <w:r>
              <w:rPr>
                <w:rFonts w:hint="eastAsia" w:ascii="仿宋" w:hAnsi="仿宋" w:eastAsia="仿宋" w:cs="仿宋"/>
                <w:color w:val="auto"/>
                <w:sz w:val="24"/>
              </w:rPr>
              <w:t>（需提供</w:t>
            </w:r>
            <w:r>
              <w:rPr>
                <w:rFonts w:hint="eastAsia" w:ascii="仿宋" w:hAnsi="仿宋" w:eastAsia="仿宋" w:cs="仿宋"/>
                <w:color w:val="auto"/>
                <w:sz w:val="24"/>
                <w:lang w:val="en-US" w:eastAsia="zh-CN"/>
              </w:rPr>
              <w:t>有效的相关证明材料复印件加盖公章</w:t>
            </w:r>
            <w:r>
              <w:rPr>
                <w:rFonts w:hint="eastAsia" w:ascii="仿宋" w:hAnsi="仿宋" w:eastAsia="仿宋" w:cs="仿宋"/>
                <w:color w:val="auto"/>
                <w:sz w:val="24"/>
              </w:rPr>
              <w:t>）</w:t>
            </w:r>
            <w:r>
              <w:rPr>
                <w:rFonts w:hint="eastAsia" w:ascii="仿宋" w:hAnsi="仿宋" w:eastAsia="仿宋" w:cs="仿宋"/>
                <w:color w:val="auto"/>
                <w:sz w:val="24"/>
                <w:lang w:eastAsia="zh-CN"/>
              </w:rPr>
              <w:t>。</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客观分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default" w:ascii="仿宋" w:hAnsi="仿宋" w:eastAsia="仿宋" w:cs="仿宋"/>
                <w:color w:val="auto"/>
                <w:sz w:val="24"/>
              </w:rPr>
              <w:t>对外宣传推广能力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eastAsia" w:ascii="仿宋" w:hAnsi="仿宋" w:eastAsia="仿宋" w:cs="仿宋"/>
                <w:color w:val="auto"/>
                <w:sz w:val="24"/>
                <w:lang w:eastAsia="zh-CN"/>
              </w:rPr>
            </w:pPr>
            <w:r>
              <w:rPr>
                <w:rFonts w:hint="default" w:ascii="仿宋" w:hAnsi="仿宋" w:eastAsia="仿宋" w:cs="仿宋"/>
                <w:color w:val="auto"/>
                <w:sz w:val="24"/>
              </w:rPr>
              <w:t>服务期内，</w:t>
            </w:r>
            <w:r>
              <w:rPr>
                <w:rFonts w:hint="default" w:ascii="仿宋" w:hAnsi="仿宋" w:eastAsia="仿宋" w:cs="仿宋"/>
                <w:color w:val="auto"/>
                <w:sz w:val="24"/>
                <w:lang w:eastAsia="zh-CN"/>
              </w:rPr>
              <w:t>中标人</w:t>
            </w:r>
            <w:r>
              <w:rPr>
                <w:rFonts w:hint="default" w:ascii="仿宋" w:hAnsi="仿宋" w:eastAsia="仿宋" w:cs="仿宋"/>
                <w:color w:val="auto"/>
                <w:sz w:val="24"/>
              </w:rPr>
              <w:t>为采购人提供资讯推广服务，并邀请其他省级或中央媒体平台发布相关资讯。服务期内，提供12期相关资讯推广汇编，结束时提供相关资讯推广成果集1册</w:t>
            </w:r>
            <w:r>
              <w:rPr>
                <w:rFonts w:hint="eastAsia" w:ascii="仿宋" w:hAnsi="仿宋" w:eastAsia="仿宋" w:cs="仿宋"/>
                <w:color w:val="auto"/>
                <w:sz w:val="24"/>
                <w:lang w:eastAsia="zh-CN"/>
              </w:rPr>
              <w:t>：</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default" w:ascii="仿宋" w:hAnsi="仿宋" w:eastAsia="仿宋" w:cs="仿宋"/>
                <w:color w:val="auto"/>
                <w:sz w:val="24"/>
              </w:rPr>
              <w:t>提供对应方案，完全满足要求的得5分；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default" w:ascii="仿宋" w:hAnsi="仿宋" w:eastAsia="仿宋" w:cs="仿宋"/>
                <w:color w:val="auto"/>
                <w:sz w:val="24"/>
              </w:rPr>
              <w:t>方案内容基本满足要求的得3分；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（3）方案内容有明显欠缺的得1分；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default" w:ascii="仿宋" w:hAnsi="仿宋" w:eastAsia="仿宋" w:cs="仿宋"/>
                <w:color w:val="auto"/>
                <w:sz w:val="24"/>
              </w:rPr>
              <w:t>方案与项目内容无关或无方案内容不得分。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default" w:ascii="仿宋" w:hAnsi="仿宋" w:eastAsia="仿宋" w:cs="仿宋"/>
                <w:color w:val="auto"/>
                <w:sz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服务期内，协助策划组织1个在全省范围内的主题推广活动</w:t>
            </w:r>
            <w:r>
              <w:rPr>
                <w:rFonts w:hint="eastAsia" w:ascii="仿宋" w:hAnsi="仿宋" w:eastAsia="仿宋" w:cs="仿宋"/>
                <w:color w:val="auto"/>
                <w:sz w:val="24"/>
                <w:lang w:eastAsia="zh-CN"/>
              </w:rPr>
              <w:t>：</w:t>
            </w:r>
            <w:r>
              <w:rPr>
                <w:rFonts w:hint="default" w:ascii="仿宋" w:hAnsi="仿宋" w:eastAsia="仿宋" w:cs="仿宋"/>
                <w:color w:val="auto"/>
                <w:sz w:val="24"/>
              </w:rPr>
              <w:br w:type="textWrapping"/>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default" w:ascii="仿宋" w:hAnsi="仿宋" w:eastAsia="仿宋" w:cs="仿宋"/>
                <w:color w:val="auto"/>
                <w:sz w:val="24"/>
              </w:rPr>
              <w:t>提供对应方案，完全满足要求的得5分；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default" w:ascii="仿宋" w:hAnsi="仿宋" w:eastAsia="仿宋" w:cs="仿宋"/>
                <w:color w:val="auto"/>
                <w:sz w:val="24"/>
              </w:rPr>
              <w:t>方案内容基本满足要求的得3分；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（3）方案内容有明显欠缺的得1分；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default" w:ascii="仿宋" w:hAnsi="仿宋" w:eastAsia="仿宋" w:cs="仿宋"/>
                <w:color w:val="auto"/>
                <w:sz w:val="24"/>
              </w:rPr>
              <w:t>方案与项目内容无关或无方案内容不得分。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default" w:ascii="仿宋" w:hAnsi="仿宋" w:eastAsia="仿宋" w:cs="仿宋"/>
                <w:color w:val="auto"/>
                <w:sz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投标人在旗下网站或新媒体平台为采购人提供为期1个月的网络运营推广服务</w:t>
            </w:r>
            <w:r>
              <w:rPr>
                <w:rFonts w:hint="default" w:ascii="仿宋" w:hAnsi="仿宋" w:eastAsia="仿宋" w:cs="仿宋"/>
                <w:color w:val="auto"/>
                <w:sz w:val="24"/>
                <w:lang w:val="en-US" w:eastAsia="zh-CN"/>
              </w:rPr>
              <w:t>1次</w:t>
            </w:r>
            <w:r>
              <w:rPr>
                <w:rFonts w:hint="eastAsia" w:ascii="仿宋" w:hAnsi="仿宋" w:eastAsia="仿宋" w:cs="仿宋"/>
                <w:color w:val="auto"/>
                <w:sz w:val="24"/>
                <w:lang w:eastAsia="zh-CN"/>
              </w:rPr>
              <w:t>：</w:t>
            </w:r>
            <w:r>
              <w:rPr>
                <w:rFonts w:hint="default" w:ascii="仿宋" w:hAnsi="仿宋" w:eastAsia="仿宋" w:cs="仿宋"/>
                <w:color w:val="auto"/>
                <w:sz w:val="24"/>
              </w:rPr>
              <w:br w:type="textWrapping"/>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default" w:ascii="仿宋" w:hAnsi="仿宋" w:eastAsia="仿宋" w:cs="仿宋"/>
                <w:color w:val="auto"/>
                <w:sz w:val="24"/>
              </w:rPr>
              <w:t>提供对应方案，完全满足要求的得5分；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default" w:ascii="仿宋" w:hAnsi="仿宋" w:eastAsia="仿宋" w:cs="仿宋"/>
                <w:color w:val="auto"/>
                <w:sz w:val="24"/>
              </w:rPr>
              <w:t>方案内容基本满足要求的得3分；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（3）方案内容有明显欠缺的得1分；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default" w:ascii="仿宋" w:hAnsi="仿宋" w:eastAsia="仿宋" w:cs="仿宋"/>
                <w:color w:val="auto"/>
                <w:sz w:val="24"/>
              </w:rPr>
              <w:t>方案与项目内容无关或无方案内容不得分。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default" w:ascii="仿宋" w:hAnsi="仿宋" w:eastAsia="仿宋" w:cs="仿宋"/>
                <w:color w:val="auto"/>
                <w:sz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投标人需安排摄影摄像人员（自带相关设备）对采购人各类活动、会议等进行拍摄，并留资存档。根据采购人需求，2025年一季度前为采购人制作1部2024年工作纪实片</w:t>
            </w:r>
            <w:r>
              <w:rPr>
                <w:rFonts w:hint="eastAsia" w:ascii="仿宋" w:hAnsi="仿宋" w:eastAsia="仿宋" w:cs="仿宋"/>
                <w:color w:val="auto"/>
                <w:sz w:val="24"/>
                <w:lang w:eastAsia="zh-CN"/>
              </w:rPr>
              <w:t>：</w:t>
            </w:r>
            <w:r>
              <w:rPr>
                <w:rFonts w:hint="default" w:ascii="仿宋" w:hAnsi="仿宋" w:eastAsia="仿宋" w:cs="仿宋"/>
                <w:color w:val="auto"/>
                <w:sz w:val="24"/>
              </w:rPr>
              <w:br w:type="textWrapping"/>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default" w:ascii="仿宋" w:hAnsi="仿宋" w:eastAsia="仿宋" w:cs="仿宋"/>
                <w:color w:val="auto"/>
                <w:sz w:val="24"/>
              </w:rPr>
              <w:t>提供对应方案，完全满足要求的得5分；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default" w:ascii="仿宋" w:hAnsi="仿宋" w:eastAsia="仿宋" w:cs="仿宋"/>
                <w:color w:val="auto"/>
                <w:sz w:val="24"/>
              </w:rPr>
              <w:t>方案内容基本满足要求的得3分；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（3）方案内容有明显欠缺的得1分；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default" w:ascii="仿宋" w:hAnsi="仿宋" w:eastAsia="仿宋" w:cs="仿宋"/>
                <w:color w:val="auto"/>
                <w:sz w:val="24"/>
              </w:rPr>
              <w:t>方案与项目内容无关或无方案内容不得分。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default" w:ascii="仿宋" w:hAnsi="仿宋" w:eastAsia="仿宋" w:cs="仿宋"/>
                <w:color w:val="auto"/>
                <w:sz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投标人提供1次视频直播服务，并在投标人旗下平台进行发布；投标人在自主拥有的</w:t>
            </w:r>
            <w:r>
              <w:rPr>
                <w:rFonts w:hint="default" w:ascii="仿宋" w:hAnsi="仿宋" w:eastAsia="仿宋" w:cs="仿宋"/>
                <w:color w:val="auto"/>
                <w:sz w:val="24"/>
                <w:lang w:eastAsia="zh-CN"/>
              </w:rPr>
              <w:t>网站、</w:t>
            </w:r>
            <w:r>
              <w:rPr>
                <w:rFonts w:hint="default" w:ascii="仿宋" w:hAnsi="仿宋" w:eastAsia="仿宋" w:cs="仿宋"/>
                <w:color w:val="auto"/>
                <w:sz w:val="24"/>
              </w:rPr>
              <w:t>微信、微博等平台上为采购人提供工作资讯推广服务4次（不包括1次视频直播服务）</w:t>
            </w:r>
            <w:r>
              <w:rPr>
                <w:rFonts w:hint="eastAsia" w:ascii="仿宋" w:hAnsi="仿宋" w:eastAsia="仿宋" w:cs="仿宋"/>
                <w:color w:val="auto"/>
                <w:sz w:val="24"/>
                <w:lang w:eastAsia="zh-CN"/>
              </w:rPr>
              <w:t>：</w:t>
            </w:r>
            <w:r>
              <w:rPr>
                <w:rFonts w:hint="default" w:ascii="仿宋" w:hAnsi="仿宋" w:eastAsia="仿宋" w:cs="仿宋"/>
                <w:color w:val="auto"/>
                <w:sz w:val="24"/>
              </w:rPr>
              <w:br w:type="textWrapping"/>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default" w:ascii="仿宋" w:hAnsi="仿宋" w:eastAsia="仿宋" w:cs="仿宋"/>
                <w:color w:val="auto"/>
                <w:sz w:val="24"/>
              </w:rPr>
              <w:t>提供对应方案，完全满足要求的得5分；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default" w:ascii="仿宋" w:hAnsi="仿宋" w:eastAsia="仿宋" w:cs="仿宋"/>
                <w:color w:val="auto"/>
                <w:sz w:val="24"/>
              </w:rPr>
              <w:t>方案内容基本满足要求的得3分；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（3）方案内容有明显欠缺的得1分；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default" w:ascii="仿宋" w:hAnsi="仿宋" w:eastAsia="仿宋" w:cs="仿宋"/>
                <w:color w:val="auto"/>
                <w:sz w:val="24"/>
              </w:rPr>
              <w:t>方案与项目内容无关或无方案内容不得分。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default" w:ascii="仿宋" w:hAnsi="仿宋" w:eastAsia="仿宋" w:cs="仿宋"/>
                <w:color w:val="auto"/>
                <w:sz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投标人为采购人其他工作视频提供</w:t>
            </w:r>
            <w:r>
              <w:rPr>
                <w:rFonts w:hint="default" w:ascii="仿宋" w:hAnsi="仿宋" w:eastAsia="仿宋" w:cs="仿宋"/>
                <w:color w:val="auto"/>
                <w:sz w:val="24"/>
                <w:lang w:val="en-US" w:eastAsia="zh-CN"/>
              </w:rPr>
              <w:t>1-2次</w:t>
            </w:r>
            <w:r>
              <w:rPr>
                <w:rFonts w:hint="default" w:ascii="仿宋" w:hAnsi="仿宋" w:eastAsia="仿宋" w:cs="仿宋"/>
                <w:color w:val="auto"/>
                <w:sz w:val="24"/>
              </w:rPr>
              <w:t>配音服务</w:t>
            </w:r>
            <w:r>
              <w:rPr>
                <w:rFonts w:hint="eastAsia" w:ascii="仿宋" w:hAnsi="仿宋" w:eastAsia="仿宋" w:cs="仿宋"/>
                <w:color w:val="auto"/>
                <w:sz w:val="24"/>
                <w:lang w:eastAsia="zh-CN"/>
              </w:rPr>
              <w:t>：</w:t>
            </w:r>
            <w:r>
              <w:rPr>
                <w:rFonts w:hint="default" w:ascii="仿宋" w:hAnsi="仿宋" w:eastAsia="仿宋" w:cs="仿宋"/>
                <w:color w:val="auto"/>
                <w:sz w:val="24"/>
              </w:rPr>
              <w:br w:type="textWrapping"/>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default" w:ascii="仿宋" w:hAnsi="仿宋" w:eastAsia="仿宋" w:cs="仿宋"/>
                <w:color w:val="auto"/>
                <w:sz w:val="24"/>
              </w:rPr>
              <w:t>提供对应方案，完全满足要求得2分；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default" w:ascii="仿宋" w:hAnsi="仿宋" w:eastAsia="仿宋" w:cs="仿宋"/>
                <w:color w:val="auto"/>
                <w:sz w:val="24"/>
              </w:rPr>
              <w:t>方案内容有欠缺得1分；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（3）方案与项目内容无关或无方案内容不得分。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default" w:ascii="仿宋" w:hAnsi="仿宋" w:eastAsia="仿宋" w:cs="仿宋"/>
                <w:color w:val="auto"/>
                <w:sz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投标人为采购人提供相关培训1次</w:t>
            </w:r>
            <w:r>
              <w:rPr>
                <w:rFonts w:hint="eastAsia" w:ascii="仿宋" w:hAnsi="仿宋" w:eastAsia="仿宋" w:cs="仿宋"/>
                <w:color w:val="auto"/>
                <w:sz w:val="24"/>
                <w:lang w:eastAsia="zh-CN"/>
              </w:rPr>
              <w:t>：</w:t>
            </w:r>
            <w:r>
              <w:rPr>
                <w:rFonts w:hint="default" w:ascii="仿宋" w:hAnsi="仿宋" w:eastAsia="仿宋" w:cs="仿宋"/>
                <w:color w:val="auto"/>
                <w:sz w:val="24"/>
              </w:rPr>
              <w:br w:type="textWrapping"/>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default" w:ascii="仿宋" w:hAnsi="仿宋" w:eastAsia="仿宋" w:cs="仿宋"/>
                <w:color w:val="auto"/>
                <w:sz w:val="24"/>
              </w:rPr>
              <w:t>提供对应方案，完全满足要求得2分；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default" w:ascii="仿宋" w:hAnsi="仿宋" w:eastAsia="仿宋" w:cs="仿宋"/>
                <w:color w:val="auto"/>
                <w:sz w:val="24"/>
              </w:rPr>
              <w:t>方案内容有欠缺得1分；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（3）方案与项目内容无关或无方案内容不得分。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default" w:ascii="仿宋" w:hAnsi="仿宋" w:eastAsia="仿宋" w:cs="仿宋"/>
                <w:color w:val="auto"/>
                <w:sz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eastAsia" w:ascii="仿宋" w:hAnsi="仿宋" w:eastAsia="仿宋" w:cs="仿宋"/>
                <w:color w:val="auto"/>
                <w:sz w:val="24"/>
                <w:lang w:eastAsia="zh-CN"/>
              </w:rPr>
            </w:pPr>
            <w:r>
              <w:rPr>
                <w:rFonts w:hint="default" w:ascii="仿宋" w:hAnsi="仿宋" w:eastAsia="仿宋" w:cs="仿宋"/>
                <w:color w:val="auto"/>
                <w:sz w:val="24"/>
              </w:rPr>
              <w:t>项目团队人员须为投标人在职职工，否则该项不得分：人员数量10人及以上的得5分，8人（含）—10人（不含）的得3分，8人以下的不得分</w:t>
            </w:r>
            <w:r>
              <w:rPr>
                <w:rFonts w:hint="eastAsia" w:ascii="仿宋" w:hAnsi="仿宋" w:eastAsia="仿宋" w:cs="仿宋"/>
                <w:color w:val="auto"/>
                <w:sz w:val="24"/>
                <w:lang w:eastAsia="zh-CN"/>
              </w:rPr>
              <w:t>。</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证明材料：投标人单位的社保缴纳证明或工作履历相关证明材料等复印件加盖公章，未提供不得分。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客观</w:t>
            </w:r>
            <w:r>
              <w:rPr>
                <w:rFonts w:hint="eastAsia" w:ascii="仿宋" w:hAnsi="仿宋" w:eastAsia="仿宋" w:cs="仿宋"/>
                <w:color w:val="auto"/>
                <w:sz w:val="24"/>
              </w:rPr>
              <w:t>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eastAsia" w:ascii="仿宋" w:hAnsi="仿宋" w:eastAsia="仿宋" w:cs="仿宋"/>
                <w:color w:val="auto"/>
                <w:sz w:val="24"/>
              </w:rPr>
              <w:t>项目团队</w:t>
            </w:r>
            <w:r>
              <w:rPr>
                <w:rFonts w:hint="eastAsia" w:ascii="仿宋" w:hAnsi="仿宋" w:eastAsia="仿宋" w:cs="仿宋"/>
                <w:color w:val="auto"/>
                <w:sz w:val="24"/>
                <w:lang w:val="en-US"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eastAsia" w:ascii="仿宋" w:hAnsi="仿宋" w:eastAsia="仿宋" w:cs="仿宋"/>
                <w:color w:val="auto"/>
                <w:sz w:val="24"/>
                <w:lang w:eastAsia="zh-CN"/>
              </w:rPr>
            </w:pPr>
            <w:r>
              <w:rPr>
                <w:rFonts w:hint="default" w:ascii="仿宋" w:hAnsi="仿宋" w:eastAsia="仿宋" w:cs="仿宋"/>
                <w:color w:val="auto"/>
                <w:sz w:val="24"/>
              </w:rPr>
              <w:t>项目团队人员须为投标人在职职工，否则该项不得分：项目团队人员（除负责人外）专业为新闻类、美编设计类相关专业的每人得1分，最高得5分</w:t>
            </w:r>
            <w:r>
              <w:rPr>
                <w:rFonts w:hint="eastAsia" w:ascii="仿宋" w:hAnsi="仿宋" w:eastAsia="仿宋" w:cs="仿宋"/>
                <w:color w:val="auto"/>
                <w:sz w:val="24"/>
                <w:lang w:eastAsia="zh-CN"/>
              </w:rPr>
              <w:t>。</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证明材料：学历证书、投标人单位的社保缴纳证明或工作履历相关证明材料等复印件加盖公章，未提供不得分。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客观</w:t>
            </w:r>
            <w:r>
              <w:rPr>
                <w:rFonts w:hint="eastAsia" w:ascii="仿宋" w:hAnsi="仿宋" w:eastAsia="仿宋" w:cs="仿宋"/>
                <w:color w:val="auto"/>
                <w:sz w:val="24"/>
              </w:rPr>
              <w:t>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val="en-US" w:eastAsia="zh-CN"/>
              </w:rPr>
            </w:pPr>
            <w:r>
              <w:rPr>
                <w:rFonts w:hint="eastAsia" w:ascii="仿宋" w:hAnsi="仿宋" w:eastAsia="仿宋" w:cs="仿宋"/>
                <w:color w:val="auto"/>
                <w:sz w:val="24"/>
              </w:rPr>
              <w:t>项目团队</w:t>
            </w:r>
            <w:r>
              <w:rPr>
                <w:rFonts w:hint="eastAsia" w:ascii="仿宋" w:hAnsi="仿宋" w:eastAsia="仿宋" w:cs="仿宋"/>
                <w:color w:val="auto"/>
                <w:sz w:val="24"/>
                <w:lang w:val="en-US"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项目负责人须为投标人在职员工，否则该项不得分：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（1）项目负责人为新闻类或管理类相关专业的得2分；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（2）项目负责人具有硕士及以上学位的（须是新闻类或管理类相关专业）得2分；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（3）项目负责人具有类似宣传推广项目负责人经验的得</w:t>
            </w:r>
            <w:r>
              <w:rPr>
                <w:rFonts w:hint="default" w:ascii="仿宋" w:hAnsi="仿宋" w:eastAsia="仿宋" w:cs="仿宋"/>
                <w:color w:val="auto"/>
                <w:sz w:val="24"/>
                <w:lang w:val="en-US" w:eastAsia="zh-CN"/>
              </w:rPr>
              <w:t>1</w:t>
            </w:r>
            <w:r>
              <w:rPr>
                <w:rFonts w:hint="default" w:ascii="仿宋" w:hAnsi="仿宋" w:eastAsia="仿宋" w:cs="仿宋"/>
                <w:color w:val="auto"/>
                <w:sz w:val="24"/>
              </w:rPr>
              <w:t>分，不满足不得分。</w:t>
            </w:r>
            <w:r>
              <w:rPr>
                <w:rFonts w:hint="default" w:ascii="仿宋" w:hAnsi="仿宋" w:eastAsia="仿宋" w:cs="仿宋"/>
                <w:color w:val="auto"/>
                <w:sz w:val="24"/>
              </w:rPr>
              <w:br w:type="textWrapping"/>
            </w:r>
            <w:r>
              <w:rPr>
                <w:rFonts w:hint="default" w:ascii="仿宋" w:hAnsi="仿宋" w:eastAsia="仿宋" w:cs="仿宋"/>
                <w:color w:val="auto"/>
                <w:sz w:val="24"/>
              </w:rPr>
              <w:t>证明材料：学位证书、投标人单位的社保缴纳证明或工作履历相关证明材料等复印件加盖公章，未提供不得分。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客观</w:t>
            </w:r>
            <w:r>
              <w:rPr>
                <w:rFonts w:hint="eastAsia" w:ascii="仿宋" w:hAnsi="仿宋" w:eastAsia="仿宋" w:cs="仿宋"/>
                <w:color w:val="auto"/>
                <w:sz w:val="24"/>
              </w:rPr>
              <w:t>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eastAsia" w:ascii="仿宋" w:hAnsi="仿宋" w:eastAsia="仿宋" w:cs="仿宋"/>
                <w:color w:val="auto"/>
                <w:sz w:val="24"/>
              </w:rPr>
              <w:t>项目团队</w:t>
            </w:r>
            <w:r>
              <w:rPr>
                <w:rFonts w:hint="default" w:ascii="仿宋" w:hAnsi="仿宋" w:eastAsia="仿宋" w:cs="仿宋"/>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eastAsia" w:ascii="仿宋" w:hAnsi="仿宋" w:eastAsia="仿宋" w:cs="仿宋"/>
                <w:color w:val="auto"/>
                <w:sz w:val="24"/>
              </w:rPr>
              <w:t>19</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lang w:val="en-US" w:eastAsia="zh-CN"/>
              </w:rPr>
              <w:t>中标人承诺服务期内安排不少于4名人员能专职为本项目服务</w:t>
            </w:r>
            <w:r>
              <w:rPr>
                <w:rFonts w:hint="eastAsia" w:ascii="仿宋" w:hAnsi="仿宋" w:eastAsia="仿宋" w:cs="仿宋"/>
                <w:color w:val="auto"/>
                <w:sz w:val="24"/>
                <w:lang w:val="en-US" w:eastAsia="zh-CN"/>
              </w:rPr>
              <w:t>的得4分，</w:t>
            </w:r>
            <w:r>
              <w:rPr>
                <w:rFonts w:hint="default" w:ascii="仿宋" w:hAnsi="仿宋" w:eastAsia="仿宋" w:cs="仿宋"/>
                <w:color w:val="auto"/>
                <w:sz w:val="24"/>
                <w:lang w:val="en-US" w:eastAsia="zh-CN"/>
              </w:rPr>
              <w:t>不满足不得分</w:t>
            </w:r>
            <w:r>
              <w:rPr>
                <w:rFonts w:hint="eastAsia" w:ascii="仿宋" w:hAnsi="仿宋" w:eastAsia="仿宋" w:cs="仿宋"/>
                <w:color w:val="auto"/>
                <w:sz w:val="24"/>
                <w:lang w:val="en-US" w:eastAsia="zh-CN"/>
              </w:rPr>
              <w:t>。</w:t>
            </w:r>
            <w:r>
              <w:rPr>
                <w:rFonts w:hint="default" w:ascii="仿宋" w:hAnsi="仿宋" w:eastAsia="仿宋" w:cs="仿宋"/>
                <w:color w:val="auto"/>
                <w:sz w:val="24"/>
                <w:lang w:val="en-US" w:eastAsia="zh-CN"/>
              </w:rPr>
              <w:br w:type="textWrapping"/>
            </w:r>
            <w:r>
              <w:rPr>
                <w:rFonts w:hint="default" w:ascii="仿宋" w:hAnsi="仿宋" w:eastAsia="仿宋" w:cs="仿宋"/>
                <w:color w:val="auto"/>
                <w:sz w:val="24"/>
              </w:rPr>
              <w:t>证明材料：投标人单位的社保缴纳证明复印件加盖公章，未提供不得分。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客观</w:t>
            </w:r>
            <w:r>
              <w:rPr>
                <w:rFonts w:hint="eastAsia" w:ascii="仿宋" w:hAnsi="仿宋" w:eastAsia="仿宋" w:cs="仿宋"/>
                <w:color w:val="auto"/>
                <w:sz w:val="24"/>
              </w:rPr>
              <w:t>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val="en-US" w:eastAsia="zh-CN"/>
              </w:rPr>
            </w:pPr>
            <w:r>
              <w:rPr>
                <w:rFonts w:hint="eastAsia" w:ascii="仿宋" w:hAnsi="仿宋" w:eastAsia="仿宋" w:cs="仿宋"/>
                <w:color w:val="auto"/>
                <w:sz w:val="24"/>
              </w:rPr>
              <w:t>项目团队</w:t>
            </w:r>
            <w:r>
              <w:rPr>
                <w:rFonts w:hint="eastAsia" w:ascii="仿宋" w:hAnsi="仿宋" w:eastAsia="仿宋" w:cs="仿宋"/>
                <w:color w:val="auto"/>
                <w:sz w:val="24"/>
                <w:lang w:val="en-US" w:eastAsia="zh-CN"/>
              </w:rPr>
              <w:t>专职人员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eastAsia" w:ascii="仿宋" w:hAnsi="仿宋" w:eastAsia="仿宋" w:cs="仿宋"/>
                <w:color w:val="auto"/>
                <w:sz w:val="24"/>
              </w:rPr>
              <w:t>20</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专职人员</w:t>
            </w:r>
            <w:r>
              <w:rPr>
                <w:rFonts w:hint="default" w:ascii="仿宋" w:hAnsi="仿宋" w:eastAsia="仿宋" w:cs="仿宋"/>
                <w:color w:val="auto"/>
                <w:sz w:val="24"/>
                <w:lang w:val="en-US" w:eastAsia="zh-CN"/>
              </w:rPr>
              <w:t>均满足大学本科或本科以上学历的得2分，不满足不得分。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证明材料：专职</w:t>
            </w:r>
            <w:r>
              <w:rPr>
                <w:rFonts w:hint="default" w:ascii="仿宋" w:hAnsi="仿宋" w:eastAsia="仿宋" w:cs="仿宋"/>
                <w:color w:val="auto"/>
                <w:sz w:val="24"/>
                <w:lang w:val="en-US" w:eastAsia="zh-CN"/>
              </w:rPr>
              <w:t>人员学历证书</w:t>
            </w:r>
            <w:r>
              <w:rPr>
                <w:rFonts w:hint="default" w:ascii="仿宋" w:hAnsi="仿宋" w:eastAsia="仿宋" w:cs="仿宋"/>
                <w:color w:val="auto"/>
                <w:sz w:val="24"/>
              </w:rPr>
              <w:t>复印件加盖公章，未提供不得分。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客观</w:t>
            </w:r>
            <w:r>
              <w:rPr>
                <w:rFonts w:hint="eastAsia" w:ascii="仿宋" w:hAnsi="仿宋" w:eastAsia="仿宋" w:cs="仿宋"/>
                <w:color w:val="auto"/>
                <w:sz w:val="24"/>
              </w:rPr>
              <w:t>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val="en-US" w:eastAsia="zh-CN"/>
              </w:rPr>
            </w:pPr>
            <w:r>
              <w:rPr>
                <w:rFonts w:hint="eastAsia" w:ascii="仿宋" w:hAnsi="仿宋" w:eastAsia="仿宋" w:cs="仿宋"/>
                <w:color w:val="auto"/>
                <w:sz w:val="24"/>
              </w:rPr>
              <w:t>项目团队</w:t>
            </w:r>
            <w:r>
              <w:rPr>
                <w:rFonts w:hint="eastAsia" w:ascii="仿宋" w:hAnsi="仿宋" w:eastAsia="仿宋" w:cs="仿宋"/>
                <w:color w:val="auto"/>
                <w:sz w:val="24"/>
                <w:lang w:val="en-US" w:eastAsia="zh-CN"/>
              </w:rPr>
              <w:t>专职人员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eastAsia" w:ascii="仿宋" w:hAnsi="仿宋" w:eastAsia="仿宋" w:cs="仿宋"/>
                <w:color w:val="auto"/>
                <w:sz w:val="24"/>
              </w:rPr>
              <w:t>21</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专职</w:t>
            </w:r>
            <w:r>
              <w:rPr>
                <w:rFonts w:hint="default" w:ascii="仿宋" w:hAnsi="仿宋" w:eastAsia="仿宋" w:cs="仿宋"/>
                <w:color w:val="auto"/>
                <w:sz w:val="24"/>
                <w:lang w:val="en-US" w:eastAsia="zh-CN"/>
              </w:rPr>
              <w:t>人员具有药品安全信息推广工作经验的每人得1分，最高得4分。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val="en-US" w:eastAsia="zh-CN"/>
              </w:rPr>
              <w:t>证明材料：有效的相关证明材料复印件加盖公章</w:t>
            </w:r>
            <w:r>
              <w:rPr>
                <w:rFonts w:hint="default" w:ascii="仿宋" w:hAnsi="仿宋" w:eastAsia="仿宋" w:cs="仿宋"/>
                <w:color w:val="auto"/>
                <w:sz w:val="24"/>
              </w:rPr>
              <w:t>，未提供不得分。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客观</w:t>
            </w:r>
            <w:r>
              <w:rPr>
                <w:rFonts w:hint="eastAsia" w:ascii="仿宋" w:hAnsi="仿宋" w:eastAsia="仿宋" w:cs="仿宋"/>
                <w:color w:val="auto"/>
                <w:sz w:val="24"/>
              </w:rPr>
              <w:t>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eastAsia" w:ascii="仿宋" w:hAnsi="仿宋" w:eastAsia="仿宋" w:cs="仿宋"/>
                <w:color w:val="auto"/>
                <w:sz w:val="24"/>
                <w:lang w:val="en-US" w:eastAsia="zh-CN"/>
              </w:rPr>
            </w:pPr>
            <w:r>
              <w:rPr>
                <w:rFonts w:hint="eastAsia" w:ascii="仿宋" w:hAnsi="仿宋" w:eastAsia="仿宋" w:cs="仿宋"/>
                <w:color w:val="auto"/>
                <w:sz w:val="24"/>
              </w:rPr>
              <w:t>项目团队</w:t>
            </w:r>
            <w:r>
              <w:rPr>
                <w:rFonts w:hint="eastAsia" w:ascii="仿宋" w:hAnsi="仿宋" w:eastAsia="仿宋" w:cs="仿宋"/>
                <w:color w:val="auto"/>
                <w:sz w:val="24"/>
                <w:lang w:val="en-US" w:eastAsia="zh-CN"/>
              </w:rPr>
              <w:t>专职人员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5"/>
              <w:rPr>
                <w:rFonts w:ascii="仿宋" w:hAnsi="仿宋" w:eastAsia="仿宋" w:cs="仿宋"/>
                <w:bCs/>
                <w:color w:val="auto"/>
                <w:sz w:val="24"/>
              </w:rPr>
            </w:pPr>
            <w:r>
              <w:rPr>
                <w:rFonts w:hint="eastAsia" w:ascii="仿宋" w:hAnsi="仿宋" w:eastAsia="仿宋" w:cs="仿宋"/>
                <w:bCs/>
                <w:color w:val="auto"/>
                <w:sz w:val="24"/>
              </w:rPr>
              <w:t>22</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投标人针对本项目投入的团队组织架构及分工情况等进行评审：</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（1）团队分工明确合理、岗位职责清晰到位的得3分；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（2）团队分工明确较合理、岗位职责较清晰到位的得2分；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（3）团队分工明确不合理且岗位职责不清晰到位的得1分；</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（4）未提供或者完全不符合的得0分。</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default" w:ascii="仿宋" w:hAnsi="仿宋" w:eastAsia="仿宋" w:cs="仿宋"/>
                <w:color w:val="auto"/>
                <w:sz w:val="24"/>
              </w:rPr>
              <w:t>团队组织架构及分工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5"/>
              <w:rPr>
                <w:rFonts w:ascii="仿宋" w:hAnsi="仿宋" w:eastAsia="仿宋" w:cs="仿宋"/>
                <w:bCs/>
                <w:color w:val="auto"/>
                <w:sz w:val="24"/>
              </w:rPr>
            </w:pPr>
            <w:r>
              <w:rPr>
                <w:rFonts w:hint="eastAsia" w:ascii="仿宋" w:hAnsi="仿宋" w:eastAsia="仿宋" w:cs="仿宋"/>
                <w:bCs/>
                <w:color w:val="auto"/>
                <w:sz w:val="24"/>
              </w:rPr>
              <w:t>23</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color w:val="auto"/>
                <w:sz w:val="24"/>
              </w:rPr>
              <w:t>投标人提供针对本项目的保密方案，根据保密方案中的信息保密、数据保密、安全保障及避免社会舆论风险等各项保障措施的合理性进行评审</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0-2分</w:t>
            </w:r>
            <w:r>
              <w:rPr>
                <w:rFonts w:hint="default" w:ascii="仿宋" w:hAnsi="仿宋" w:eastAsia="仿宋" w:cs="仿宋"/>
                <w:color w:val="auto"/>
                <w:sz w:val="24"/>
              </w:rPr>
              <w:t>。</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lang w:val="en-US" w:eastAsia="zh-CN"/>
              </w:rPr>
            </w:pPr>
            <w:r>
              <w:rPr>
                <w:rFonts w:hint="eastAsia" w:ascii="仿宋" w:hAnsi="仿宋" w:eastAsia="仿宋" w:cs="仿宋"/>
                <w:color w:val="auto"/>
                <w:sz w:val="24"/>
              </w:rPr>
              <w:t>主观分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default" w:ascii="仿宋" w:hAnsi="仿宋" w:eastAsia="仿宋" w:cs="仿宋"/>
                <w:color w:val="auto"/>
                <w:sz w:val="24"/>
              </w:rPr>
              <w:t>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5"/>
              <w:rPr>
                <w:rFonts w:hint="default" w:ascii="仿宋" w:hAnsi="仿宋" w:eastAsia="仿宋" w:cs="仿宋"/>
                <w:color w:val="auto"/>
                <w:lang w:val="en-US" w:eastAsia="zh-CN"/>
              </w:rPr>
            </w:pPr>
            <w:r>
              <w:rPr>
                <w:rFonts w:hint="eastAsia" w:ascii="仿宋" w:hAnsi="仿宋" w:eastAsia="仿宋" w:cs="仿宋"/>
                <w:color w:val="auto"/>
                <w:sz w:val="24"/>
                <w:lang w:val="en-US" w:eastAsia="zh-CN"/>
              </w:rPr>
              <w:t>24</w:t>
            </w:r>
          </w:p>
        </w:tc>
        <w:tc>
          <w:tcPr>
            <w:tcW w:w="6061"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rPr>
              <w:t>各投标人的商务报价得分统一采用低价优先法计算，即满足招标文件要求且投标价格最低的投标报价为评标基准价，其价格分为满分。其他投标人的商务报价得分统一按照下列公式计算：</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rPr>
              <w:t>投标报价得分=（评标基准价/投标报价）×价格权值（即10%）×100</w:t>
            </w:r>
          </w:p>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default" w:ascii="仿宋" w:hAnsi="仿宋" w:eastAsia="仿宋" w:cs="仿宋"/>
                <w:b/>
                <w:bCs/>
                <w:color w:val="auto"/>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8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rPr>
              <w:t>10分</w:t>
            </w:r>
          </w:p>
        </w:tc>
        <w:tc>
          <w:tcPr>
            <w:tcW w:w="960" w:type="dxa"/>
            <w:vAlign w:val="center"/>
          </w:tcPr>
          <w:p>
            <w:pPr>
              <w:keepNext w:val="0"/>
              <w:keepLines w:val="0"/>
              <w:pageBreakBefore w:val="0"/>
              <w:widowControl w:val="0"/>
              <w:kinsoku/>
              <w:wordWrap/>
              <w:overflowPunct/>
              <w:topLinePunct w:val="0"/>
              <w:autoSpaceDE/>
              <w:autoSpaceDN/>
              <w:bidi w:val="0"/>
              <w:adjustRightInd w:val="0"/>
              <w:spacing w:line="340" w:lineRule="exact"/>
              <w:textAlignment w:val="auto"/>
              <w:outlineLvl w:val="2"/>
              <w:rPr>
                <w:rFonts w:hint="default" w:ascii="仿宋" w:hAnsi="仿宋" w:eastAsia="仿宋" w:cs="仿宋"/>
                <w:color w:val="auto"/>
                <w:sz w:val="24"/>
              </w:rPr>
            </w:pPr>
            <w:r>
              <w:rPr>
                <w:rFonts w:hint="eastAsia" w:ascii="仿宋" w:hAnsi="仿宋" w:eastAsia="仿宋" w:cs="仿宋"/>
                <w:color w:val="auto"/>
                <w:sz w:val="24"/>
                <w:lang w:val="en-US" w:eastAsia="zh-CN"/>
              </w:rPr>
              <w:t>客观</w:t>
            </w:r>
            <w:r>
              <w:rPr>
                <w:rFonts w:hint="eastAsia" w:ascii="仿宋" w:hAnsi="仿宋" w:eastAsia="仿宋" w:cs="仿宋"/>
                <w:color w:val="auto"/>
                <w:sz w:val="24"/>
              </w:rPr>
              <w:t>分</w:t>
            </w:r>
          </w:p>
        </w:tc>
        <w:tc>
          <w:tcPr>
            <w:tcW w:w="980" w:type="dxa"/>
            <w:vAlign w:val="center"/>
          </w:tcPr>
          <w:p>
            <w:pPr>
              <w:keepNext w:val="0"/>
              <w:keepLines w:val="0"/>
              <w:pageBreakBefore w:val="0"/>
              <w:widowControl w:val="0"/>
              <w:kinsoku/>
              <w:wordWrap/>
              <w:overflowPunct/>
              <w:topLinePunct w:val="0"/>
              <w:autoSpaceDE/>
              <w:autoSpaceDN/>
              <w:bidi w:val="0"/>
              <w:adjustRightInd w:val="0"/>
              <w:spacing w:line="340" w:lineRule="exact"/>
              <w:jc w:val="center"/>
              <w:textAlignment w:val="auto"/>
              <w:outlineLvl w:val="2"/>
              <w:rPr>
                <w:rFonts w:hint="default" w:ascii="仿宋" w:hAnsi="仿宋" w:eastAsia="仿宋" w:cs="仿宋"/>
                <w:color w:val="auto"/>
                <w:sz w:val="24"/>
              </w:rPr>
            </w:pPr>
            <w:r>
              <w:rPr>
                <w:rFonts w:hint="default" w:ascii="仿宋" w:hAnsi="仿宋" w:eastAsia="仿宋" w:cs="仿宋"/>
                <w:color w:val="auto"/>
                <w:sz w:val="24"/>
              </w:rPr>
              <w:t>报价评审</w:t>
            </w:r>
          </w:p>
        </w:tc>
      </w:tr>
    </w:tbl>
    <w:p>
      <w:pPr>
        <w:snapToGrid w:val="0"/>
        <w:spacing w:line="360" w:lineRule="auto"/>
        <w:rPr>
          <w:rFonts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rPr>
          <w:rFonts w:ascii="仿宋" w:hAnsi="仿宋" w:eastAsia="仿宋" w:cs="仿宋"/>
          <w:b/>
          <w:color w:val="auto"/>
          <w:sz w:val="32"/>
        </w:rPr>
      </w:pPr>
      <w:r>
        <w:rPr>
          <w:rFonts w:hint="eastAsia" w:ascii="仿宋" w:hAnsi="仿宋" w:eastAsia="仿宋" w:cs="仿宋"/>
          <w:b/>
          <w:color w:val="auto"/>
          <w:sz w:val="32"/>
        </w:rPr>
        <w:br w:type="page"/>
      </w:r>
    </w:p>
    <w:p>
      <w:pPr>
        <w:snapToGrid w:val="0"/>
        <w:spacing w:line="360" w:lineRule="auto"/>
        <w:rPr>
          <w:rFonts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w:t>
      </w:r>
      <w:r>
        <w:rPr>
          <w:rFonts w:hint="eastAsia" w:ascii="仿宋" w:hAnsi="仿宋" w:eastAsia="仿宋" w:cs="仿宋"/>
          <w:color w:val="auto"/>
          <w:kern w:val="0"/>
          <w:sz w:val="24"/>
          <w:highlight w:val="none"/>
        </w:rPr>
        <w:t>件全部实质性要求，且按照评审因素的量化指标评审得分最高的投标人为排名第一的中标候选人。</w:t>
      </w:r>
      <w:r>
        <w:rPr>
          <w:rFonts w:hint="eastAsia" w:ascii="仿宋" w:hAnsi="仿宋" w:eastAsia="仿宋" w:cs="仿宋"/>
          <w:b/>
          <w:bCs/>
          <w:color w:val="auto"/>
          <w:kern w:val="0"/>
          <w:sz w:val="24"/>
          <w:highlight w:val="none"/>
        </w:rPr>
        <w:t>本项目中标候选人推荐1名。</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ascii="仿宋" w:hAnsi="仿宋" w:eastAsia="仿宋" w:cs="仿宋"/>
          <w:color w:val="auto"/>
          <w:spacing w:val="-6"/>
          <w:kern w:val="0"/>
          <w:sz w:val="24"/>
        </w:rPr>
      </w:pPr>
      <w:r>
        <w:rPr>
          <w:rFonts w:hint="eastAsia" w:ascii="仿宋" w:hAnsi="仿宋" w:eastAsia="仿宋" w:cs="仿宋"/>
          <w:color w:val="auto"/>
          <w:kern w:val="0"/>
          <w:sz w:val="24"/>
        </w:rPr>
        <w:t>4.2.8报价</w:t>
      </w:r>
      <w:r>
        <w:rPr>
          <w:rFonts w:hint="eastAsia" w:ascii="仿宋" w:hAnsi="仿宋" w:eastAsia="仿宋" w:cs="仿宋"/>
          <w:color w:val="auto"/>
          <w:spacing w:val="-6"/>
          <w:kern w:val="0"/>
          <w:sz w:val="24"/>
        </w:rPr>
        <w:t>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pPr>
        <w:pStyle w:val="3"/>
        <w:ind w:left="862" w:leftChars="205"/>
        <w:rPr>
          <w:rFonts w:ascii="仿宋" w:eastAsia="仿宋" w:cs="仿宋"/>
          <w:b w:val="0"/>
          <w:bCs w:val="0"/>
          <w:color w:val="auto"/>
          <w:kern w:val="0"/>
          <w:sz w:val="24"/>
          <w:szCs w:val="24"/>
          <w:lang w:val="en-US"/>
        </w:rPr>
      </w:pPr>
      <w:r>
        <w:rPr>
          <w:rFonts w:hint="eastAsia" w:asci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4.2.14法律、法规、规章（适用本</w:t>
      </w:r>
      <w:r>
        <w:rPr>
          <w:rFonts w:hint="eastAsia" w:ascii="仿宋" w:hAnsi="仿宋" w:eastAsia="仿宋" w:cs="仿宋"/>
          <w:color w:val="auto"/>
          <w:kern w:val="0"/>
          <w:sz w:val="24"/>
          <w:lang w:val="en-US" w:eastAsia="zh-CN"/>
        </w:rPr>
        <w:t>省</w:t>
      </w:r>
      <w:r>
        <w:rPr>
          <w:rFonts w:hint="eastAsia" w:ascii="仿宋" w:hAnsi="仿宋" w:eastAsia="仿宋" w:cs="仿宋"/>
          <w:color w:val="auto"/>
          <w:kern w:val="0"/>
          <w:sz w:val="24"/>
        </w:rPr>
        <w:t>的）及省级以上规范性文件（适用本</w:t>
      </w:r>
      <w:r>
        <w:rPr>
          <w:rFonts w:hint="eastAsia" w:ascii="仿宋" w:hAnsi="仿宋" w:eastAsia="仿宋" w:cs="仿宋"/>
          <w:color w:val="auto"/>
          <w:kern w:val="0"/>
          <w:sz w:val="24"/>
          <w:lang w:val="en-US" w:eastAsia="zh-CN"/>
        </w:rPr>
        <w:t>省</w:t>
      </w:r>
      <w:r>
        <w:rPr>
          <w:rFonts w:hint="eastAsia" w:ascii="仿宋" w:hAnsi="仿宋" w:eastAsia="仿宋" w:cs="仿宋"/>
          <w:color w:val="auto"/>
          <w:kern w:val="0"/>
          <w:sz w:val="24"/>
        </w:rPr>
        <w:t>的）规定的其他无效情形。</w:t>
      </w:r>
    </w:p>
    <w:p>
      <w:pPr>
        <w:pStyle w:val="26"/>
        <w:snapToGrid w:val="0"/>
        <w:spacing w:line="360" w:lineRule="auto"/>
        <w:ind w:firstLine="472" w:firstLineChars="196"/>
        <w:rPr>
          <w:rFonts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6"/>
        <w:snapToGrid w:val="0"/>
        <w:spacing w:line="360" w:lineRule="auto"/>
        <w:rPr>
          <w:rFonts w:ascii="仿宋" w:hAnsi="仿宋" w:eastAsia="仿宋" w:cs="仿宋"/>
          <w:color w:val="auto"/>
        </w:rPr>
      </w:pPr>
      <w:r>
        <w:rPr>
          <w:rFonts w:hint="eastAsia" w:ascii="仿宋" w:hAnsi="仿宋" w:eastAsia="仿宋" w:cs="仿宋"/>
          <w:color w:val="auto"/>
        </w:rPr>
        <w:t>5.1符合专业条件的投标人或者对招标文件作实质响应的投标人不足3家的；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5.2出现影响采购公正的违法、违规行为的；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5.4因重大变故，采购任务取消的。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废标后，采购机构应当将废标理由通知所有投标人。</w:t>
      </w:r>
    </w:p>
    <w:p>
      <w:pPr>
        <w:pStyle w:val="26"/>
        <w:snapToGrid w:val="0"/>
        <w:spacing w:line="360" w:lineRule="auto"/>
        <w:ind w:firstLine="590" w:firstLineChars="245"/>
        <w:rPr>
          <w:rFonts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2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7.4政府采购合同已经履行，给采购人、投标人造成损失的，由责任人承担赔偿责任。</w:t>
      </w:r>
    </w:p>
    <w:p>
      <w:pPr>
        <w:pStyle w:val="26"/>
        <w:snapToGrid w:val="0"/>
        <w:spacing w:line="360" w:lineRule="auto"/>
        <w:ind w:firstLine="600" w:firstLineChars="250"/>
        <w:rPr>
          <w:rFonts w:ascii="仿宋" w:hAnsi="仿宋" w:eastAsia="仿宋" w:cs="仿宋"/>
          <w:b/>
          <w:color w:val="auto"/>
          <w:sz w:val="36"/>
          <w:szCs w:val="36"/>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bookmarkEnd w:id="20"/>
      <w:bookmarkStart w:id="388" w:name="第五部分"/>
      <w:bookmarkStart w:id="389" w:name="_Toc86217003"/>
      <w:r>
        <w:rPr>
          <w:rFonts w:hint="eastAsia" w:ascii="仿宋" w:hAnsi="仿宋" w:eastAsia="仿宋" w:cs="仿宋"/>
          <w:b/>
          <w:color w:val="auto"/>
          <w:sz w:val="36"/>
          <w:szCs w:val="36"/>
        </w:rPr>
        <w:br w:type="page"/>
      </w:r>
    </w:p>
    <w:p>
      <w:pPr>
        <w:spacing w:line="360" w:lineRule="auto"/>
        <w:jc w:val="center"/>
        <w:outlineLvl w:val="0"/>
        <w:rPr>
          <w:rFonts w:ascii="仿宋" w:hAnsi="仿宋" w:eastAsia="仿宋" w:cs="仿宋"/>
          <w:snapToGrid w:val="0"/>
          <w:color w:val="auto"/>
          <w:kern w:val="0"/>
          <w:sz w:val="24"/>
        </w:rPr>
      </w:pPr>
      <w:r>
        <w:rPr>
          <w:rFonts w:hint="eastAsia" w:ascii="仿宋" w:hAnsi="仿宋" w:eastAsia="仿宋" w:cs="仿宋"/>
          <w:b/>
          <w:color w:val="auto"/>
          <w:sz w:val="36"/>
          <w:szCs w:val="36"/>
        </w:rPr>
        <w:t>第五部分 拟签订的合同文本</w:t>
      </w:r>
    </w:p>
    <w:p>
      <w:pPr>
        <w:pStyle w:val="54"/>
        <w:spacing w:before="120" w:beforeLines="50" w:line="240" w:lineRule="auto"/>
        <w:ind w:firstLine="0"/>
        <w:jc w:val="center"/>
        <w:outlineLvl w:val="2"/>
        <w:rPr>
          <w:rFonts w:ascii="仿宋" w:hAnsi="仿宋" w:eastAsia="仿宋" w:cs="仿宋"/>
          <w:b/>
          <w:bCs/>
          <w:color w:val="auto"/>
          <w:szCs w:val="28"/>
        </w:rPr>
      </w:pPr>
      <w:r>
        <w:rPr>
          <w:rFonts w:hint="eastAsia" w:ascii="仿宋" w:hAnsi="仿宋" w:eastAsia="仿宋" w:cs="仿宋"/>
          <w:b/>
          <w:bCs/>
          <w:color w:val="auto"/>
          <w:sz w:val="44"/>
          <w:szCs w:val="44"/>
        </w:rPr>
        <w:t xml:space="preserve">    </w:t>
      </w:r>
      <w:r>
        <w:rPr>
          <w:rFonts w:hint="eastAsia" w:ascii="仿宋" w:hAnsi="仿宋" w:eastAsia="仿宋" w:cs="仿宋"/>
          <w:b/>
          <w:bCs/>
          <w:color w:val="auto"/>
          <w:sz w:val="44"/>
          <w:szCs w:val="44"/>
          <w:lang w:eastAsia="zh-CN"/>
        </w:rPr>
        <w:t>药品安全信息推广服务项目</w:t>
      </w:r>
      <w:r>
        <w:rPr>
          <w:rFonts w:hint="eastAsia" w:ascii="仿宋" w:hAnsi="仿宋" w:eastAsia="仿宋" w:cs="仿宋"/>
          <w:b/>
          <w:bCs/>
          <w:color w:val="auto"/>
          <w:sz w:val="44"/>
          <w:szCs w:val="44"/>
          <w:lang w:val="en-US" w:eastAsia="zh-CN"/>
        </w:rPr>
        <w:t>采购</w:t>
      </w:r>
      <w:r>
        <w:rPr>
          <w:rFonts w:hint="eastAsia" w:ascii="仿宋" w:hAnsi="仿宋" w:eastAsia="仿宋" w:cs="仿宋"/>
          <w:b/>
          <w:bCs/>
          <w:color w:val="auto"/>
          <w:sz w:val="44"/>
          <w:szCs w:val="44"/>
        </w:rPr>
        <w:t>合同</w:t>
      </w:r>
    </w:p>
    <w:p>
      <w:pPr>
        <w:rPr>
          <w:rFonts w:ascii="仿宋" w:hAnsi="仿宋" w:eastAsia="仿宋" w:cs="仿宋"/>
          <w:b/>
          <w:color w:val="auto"/>
          <w:sz w:val="24"/>
        </w:rPr>
      </w:pP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项目名称：                 项目编号：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甲  方：浙江省药品监督管理局</w:t>
      </w:r>
      <w:r>
        <w:rPr>
          <w:rFonts w:hint="default" w:ascii="仿宋" w:hAnsi="仿宋" w:eastAsia="仿宋" w:cs="仿宋"/>
          <w:color w:val="auto"/>
          <w:sz w:val="24"/>
        </w:rPr>
        <w:tab/>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乙  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鉴证方：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甲、乙双方根据</w:t>
      </w:r>
      <w:r>
        <w:rPr>
          <w:rFonts w:hint="eastAsia" w:ascii="仿宋" w:hAnsi="仿宋" w:eastAsia="仿宋" w:cs="仿宋"/>
          <w:color w:val="auto"/>
          <w:sz w:val="24"/>
          <w:lang w:val="en-US" w:eastAsia="zh-CN"/>
        </w:rPr>
        <w:t>浙江省成套招标代理有限公司</w:t>
      </w:r>
      <w:r>
        <w:rPr>
          <w:rFonts w:hint="default" w:ascii="仿宋" w:hAnsi="仿宋" w:eastAsia="仿宋" w:cs="仿宋"/>
          <w:color w:val="auto"/>
          <w:sz w:val="24"/>
        </w:rPr>
        <w:t>关于浙江省药品监督管理局</w:t>
      </w:r>
      <w:r>
        <w:rPr>
          <w:rFonts w:hint="eastAsia" w:ascii="仿宋" w:hAnsi="仿宋" w:eastAsia="仿宋" w:cs="仿宋"/>
          <w:color w:val="auto"/>
          <w:sz w:val="24"/>
          <w:lang w:val="en-US" w:eastAsia="zh-CN"/>
        </w:rPr>
        <w:t>的</w:t>
      </w:r>
      <w:r>
        <w:rPr>
          <w:rFonts w:hint="default" w:ascii="仿宋" w:hAnsi="仿宋" w:eastAsia="仿宋" w:cs="仿宋"/>
          <w:color w:val="auto"/>
          <w:sz w:val="24"/>
          <w:u w:val="single"/>
        </w:rPr>
        <w:t>药品安全信息推广服务采购项目</w:t>
      </w:r>
      <w:r>
        <w:rPr>
          <w:rFonts w:hint="default" w:ascii="仿宋" w:hAnsi="仿宋" w:eastAsia="仿宋" w:cs="仿宋"/>
          <w:color w:val="auto"/>
          <w:sz w:val="24"/>
        </w:rPr>
        <w:t>（编号</w:t>
      </w:r>
      <w:r>
        <w:rPr>
          <w:rFonts w:hint="eastAsia" w:ascii="仿宋" w:hAnsi="仿宋" w:eastAsia="仿宋" w:cs="仿宋"/>
          <w:color w:val="auto"/>
          <w:sz w:val="24"/>
          <w:lang w:val="en-US" w:eastAsia="zh-CN"/>
        </w:rPr>
        <w:t>:</w:t>
      </w:r>
      <w:r>
        <w:rPr>
          <w:rFonts w:hint="default" w:ascii="仿宋" w:hAnsi="仿宋" w:eastAsia="仿宋" w:cs="仿宋"/>
          <w:color w:val="auto"/>
          <w:sz w:val="24"/>
        </w:rPr>
        <w:t xml:space="preserve">    ）公开招标的结果，签署本合同。</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rPr>
      </w:pPr>
      <w:r>
        <w:rPr>
          <w:rFonts w:hint="default" w:ascii="仿宋" w:hAnsi="仿宋" w:eastAsia="仿宋" w:cs="仿宋"/>
          <w:b/>
          <w:bCs/>
          <w:color w:val="auto"/>
          <w:sz w:val="24"/>
        </w:rPr>
        <w:t>一、服务平台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（自拟）</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rPr>
      </w:pPr>
      <w:r>
        <w:rPr>
          <w:rFonts w:hint="default" w:ascii="仿宋" w:hAnsi="仿宋" w:eastAsia="仿宋" w:cs="仿宋"/>
          <w:b/>
          <w:bCs/>
          <w:color w:val="auto"/>
          <w:sz w:val="24"/>
        </w:rPr>
        <w:t>二、服务内容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lang w:val="en-US" w:eastAsia="zh-CN"/>
        </w:rPr>
        <w:t>1</w:t>
      </w:r>
      <w:r>
        <w:rPr>
          <w:rFonts w:hint="default" w:ascii="仿宋" w:hAnsi="仿宋" w:eastAsia="仿宋" w:cs="仿宋"/>
          <w:color w:val="auto"/>
          <w:sz w:val="24"/>
        </w:rPr>
        <w:t>、服务期内，乙方为甲方提供资讯推广服务，并邀请其他省级或中央媒体平台</w:t>
      </w:r>
      <w:r>
        <w:rPr>
          <w:rFonts w:hint="default" w:ascii="仿宋" w:hAnsi="仿宋" w:eastAsia="仿宋" w:cs="仿宋"/>
          <w:color w:val="auto"/>
          <w:sz w:val="24"/>
          <w:lang w:eastAsia="zh-Hans"/>
        </w:rPr>
        <w:t>推广</w:t>
      </w:r>
      <w:r>
        <w:rPr>
          <w:rFonts w:hint="default" w:ascii="仿宋" w:hAnsi="仿宋" w:eastAsia="仿宋" w:cs="仿宋"/>
          <w:color w:val="auto"/>
          <w:sz w:val="24"/>
        </w:rPr>
        <w:t>相关资讯。服务期内，提供12期相关资讯推广汇编，结束时提供相关资讯推广成果集1册。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lang w:val="en-US" w:eastAsia="zh-CN"/>
        </w:rPr>
        <w:t>2</w:t>
      </w:r>
      <w:r>
        <w:rPr>
          <w:rFonts w:hint="default" w:ascii="仿宋" w:hAnsi="仿宋" w:eastAsia="仿宋" w:cs="仿宋"/>
          <w:color w:val="auto"/>
          <w:sz w:val="24"/>
        </w:rPr>
        <w:t>、服务期内，乙方协助甲方策划组织1个在全省范围内的主题推广活动。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lang w:val="en-US" w:eastAsia="zh-CN"/>
        </w:rPr>
        <w:t>3</w:t>
      </w:r>
      <w:r>
        <w:rPr>
          <w:rFonts w:hint="default" w:ascii="仿宋" w:hAnsi="仿宋" w:eastAsia="仿宋" w:cs="仿宋"/>
          <w:color w:val="auto"/>
          <w:sz w:val="24"/>
        </w:rPr>
        <w:t>、甲方举办较为重大的活动、重要会议期间，除</w:t>
      </w:r>
      <w:r>
        <w:rPr>
          <w:rFonts w:hint="eastAsia" w:ascii="仿宋" w:hAnsi="仿宋" w:eastAsia="仿宋" w:cs="仿宋"/>
          <w:color w:val="auto"/>
          <w:sz w:val="24"/>
          <w:lang w:eastAsia="zh-CN"/>
        </w:rPr>
        <w:t>团队</w:t>
      </w:r>
      <w:r>
        <w:rPr>
          <w:rFonts w:hint="default" w:ascii="仿宋" w:hAnsi="仿宋" w:eastAsia="仿宋" w:cs="仿宋"/>
          <w:color w:val="auto"/>
          <w:sz w:val="24"/>
        </w:rPr>
        <w:t>人员外，乙方应根据实际工作需要增加人员力量，并通过文字、图片、视频、网络等形式对活动进行多元化推广。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lang w:val="en-US" w:eastAsia="zh-CN"/>
        </w:rPr>
        <w:t>4</w:t>
      </w:r>
      <w:r>
        <w:rPr>
          <w:rFonts w:hint="default" w:ascii="仿宋" w:hAnsi="仿宋" w:eastAsia="仿宋" w:cs="仿宋"/>
          <w:color w:val="auto"/>
          <w:sz w:val="24"/>
        </w:rPr>
        <w:t>、根据甲方需求，乙方在旗下网站或新媒体平台为甲方提供为期1个月的网络运营推广服务1次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lang w:val="en-US" w:eastAsia="zh-CN"/>
        </w:rPr>
        <w:t>5</w:t>
      </w:r>
      <w:r>
        <w:rPr>
          <w:rFonts w:hint="default" w:ascii="仿宋" w:hAnsi="仿宋" w:eastAsia="仿宋" w:cs="仿宋"/>
          <w:color w:val="auto"/>
          <w:sz w:val="24"/>
        </w:rPr>
        <w:t>、乙方需安排摄影摄像人员（自带相关设备）对甲方各类活动、会议等进行拍摄，并留资存档。根据甲方需求，2025年一季度前为甲方制作1部2024年工作纪实片。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lang w:val="en-US" w:eastAsia="zh-CN"/>
        </w:rPr>
        <w:t>6</w:t>
      </w:r>
      <w:r>
        <w:rPr>
          <w:rFonts w:hint="default" w:ascii="仿宋" w:hAnsi="仿宋" w:eastAsia="仿宋" w:cs="仿宋"/>
          <w:color w:val="auto"/>
          <w:sz w:val="24"/>
        </w:rPr>
        <w:t>、根据甲方需求，乙方提供1次视频直播服务，并在乙方旗下平台进行发布；乙方在自主拥有的</w:t>
      </w:r>
      <w:r>
        <w:rPr>
          <w:rFonts w:hint="default" w:ascii="仿宋" w:hAnsi="仿宋" w:eastAsia="仿宋" w:cs="仿宋"/>
          <w:color w:val="auto"/>
          <w:sz w:val="24"/>
          <w:lang w:eastAsia="zh-CN"/>
        </w:rPr>
        <w:t>网站、</w:t>
      </w:r>
      <w:r>
        <w:rPr>
          <w:rFonts w:hint="default" w:ascii="仿宋" w:hAnsi="仿宋" w:eastAsia="仿宋" w:cs="仿宋"/>
          <w:color w:val="auto"/>
          <w:sz w:val="24"/>
        </w:rPr>
        <w:t>微信、微博等平台上为甲方提供工作资讯推广服务</w:t>
      </w:r>
      <w:r>
        <w:rPr>
          <w:rFonts w:hint="default" w:ascii="仿宋" w:hAnsi="仿宋" w:eastAsia="仿宋" w:cs="仿宋"/>
          <w:color w:val="auto"/>
          <w:sz w:val="24"/>
          <w:lang w:val="en-US" w:eastAsia="zh-CN"/>
        </w:rPr>
        <w:t>4</w:t>
      </w:r>
      <w:r>
        <w:rPr>
          <w:rFonts w:hint="default" w:ascii="仿宋" w:hAnsi="仿宋" w:eastAsia="仿宋" w:cs="仿宋"/>
          <w:color w:val="auto"/>
          <w:sz w:val="24"/>
        </w:rPr>
        <w:t>次（不包括1次视频直播服务）。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lang w:val="en-US" w:eastAsia="zh-CN"/>
        </w:rPr>
        <w:t>7</w:t>
      </w:r>
      <w:r>
        <w:rPr>
          <w:rFonts w:hint="default" w:ascii="仿宋" w:hAnsi="仿宋" w:eastAsia="仿宋" w:cs="仿宋"/>
          <w:color w:val="auto"/>
          <w:sz w:val="24"/>
        </w:rPr>
        <w:t>、根据甲方需求，乙方为甲方其他工作视频提供</w:t>
      </w:r>
      <w:r>
        <w:rPr>
          <w:rFonts w:hint="default" w:ascii="仿宋" w:hAnsi="仿宋" w:eastAsia="仿宋" w:cs="仿宋"/>
          <w:color w:val="auto"/>
          <w:sz w:val="24"/>
          <w:lang w:val="en-US" w:eastAsia="zh-CN"/>
        </w:rPr>
        <w:t>1-2次</w:t>
      </w:r>
      <w:r>
        <w:rPr>
          <w:rFonts w:hint="default" w:ascii="仿宋" w:hAnsi="仿宋" w:eastAsia="仿宋" w:cs="仿宋"/>
          <w:color w:val="auto"/>
          <w:sz w:val="24"/>
        </w:rPr>
        <w:t>配音服务。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lang w:val="en-US" w:eastAsia="zh-CN"/>
        </w:rPr>
        <w:t>8</w:t>
      </w:r>
      <w:r>
        <w:rPr>
          <w:rFonts w:hint="default" w:ascii="仿宋" w:hAnsi="仿宋" w:eastAsia="仿宋" w:cs="仿宋"/>
          <w:color w:val="auto"/>
          <w:sz w:val="24"/>
        </w:rPr>
        <w:t>、根据甲方需求，乙方为甲方提供相关培训1次。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lang w:val="en-US" w:eastAsia="zh-CN"/>
        </w:rPr>
        <w:t>9</w:t>
      </w:r>
      <w:r>
        <w:rPr>
          <w:rFonts w:hint="default" w:ascii="仿宋" w:hAnsi="仿宋" w:eastAsia="仿宋" w:cs="仿宋"/>
          <w:color w:val="auto"/>
          <w:sz w:val="24"/>
        </w:rPr>
        <w:t>、根据甲方要求进行境外落地推广，在世界舞台上唱响“浙江药监”声音。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10、乙方为该项目成立的团队人数须不少于8人（均须为乙方在职员工），在其他重要活动期间，应根据实际工作需要增加人员力量。团队人员中须有新闻类、美编设计类相关专业人员。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服务期内安排不少于4名人员能专职为本项目服务。未经</w:t>
      </w:r>
      <w:r>
        <w:rPr>
          <w:rFonts w:hint="eastAsia" w:ascii="仿宋" w:hAnsi="仿宋" w:eastAsia="仿宋" w:cs="仿宋"/>
          <w:color w:val="auto"/>
          <w:sz w:val="24"/>
          <w:lang w:val="en-US" w:eastAsia="zh-CN"/>
        </w:rPr>
        <w:t>甲方</w:t>
      </w:r>
      <w:r>
        <w:rPr>
          <w:rFonts w:hint="default" w:ascii="仿宋" w:hAnsi="仿宋" w:eastAsia="仿宋" w:cs="仿宋"/>
          <w:color w:val="auto"/>
          <w:sz w:val="24"/>
          <w:lang w:val="en-US" w:eastAsia="zh-CN"/>
        </w:rPr>
        <w:t>同意不得随意更换4名专职人员。</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仿宋" w:hAnsi="仿宋" w:eastAsia="仿宋" w:cs="仿宋"/>
          <w:b/>
          <w:bCs/>
          <w:color w:val="auto"/>
          <w:sz w:val="24"/>
          <w:lang w:eastAsia="zh-CN"/>
        </w:rPr>
      </w:pPr>
      <w:r>
        <w:rPr>
          <w:rFonts w:hint="default" w:ascii="仿宋" w:hAnsi="仿宋" w:eastAsia="仿宋" w:cs="仿宋"/>
          <w:b/>
          <w:bCs/>
          <w:color w:val="auto"/>
          <w:sz w:val="24"/>
        </w:rPr>
        <w:t>三、</w:t>
      </w:r>
      <w:r>
        <w:rPr>
          <w:rFonts w:hint="default" w:ascii="仿宋" w:hAnsi="仿宋" w:eastAsia="仿宋" w:cs="仿宋"/>
          <w:b/>
          <w:bCs/>
          <w:color w:val="auto"/>
          <w:sz w:val="24"/>
          <w:lang w:eastAsia="zh-CN"/>
        </w:rPr>
        <w:t>甲乙双方权利与义务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甲方权利与义务：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1</w:t>
      </w:r>
      <w:r>
        <w:rPr>
          <w:rFonts w:hint="default" w:ascii="仿宋" w:hAnsi="仿宋" w:eastAsia="仿宋" w:cs="仿宋"/>
          <w:color w:val="auto"/>
          <w:sz w:val="24"/>
          <w:lang w:eastAsia="zh-CN"/>
        </w:rPr>
        <w:t>、</w:t>
      </w:r>
      <w:r>
        <w:rPr>
          <w:rFonts w:hint="default" w:ascii="仿宋" w:hAnsi="仿宋" w:eastAsia="仿宋" w:cs="仿宋"/>
          <w:color w:val="auto"/>
          <w:sz w:val="24"/>
        </w:rPr>
        <w:t>甲方需按合同约定支付乙方服务费；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2</w:t>
      </w:r>
      <w:r>
        <w:rPr>
          <w:rFonts w:hint="default" w:ascii="仿宋" w:hAnsi="仿宋" w:eastAsia="仿宋" w:cs="仿宋"/>
          <w:color w:val="auto"/>
          <w:sz w:val="24"/>
          <w:lang w:eastAsia="zh-CN"/>
        </w:rPr>
        <w:t>、</w:t>
      </w:r>
      <w:r>
        <w:rPr>
          <w:rFonts w:hint="default" w:ascii="仿宋" w:hAnsi="仿宋" w:eastAsia="仿宋" w:cs="仿宋"/>
          <w:color w:val="auto"/>
          <w:sz w:val="24"/>
        </w:rPr>
        <w:t>甲方有义务为乙方提供相关资料，并确保真实有效。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乙方权利与义务：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1</w:t>
      </w:r>
      <w:r>
        <w:rPr>
          <w:rFonts w:hint="default" w:ascii="仿宋" w:hAnsi="仿宋" w:eastAsia="仿宋" w:cs="仿宋"/>
          <w:color w:val="auto"/>
          <w:sz w:val="24"/>
          <w:lang w:eastAsia="zh-CN"/>
        </w:rPr>
        <w:t>、</w:t>
      </w:r>
      <w:r>
        <w:rPr>
          <w:rFonts w:hint="default" w:ascii="仿宋" w:hAnsi="仿宋" w:eastAsia="仿宋" w:cs="仿宋"/>
          <w:color w:val="auto"/>
          <w:sz w:val="24"/>
        </w:rPr>
        <w:t>乙方所使用甲方提供的资料不得用于与提供服务无关的事务上；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lang w:val="en-US" w:eastAsia="zh-CN"/>
        </w:rPr>
        <w:t>2</w:t>
      </w:r>
      <w:r>
        <w:rPr>
          <w:rFonts w:hint="default" w:ascii="仿宋" w:hAnsi="仿宋" w:eastAsia="仿宋" w:cs="仿宋"/>
          <w:color w:val="auto"/>
          <w:sz w:val="24"/>
          <w:lang w:eastAsia="zh-CN"/>
        </w:rPr>
        <w:t>、</w:t>
      </w:r>
      <w:r>
        <w:rPr>
          <w:rFonts w:hint="default" w:ascii="仿宋" w:hAnsi="仿宋" w:eastAsia="仿宋" w:cs="仿宋"/>
          <w:color w:val="auto"/>
          <w:sz w:val="24"/>
        </w:rPr>
        <w:t>乙方有义务向甲方提供相关推广成效的数据。</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rPr>
      </w:pPr>
      <w:r>
        <w:rPr>
          <w:rFonts w:hint="default" w:ascii="仿宋" w:hAnsi="仿宋" w:eastAsia="仿宋" w:cs="仿宋"/>
          <w:b/>
          <w:bCs/>
          <w:color w:val="auto"/>
          <w:sz w:val="24"/>
          <w:lang w:eastAsia="zh-CN"/>
        </w:rPr>
        <w:t>四、</w:t>
      </w:r>
      <w:r>
        <w:rPr>
          <w:rFonts w:hint="default" w:ascii="仿宋" w:hAnsi="仿宋" w:eastAsia="仿宋" w:cs="仿宋"/>
          <w:b/>
          <w:bCs/>
          <w:color w:val="auto"/>
          <w:sz w:val="24"/>
        </w:rPr>
        <w:t>费用</w:t>
      </w:r>
      <w:r>
        <w:rPr>
          <w:rFonts w:hint="default" w:ascii="仿宋" w:hAnsi="仿宋" w:eastAsia="仿宋" w:cs="仿宋"/>
          <w:b/>
          <w:bCs/>
          <w:color w:val="auto"/>
          <w:sz w:val="24"/>
          <w:lang w:eastAsia="zh-CN"/>
        </w:rPr>
        <w:t>及</w:t>
      </w:r>
      <w:r>
        <w:rPr>
          <w:rFonts w:hint="default" w:ascii="仿宋" w:hAnsi="仿宋" w:eastAsia="仿宋" w:cs="仿宋"/>
          <w:b/>
          <w:bCs/>
          <w:color w:val="auto"/>
          <w:sz w:val="24"/>
        </w:rPr>
        <w:t>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1、服务期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合同签订之日起至2025年5月2</w:t>
      </w:r>
      <w:r>
        <w:rPr>
          <w:rFonts w:hint="default" w:ascii="仿宋" w:hAnsi="仿宋" w:eastAsia="仿宋" w:cs="仿宋"/>
          <w:color w:val="auto"/>
          <w:sz w:val="24"/>
          <w:lang w:val="en-US" w:eastAsia="zh-CN"/>
        </w:rPr>
        <w:t>5</w:t>
      </w:r>
      <w:r>
        <w:rPr>
          <w:rFonts w:hint="default" w:ascii="仿宋" w:hAnsi="仿宋" w:eastAsia="仿宋" w:cs="仿宋"/>
          <w:color w:val="auto"/>
          <w:sz w:val="24"/>
        </w:rPr>
        <w:t>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2、费用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服务费总额为（大写）：      万元（人民币：     元整）。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本合同项下所有服务的全部税费均已包含于合同价中，甲方不再另行支付。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3、支付方式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合同签订生效且具备实施条件后，甲方收到相应金额发票后7个工作日内支付给乙方项目2024年度计划支付资金额的40%；2024年9月30日前，乙方完成2次新媒体平台上资讯推广服务且甲方收到发票后7个工作日内支付项目2024年度计划支付资金额的30%；2024年12月15日前，乙方提供为期1个月的网络运营推广服务且甲方收到发票后7个工作日内支付项目2024年度计划支付资金额的30%；全部项目经验收合格并收到发票后7个工作日内甲方支付剩余部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项目2024年度计划支付资金额为79.5万元，项目2025年度计划支付资金额为合同支付剩余金额</w:t>
      </w:r>
      <w:r>
        <w:rPr>
          <w:rFonts w:hint="default" w:ascii="仿宋" w:hAnsi="仿宋" w:eastAsia="仿宋" w:cs="仿宋"/>
          <w:color w:val="auto"/>
          <w:sz w:val="24"/>
          <w:lang w:val="en-US" w:eastAsia="zh-CN"/>
        </w:rPr>
        <w:t>；若合同总金额低于79.5万元，则2024年度计划支付资金额为合同总金额的75%。</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4、甲方应将费用支付到以下账户：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名称：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开户行: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账号：</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rPr>
      </w:pPr>
      <w:r>
        <w:rPr>
          <w:rFonts w:hint="default" w:ascii="仿宋" w:hAnsi="仿宋" w:eastAsia="仿宋" w:cs="仿宋"/>
          <w:b/>
          <w:bCs/>
          <w:color w:val="auto"/>
          <w:sz w:val="24"/>
          <w:lang w:eastAsia="zh-CN"/>
        </w:rPr>
        <w:t>五</w:t>
      </w:r>
      <w:r>
        <w:rPr>
          <w:rFonts w:hint="default" w:ascii="仿宋" w:hAnsi="仿宋" w:eastAsia="仿宋" w:cs="仿宋"/>
          <w:b/>
          <w:bCs/>
          <w:color w:val="auto"/>
          <w:sz w:val="24"/>
        </w:rPr>
        <w:t>、违约责任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lang w:eastAsia="zh-CN"/>
        </w:rPr>
      </w:pPr>
      <w:r>
        <w:rPr>
          <w:rFonts w:hint="default" w:ascii="仿宋" w:hAnsi="仿宋" w:eastAsia="仿宋" w:cs="仿宋"/>
          <w:color w:val="auto"/>
          <w:sz w:val="24"/>
        </w:rPr>
        <w:t>1、本合同对双方具有同等约束力，任何一方无法履行其根据本合同所应承担的义务，视为该方违约，违约方应赔偿守约方因此造成的一切损失。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2、任何一方在本合同履行过程中，因自身故意或过失造成本合同不能履行或给对方造成任何损失的，守约方有权解除合同，并要求违约方赔偿全部损失，且支付守约方合同总价款20%的违约金。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3、如乙方工作目标未完成，或过程中某工作成果不能满足甲方要求，或者乙方违反本合同其他约定，甲方有权要求乙方限期改正，乙方拒绝改正或逾期仍未改正的，甲方有权解除合同，乙方应向甲方支付合同总价款20%的违约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4、乙方应保证不得将本合同的义务全部或部分转让给他人，否则甲方有权单方解除合同，乙方应向甲方支付合同总价款20%的违约金。</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仿宋" w:hAnsi="仿宋" w:eastAsia="仿宋" w:cs="仿宋"/>
          <w:b/>
          <w:bCs/>
          <w:color w:val="auto"/>
          <w:sz w:val="24"/>
        </w:rPr>
      </w:pPr>
      <w:r>
        <w:rPr>
          <w:rFonts w:hint="default" w:ascii="仿宋" w:hAnsi="仿宋" w:eastAsia="仿宋" w:cs="仿宋"/>
          <w:b/>
          <w:bCs/>
          <w:color w:val="auto"/>
          <w:sz w:val="24"/>
          <w:lang w:eastAsia="zh-CN"/>
        </w:rPr>
        <w:t>六、</w:t>
      </w:r>
      <w:r>
        <w:rPr>
          <w:rFonts w:hint="default" w:ascii="仿宋" w:hAnsi="仿宋" w:eastAsia="仿宋" w:cs="仿宋"/>
          <w:b/>
          <w:bCs/>
          <w:color w:val="auto"/>
          <w:sz w:val="24"/>
        </w:rPr>
        <w:t>保密条款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1</w:t>
      </w:r>
      <w:r>
        <w:rPr>
          <w:rFonts w:hint="default" w:ascii="仿宋" w:hAnsi="仿宋" w:eastAsia="仿宋" w:cs="仿宋"/>
          <w:color w:val="auto"/>
          <w:sz w:val="24"/>
          <w:lang w:eastAsia="zh-CN"/>
        </w:rPr>
        <w:t>、</w:t>
      </w:r>
      <w:r>
        <w:rPr>
          <w:rFonts w:hint="default" w:ascii="仿宋" w:hAnsi="仿宋" w:eastAsia="仿宋" w:cs="仿宋"/>
          <w:color w:val="auto"/>
          <w:sz w:val="24"/>
        </w:rPr>
        <w:t>合作双方应当严格保守在履行本合同过程中获知的对方工作秘密，任何一方未经对方同意，不得向第三方披露（第2点约定的情形除外）。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2</w:t>
      </w:r>
      <w:r>
        <w:rPr>
          <w:rFonts w:hint="default" w:ascii="仿宋" w:hAnsi="仿宋" w:eastAsia="仿宋" w:cs="仿宋"/>
          <w:color w:val="auto"/>
          <w:sz w:val="24"/>
          <w:lang w:eastAsia="zh-CN"/>
        </w:rPr>
        <w:t>、</w:t>
      </w:r>
      <w:r>
        <w:rPr>
          <w:rFonts w:hint="default" w:ascii="仿宋" w:hAnsi="仿宋" w:eastAsia="仿宋" w:cs="仿宋"/>
          <w:color w:val="auto"/>
          <w:sz w:val="24"/>
        </w:rPr>
        <w:t>任何一方在下述情形下可披露保密信息：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2.1如该等披露是由于法律、行政法规有此要求；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2.2如该等披露是由于有关司法机关、政府机构监管有此要求；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2.3如在其获得或收到保密信息之前，相关保密信息已为公众所知。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3</w:t>
      </w:r>
      <w:r>
        <w:rPr>
          <w:rFonts w:hint="default" w:ascii="仿宋" w:hAnsi="仿宋" w:eastAsia="仿宋" w:cs="仿宋"/>
          <w:color w:val="auto"/>
          <w:sz w:val="24"/>
          <w:lang w:eastAsia="zh-CN"/>
        </w:rPr>
        <w:t>、</w:t>
      </w:r>
      <w:r>
        <w:rPr>
          <w:rFonts w:hint="default" w:ascii="仿宋" w:hAnsi="仿宋" w:eastAsia="仿宋" w:cs="仿宋"/>
          <w:color w:val="auto"/>
          <w:sz w:val="24"/>
        </w:rPr>
        <w:t>本协议解除或终止后，第</w:t>
      </w:r>
      <w:r>
        <w:rPr>
          <w:rFonts w:hint="default" w:ascii="仿宋" w:hAnsi="仿宋" w:eastAsia="仿宋" w:cs="仿宋"/>
          <w:color w:val="auto"/>
          <w:sz w:val="24"/>
          <w:lang w:eastAsia="zh-CN"/>
        </w:rPr>
        <w:t>六</w:t>
      </w:r>
      <w:r>
        <w:rPr>
          <w:rFonts w:hint="default" w:ascii="仿宋" w:hAnsi="仿宋" w:eastAsia="仿宋" w:cs="仿宋"/>
          <w:color w:val="auto"/>
          <w:sz w:val="24"/>
        </w:rPr>
        <w:t>条仍然有效，保密期限按照国家保密有关法律法规执行。</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rPr>
      </w:pPr>
      <w:r>
        <w:rPr>
          <w:rFonts w:hint="default" w:ascii="仿宋" w:hAnsi="仿宋" w:eastAsia="仿宋" w:cs="仿宋"/>
          <w:b/>
          <w:bCs/>
          <w:color w:val="auto"/>
          <w:sz w:val="24"/>
          <w:lang w:eastAsia="zh-CN"/>
        </w:rPr>
        <w:t>七</w:t>
      </w:r>
      <w:r>
        <w:rPr>
          <w:rFonts w:hint="default" w:ascii="仿宋" w:hAnsi="仿宋" w:eastAsia="仿宋" w:cs="仿宋"/>
          <w:b/>
          <w:bCs/>
          <w:color w:val="auto"/>
          <w:sz w:val="24"/>
        </w:rPr>
        <w:t>、不可抗力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lang w:eastAsia="zh-CN"/>
        </w:rPr>
      </w:pPr>
      <w:r>
        <w:rPr>
          <w:rFonts w:hint="default" w:ascii="仿宋" w:hAnsi="仿宋" w:eastAsia="仿宋" w:cs="仿宋"/>
          <w:color w:val="auto"/>
          <w:sz w:val="24"/>
        </w:rPr>
        <w:t>1、本合同所称不可抗力是指地震、台风、洪灾等自然灾害或战争、社会动乱等不能预见、不能避免且不能克服的客观情况</w:t>
      </w:r>
      <w:r>
        <w:rPr>
          <w:rFonts w:hint="default" w:ascii="仿宋" w:hAnsi="仿宋" w:eastAsia="仿宋" w:cs="仿宋"/>
          <w:color w:val="auto"/>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2、因不可抗力而不能履行或不能完全履行本合同时，受到不可抗力影响的一方可以根据不可抗力影响的程度减轻或免除违约责任，但该方应当在不可抗力事件发生后3日内以书面通知对方并提交关于不可抗力的证明文件及资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3、在不可抗力存续期间，受影响一方如能继续部分履行本合同，则应当继续履行该部分，如全部不能履行，则在不可抗力消失后，经合同对方同意后可以继续履行或终止履行该等受不可抗力影响的事项。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rPr>
      </w:pPr>
      <w:r>
        <w:rPr>
          <w:rFonts w:hint="default" w:ascii="仿宋" w:hAnsi="仿宋" w:eastAsia="仿宋" w:cs="仿宋"/>
          <w:b/>
          <w:bCs/>
          <w:color w:val="auto"/>
          <w:sz w:val="24"/>
          <w:lang w:eastAsia="zh-CN"/>
        </w:rPr>
        <w:t>八</w:t>
      </w:r>
      <w:r>
        <w:rPr>
          <w:rFonts w:hint="default" w:ascii="仿宋" w:hAnsi="仿宋" w:eastAsia="仿宋" w:cs="仿宋"/>
          <w:b/>
          <w:bCs/>
          <w:color w:val="auto"/>
          <w:sz w:val="24"/>
        </w:rPr>
        <w:t>、争议解决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1、未尽事宜，由双方另行商定或签署补充协议。补充协议是本合同的重要组成部分，与本合同具有同等法律效力。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2、协商不成，任何一方有权提请杭州仲裁委员会予以仲裁。该裁决是终局性的，对双方均有约束力。</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rPr>
      </w:pPr>
      <w:r>
        <w:rPr>
          <w:rFonts w:hint="default" w:ascii="仿宋" w:hAnsi="仿宋" w:eastAsia="仿宋" w:cs="仿宋"/>
          <w:b/>
          <w:bCs/>
          <w:color w:val="auto"/>
          <w:sz w:val="24"/>
          <w:lang w:eastAsia="zh-CN"/>
        </w:rPr>
        <w:t>九</w:t>
      </w:r>
      <w:r>
        <w:rPr>
          <w:rFonts w:hint="default" w:ascii="仿宋" w:hAnsi="仿宋" w:eastAsia="仿宋" w:cs="仿宋"/>
          <w:b/>
          <w:bCs/>
          <w:color w:val="auto"/>
          <w:sz w:val="24"/>
        </w:rPr>
        <w:t>、验收时间及标准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验收时间：乙方完成本项目所有服务内容并递交《项目验收申请表》后10个工作日内甲方组织验收。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rPr>
      </w:pPr>
      <w:r>
        <w:rPr>
          <w:rFonts w:hint="default" w:ascii="仿宋" w:hAnsi="仿宋" w:eastAsia="仿宋" w:cs="仿宋"/>
          <w:color w:val="auto"/>
          <w:sz w:val="24"/>
        </w:rPr>
        <w:t>验收标准：乙方于服务期结束后7个工作日内向甲方提供完成合同</w:t>
      </w:r>
      <w:r>
        <w:rPr>
          <w:rFonts w:hint="default" w:ascii="仿宋" w:hAnsi="仿宋" w:eastAsia="仿宋" w:cs="仿宋"/>
          <w:color w:val="auto"/>
          <w:sz w:val="24"/>
          <w:lang w:eastAsia="zh-CN"/>
        </w:rPr>
        <w:t>服务</w:t>
      </w:r>
      <w:r>
        <w:rPr>
          <w:rFonts w:hint="default" w:ascii="仿宋" w:hAnsi="仿宋" w:eastAsia="仿宋" w:cs="仿宋"/>
          <w:color w:val="auto"/>
          <w:sz w:val="24"/>
        </w:rPr>
        <w:t>内容的佐证材料，包括</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但不限于</w:t>
      </w:r>
      <w:r>
        <w:rPr>
          <w:rFonts w:hint="eastAsia" w:ascii="仿宋" w:hAnsi="仿宋" w:eastAsia="仿宋" w:cs="仿宋"/>
          <w:color w:val="auto"/>
          <w:sz w:val="24"/>
          <w:lang w:eastAsia="zh-CN"/>
        </w:rPr>
        <w:t>）</w:t>
      </w:r>
      <w:r>
        <w:rPr>
          <w:rFonts w:hint="default" w:ascii="仿宋" w:hAnsi="仿宋" w:eastAsia="仿宋" w:cs="仿宋"/>
          <w:color w:val="auto"/>
          <w:sz w:val="24"/>
        </w:rPr>
        <w:t>12期相关资讯推广汇编、相关资讯推广成果集1册、1个在全省范围内的主题推广活动策划方案、为期1个月的网络运营推广服务、1部2024年工作纪实片、1次视频直播、4次新媒体平台上工作资讯推广、1次培训等相关佐证材料。</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rPr>
      </w:pPr>
      <w:r>
        <w:rPr>
          <w:rFonts w:hint="default" w:ascii="仿宋" w:hAnsi="仿宋" w:eastAsia="仿宋" w:cs="仿宋"/>
          <w:b/>
          <w:bCs/>
          <w:color w:val="auto"/>
          <w:sz w:val="24"/>
          <w:lang w:eastAsia="zh-CN"/>
        </w:rPr>
        <w:t>十</w:t>
      </w:r>
      <w:r>
        <w:rPr>
          <w:rFonts w:hint="default" w:ascii="仿宋" w:hAnsi="仿宋" w:eastAsia="仿宋" w:cs="仿宋"/>
          <w:b/>
          <w:bCs/>
          <w:color w:val="auto"/>
          <w:sz w:val="24"/>
        </w:rPr>
        <w:t>、其他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本合同自双方负责人或授权代表签字并加盖公章后生效，本合同一式捌份，甲方肆份，乙方叁份，鉴证方壹份，具有同等法律效力。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 xml:space="preserve">甲方：浙江省药品监督管理局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 xml:space="preserve">授权代表（盖章）：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签约日期:     年  月　日</w:t>
      </w:r>
      <w:r>
        <w:rPr>
          <w:rFonts w:hint="default" w:ascii="仿宋" w:hAnsi="仿宋" w:eastAsia="仿宋" w:cs="仿宋"/>
          <w:color w:val="auto"/>
          <w:sz w:val="24"/>
        </w:rPr>
        <w:tab/>
      </w:r>
      <w:r>
        <w:rPr>
          <w:rFonts w:hint="default" w:ascii="仿宋" w:hAnsi="仿宋" w:eastAsia="仿宋" w:cs="仿宋"/>
          <w:color w:val="auto"/>
          <w:sz w:val="24"/>
        </w:rPr>
        <w:tab/>
      </w:r>
      <w:r>
        <w:rPr>
          <w:rFonts w:hint="default"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乙方：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授权代表（盖章）：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签约日期:     年  月　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鉴证方：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授权代表（盖章）：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default" w:ascii="仿宋" w:hAnsi="仿宋" w:eastAsia="仿宋" w:cs="仿宋"/>
          <w:color w:val="auto"/>
          <w:sz w:val="24"/>
        </w:rPr>
        <w:t>签约日期:     年  月　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鉴证日期：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eastAsia="黑体"/>
          <w:b/>
          <w:bCs/>
          <w:color w:val="auto"/>
          <w:sz w:val="32"/>
          <w:szCs w:val="32"/>
        </w:rPr>
      </w:pPr>
      <w:r>
        <w:rPr>
          <w:rFonts w:hint="eastAsia" w:ascii="仿宋" w:hAnsi="仿宋" w:eastAsia="仿宋" w:cs="仿宋"/>
          <w:b/>
          <w:bCs/>
          <w:color w:val="auto"/>
          <w:sz w:val="24"/>
        </w:rPr>
        <w:t>注：投标人应对招标文件《合同主要条款》中的条款全部响应，如有偏离需在商务响应表中注明。</w:t>
      </w:r>
    </w:p>
    <w:p>
      <w:pPr>
        <w:rPr>
          <w:rFonts w:hint="eastAsia" w:ascii="仿宋" w:hAnsi="仿宋" w:eastAsia="仿宋" w:cs="仿宋"/>
          <w:b/>
          <w:color w:val="auto"/>
          <w:sz w:val="36"/>
        </w:rPr>
      </w:pPr>
      <w:r>
        <w:rPr>
          <w:rFonts w:hint="eastAsia" w:ascii="仿宋" w:hAnsi="仿宋" w:eastAsia="仿宋" w:cs="仿宋"/>
          <w:b/>
          <w:color w:val="auto"/>
          <w:sz w:val="36"/>
        </w:rPr>
        <w:br w:type="page"/>
      </w:r>
    </w:p>
    <w:p>
      <w:pPr>
        <w:pStyle w:val="54"/>
        <w:spacing w:before="120" w:beforeLines="50" w:line="600" w:lineRule="exact"/>
        <w:ind w:firstLine="0"/>
        <w:jc w:val="center"/>
        <w:outlineLvl w:val="2"/>
        <w:rPr>
          <w:rFonts w:ascii="仿宋" w:hAnsi="仿宋" w:eastAsia="仿宋" w:cs="仿宋"/>
          <w:b/>
          <w:color w:val="auto"/>
          <w:sz w:val="36"/>
        </w:rPr>
      </w:pPr>
      <w:r>
        <w:rPr>
          <w:rFonts w:hint="eastAsia" w:ascii="仿宋" w:hAnsi="仿宋" w:eastAsia="仿宋" w:cs="仿宋"/>
          <w:b/>
          <w:color w:val="auto"/>
          <w:sz w:val="36"/>
        </w:rPr>
        <w:t>第六部分</w:t>
      </w:r>
      <w:bookmarkEnd w:id="388"/>
      <w:r>
        <w:rPr>
          <w:rFonts w:hint="eastAsia" w:ascii="仿宋" w:hAnsi="仿宋" w:eastAsia="仿宋" w:cs="仿宋"/>
          <w:b/>
          <w:color w:val="auto"/>
          <w:sz w:val="36"/>
        </w:rPr>
        <w:t xml:space="preserve"> </w:t>
      </w:r>
      <w:bookmarkEnd w:id="389"/>
      <w:r>
        <w:rPr>
          <w:rFonts w:hint="eastAsia" w:ascii="仿宋" w:hAnsi="仿宋" w:eastAsia="仿宋" w:cs="仿宋"/>
          <w:b/>
          <w:color w:val="auto"/>
          <w:sz w:val="36"/>
        </w:rPr>
        <w:t>应提交的有关格式范例</w:t>
      </w:r>
    </w:p>
    <w:p>
      <w:pPr>
        <w:spacing w:line="360" w:lineRule="auto"/>
        <w:jc w:val="center"/>
        <w:outlineLvl w:val="0"/>
        <w:rPr>
          <w:rFonts w:ascii="仿宋" w:hAnsi="仿宋" w:eastAsia="仿宋" w:cs="仿宋"/>
          <w:b/>
          <w:color w:val="auto"/>
          <w:kern w:val="0"/>
          <w:sz w:val="36"/>
          <w:szCs w:val="36"/>
        </w:r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（2）联合体协议……………………………………………………………（页码）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（3）本项目的特定资格要求………………………………………………（页码）</w:t>
      </w:r>
    </w:p>
    <w:p>
      <w:pPr>
        <w:snapToGrid w:val="0"/>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（项目名称）【招标编号：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（采购编号）】政府采购活动，郑重承诺：</w:t>
      </w:r>
    </w:p>
    <w:p>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1、单位负责人为同一人或者存在直接控股、管理关系的不同投标人参加同一合同项下的政府采购活动的；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rPr>
          <w:rFonts w:ascii="仿宋" w:hAnsi="仿宋" w:eastAsia="仿宋" w:cs="仿宋"/>
          <w:color w:val="auto"/>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A.专门面向中小企业，服务全部由符合政策要求的中小企业（或小微企业）承接的，提供相应的中小企业声明函（附件7）。 </w:t>
      </w:r>
    </w:p>
    <w:p>
      <w:pPr>
        <w:spacing w:line="360" w:lineRule="auto"/>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spacing w:line="360" w:lineRule="auto"/>
        <w:jc w:val="center"/>
        <w:rPr>
          <w:rFonts w:ascii="仿宋" w:hAnsi="仿宋" w:eastAsia="仿宋" w:cs="仿宋"/>
          <w:color w:val="auto"/>
          <w:kern w:val="0"/>
          <w:sz w:val="24"/>
          <w:lang w:val="zh-CN"/>
        </w:rPr>
      </w:pPr>
      <w:r>
        <w:rPr>
          <w:rFonts w:hint="eastAsia" w:ascii="仿宋" w:hAnsi="仿宋" w:eastAsia="仿宋" w:cs="仿宋"/>
          <w:b/>
          <w:color w:val="auto"/>
          <w:sz w:val="24"/>
        </w:rPr>
        <w:t xml:space="preserve">  </w:t>
      </w:r>
    </w:p>
    <w:p>
      <w:pPr>
        <w:widowControl/>
        <w:spacing w:line="360" w:lineRule="auto"/>
        <w:ind w:left="150"/>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rPr>
          <w:rFonts w:ascii="仿宋" w:hAnsi="仿宋" w:eastAsia="仿宋" w:cs="仿宋"/>
          <w:color w:val="auto"/>
        </w:rPr>
      </w:pPr>
    </w:p>
    <w:p>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pacing w:line="360" w:lineRule="auto"/>
        <w:jc w:val="center"/>
        <w:outlineLvl w:val="0"/>
        <w:rPr>
          <w:rFonts w:ascii="仿宋" w:hAnsi="仿宋" w:eastAsia="仿宋" w:cs="仿宋"/>
          <w:b/>
          <w:color w:val="auto"/>
          <w:kern w:val="0"/>
          <w:sz w:val="36"/>
          <w:szCs w:val="36"/>
        </w:rPr>
      </w:pPr>
    </w:p>
    <w:p>
      <w:pPr>
        <w:snapToGrid w:val="0"/>
        <w:spacing w:line="360" w:lineRule="auto"/>
        <w:ind w:right="480"/>
        <w:jc w:val="center"/>
        <w:rPr>
          <w:rFonts w:ascii="仿宋" w:hAnsi="仿宋" w:eastAsia="仿宋" w:cs="仿宋"/>
          <w:b/>
          <w:color w:val="auto"/>
          <w:kern w:val="0"/>
          <w:sz w:val="32"/>
          <w:szCs w:val="32"/>
        </w:rPr>
      </w:pPr>
    </w:p>
    <w:p>
      <w:pPr>
        <w:spacing w:line="360" w:lineRule="auto"/>
        <w:jc w:val="center"/>
        <w:outlineLvl w:val="0"/>
        <w:rPr>
          <w:rFonts w:ascii="仿宋" w:hAnsi="仿宋" w:eastAsia="仿宋" w:cs="仿宋"/>
          <w:b/>
          <w:color w:val="auto"/>
          <w:kern w:val="0"/>
          <w:sz w:val="36"/>
          <w:szCs w:val="36"/>
        </w:rPr>
      </w:pPr>
    </w:p>
    <w:p>
      <w:pPr>
        <w:snapToGrid w:val="0"/>
        <w:spacing w:line="360" w:lineRule="auto"/>
        <w:ind w:right="480"/>
        <w:jc w:val="center"/>
        <w:rPr>
          <w:rFonts w:ascii="仿宋" w:hAnsi="仿宋" w:eastAsia="仿宋" w:cs="仿宋"/>
          <w:b/>
          <w:color w:val="auto"/>
          <w:kern w:val="0"/>
          <w:sz w:val="32"/>
          <w:szCs w:val="32"/>
        </w:rPr>
      </w:pPr>
    </w:p>
    <w:p>
      <w:pPr>
        <w:spacing w:line="360" w:lineRule="auto"/>
        <w:jc w:val="center"/>
        <w:outlineLvl w:val="0"/>
        <w:rPr>
          <w:rFonts w:ascii="仿宋" w:hAnsi="仿宋" w:eastAsia="仿宋" w:cs="仿宋"/>
          <w:b/>
          <w:color w:val="auto"/>
          <w:kern w:val="0"/>
          <w:sz w:val="36"/>
          <w:szCs w:val="36"/>
        </w:rPr>
      </w:pPr>
    </w:p>
    <w:p>
      <w:pPr>
        <w:rPr>
          <w:rFonts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60" w:lineRule="auto"/>
        <w:ind w:right="420" w:firstLine="3614" w:firstLineChars="1000"/>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ascii="仿宋" w:hAnsi="仿宋" w:eastAsia="仿宋" w:cs="仿宋"/>
          <w:b/>
          <w:color w:val="auto"/>
          <w:kern w:val="0"/>
          <w:sz w:val="24"/>
        </w:rPr>
      </w:pPr>
    </w:p>
    <w:p>
      <w:pPr>
        <w:spacing w:line="360"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（1）投标函</w:t>
      </w:r>
      <w:r>
        <w:rPr>
          <w:rFonts w:hint="eastAsia" w:ascii="仿宋" w:hAnsi="仿宋" w:eastAsia="仿宋" w:cs="仿宋"/>
          <w:color w:val="auto"/>
        </w:rPr>
        <w:t>…………………</w:t>
      </w:r>
      <w:r>
        <w:rPr>
          <w:rFonts w:hint="eastAsia" w:ascii="仿宋" w:hAnsi="仿宋" w:eastAsia="仿宋" w:cs="仿宋"/>
          <w:color w:val="auto"/>
          <w:sz w:val="24"/>
        </w:rPr>
        <w:t>……………………………………………………………（页码）</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（2）授权委托书或法定代表人（单位负责人、自然人本人）身份证明 ……（页码）</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（3）分包意向协议（仅分包须提供）………………………………………………（页码）</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（4）符合性审查资料…………………………………………………………………（页码）</w:t>
      </w:r>
    </w:p>
    <w:p>
      <w:pPr>
        <w:snapToGrid w:val="0"/>
        <w:spacing w:line="360" w:lineRule="auto"/>
        <w:ind w:left="479" w:leftChars="228"/>
        <w:rPr>
          <w:rFonts w:ascii="仿宋" w:hAnsi="仿宋" w:eastAsia="仿宋" w:cs="仿宋"/>
          <w:color w:val="auto"/>
          <w:sz w:val="24"/>
        </w:rPr>
      </w:pPr>
      <w:r>
        <w:rPr>
          <w:rFonts w:hint="eastAsia" w:ascii="仿宋" w:hAnsi="仿宋" w:eastAsia="仿宋" w:cs="仿宋"/>
          <w:color w:val="auto"/>
          <w:sz w:val="24"/>
        </w:rPr>
        <w:t>（5）评标标准相应的商务技术资料 ………………………………………………（页码）（6）投标标的清单 …………………………………………………………………（页码）</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（7）商务技术偏离表…………………………………………………………………（页码）</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（8）政府采购投标人廉洁自律承诺书………………………………………………（页码）</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9</w:t>
      </w:r>
      <w:r>
        <w:rPr>
          <w:rFonts w:hint="eastAsia" w:ascii="仿宋" w:hAnsi="仿宋" w:eastAsia="仿宋" w:cs="仿宋"/>
          <w:color w:val="auto"/>
          <w:sz w:val="24"/>
        </w:rPr>
        <w:t>）</w:t>
      </w:r>
      <w:r>
        <w:rPr>
          <w:rFonts w:hint="eastAsia" w:ascii="仿宋" w:hAnsi="仿宋" w:eastAsia="仿宋" w:cs="仿宋"/>
          <w:color w:val="auto"/>
          <w:sz w:val="24"/>
          <w:lang w:val="zh-CN"/>
        </w:rPr>
        <w:t>投标</w:t>
      </w:r>
      <w:r>
        <w:rPr>
          <w:rFonts w:hint="eastAsia" w:ascii="仿宋" w:hAnsi="仿宋" w:eastAsia="仿宋" w:cs="仿宋"/>
          <w:color w:val="auto"/>
          <w:sz w:val="24"/>
        </w:rPr>
        <w:t>人</w:t>
      </w:r>
      <w:r>
        <w:rPr>
          <w:rFonts w:hint="eastAsia" w:ascii="仿宋" w:hAnsi="仿宋" w:eastAsia="仿宋" w:cs="仿宋"/>
          <w:color w:val="auto"/>
          <w:sz w:val="24"/>
          <w:lang w:val="zh-CN"/>
        </w:rPr>
        <w:t>认为需要的其他技术文件资料或说明……………………………</w:t>
      </w:r>
      <w:r>
        <w:rPr>
          <w:rFonts w:hint="eastAsia" w:ascii="仿宋" w:hAnsi="仿宋" w:eastAsia="仿宋" w:cs="仿宋"/>
          <w:color w:val="auto"/>
          <w:lang w:val="zh-CN"/>
        </w:rPr>
        <w:t>（页码）</w:t>
      </w: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jc w:val="center"/>
        <w:outlineLvl w:val="0"/>
        <w:rPr>
          <w:rFonts w:ascii="仿宋" w:hAnsi="仿宋" w:eastAsia="仿宋" w:cs="仿宋"/>
          <w:b/>
          <w:color w:val="auto"/>
          <w:kern w:val="0"/>
          <w:sz w:val="32"/>
          <w:szCs w:val="32"/>
        </w:rPr>
      </w:pPr>
    </w:p>
    <w:p>
      <w:pPr>
        <w:snapToGrid w:val="0"/>
        <w:spacing w:line="360" w:lineRule="auto"/>
        <w:jc w:val="center"/>
        <w:outlineLvl w:val="0"/>
        <w:rPr>
          <w:rFonts w:ascii="仿宋" w:hAnsi="仿宋" w:eastAsia="仿宋" w:cs="仿宋"/>
          <w:b/>
          <w:color w:val="auto"/>
          <w:kern w:val="0"/>
          <w:sz w:val="32"/>
          <w:szCs w:val="32"/>
        </w:rPr>
      </w:pPr>
    </w:p>
    <w:p>
      <w:pPr>
        <w:rPr>
          <w:rFonts w:ascii="仿宋" w:hAnsi="仿宋" w:eastAsia="仿宋" w:cs="仿宋"/>
          <w:color w:val="auto"/>
        </w:rPr>
      </w:pPr>
    </w:p>
    <w:p>
      <w:pPr>
        <w:snapToGrid w:val="0"/>
        <w:spacing w:line="360" w:lineRule="auto"/>
        <w:jc w:val="center"/>
        <w:outlineLvl w:val="0"/>
        <w:rPr>
          <w:rFonts w:ascii="仿宋" w:hAnsi="仿宋" w:eastAsia="仿宋" w:cs="仿宋"/>
          <w:b/>
          <w:color w:val="auto"/>
          <w:kern w:val="0"/>
          <w:sz w:val="32"/>
          <w:szCs w:val="32"/>
        </w:rPr>
      </w:pPr>
    </w:p>
    <w:p>
      <w:pPr>
        <w:snapToGrid w:val="0"/>
        <w:spacing w:line="360" w:lineRule="auto"/>
        <w:jc w:val="center"/>
        <w:outlineLvl w:val="0"/>
        <w:rPr>
          <w:rFonts w:ascii="仿宋" w:hAnsi="仿宋" w:eastAsia="仿宋" w:cs="仿宋"/>
          <w:b/>
          <w:color w:val="auto"/>
          <w:kern w:val="0"/>
          <w:sz w:val="32"/>
          <w:szCs w:val="32"/>
        </w:rPr>
      </w:pPr>
    </w:p>
    <w:p>
      <w:pPr>
        <w:snapToGrid w:val="0"/>
        <w:spacing w:line="360" w:lineRule="auto"/>
        <w:jc w:val="center"/>
        <w:outlineLvl w:val="0"/>
        <w:rPr>
          <w:rFonts w:ascii="仿宋" w:hAnsi="仿宋" w:eastAsia="仿宋" w:cs="仿宋"/>
          <w:b/>
          <w:color w:val="auto"/>
          <w:kern w:val="0"/>
          <w:sz w:val="32"/>
          <w:szCs w:val="32"/>
        </w:rPr>
      </w:pPr>
    </w:p>
    <w:p>
      <w:pPr>
        <w:snapToGrid w:val="0"/>
        <w:spacing w:line="360" w:lineRule="auto"/>
        <w:jc w:val="center"/>
        <w:outlineLvl w:val="0"/>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（项目名称）【招标编号：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（采购编号）】招标的有关活动，并对此项目进行投标。为此：</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2.1.2联合协议</w:t>
      </w:r>
      <w:bookmarkStart w:id="390" w:name="_Hlk101257010"/>
      <w:r>
        <w:rPr>
          <w:rFonts w:hint="eastAsia" w:ascii="仿宋" w:hAnsi="仿宋" w:eastAsia="仿宋" w:cs="仿宋"/>
          <w:color w:val="auto"/>
          <w:sz w:val="24"/>
        </w:rPr>
        <w:t>（如果有)</w:t>
      </w:r>
      <w:bookmarkEnd w:id="390"/>
      <w:r>
        <w:rPr>
          <w:rFonts w:hint="eastAsia" w:ascii="仿宋" w:hAnsi="仿宋" w:eastAsia="仿宋" w:cs="仿宋"/>
          <w:color w:val="auto"/>
          <w:sz w:val="24"/>
        </w:rPr>
        <w:t>；</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60" w:lineRule="auto"/>
        <w:ind w:left="210" w:leftChars="1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60" w:lineRule="auto"/>
        <w:ind w:left="420" w:leftChars="200" w:firstLine="480" w:firstLineChars="200"/>
        <w:rPr>
          <w:rFonts w:ascii="仿宋" w:hAnsi="仿宋" w:eastAsia="仿宋" w:cs="仿宋"/>
          <w:color w:val="auto"/>
        </w:rPr>
      </w:pPr>
      <w:r>
        <w:rPr>
          <w:rFonts w:hint="eastAsia" w:ascii="仿宋" w:hAnsi="仿宋" w:eastAsia="仿宋" w:cs="仿宋"/>
          <w:color w:val="auto"/>
          <w:sz w:val="24"/>
        </w:rPr>
        <w:t>2.2.6投标标的清单；</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政府采购投标人廉洁自律承诺书；</w:t>
      </w:r>
    </w:p>
    <w:p>
      <w:pPr>
        <w:snapToGrid w:val="0"/>
        <w:ind w:left="420" w:leftChars="200" w:firstLine="480" w:firstLineChars="200"/>
        <w:rPr>
          <w:rFonts w:ascii="仿宋" w:hAnsi="仿宋" w:eastAsia="仿宋" w:cs="仿宋"/>
          <w:color w:val="auto"/>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9投标人认为需要的其他技术文件资料或说明。</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4.2在签订合同时不向你方提出附加条件；</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ascii="仿宋" w:hAnsi="仿宋" w:eastAsia="仿宋" w:cs="仿宋"/>
          <w:color w:val="auto"/>
          <w:kern w:val="0"/>
          <w:sz w:val="24"/>
          <w:u w:val="single"/>
          <w:lang w:val="zh-CN"/>
        </w:rPr>
      </w:pP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rPr>
          <w:rFonts w:ascii="仿宋" w:hAnsi="仿宋" w:eastAsia="仿宋" w:cs="仿宋"/>
          <w:color w:val="auto"/>
          <w:sz w:val="24"/>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（项目名称）【招标编号：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（项目名称）【招标编号：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color w:val="auto"/>
        </w:rPr>
      </w:pP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p>
            <w:pPr>
              <w:pStyle w:val="148"/>
              <w:adjustRightInd w:val="0"/>
              <w:spacing w:line="360" w:lineRule="auto"/>
              <w:rPr>
                <w:rFonts w:ascii="仿宋" w:hAnsi="仿宋" w:eastAsia="仿宋" w:cs="仿宋"/>
                <w:bCs/>
                <w:color w:val="auto"/>
                <w:sz w:val="24"/>
              </w:rPr>
            </w:pPr>
          </w:p>
        </w:tc>
      </w:tr>
    </w:tbl>
    <w:p>
      <w:pPr>
        <w:snapToGrid w:val="0"/>
        <w:spacing w:line="360" w:lineRule="auto"/>
        <w:ind w:firstLine="576"/>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三、分包意向协议（如果有）</w:t>
      </w:r>
    </w:p>
    <w:p>
      <w:pPr>
        <w:widowControl/>
        <w:spacing w:line="360" w:lineRule="auto"/>
        <w:ind w:firstLine="482" w:firstLineChars="200"/>
        <w:jc w:val="left"/>
        <w:rPr>
          <w:rFonts w:ascii="仿宋" w:hAnsi="仿宋" w:eastAsia="仿宋" w:cs="仿宋"/>
          <w:b/>
          <w:color w:val="auto"/>
          <w:sz w:val="24"/>
        </w:rPr>
      </w:pP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p>
    <w:p>
      <w:pPr>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pPr>
        <w:jc w:val="center"/>
        <w:rPr>
          <w:rFonts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见投标文件</w:t>
            </w:r>
          </w:p>
          <w:p>
            <w:pPr>
              <w:rPr>
                <w:rFonts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4991" w:type="dxa"/>
          </w:tcPr>
          <w:p>
            <w:pPr>
              <w:spacing w:line="360" w:lineRule="auto"/>
              <w:rPr>
                <w:rFonts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4991"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jc w:val="center"/>
        <w:rPr>
          <w:rFonts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360" w:lineRule="auto"/>
        <w:jc w:val="left"/>
        <w:rPr>
          <w:rFonts w:ascii="仿宋" w:hAnsi="仿宋" w:eastAsia="仿宋" w:cs="仿宋"/>
          <w:b/>
          <w:color w:val="auto"/>
          <w:sz w:val="24"/>
        </w:rPr>
      </w:pPr>
    </w:p>
    <w:p>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40"/>
        <w:gridCol w:w="1543"/>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名称</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5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5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5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3748"/>
        <w:gridCol w:w="360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9"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bl>
    <w:p>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ind w:firstLine="1911" w:firstLineChars="595"/>
        <w:rPr>
          <w:rFonts w:ascii="仿宋" w:hAnsi="仿宋" w:eastAsia="仿宋" w:cs="仿宋"/>
          <w:b/>
          <w:color w:val="auto"/>
          <w:kern w:val="0"/>
          <w:sz w:val="32"/>
          <w:szCs w:val="32"/>
        </w:rPr>
      </w:pPr>
      <w:r>
        <w:rPr>
          <w:rFonts w:hint="eastAsia" w:ascii="仿宋" w:hAnsi="仿宋" w:eastAsia="仿宋" w:cs="仿宋"/>
          <w:b/>
          <w:color w:val="auto"/>
          <w:kern w:val="0"/>
          <w:sz w:val="32"/>
          <w:szCs w:val="32"/>
        </w:rPr>
        <w:t>八、</w:t>
      </w:r>
      <w:r>
        <w:rPr>
          <w:rFonts w:hint="eastAsia" w:ascii="仿宋" w:hAnsi="仿宋" w:eastAsia="仿宋" w:cs="仿宋"/>
          <w:b/>
          <w:color w:val="auto"/>
          <w:kern w:val="0"/>
          <w:sz w:val="32"/>
          <w:szCs w:val="32"/>
          <w:lang w:val="zh-CN"/>
        </w:rPr>
        <w:t>政府采购投标人廉洁自律承诺书</w:t>
      </w: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进行项目建设或其他经营活动。由此引起的相应损失均由我单位承担。</w:t>
      </w:r>
    </w:p>
    <w:p>
      <w:pPr>
        <w:autoSpaceDE w:val="0"/>
        <w:autoSpaceDN w:val="0"/>
        <w:spacing w:line="360" w:lineRule="auto"/>
        <w:ind w:left="2"/>
        <w:jc w:val="left"/>
        <w:rPr>
          <w:rFonts w:ascii="仿宋" w:hAnsi="仿宋" w:eastAsia="仿宋" w:cs="仿宋"/>
          <w:color w:val="auto"/>
          <w:kern w:val="0"/>
          <w:sz w:val="24"/>
          <w:lang w:val="zh-CN"/>
        </w:rPr>
      </w:pPr>
    </w:p>
    <w:p>
      <w:pPr>
        <w:autoSpaceDE w:val="0"/>
        <w:autoSpaceDN w:val="0"/>
        <w:spacing w:line="360" w:lineRule="auto"/>
        <w:ind w:left="2"/>
        <w:jc w:val="left"/>
        <w:rPr>
          <w:rFonts w:ascii="仿宋" w:hAnsi="仿宋" w:eastAsia="仿宋" w:cs="仿宋"/>
          <w:color w:val="auto"/>
          <w:kern w:val="0"/>
          <w:sz w:val="24"/>
          <w:lang w:val="zh-CN"/>
        </w:rPr>
      </w:pPr>
    </w:p>
    <w:p>
      <w:pPr>
        <w:autoSpaceDE w:val="0"/>
        <w:autoSpaceDN w:val="0"/>
        <w:spacing w:line="360" w:lineRule="auto"/>
        <w:ind w:left="2"/>
        <w:jc w:val="left"/>
        <w:rPr>
          <w:rFonts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jc w:val="left"/>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pacing w:line="360" w:lineRule="auto"/>
        <w:jc w:val="center"/>
        <w:rPr>
          <w:rFonts w:ascii="仿宋" w:hAnsi="仿宋" w:eastAsia="仿宋" w:cs="仿宋"/>
          <w:b/>
          <w:bCs/>
          <w:color w:val="auto"/>
          <w:sz w:val="24"/>
        </w:rPr>
      </w:pPr>
      <w:r>
        <w:rPr>
          <w:rFonts w:hint="eastAsia" w:ascii="仿宋" w:hAnsi="仿宋" w:eastAsia="仿宋" w:cs="仿宋"/>
          <w:b/>
          <w:color w:val="auto"/>
          <w:kern w:val="0"/>
          <w:sz w:val="32"/>
          <w:szCs w:val="32"/>
        </w:rPr>
        <w:t>九、投标人认为需要的其他技术文件资料或说明</w:t>
      </w:r>
    </w:p>
    <w:p>
      <w:pPr>
        <w:spacing w:line="360" w:lineRule="auto"/>
        <w:jc w:val="center"/>
        <w:rPr>
          <w:rFonts w:ascii="仿宋" w:hAnsi="仿宋" w:eastAsia="仿宋" w:cs="仿宋"/>
          <w:b/>
          <w:bCs/>
          <w:color w:val="auto"/>
          <w:sz w:val="24"/>
        </w:rPr>
        <w:sectPr>
          <w:headerReference r:id="rId11" w:type="first"/>
          <w:footerReference r:id="rId13" w:type="first"/>
          <w:headerReference r:id="rId10" w:type="default"/>
          <w:footerReference r:id="rId12" w:type="default"/>
          <w:pgSz w:w="11906" w:h="16838"/>
          <w:pgMar w:top="1440" w:right="1247" w:bottom="1440" w:left="1247"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5" w:type="first"/>
          <w:footerReference r:id="rId17" w:type="first"/>
          <w:headerReference r:id="rId14" w:type="default"/>
          <w:footerReference r:id="rId16" w:type="default"/>
          <w:pgSz w:w="11906" w:h="16838"/>
          <w:pgMar w:top="1440" w:right="1247" w:bottom="1440" w:left="1247" w:header="851" w:footer="992" w:gutter="0"/>
          <w:cols w:space="720" w:num="1"/>
          <w:titlePg/>
          <w:docGrid w:linePitch="312" w:charSpace="0"/>
        </w:sectPr>
      </w:pPr>
    </w:p>
    <w:p>
      <w:pPr>
        <w:pStyle w:val="692"/>
        <w:keepNext w:val="0"/>
        <w:tabs>
          <w:tab w:val="clear" w:pos="720"/>
        </w:tabs>
        <w:snapToGrid w:val="0"/>
        <w:spacing w:before="120" w:after="120"/>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（项目名称）【招标编号：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pStyle w:val="35"/>
        <w:snapToGrid w:val="0"/>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（价格单位：万元人民币）</w:t>
      </w:r>
    </w:p>
    <w:tbl>
      <w:tblPr>
        <w:tblStyle w:val="6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257"/>
        <w:gridCol w:w="48"/>
        <w:gridCol w:w="1405"/>
        <w:gridCol w:w="880"/>
        <w:gridCol w:w="1020"/>
        <w:gridCol w:w="970"/>
        <w:gridCol w:w="86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55" w:type="dxa"/>
            <w:gridSpan w:val="9"/>
            <w:vAlign w:val="center"/>
          </w:tcPr>
          <w:p>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投标总价（人民币）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万元，大写：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55" w:type="dxa"/>
            <w:gridSpan w:val="9"/>
            <w:vAlign w:val="center"/>
          </w:tcPr>
          <w:p>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服务期：按照招标文件的规定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4" w:type="dxa"/>
            <w:gridSpan w:val="3"/>
            <w:vAlign w:val="center"/>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项目负责人</w:t>
            </w:r>
          </w:p>
        </w:tc>
        <w:tc>
          <w:tcPr>
            <w:tcW w:w="6751" w:type="dxa"/>
            <w:gridSpan w:val="6"/>
            <w:vAlign w:val="center"/>
          </w:tcPr>
          <w:p>
            <w:pPr>
              <w:snapToGrid w:val="0"/>
              <w:spacing w:line="360"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955" w:type="dxa"/>
            <w:gridSpan w:val="9"/>
            <w:vAlign w:val="center"/>
          </w:tcPr>
          <w:p>
            <w:pPr>
              <w:pageBreakBefore w:val="0"/>
              <w:kinsoku/>
              <w:wordWrap/>
              <w:overflowPunct/>
              <w:bidi w:val="0"/>
              <w:snapToGrid w:val="0"/>
              <w:spacing w:beforeAutospacing="0" w:afterAutospacing="0" w:line="360" w:lineRule="auto"/>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投标价格组成明细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899" w:type="dxa"/>
            <w:vAlign w:val="center"/>
          </w:tcPr>
          <w:p>
            <w:pPr>
              <w:bidi w:val="0"/>
              <w:snapToGrid w:val="0"/>
              <w:spacing w:line="360" w:lineRule="auto"/>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序号</w:t>
            </w:r>
          </w:p>
        </w:tc>
        <w:tc>
          <w:tcPr>
            <w:tcW w:w="1257" w:type="dxa"/>
            <w:vAlign w:val="center"/>
          </w:tcPr>
          <w:p>
            <w:pPr>
              <w:bidi w:val="0"/>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构成服务费名称</w:t>
            </w:r>
          </w:p>
        </w:tc>
        <w:tc>
          <w:tcPr>
            <w:tcW w:w="1453" w:type="dxa"/>
            <w:gridSpan w:val="2"/>
            <w:vAlign w:val="center"/>
          </w:tcPr>
          <w:p>
            <w:pPr>
              <w:bidi w:val="0"/>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内容描述</w:t>
            </w:r>
          </w:p>
        </w:tc>
        <w:tc>
          <w:tcPr>
            <w:tcW w:w="880" w:type="dxa"/>
            <w:vAlign w:val="center"/>
          </w:tcPr>
          <w:p>
            <w:pPr>
              <w:bidi w:val="0"/>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数量</w:t>
            </w:r>
          </w:p>
        </w:tc>
        <w:tc>
          <w:tcPr>
            <w:tcW w:w="1020" w:type="dxa"/>
            <w:vAlign w:val="center"/>
          </w:tcPr>
          <w:p>
            <w:pPr>
              <w:bidi w:val="0"/>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单位</w:t>
            </w:r>
          </w:p>
        </w:tc>
        <w:tc>
          <w:tcPr>
            <w:tcW w:w="970" w:type="dxa"/>
            <w:vAlign w:val="center"/>
          </w:tcPr>
          <w:p>
            <w:pPr>
              <w:bidi w:val="0"/>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单价</w:t>
            </w:r>
          </w:p>
        </w:tc>
        <w:tc>
          <w:tcPr>
            <w:tcW w:w="860" w:type="dxa"/>
            <w:vAlign w:val="center"/>
          </w:tcPr>
          <w:p>
            <w:pPr>
              <w:bidi w:val="0"/>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合价</w:t>
            </w:r>
          </w:p>
        </w:tc>
        <w:tc>
          <w:tcPr>
            <w:tcW w:w="1616" w:type="dxa"/>
            <w:vAlign w:val="center"/>
          </w:tcPr>
          <w:p>
            <w:pPr>
              <w:bidi w:val="0"/>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备注</w:t>
            </w:r>
          </w:p>
          <w:p>
            <w:pPr>
              <w:bidi w:val="0"/>
              <w:snapToGrid w:val="0"/>
              <w:spacing w:line="360" w:lineRule="auto"/>
              <w:jc w:val="center"/>
              <w:rPr>
                <w:rFonts w:hint="eastAsia" w:ascii="仿宋" w:hAnsi="仿宋" w:eastAsia="仿宋" w:cs="仿宋"/>
                <w:b/>
                <w:bCs/>
                <w:color w:val="auto"/>
                <w:sz w:val="24"/>
                <w:lang w:eastAsia="zh-CN"/>
              </w:rPr>
            </w:pPr>
            <w:r>
              <w:rPr>
                <w:rFonts w:hint="eastAsia" w:ascii="仿宋" w:hAnsi="仿宋" w:eastAsia="仿宋" w:cs="仿宋"/>
                <w:b/>
                <w:bCs/>
                <w:color w:val="auto"/>
                <w:sz w:val="24"/>
              </w:rPr>
              <w:t>（承接单位名称）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899" w:type="dxa"/>
            <w:vAlign w:val="center"/>
          </w:tcPr>
          <w:p>
            <w:pPr>
              <w:bidi w:val="0"/>
              <w:rPr>
                <w:rFonts w:hint="default"/>
                <w:color w:val="auto"/>
              </w:rPr>
            </w:pPr>
          </w:p>
        </w:tc>
        <w:tc>
          <w:tcPr>
            <w:tcW w:w="1257" w:type="dxa"/>
            <w:vAlign w:val="center"/>
          </w:tcPr>
          <w:p>
            <w:pPr>
              <w:bidi w:val="0"/>
              <w:rPr>
                <w:rFonts w:hint="default"/>
                <w:color w:val="auto"/>
              </w:rPr>
            </w:pPr>
          </w:p>
        </w:tc>
        <w:tc>
          <w:tcPr>
            <w:tcW w:w="1453" w:type="dxa"/>
            <w:gridSpan w:val="2"/>
            <w:vAlign w:val="center"/>
          </w:tcPr>
          <w:p>
            <w:pPr>
              <w:bidi w:val="0"/>
              <w:rPr>
                <w:rFonts w:hint="default"/>
                <w:color w:val="auto"/>
              </w:rPr>
            </w:pPr>
          </w:p>
        </w:tc>
        <w:tc>
          <w:tcPr>
            <w:tcW w:w="880" w:type="dxa"/>
            <w:vAlign w:val="center"/>
          </w:tcPr>
          <w:p>
            <w:pPr>
              <w:bidi w:val="0"/>
              <w:rPr>
                <w:rFonts w:hint="default"/>
                <w:color w:val="auto"/>
              </w:rPr>
            </w:pPr>
          </w:p>
        </w:tc>
        <w:tc>
          <w:tcPr>
            <w:tcW w:w="1020" w:type="dxa"/>
            <w:vAlign w:val="center"/>
          </w:tcPr>
          <w:p>
            <w:pPr>
              <w:bidi w:val="0"/>
              <w:rPr>
                <w:rFonts w:hint="default"/>
                <w:color w:val="auto"/>
              </w:rPr>
            </w:pPr>
          </w:p>
        </w:tc>
        <w:tc>
          <w:tcPr>
            <w:tcW w:w="970" w:type="dxa"/>
            <w:vAlign w:val="center"/>
          </w:tcPr>
          <w:p>
            <w:pPr>
              <w:bidi w:val="0"/>
              <w:rPr>
                <w:rFonts w:hint="default"/>
                <w:color w:val="auto"/>
              </w:rPr>
            </w:pPr>
          </w:p>
        </w:tc>
        <w:tc>
          <w:tcPr>
            <w:tcW w:w="860" w:type="dxa"/>
          </w:tcPr>
          <w:p>
            <w:pPr>
              <w:bidi w:val="0"/>
              <w:rPr>
                <w:rFonts w:hint="default"/>
                <w:color w:val="auto"/>
              </w:rPr>
            </w:pPr>
          </w:p>
        </w:tc>
        <w:tc>
          <w:tcPr>
            <w:tcW w:w="1616" w:type="dxa"/>
            <w:vAlign w:val="center"/>
          </w:tcPr>
          <w:p>
            <w:pPr>
              <w:bidi w:val="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899" w:type="dxa"/>
            <w:vAlign w:val="center"/>
          </w:tcPr>
          <w:p>
            <w:pPr>
              <w:bidi w:val="0"/>
              <w:rPr>
                <w:rFonts w:hint="default"/>
                <w:color w:val="auto"/>
              </w:rPr>
            </w:pPr>
          </w:p>
        </w:tc>
        <w:tc>
          <w:tcPr>
            <w:tcW w:w="1257" w:type="dxa"/>
            <w:vAlign w:val="center"/>
          </w:tcPr>
          <w:p>
            <w:pPr>
              <w:bidi w:val="0"/>
              <w:rPr>
                <w:rFonts w:hint="default"/>
                <w:color w:val="auto"/>
              </w:rPr>
            </w:pPr>
          </w:p>
        </w:tc>
        <w:tc>
          <w:tcPr>
            <w:tcW w:w="1453" w:type="dxa"/>
            <w:gridSpan w:val="2"/>
            <w:vAlign w:val="center"/>
          </w:tcPr>
          <w:p>
            <w:pPr>
              <w:bidi w:val="0"/>
              <w:rPr>
                <w:rFonts w:hint="default"/>
                <w:color w:val="auto"/>
              </w:rPr>
            </w:pPr>
          </w:p>
        </w:tc>
        <w:tc>
          <w:tcPr>
            <w:tcW w:w="880" w:type="dxa"/>
            <w:vAlign w:val="center"/>
          </w:tcPr>
          <w:p>
            <w:pPr>
              <w:bidi w:val="0"/>
              <w:rPr>
                <w:rFonts w:hint="default"/>
                <w:color w:val="auto"/>
              </w:rPr>
            </w:pPr>
          </w:p>
        </w:tc>
        <w:tc>
          <w:tcPr>
            <w:tcW w:w="1020" w:type="dxa"/>
            <w:vAlign w:val="center"/>
          </w:tcPr>
          <w:p>
            <w:pPr>
              <w:bidi w:val="0"/>
              <w:rPr>
                <w:rFonts w:hint="default"/>
                <w:color w:val="auto"/>
              </w:rPr>
            </w:pPr>
          </w:p>
        </w:tc>
        <w:tc>
          <w:tcPr>
            <w:tcW w:w="970" w:type="dxa"/>
            <w:vAlign w:val="center"/>
          </w:tcPr>
          <w:p>
            <w:pPr>
              <w:bidi w:val="0"/>
              <w:rPr>
                <w:rFonts w:hint="default"/>
                <w:color w:val="auto"/>
              </w:rPr>
            </w:pPr>
          </w:p>
        </w:tc>
        <w:tc>
          <w:tcPr>
            <w:tcW w:w="860" w:type="dxa"/>
          </w:tcPr>
          <w:p>
            <w:pPr>
              <w:bidi w:val="0"/>
              <w:rPr>
                <w:rFonts w:hint="default"/>
                <w:color w:val="auto"/>
              </w:rPr>
            </w:pPr>
          </w:p>
        </w:tc>
        <w:tc>
          <w:tcPr>
            <w:tcW w:w="1616" w:type="dxa"/>
            <w:vAlign w:val="center"/>
          </w:tcPr>
          <w:p>
            <w:pPr>
              <w:bidi w:val="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899" w:type="dxa"/>
            <w:vAlign w:val="center"/>
          </w:tcPr>
          <w:p>
            <w:pPr>
              <w:bidi w:val="0"/>
              <w:rPr>
                <w:rFonts w:hint="default" w:eastAsia="宋体"/>
                <w:color w:val="auto"/>
                <w:lang w:val="en-US" w:eastAsia="zh-CN"/>
              </w:rPr>
            </w:pPr>
            <w:r>
              <w:rPr>
                <w:rFonts w:hint="eastAsia"/>
                <w:color w:val="auto"/>
                <w:lang w:val="en-US" w:eastAsia="zh-CN"/>
              </w:rPr>
              <w:t>……</w:t>
            </w:r>
          </w:p>
        </w:tc>
        <w:tc>
          <w:tcPr>
            <w:tcW w:w="1257" w:type="dxa"/>
            <w:vAlign w:val="center"/>
          </w:tcPr>
          <w:p>
            <w:pPr>
              <w:bidi w:val="0"/>
              <w:rPr>
                <w:rFonts w:hint="default"/>
                <w:color w:val="auto"/>
              </w:rPr>
            </w:pPr>
          </w:p>
        </w:tc>
        <w:tc>
          <w:tcPr>
            <w:tcW w:w="1453" w:type="dxa"/>
            <w:gridSpan w:val="2"/>
            <w:vAlign w:val="center"/>
          </w:tcPr>
          <w:p>
            <w:pPr>
              <w:bidi w:val="0"/>
              <w:rPr>
                <w:rFonts w:hint="default"/>
                <w:color w:val="auto"/>
              </w:rPr>
            </w:pPr>
          </w:p>
        </w:tc>
        <w:tc>
          <w:tcPr>
            <w:tcW w:w="880" w:type="dxa"/>
            <w:vAlign w:val="center"/>
          </w:tcPr>
          <w:p>
            <w:pPr>
              <w:bidi w:val="0"/>
              <w:rPr>
                <w:rFonts w:hint="default"/>
                <w:color w:val="auto"/>
              </w:rPr>
            </w:pPr>
          </w:p>
        </w:tc>
        <w:tc>
          <w:tcPr>
            <w:tcW w:w="1020" w:type="dxa"/>
            <w:vAlign w:val="center"/>
          </w:tcPr>
          <w:p>
            <w:pPr>
              <w:bidi w:val="0"/>
              <w:rPr>
                <w:rFonts w:hint="default"/>
                <w:color w:val="auto"/>
              </w:rPr>
            </w:pPr>
          </w:p>
        </w:tc>
        <w:tc>
          <w:tcPr>
            <w:tcW w:w="970" w:type="dxa"/>
            <w:vAlign w:val="center"/>
          </w:tcPr>
          <w:p>
            <w:pPr>
              <w:bidi w:val="0"/>
              <w:rPr>
                <w:rFonts w:hint="default"/>
                <w:color w:val="auto"/>
              </w:rPr>
            </w:pPr>
          </w:p>
        </w:tc>
        <w:tc>
          <w:tcPr>
            <w:tcW w:w="860" w:type="dxa"/>
          </w:tcPr>
          <w:p>
            <w:pPr>
              <w:bidi w:val="0"/>
              <w:rPr>
                <w:rFonts w:hint="default"/>
                <w:color w:val="auto"/>
              </w:rPr>
            </w:pPr>
          </w:p>
        </w:tc>
        <w:tc>
          <w:tcPr>
            <w:tcW w:w="1616" w:type="dxa"/>
            <w:vAlign w:val="center"/>
          </w:tcPr>
          <w:p>
            <w:pPr>
              <w:bidi w:val="0"/>
              <w:rPr>
                <w:rFonts w:hint="default"/>
                <w:color w:val="auto"/>
              </w:rPr>
            </w:pPr>
          </w:p>
        </w:tc>
      </w:tr>
    </w:tbl>
    <w:p>
      <w:pPr>
        <w:snapToGrid w:val="0"/>
        <w:spacing w:line="360" w:lineRule="auto"/>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1、大写金额与小写金额不一致时，以大写金额为准。</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2、投标人在“政府采购云平台”进行标书关联时，在“政府采购云平台”上单独填报的开标一览表内容与加密的报价文件中提交的开标一览表内容不一致时，以加密的报价文件中提交的开标一览表为准进行修正。</w:t>
      </w:r>
    </w:p>
    <w:p>
      <w:pPr>
        <w:spacing w:line="360" w:lineRule="auto"/>
        <w:ind w:firstLine="480" w:firstLineChars="200"/>
        <w:rPr>
          <w:rFonts w:ascii="仿宋" w:hAnsi="仿宋" w:eastAsia="仿宋" w:cs="仿宋"/>
          <w:color w:val="auto"/>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、有关本项目实施所涉及的一切费用均计入报价。合同总价不为零，报价明细表中部分产品、服务单价为零的，视作已包含在总价中。</w:t>
      </w:r>
    </w:p>
    <w:p>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4、特别提示：采购机构将对项目名称和项目编号，中标人名称、地址和中标金额，主要中标标的的名称、规格型号、数量、单价、服务要求等予以公示。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b/>
          <w:color w:val="auto"/>
          <w:kern w:val="0"/>
          <w:sz w:val="24"/>
        </w:rPr>
      </w:pPr>
      <w:r>
        <w:rPr>
          <w:rFonts w:hint="eastAsia" w:ascii="仿宋" w:hAnsi="仿宋" w:eastAsia="仿宋" w:cs="仿宋"/>
          <w:color w:val="auto"/>
          <w:kern w:val="0"/>
          <w:sz w:val="24"/>
          <w:szCs w:val="22"/>
          <w:lang w:val="zh-CN"/>
        </w:rPr>
        <w:t>5、</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outlineLvl w:val="9"/>
        <w:rPr>
          <w:rFonts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ascii="仿宋" w:hAnsi="仿宋" w:eastAsia="仿宋" w:cs="仿宋"/>
          <w:b w:val="0"/>
          <w:color w:val="auto"/>
          <w:sz w:val="32"/>
          <w:szCs w:val="32"/>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rPr>
          <w:rFonts w:ascii="仿宋" w:hAnsi="仿宋" w:eastAsia="仿宋" w:cs="仿宋"/>
          <w:b/>
          <w:color w:val="auto"/>
          <w:szCs w:val="21"/>
        </w:rPr>
      </w:pPr>
      <w:r>
        <w:rPr>
          <w:rFonts w:hint="eastAsia" w:ascii="仿宋" w:hAnsi="仿宋" w:eastAsia="仿宋" w:cs="仿宋"/>
          <w:b/>
          <w:color w:val="auto"/>
          <w:szCs w:val="21"/>
        </w:rPr>
        <w:br w:type="page"/>
      </w:r>
    </w:p>
    <w:p>
      <w:pPr>
        <w:pStyle w:val="2"/>
        <w:keepNext w:val="0"/>
        <w:keepLines w:val="0"/>
        <w:widowControl/>
        <w:spacing w:before="0" w:after="0" w:line="360" w:lineRule="auto"/>
        <w:ind w:left="1293" w:firstLine="3092" w:firstLineChars="700"/>
        <w:rPr>
          <w:rFonts w:ascii="仿宋" w:hAnsi="仿宋" w:eastAsia="仿宋" w:cs="仿宋"/>
          <w:color w:val="auto"/>
        </w:rPr>
      </w:pPr>
      <w:bookmarkStart w:id="391" w:name="_Toc465665161"/>
      <w:r>
        <w:rPr>
          <w:rFonts w:hint="eastAsia" w:ascii="仿宋" w:hAnsi="仿宋" w:eastAsia="仿宋" w:cs="仿宋"/>
          <w:color w:val="auto"/>
        </w:rPr>
        <w:t>附件</w:t>
      </w:r>
      <w:bookmarkEnd w:id="391"/>
    </w:p>
    <w:p>
      <w:pPr>
        <w:spacing w:line="360" w:lineRule="auto"/>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附件1：残疾人福利性单位声明函</w:t>
      </w:r>
    </w:p>
    <w:p>
      <w:pPr>
        <w:spacing w:line="360" w:lineRule="auto"/>
        <w:rPr>
          <w:rFonts w:ascii="仿宋" w:hAnsi="仿宋" w:eastAsia="仿宋" w:cs="仿宋"/>
          <w:b/>
          <w:color w:val="auto"/>
          <w:spacing w:val="6"/>
          <w:sz w:val="30"/>
          <w:szCs w:val="30"/>
        </w:rPr>
      </w:pPr>
    </w:p>
    <w:p>
      <w:pPr>
        <w:spacing w:line="360" w:lineRule="auto"/>
        <w:ind w:firstLine="480" w:firstLineChars="200"/>
        <w:rPr>
          <w:rFonts w:ascii="仿宋" w:hAnsi="仿宋" w:eastAsia="仿宋" w:cs="仿宋"/>
          <w:color w:val="auto"/>
        </w:rPr>
      </w:pPr>
      <w:r>
        <w:rPr>
          <w:rFonts w:hint="eastAsia" w:ascii="仿宋" w:hAnsi="仿宋" w:eastAsia="仿宋" w:cs="仿宋"/>
          <w:color w:val="auto"/>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ascii="仿宋" w:hAnsi="仿宋" w:eastAsia="仿宋" w:cs="仿宋"/>
          <w:color w:val="auto"/>
          <w:sz w:val="24"/>
        </w:rPr>
      </w:pPr>
    </w:p>
    <w:p>
      <w:pPr>
        <w:tabs>
          <w:tab w:val="left" w:pos="4860"/>
        </w:tabs>
        <w:spacing w:line="360" w:lineRule="auto"/>
        <w:ind w:right="1560"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rPr>
          <w:rFonts w:ascii="仿宋" w:hAnsi="仿宋" w:eastAsia="仿宋" w:cs="仿宋"/>
          <w:color w:val="auto"/>
          <w:sz w:val="24"/>
        </w:rPr>
      </w:pPr>
      <w:r>
        <w:rPr>
          <w:rFonts w:hint="eastAsia" w:ascii="仿宋" w:hAnsi="仿宋" w:eastAsia="仿宋" w:cs="仿宋"/>
          <w:color w:val="auto"/>
          <w:sz w:val="24"/>
        </w:rPr>
        <w:t>日  期：</w:t>
      </w:r>
    </w:p>
    <w:p>
      <w:pPr>
        <w:spacing w:line="360" w:lineRule="auto"/>
        <w:ind w:firstLine="480" w:firstLineChars="200"/>
        <w:rPr>
          <w:rFonts w:ascii="仿宋" w:hAnsi="仿宋" w:eastAsia="仿宋" w:cs="仿宋"/>
          <w:color w:val="auto"/>
          <w:sz w:val="24"/>
        </w:rPr>
      </w:pPr>
    </w:p>
    <w:p>
      <w:pPr>
        <w:spacing w:line="360" w:lineRule="auto"/>
        <w:ind w:firstLine="420" w:firstLineChars="200"/>
        <w:rPr>
          <w:rFonts w:ascii="仿宋" w:hAnsi="仿宋" w:eastAsia="仿宋" w:cs="仿宋"/>
          <w:color w:val="auto"/>
        </w:rPr>
      </w:pPr>
    </w:p>
    <w:p>
      <w:pPr>
        <w:spacing w:line="360" w:lineRule="auto"/>
        <w:ind w:firstLine="420" w:firstLineChars="200"/>
        <w:rPr>
          <w:rFonts w:ascii="仿宋" w:hAnsi="仿宋" w:eastAsia="仿宋" w:cs="仿宋"/>
          <w:color w:val="auto"/>
        </w:rPr>
      </w:pPr>
    </w:p>
    <w:p>
      <w:pPr>
        <w:spacing w:line="360" w:lineRule="auto"/>
        <w:ind w:firstLine="420" w:firstLineChars="200"/>
        <w:rPr>
          <w:rFonts w:ascii="仿宋" w:hAnsi="仿宋" w:eastAsia="仿宋" w:cs="仿宋"/>
          <w:color w:val="auto"/>
        </w:rPr>
      </w:pPr>
    </w:p>
    <w:p>
      <w:pPr>
        <w:spacing w:line="360" w:lineRule="auto"/>
        <w:ind w:firstLine="420" w:firstLineChars="200"/>
        <w:rPr>
          <w:rFonts w:ascii="仿宋" w:hAnsi="仿宋" w:eastAsia="仿宋" w:cs="仿宋"/>
          <w:color w:val="auto"/>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ascii="仿宋" w:hAnsi="仿宋" w:eastAsia="仿宋" w:cs="仿宋"/>
          <w:bCs/>
          <w:color w:val="auto"/>
          <w:sz w:val="24"/>
        </w:rPr>
      </w:pPr>
      <w:r>
        <w:rPr>
          <w:rFonts w:hint="eastAsia" w:ascii="仿宋" w:hAnsi="仿宋" w:eastAsia="仿宋" w:cs="仿宋"/>
          <w:bCs/>
          <w:color w:val="auto"/>
          <w:sz w:val="24"/>
        </w:rPr>
        <w:t>一、质疑投标人基本信息</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质疑投标人：</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招标文件获取日期：</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ascii="仿宋" w:hAnsi="仿宋" w:eastAsia="仿宋" w:cs="仿宋"/>
          <w:b/>
          <w:bCs/>
          <w:color w:val="auto"/>
          <w:sz w:val="24"/>
        </w:rPr>
      </w:pPr>
    </w:p>
    <w:p>
      <w:pPr>
        <w:spacing w:line="360" w:lineRule="auto"/>
        <w:rPr>
          <w:rFonts w:ascii="仿宋" w:hAnsi="仿宋" w:eastAsia="仿宋" w:cs="仿宋"/>
          <w:b/>
          <w:color w:val="auto"/>
          <w:sz w:val="24"/>
        </w:rPr>
      </w:pPr>
    </w:p>
    <w:p>
      <w:pPr>
        <w:rPr>
          <w:rFonts w:ascii="仿宋" w:hAnsi="仿宋" w:eastAsia="仿宋" w:cs="仿宋"/>
          <w:b/>
          <w:color w:val="auto"/>
          <w:sz w:val="24"/>
        </w:rPr>
      </w:pPr>
      <w:r>
        <w:rPr>
          <w:rFonts w:hint="eastAsia" w:ascii="仿宋" w:hAnsi="仿宋" w:eastAsia="仿宋" w:cs="仿宋"/>
          <w:b/>
          <w:color w:val="auto"/>
          <w:sz w:val="24"/>
        </w:rPr>
        <w:br w:type="page"/>
      </w:r>
    </w:p>
    <w:p>
      <w:pPr>
        <w:spacing w:line="360" w:lineRule="auto"/>
        <w:rPr>
          <w:rFonts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1.投标人提出质疑时，应提交质疑函和必要的证明材料。</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2.质疑投标人若委托代理人进行质疑的，质疑函应按要求列明“授权代表”的有关内容，并在附件中提交由质疑</w:t>
      </w:r>
      <w:r>
        <w:rPr>
          <w:rFonts w:hint="eastAsia" w:ascii="仿宋" w:hAnsi="仿宋" w:eastAsia="仿宋" w:cs="仿宋"/>
          <w:color w:val="auto"/>
          <w:kern w:val="0"/>
          <w:sz w:val="24"/>
        </w:rPr>
        <w:t>投标人签署的授权委托书。授权委托书应载明代理人的姓名或者名称、代理事项、具体权限、期限和相关事项。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3.质疑投标人若对项目的某一分包进行质疑，质疑函中应列明具体分包号。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6.质疑投标人为自然人的，质疑函应由本人签字；质疑投标人为法人或者其他组织的，质疑函应由法定代表人、主要负责人，或者其授权代表签字或者盖章，并加盖公章。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left"/>
        <w:rPr>
          <w:rFonts w:ascii="仿宋" w:hAnsi="仿宋" w:eastAsia="仿宋" w:cs="仿宋"/>
          <w:b/>
          <w:color w:val="auto"/>
          <w:spacing w:val="6"/>
          <w:sz w:val="32"/>
          <w:szCs w:val="32"/>
        </w:rPr>
      </w:pPr>
    </w:p>
    <w:p>
      <w:pPr>
        <w:spacing w:line="360" w:lineRule="auto"/>
        <w:jc w:val="left"/>
        <w:rPr>
          <w:rFonts w:ascii="仿宋" w:hAnsi="仿宋" w:eastAsia="仿宋" w:cs="仿宋"/>
          <w:b/>
          <w:color w:val="auto"/>
          <w:spacing w:val="6"/>
          <w:sz w:val="32"/>
          <w:szCs w:val="32"/>
        </w:rPr>
      </w:pPr>
    </w:p>
    <w:p>
      <w:pPr>
        <w:spacing w:line="360" w:lineRule="auto"/>
        <w:jc w:val="left"/>
        <w:rPr>
          <w:rFonts w:ascii="仿宋" w:hAnsi="仿宋" w:eastAsia="仿宋" w:cs="仿宋"/>
          <w:b/>
          <w:color w:val="auto"/>
          <w:sz w:val="24"/>
        </w:rPr>
      </w:pPr>
      <w:r>
        <w:rPr>
          <w:rFonts w:hint="eastAsia" w:ascii="仿宋" w:hAnsi="仿宋" w:eastAsia="仿宋" w:cs="仿宋"/>
          <w:b/>
          <w:color w:val="auto"/>
          <w:spacing w:val="6"/>
          <w:sz w:val="32"/>
          <w:szCs w:val="32"/>
        </w:rPr>
        <w:t>附件3：投诉书范本及制作说明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相关投标人：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招标文件公告: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1.投诉人提起投诉时，应当提交投诉书和必要的证明材料，并按照被投诉人和与投诉事项有关的投标人数量提供投诉书副本。</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rPr>
      </w:pPr>
    </w:p>
    <w:p>
      <w:pPr>
        <w:autoSpaceDE w:val="0"/>
        <w:autoSpaceDN w:val="0"/>
        <w:jc w:val="center"/>
        <w:rPr>
          <w:rFonts w:ascii="仿宋" w:hAnsi="仿宋" w:eastAsia="仿宋" w:cs="仿宋"/>
          <w:b/>
          <w:color w:val="auto"/>
          <w:spacing w:val="6"/>
          <w:sz w:val="32"/>
          <w:szCs w:val="32"/>
        </w:rPr>
      </w:pPr>
    </w:p>
    <w:p>
      <w:pP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autoSpaceDE w:val="0"/>
        <w:autoSpaceDN w:val="0"/>
        <w:rPr>
          <w:rFonts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ascii="仿宋" w:hAnsi="仿宋" w:eastAsia="仿宋" w:cs="仿宋"/>
          <w:color w:val="auto"/>
          <w:sz w:val="24"/>
          <w:u w:val="single"/>
        </w:rPr>
      </w:pPr>
    </w:p>
    <w:p>
      <w:pPr>
        <w:spacing w:line="360" w:lineRule="auto"/>
        <w:rPr>
          <w:rFonts w:ascii="仿宋" w:hAnsi="仿宋" w:eastAsia="仿宋" w:cs="仿宋"/>
          <w:color w:val="auto"/>
          <w:sz w:val="24"/>
        </w:rPr>
      </w:pPr>
      <w:r>
        <w:rPr>
          <w:rFonts w:hint="eastAsia" w:ascii="仿宋" w:hAnsi="仿宋" w:eastAsia="仿宋" w:cs="仿宋"/>
          <w:color w:val="auto"/>
          <w:sz w:val="24"/>
          <w:u w:val="single"/>
        </w:rPr>
        <w:t>（采购人）、（采购代理机构）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你方组织的（项目名称）项目【招标编号：（采购编号）】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pPr>
        <w:spacing w:line="360" w:lineRule="auto"/>
        <w:rPr>
          <w:rFonts w:ascii="仿宋" w:hAnsi="仿宋" w:eastAsia="仿宋" w:cs="仿宋"/>
          <w:color w:val="auto"/>
          <w:sz w:val="24"/>
        </w:rPr>
      </w:pPr>
    </w:p>
    <w:p>
      <w:pPr>
        <w:spacing w:line="360" w:lineRule="auto"/>
        <w:ind w:firstLine="494"/>
        <w:rPr>
          <w:rFonts w:ascii="仿宋" w:hAnsi="仿宋" w:eastAsia="仿宋" w:cs="仿宋"/>
          <w:color w:val="auto"/>
          <w:sz w:val="24"/>
        </w:rPr>
      </w:pPr>
    </w:p>
    <w:p>
      <w:pPr>
        <w:spacing w:line="360" w:lineRule="auto"/>
        <w:ind w:firstLine="494"/>
        <w:rPr>
          <w:rFonts w:ascii="仿宋" w:hAnsi="仿宋" w:eastAsia="仿宋" w:cs="仿宋"/>
          <w:color w:val="auto"/>
          <w:sz w:val="24"/>
        </w:rPr>
      </w:pPr>
    </w:p>
    <w:p>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rPr>
          <w:rFonts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rPr>
          <w:rFonts w:ascii="仿宋" w:hAnsi="仿宋" w:eastAsia="仿宋" w:cs="仿宋"/>
          <w:b/>
          <w:bCs/>
          <w:color w:val="auto"/>
          <w:sz w:val="32"/>
          <w:szCs w:val="32"/>
        </w:rPr>
      </w:pPr>
    </w:p>
    <w:p>
      <w:pPr>
        <w:rPr>
          <w:rFonts w:ascii="仿宋" w:hAnsi="仿宋" w:eastAsia="仿宋" w:cs="仿宋"/>
          <w:b/>
          <w:bCs/>
          <w:color w:val="auto"/>
          <w:sz w:val="32"/>
          <w:szCs w:val="32"/>
        </w:rPr>
      </w:pPr>
      <w:r>
        <w:rPr>
          <w:rFonts w:hint="eastAsia" w:ascii="仿宋" w:hAnsi="仿宋" w:eastAsia="仿宋" w:cs="仿宋"/>
          <w:b/>
          <w:bCs/>
          <w:color w:val="auto"/>
          <w:sz w:val="32"/>
          <w:szCs w:val="32"/>
        </w:rPr>
        <w:br w:type="page"/>
      </w:r>
    </w:p>
    <w:p>
      <w:pPr>
        <w:autoSpaceDE w:val="0"/>
        <w:autoSpaceDN w:val="0"/>
        <w:rPr>
          <w:rFonts w:ascii="仿宋" w:hAnsi="仿宋" w:eastAsia="仿宋" w:cs="仿宋"/>
          <w:b/>
          <w:bCs/>
          <w:color w:val="auto"/>
          <w:sz w:val="32"/>
          <w:szCs w:val="32"/>
          <w:lang w:val="zh-CN"/>
        </w:rPr>
      </w:pPr>
      <w:r>
        <w:rPr>
          <w:rFonts w:hint="eastAsia" w:ascii="仿宋" w:hAnsi="仿宋" w:eastAsia="仿宋" w:cs="仿宋"/>
          <w:b/>
          <w:bCs/>
          <w:color w:val="auto"/>
          <w:sz w:val="32"/>
          <w:szCs w:val="32"/>
        </w:rPr>
        <w:t>附件5：</w:t>
      </w:r>
      <w:r>
        <w:rPr>
          <w:rFonts w:hint="eastAsia" w:ascii="仿宋" w:hAnsi="仿宋" w:eastAsia="仿宋" w:cs="仿宋"/>
          <w:b/>
          <w:bCs/>
          <w:color w:val="auto"/>
          <w:sz w:val="32"/>
          <w:szCs w:val="32"/>
          <w:lang w:val="zh-CN"/>
        </w:rPr>
        <w:t>联合协议</w:t>
      </w:r>
    </w:p>
    <w:p>
      <w:pPr>
        <w:widowControl/>
        <w:spacing w:line="360" w:lineRule="auto"/>
        <w:ind w:firstLine="482" w:firstLineChars="200"/>
        <w:jc w:val="left"/>
        <w:rPr>
          <w:rFonts w:ascii="仿宋" w:hAnsi="仿宋" w:eastAsia="仿宋" w:cs="仿宋"/>
          <w:b/>
          <w:color w:val="auto"/>
          <w:sz w:val="24"/>
        </w:rPr>
      </w:pP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392" w:name="_Hlk101131882"/>
      <w:r>
        <w:rPr>
          <w:rFonts w:hint="eastAsia" w:ascii="仿宋" w:hAnsi="仿宋" w:eastAsia="仿宋" w:cs="仿宋"/>
          <w:color w:val="auto"/>
          <w:kern w:val="0"/>
          <w:sz w:val="24"/>
          <w:u w:val="single"/>
        </w:rPr>
        <w:t>联合体成员X,……</w:t>
      </w:r>
      <w:bookmarkEnd w:id="392"/>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393"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393"/>
      <w:r>
        <w:rPr>
          <w:rFonts w:hint="eastAsia" w:ascii="仿宋" w:hAnsi="仿宋" w:eastAsia="仿宋" w:cs="仿宋"/>
          <w:b/>
          <w:color w:val="auto"/>
          <w:kern w:val="0"/>
          <w:sz w:val="24"/>
          <w:lang w:val="zh-CN"/>
        </w:rPr>
        <w:t>）</w:t>
      </w:r>
    </w:p>
    <w:p>
      <w:pPr>
        <w:spacing w:line="360" w:lineRule="auto"/>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w:t>
      </w:r>
      <w:bookmarkStart w:id="394"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394"/>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spacing w:line="360" w:lineRule="auto"/>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widowControl/>
        <w:adjustRightInd/>
        <w:jc w:val="left"/>
        <w:rPr>
          <w:rFonts w:ascii="仿宋" w:hAnsi="仿宋" w:eastAsia="仿宋" w:cs="仿宋"/>
          <w:b/>
          <w:color w:val="auto"/>
          <w:spacing w:val="6"/>
          <w:sz w:val="32"/>
          <w:szCs w:val="32"/>
        </w:rPr>
      </w:pPr>
    </w:p>
    <w:p>
      <w:pPr>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br w:type="page"/>
      </w:r>
    </w:p>
    <w:p>
      <w:pPr>
        <w:autoSpaceDE w:val="0"/>
        <w:autoSpaceDN w:val="0"/>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附件6：分包意向协议</w:t>
      </w:r>
    </w:p>
    <w:p>
      <w:pPr>
        <w:widowControl/>
        <w:spacing w:line="360" w:lineRule="auto"/>
        <w:ind w:firstLine="120" w:firstLineChars="50"/>
        <w:jc w:val="left"/>
        <w:rPr>
          <w:rFonts w:ascii="仿宋" w:hAnsi="仿宋" w:eastAsia="仿宋" w:cs="仿宋"/>
          <w:color w:val="auto"/>
          <w:sz w:val="24"/>
        </w:rPr>
      </w:pP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的中标（成交）人，将依法采取分包方式履行合同。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3"/>
        <w:ind w:left="664" w:leftChars="316" w:firstLine="229" w:firstLineChars="95"/>
        <w:rPr>
          <w:rFonts w:ascii="仿宋" w:eastAsia="仿宋" w:cs="仿宋"/>
          <w:color w:val="auto"/>
          <w:sz w:val="24"/>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sz w:val="24"/>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auto"/>
        <w:ind w:firstLine="576"/>
        <w:rPr>
          <w:rFonts w:ascii="仿宋" w:hAnsi="仿宋" w:eastAsia="仿宋" w:cs="仿宋"/>
          <w:color w:val="auto"/>
          <w:sz w:val="24"/>
          <w:u w:val="single"/>
        </w:rPr>
      </w:pPr>
      <w:r>
        <w:rPr>
          <w:rFonts w:hint="eastAsia" w:ascii="仿宋" w:hAnsi="仿宋" w:eastAsia="仿宋" w:cs="仿宋"/>
          <w:color w:val="auto"/>
          <w:sz w:val="24"/>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sz w:val="24"/>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sz w:val="24"/>
          <w:u w:val="single"/>
        </w:rPr>
        <w:t xml:space="preserve">                                                                                     </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sz w:val="24"/>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sz w:val="24"/>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auto"/>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auto"/>
        <w:ind w:firstLine="5760" w:firstLineChars="2400"/>
        <w:rPr>
          <w:rFonts w:ascii="仿宋" w:hAnsi="仿宋" w:eastAsia="仿宋" w:cs="仿宋"/>
          <w:color w:val="auto"/>
          <w:sz w:val="24"/>
        </w:rPr>
      </w:pPr>
      <w:r>
        <w:rPr>
          <w:rFonts w:hint="eastAsia" w:ascii="仿宋" w:hAnsi="仿宋" w:eastAsia="仿宋" w:cs="仿宋"/>
          <w:color w:val="auto"/>
          <w:kern w:val="0"/>
          <w:sz w:val="24"/>
          <w:lang w:val="zh-CN"/>
        </w:rPr>
        <w:t>……</w:t>
      </w:r>
    </w:p>
    <w:p>
      <w:pPr>
        <w:snapToGrid w:val="0"/>
        <w:spacing w:line="360" w:lineRule="auto"/>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firstLine="480" w:firstLineChars="200"/>
        <w:rPr>
          <w:rFonts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autoSpaceDE w:val="0"/>
        <w:autoSpaceDN w:val="0"/>
        <w:jc w:val="left"/>
        <w:rPr>
          <w:rFonts w:ascii="仿宋" w:hAnsi="仿宋" w:eastAsia="仿宋" w:cs="仿宋"/>
          <w:b/>
          <w:bCs/>
          <w:color w:val="auto"/>
          <w:sz w:val="32"/>
          <w:szCs w:val="32"/>
        </w:rPr>
      </w:pPr>
      <w:r>
        <w:rPr>
          <w:rFonts w:hint="eastAsia" w:ascii="仿宋" w:hAnsi="仿宋" w:eastAsia="仿宋" w:cs="仿宋"/>
          <w:b/>
          <w:color w:val="auto"/>
          <w:spacing w:val="6"/>
          <w:sz w:val="32"/>
          <w:szCs w:val="32"/>
        </w:rPr>
        <w:t>附件7：</w:t>
      </w:r>
      <w:r>
        <w:rPr>
          <w:rFonts w:hint="eastAsia" w:ascii="仿宋" w:hAnsi="仿宋" w:eastAsia="仿宋" w:cs="仿宋"/>
          <w:b/>
          <w:color w:val="auto"/>
          <w:sz w:val="32"/>
          <w:szCs w:val="32"/>
        </w:rPr>
        <w:t>中小企业声明函</w:t>
      </w:r>
    </w:p>
    <w:p>
      <w:pPr>
        <w:spacing w:line="360" w:lineRule="auto"/>
        <w:jc w:val="center"/>
        <w:rPr>
          <w:rFonts w:ascii="仿宋" w:hAnsi="仿宋" w:eastAsia="仿宋" w:cs="仿宋"/>
          <w:color w:val="auto"/>
          <w:sz w:val="24"/>
          <w:u w:val="single"/>
        </w:rPr>
      </w:pP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 药品安全信息推广服务</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其他未列明行业</w:t>
      </w:r>
      <w:r>
        <w:rPr>
          <w:rFonts w:hint="eastAsia" w:ascii="仿宋" w:hAnsi="仿宋" w:eastAsia="仿宋" w:cs="仿宋"/>
          <w:color w:val="auto"/>
          <w:sz w:val="24"/>
          <w:u w:val="single"/>
        </w:rPr>
        <w:t>（招标文件中明确的所属行业）</w:t>
      </w:r>
      <w:r>
        <w:rPr>
          <w:rFonts w:hint="eastAsia" w:ascii="仿宋" w:hAnsi="仿宋" w:eastAsia="仿宋" w:cs="仿宋"/>
          <w:color w:val="auto"/>
          <w:sz w:val="24"/>
        </w:rPr>
        <w:t xml:space="preserve"> ；承接企业为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2.药品安全信息推广服务</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其他未列明行业</w:t>
      </w:r>
      <w:r>
        <w:rPr>
          <w:rFonts w:hint="eastAsia" w:ascii="仿宋" w:hAnsi="仿宋" w:eastAsia="仿宋" w:cs="仿宋"/>
          <w:color w:val="auto"/>
          <w:sz w:val="24"/>
          <w:u w:val="single"/>
        </w:rPr>
        <w:t>（招标文件中明确的所属行业）</w:t>
      </w:r>
      <w:r>
        <w:rPr>
          <w:rFonts w:hint="eastAsia" w:ascii="仿宋" w:hAnsi="仿宋" w:eastAsia="仿宋" w:cs="仿宋"/>
          <w:color w:val="auto"/>
          <w:sz w:val="24"/>
        </w:rPr>
        <w:t xml:space="preserve"> ；承接企业为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 期：</w:t>
      </w:r>
    </w:p>
    <w:p>
      <w:pPr>
        <w:spacing w:line="360" w:lineRule="auto"/>
        <w:ind w:firstLine="354" w:firstLineChars="147"/>
        <w:jc w:val="left"/>
        <w:rPr>
          <w:rFonts w:ascii="仿宋" w:hAnsi="仿宋" w:eastAsia="仿宋" w:cs="仿宋"/>
          <w:b/>
          <w:color w:val="auto"/>
          <w:sz w:val="24"/>
        </w:rPr>
      </w:pPr>
      <w:r>
        <w:rPr>
          <w:rFonts w:hint="eastAsia" w:ascii="仿宋" w:hAnsi="仿宋" w:eastAsia="仿宋" w:cs="仿宋"/>
          <w:b/>
          <w:color w:val="auto"/>
          <w:sz w:val="24"/>
        </w:rPr>
        <w:t>从业人员、营业收入、资产总额填报上一年度数据，无上一年度数据的新成立企业可不填报。</w:t>
      </w:r>
    </w:p>
    <w:p>
      <w:pPr>
        <w:spacing w:line="360" w:lineRule="auto"/>
        <w:ind w:right="420"/>
        <w:rPr>
          <w:rFonts w:ascii="仿宋" w:hAnsi="仿宋" w:eastAsia="仿宋" w:cs="仿宋"/>
          <w:color w:val="auto"/>
          <w:sz w:val="24"/>
        </w:rPr>
      </w:pPr>
    </w:p>
    <w:p>
      <w:pPr>
        <w:spacing w:line="360" w:lineRule="auto"/>
        <w:ind w:right="420"/>
        <w:rPr>
          <w:rFonts w:ascii="仿宋" w:hAnsi="仿宋" w:eastAsia="仿宋" w:cs="仿宋"/>
          <w:color w:val="auto"/>
          <w:sz w:val="24"/>
        </w:rPr>
      </w:pPr>
      <w:r>
        <w:rPr>
          <w:rFonts w:hint="eastAsia" w:ascii="仿宋" w:hAnsi="仿宋" w:eastAsia="仿宋" w:cs="仿宋"/>
          <w:color w:val="auto"/>
          <w:sz w:val="24"/>
        </w:rPr>
        <w:t xml:space="preserve">   注：</w:t>
      </w:r>
    </w:p>
    <w:p>
      <w:pPr>
        <w:spacing w:line="360" w:lineRule="auto"/>
        <w:ind w:right="420" w:firstLine="480" w:firstLineChars="200"/>
        <w:rPr>
          <w:rFonts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仿宋" w:eastAsia="仿宋" w:cs="仿宋"/>
          <w:color w:val="auto"/>
          <w:sz w:val="24"/>
          <w:szCs w:val="24"/>
          <w:lang w:val="en-US"/>
        </w:rPr>
      </w:pPr>
    </w:p>
    <w:p>
      <w:pPr>
        <w:spacing w:line="360" w:lineRule="auto"/>
        <w:ind w:right="420"/>
        <w:rPr>
          <w:rFonts w:ascii="仿宋" w:hAnsi="仿宋" w:eastAsia="仿宋" w:cs="仿宋"/>
          <w:color w:val="auto"/>
          <w:sz w:val="24"/>
        </w:rPr>
      </w:pPr>
    </w:p>
    <w:p>
      <w:pPr>
        <w:spacing w:line="360" w:lineRule="auto"/>
        <w:rPr>
          <w:rFonts w:ascii="仿宋" w:hAnsi="仿宋" w:eastAsia="仿宋" w:cs="仿宋"/>
          <w:bCs/>
          <w:color w:val="auto"/>
          <w:sz w:val="24"/>
        </w:rPr>
      </w:pPr>
    </w:p>
    <w:p>
      <w:pPr>
        <w:pStyle w:val="3"/>
        <w:rPr>
          <w:rFonts w:ascii="仿宋" w:eastAsia="仿宋" w:cs="仿宋"/>
          <w:color w:val="auto"/>
          <w:sz w:val="24"/>
          <w:szCs w:val="24"/>
          <w:lang w:val="en-US"/>
        </w:rPr>
      </w:pPr>
    </w:p>
    <w:p>
      <w:pPr>
        <w:spacing w:line="360" w:lineRule="auto"/>
        <w:ind w:right="420"/>
        <w:rPr>
          <w:rFonts w:ascii="仿宋" w:hAnsi="仿宋" w:eastAsia="仿宋" w:cs="仿宋"/>
          <w:color w:val="auto"/>
        </w:rPr>
      </w:pPr>
    </w:p>
    <w:p>
      <w:pPr>
        <w:spacing w:line="360" w:lineRule="auto"/>
        <w:rPr>
          <w:rFonts w:ascii="仿宋" w:hAnsi="仿宋" w:eastAsia="仿宋" w:cs="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440" w:right="1247"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71</w:t>
                          </w:r>
                          <w:r>
                            <w:fldChar w:fldCharType="end"/>
                          </w:r>
                          <w:r>
                            <w:t xml:space="preserve"> 页 共 </w:t>
                          </w:r>
                          <w:r>
                            <w:rPr>
                              <w:rFonts w:hint="eastAsia"/>
                              <w:lang w:val="en-US" w:eastAsia="zh-CN"/>
                            </w:rPr>
                            <w:t>69</w:t>
                          </w:r>
                          <w:r>
                            <w:t xml:space="preserve"> 页</w:t>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sy8HLAQAAmA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sKTEMoMTP//6eX74&#10;c/79g7xP+vQeaky795gYh49uwNz5HvAy0R5kMOmLhAjGUd3TRV0xRMLTo2pVVSWGOMZmB/GLp+c+&#10;QPwknCHJaGjA8WVV2fELxDF1TknVrLtRWucRakt6RL2q3l3lF5cQomuLRRKLsdtkxWE3TNR2rj0h&#10;sx53oKEWV54S/dmixGldZiPMxm4yUnnwHw4RW8idJdQRaiqGA8vcpuVKG/G3n7OefqjN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orMvBywEAAJgDAAAOAAAAAAAAAAEAIAAAACIBAABkcnMv&#10;ZTJvRG9jLnhtbFBLBQYAAAAABgAGAFkBAABfBQ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71</w:t>
                    </w:r>
                    <w:r>
                      <w:fldChar w:fldCharType="end"/>
                    </w:r>
                    <w:r>
                      <w:t xml:space="preserve"> 页 共 </w:t>
                    </w:r>
                    <w:r>
                      <w:rPr>
                        <w:rFonts w:hint="eastAsia"/>
                        <w:lang w:val="en-US" w:eastAsia="zh-CN"/>
                      </w:rPr>
                      <w:t>69</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lang w:val="en-US" w:eastAsia="zh-CN"/>
                            </w:rPr>
                            <w:t>69</w:t>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lang w:val="en-US" w:eastAsia="zh-CN"/>
                      </w:rPr>
                      <w:t>69</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69</w:t>
                          </w:r>
                          <w:r>
                            <w:t xml:space="preserve"> 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xFBO3LAQAAlw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yUnnw7/YRW8idJdQRaiqG88rcpt1KC/G3n7Oe/6f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cRQTtywEAAJcDAAAOAAAAAAAAAAEAIAAAACIBAABkcnMv&#10;ZTJvRG9jLnhtbFBLBQYAAAAABgAGAFkBAABfBQ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69</w:t>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70</w:t>
                          </w:r>
                          <w: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KT3MAywEAAJcDAAAOAAAAAAAAAAEAIAAAACIBAABkcnMv&#10;ZTJvRG9jLnhtbFBLBQYAAAAABgAGAFkBAABfBQ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70</w:t>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6yzjnLAQAAl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OHbLDA789OP76efv&#10;069v5CbJ03uoMevZY14cHtyASzPfA14m1oMMJn2RD8E4ins8iyuGSHh6VC2rqsQQx9jsIH7x8twH&#10;iO+FMyQZDQ04vSwqO3yEOKbOKamadY9K6zxBbUmPqNfV7XV+cQ4hurZYJLEYu01WHLbDRG3r2iMy&#10;63EFGmpx4ynRHywqnLZlNsJsbCcjlQd/v4/YQu4soY5QUzGcV+Y27VZaiL/9nPXyP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Oss45ywEAAJcDAAAOAAAAAAAAAAEAIAAAACIBAABkcnMv&#10;ZTJvRG9jLnhtbFBLBQYAAAAABgAGAFkBAABfBQ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70</w:t>
                          </w:r>
                          <w:r>
                            <w:fldChar w:fldCharType="end"/>
                          </w:r>
                          <w:r>
                            <w:t xml:space="preserve"> 页 共 </w:t>
                          </w:r>
                          <w:r>
                            <w:rPr>
                              <w:rFonts w:hint="eastAsia"/>
                              <w:lang w:val="en-US" w:eastAsia="zh-CN"/>
                            </w:rPr>
                            <w:t>69</w:t>
                          </w:r>
                          <w:r>
                            <w:t xml:space="preserve"> 页</w:t>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i4udTLAQAAlw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31NimcGBn37+OP36&#10;c/r9nVwneXoPNWbde8yLw0c34NLM94CXifUgg0lf5EMwjuIez+KKIRKeHlXLqioxxDE2O4hfPD33&#10;AeKdcIYko6EBp5dFZYfPEMfUOSVVs+5WaZ0nqC3pEfWyur7ML84hRNcWiyQWY7fJisN2mKhtXXtE&#10;Zj2uQEMtbjwl+pNFhdO2zEaYje1kpPLgP+w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YuLnUywEAAJcDAAAOAAAAAAAAAAEAIAAAACIBAABkcnMv&#10;ZTJvRG9jLnhtbFBLBQYAAAAABgAGAFkBAABfBQ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70</w:t>
                    </w:r>
                    <w:r>
                      <w:fldChar w:fldCharType="end"/>
                    </w:r>
                    <w:r>
                      <w:t xml:space="preserve"> 页 共 </w:t>
                    </w:r>
                    <w:r>
                      <w:rPr>
                        <w:rFonts w:hint="eastAsia"/>
                        <w:lang w:val="en-US" w:eastAsia="zh-CN"/>
                      </w:rPr>
                      <w:t>69</w:t>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84</w:t>
                          </w:r>
                          <w:r>
                            <w:fldChar w:fldCharType="end"/>
                          </w:r>
                          <w:r>
                            <w:t xml:space="preserve"> 页 共 </w:t>
                          </w:r>
                          <w:r>
                            <w:rPr>
                              <w:rFonts w:hint="eastAsia"/>
                              <w:lang w:val="en-US" w:eastAsia="zh-CN"/>
                            </w:rPr>
                            <w:t>69</w:t>
                          </w:r>
                          <w:r>
                            <w:t xml:space="preserve"> 页</w:t>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6mvCzKAQAAmA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BY3ASWxzODET79/nf78&#10;O/39SaqkT++hxrR7j4lx+OQGzJ3vAS8T7UEGk75IiGAcoY5ndcUQCU+PqmVVlRjiGJsdxC8en/sA&#10;8bNwhiSjoQHHl1Vlh68Qx9Q5JVWz7lZpnUeoLekR9bK6uswvziFE1xaLJBZjt8mKw3aYqG1de0Rm&#10;Pe5AQy2uPCX6i0WJsdM4G2E2tpORyoO/2UdsIXeWUEeoqRgOLHOblittxFM/Zz3+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L6mvCzKAQAAmAMAAA4AAAAAAAAAAQAgAAAAIgEAAGRycy9l&#10;Mm9Eb2MueG1sUEsFBgAAAAAGAAYAWQEAAF4FA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84</w:t>
                    </w:r>
                    <w:r>
                      <w:fldChar w:fldCharType="end"/>
                    </w:r>
                    <w:r>
                      <w:t xml:space="preserve"> 页 共 </w:t>
                    </w:r>
                    <w:r>
                      <w:rPr>
                        <w:rFonts w:hint="eastAsia"/>
                        <w:lang w:val="en-US" w:eastAsia="zh-CN"/>
                      </w:rPr>
                      <w:t>69</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0"/>
      </w:pBdr>
      <w:jc w:val="right"/>
    </w:pPr>
    <w:r>
      <w:t>杭州市</w:t>
    </w:r>
    <w:r>
      <w:rPr>
        <w:rFonts w:hint="eastAsia"/>
      </w:rPr>
      <w:t>钱塘区</w:t>
    </w:r>
    <w:r>
      <w:t>政府采购</w:t>
    </w:r>
    <w:r>
      <w:rPr>
        <w:rFonts w:hint="eastAsia"/>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rPr>
        <w:rFonts w:hint="eastAsia" w:ascii="仿宋" w:hAnsi="仿宋" w:eastAsia="仿宋" w:cs="仿宋"/>
        <w:sz w:val="21"/>
        <w:szCs w:val="21"/>
        <w:lang w:val="en-US" w:eastAsia="zh-CN"/>
      </w:rPr>
      <w:t>药品安全信息推广服务项目公开招标文件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4"/>
      </w:pBdr>
      <w:jc w:val="right"/>
      <w:rPr>
        <w:rFonts w:ascii="仿宋_GB2312"/>
        <w:i/>
        <w:sz w:val="21"/>
        <w:szCs w:val="21"/>
        <w:u w:val="single"/>
      </w:rPr>
    </w:pPr>
    <w:r>
      <w:t></w:t>
    </w:r>
    <w:r>
      <w:rPr>
        <w:rFonts w:hint="eastAsia" w:ascii="仿宋" w:hAnsi="仿宋" w:eastAsia="仿宋" w:cs="仿宋"/>
        <w:sz w:val="21"/>
        <w:szCs w:val="21"/>
        <w:lang w:val="en-US" w:eastAsia="zh-CN"/>
      </w:rPr>
      <w:t>药品安全信息推广服务项目</w:t>
    </w:r>
    <w:r>
      <w:rPr>
        <w:rFonts w:hint="eastAsia" w:ascii="仿宋" w:hAnsi="仿宋" w:eastAsia="仿宋" w:cs="仿宋"/>
        <w:sz w:val="21"/>
        <w:szCs w:val="21"/>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 w:hAnsi="仿宋" w:eastAsia="仿宋" w:cs="仿宋"/>
        <w:b/>
        <w:i/>
        <w:u w:val="single"/>
      </w:rPr>
    </w:pPr>
    <w:r>
      <w:t></w:t>
    </w:r>
    <w:r>
      <w:rPr>
        <w:rFonts w:hint="eastAsia" w:ascii="仿宋" w:hAnsi="仿宋" w:eastAsia="仿宋" w:cs="仿宋"/>
      </w:rPr>
      <w:t xml:space="preserve"> </w:t>
    </w:r>
    <w:r>
      <w:rPr>
        <w:rFonts w:hint="eastAsia" w:ascii="仿宋" w:hAnsi="仿宋" w:eastAsia="仿宋" w:cs="仿宋"/>
        <w:sz w:val="21"/>
        <w:szCs w:val="21"/>
        <w:lang w:val="en-US" w:eastAsia="zh-CN"/>
      </w:rPr>
      <w:t>药品安全信息推广服务项目</w:t>
    </w:r>
    <w:r>
      <w:rPr>
        <w:rFonts w:hint="eastAsia" w:ascii="仿宋" w:hAnsi="仿宋" w:eastAsia="仿宋" w:cs="仿宋"/>
        <w:sz w:val="21"/>
        <w:szCs w:val="21"/>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eastAsia="zh-CN"/>
      </w:rPr>
      <w:t></w:t>
    </w:r>
    <w:r>
      <w:rPr>
        <w:rFonts w:hint="eastAsia" w:ascii="仿宋" w:hAnsi="仿宋" w:eastAsia="仿宋" w:cs="仿宋"/>
        <w:sz w:val="21"/>
        <w:szCs w:val="21"/>
        <w:lang w:eastAsia="zh-CN"/>
      </w:rPr>
      <w:t>药品安全信息推广服务项目</w:t>
    </w:r>
    <w:r>
      <w:rPr>
        <w:rFonts w:hint="eastAsia" w:ascii="仿宋" w:hAnsi="仿宋" w:eastAsia="仿宋" w:cs="仿宋"/>
        <w:sz w:val="21"/>
        <w:szCs w:val="21"/>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rPr>
        <w:rFonts w:hint="eastAsia"/>
        <w:lang w:eastAsia="zh-CN"/>
      </w:rPr>
      <w:t>药品安全信息推广服务项目</w:t>
    </w: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rPr>
        <w:rFonts w:hint="eastAsia" w:ascii="仿宋" w:hAnsi="仿宋" w:eastAsia="仿宋" w:cs="仿宋"/>
        <w:sz w:val="21"/>
        <w:szCs w:val="21"/>
        <w:lang w:val="en-US" w:eastAsia="zh-CN"/>
      </w:rPr>
      <w:t>药品安全信息推广服务项目公开招标文件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 w:hAnsi="仿宋" w:eastAsia="仿宋" w:cs="仿宋"/>
        <w:b/>
        <w:i/>
        <w:iCs/>
        <w:u w:val="single"/>
      </w:rPr>
    </w:pPr>
    <w:r>
      <w:t></w:t>
    </w:r>
    <w:r>
      <w:rPr>
        <w:rFonts w:hint="eastAsia" w:ascii="仿宋" w:hAnsi="仿宋" w:eastAsia="仿宋" w:cs="仿宋"/>
        <w:sz w:val="21"/>
        <w:szCs w:val="21"/>
        <w:lang w:val="en-US" w:eastAsia="zh-CN"/>
      </w:rPr>
      <w:t>药品安全信息推广服务项目公开招标文件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CF3C5"/>
    <w:multiLevelType w:val="singleLevel"/>
    <w:tmpl w:val="AA3CF3C5"/>
    <w:lvl w:ilvl="0" w:tentative="0">
      <w:start w:val="4"/>
      <w:numFmt w:val="chineseCounting"/>
      <w:suff w:val="nothing"/>
      <w:lvlText w:val="%1、"/>
      <w:lvlJc w:val="left"/>
      <w:rPr>
        <w:rFonts w:hint="eastAsia"/>
      </w:rPr>
    </w:lvl>
  </w:abstractNum>
  <w:abstractNum w:abstractNumId="1">
    <w:nsid w:val="634FD38B"/>
    <w:multiLevelType w:val="singleLevel"/>
    <w:tmpl w:val="634FD38B"/>
    <w:lvl w:ilvl="0" w:tentative="0">
      <w:start w:val="2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documentProtection w:edit="trackedChange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ZjQxNTcxMTE3ODI5NDM0YzVkMWFjM2NhZmYwM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07C"/>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9B0"/>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3F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371"/>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2E"/>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31F"/>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5C"/>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BC9"/>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6D6"/>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5BED"/>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C4A"/>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589"/>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7D9"/>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BF"/>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459"/>
    <w:rsid w:val="00FF49B4"/>
    <w:rsid w:val="00FF49F4"/>
    <w:rsid w:val="00FF5C6A"/>
    <w:rsid w:val="00FF651D"/>
    <w:rsid w:val="00FF6843"/>
    <w:rsid w:val="00FF6C25"/>
    <w:rsid w:val="010651D9"/>
    <w:rsid w:val="011F6449"/>
    <w:rsid w:val="01236AFB"/>
    <w:rsid w:val="016E359E"/>
    <w:rsid w:val="019F7441"/>
    <w:rsid w:val="01B37585"/>
    <w:rsid w:val="01D55165"/>
    <w:rsid w:val="01DF6BF8"/>
    <w:rsid w:val="01E94BA1"/>
    <w:rsid w:val="01EC2C57"/>
    <w:rsid w:val="01FF1E15"/>
    <w:rsid w:val="026B2E25"/>
    <w:rsid w:val="02824D4D"/>
    <w:rsid w:val="02DC4B10"/>
    <w:rsid w:val="02DD76CE"/>
    <w:rsid w:val="02DF78A2"/>
    <w:rsid w:val="02F36323"/>
    <w:rsid w:val="02F5619C"/>
    <w:rsid w:val="0326446A"/>
    <w:rsid w:val="032D5555"/>
    <w:rsid w:val="034A0161"/>
    <w:rsid w:val="03640209"/>
    <w:rsid w:val="036634D2"/>
    <w:rsid w:val="037E6D7C"/>
    <w:rsid w:val="03DB41BC"/>
    <w:rsid w:val="03DD35E4"/>
    <w:rsid w:val="04076900"/>
    <w:rsid w:val="041A5A3B"/>
    <w:rsid w:val="042311BA"/>
    <w:rsid w:val="042B157A"/>
    <w:rsid w:val="043961DE"/>
    <w:rsid w:val="043C2B7B"/>
    <w:rsid w:val="048F763B"/>
    <w:rsid w:val="049F330E"/>
    <w:rsid w:val="04AA775C"/>
    <w:rsid w:val="04AF1889"/>
    <w:rsid w:val="04B52267"/>
    <w:rsid w:val="04EC4D0A"/>
    <w:rsid w:val="04F66F48"/>
    <w:rsid w:val="05251E14"/>
    <w:rsid w:val="0558476D"/>
    <w:rsid w:val="05A16594"/>
    <w:rsid w:val="05A7762D"/>
    <w:rsid w:val="05F41C2F"/>
    <w:rsid w:val="060E5941"/>
    <w:rsid w:val="06110FAF"/>
    <w:rsid w:val="06493CA7"/>
    <w:rsid w:val="065A6178"/>
    <w:rsid w:val="066F1CF3"/>
    <w:rsid w:val="06930BB8"/>
    <w:rsid w:val="06A82D00"/>
    <w:rsid w:val="072365A6"/>
    <w:rsid w:val="07245D42"/>
    <w:rsid w:val="07264C62"/>
    <w:rsid w:val="07391925"/>
    <w:rsid w:val="0779354C"/>
    <w:rsid w:val="07A373EA"/>
    <w:rsid w:val="07A807FE"/>
    <w:rsid w:val="07C8288B"/>
    <w:rsid w:val="07CC09EB"/>
    <w:rsid w:val="07D258D6"/>
    <w:rsid w:val="07E07FF3"/>
    <w:rsid w:val="07F26666"/>
    <w:rsid w:val="08061376"/>
    <w:rsid w:val="08452D77"/>
    <w:rsid w:val="085A10FD"/>
    <w:rsid w:val="086401F8"/>
    <w:rsid w:val="08751CAA"/>
    <w:rsid w:val="087E4C40"/>
    <w:rsid w:val="08D66AD6"/>
    <w:rsid w:val="08DA33A3"/>
    <w:rsid w:val="08E80F13"/>
    <w:rsid w:val="08FA22BF"/>
    <w:rsid w:val="09123260"/>
    <w:rsid w:val="09335624"/>
    <w:rsid w:val="0944690F"/>
    <w:rsid w:val="09535675"/>
    <w:rsid w:val="095F057D"/>
    <w:rsid w:val="09642282"/>
    <w:rsid w:val="09733572"/>
    <w:rsid w:val="09772C16"/>
    <w:rsid w:val="098353B5"/>
    <w:rsid w:val="09A92330"/>
    <w:rsid w:val="09B06B87"/>
    <w:rsid w:val="09C13146"/>
    <w:rsid w:val="09CA0F5B"/>
    <w:rsid w:val="09D973F0"/>
    <w:rsid w:val="09E04166"/>
    <w:rsid w:val="0A061A8E"/>
    <w:rsid w:val="0A1C0718"/>
    <w:rsid w:val="0A3E7710"/>
    <w:rsid w:val="0A5B7E63"/>
    <w:rsid w:val="0AA374A5"/>
    <w:rsid w:val="0AAB7649"/>
    <w:rsid w:val="0ABC5606"/>
    <w:rsid w:val="0B0A5437"/>
    <w:rsid w:val="0B30404E"/>
    <w:rsid w:val="0B4C6C14"/>
    <w:rsid w:val="0B4D205F"/>
    <w:rsid w:val="0B51622F"/>
    <w:rsid w:val="0B631A88"/>
    <w:rsid w:val="0B683D45"/>
    <w:rsid w:val="0B6D70C7"/>
    <w:rsid w:val="0B772F9A"/>
    <w:rsid w:val="0B7F3F11"/>
    <w:rsid w:val="0B884417"/>
    <w:rsid w:val="0BBB4540"/>
    <w:rsid w:val="0BF6188C"/>
    <w:rsid w:val="0BF73C91"/>
    <w:rsid w:val="0C170175"/>
    <w:rsid w:val="0C372D53"/>
    <w:rsid w:val="0C571A41"/>
    <w:rsid w:val="0C5C1171"/>
    <w:rsid w:val="0C5E1CBC"/>
    <w:rsid w:val="0C615B50"/>
    <w:rsid w:val="0C8445DA"/>
    <w:rsid w:val="0C852898"/>
    <w:rsid w:val="0C87121B"/>
    <w:rsid w:val="0CC007F7"/>
    <w:rsid w:val="0CCD7D5B"/>
    <w:rsid w:val="0CD914B5"/>
    <w:rsid w:val="0CFE707A"/>
    <w:rsid w:val="0D063BDA"/>
    <w:rsid w:val="0D08375F"/>
    <w:rsid w:val="0D0A6DC1"/>
    <w:rsid w:val="0D184CFB"/>
    <w:rsid w:val="0D4A7419"/>
    <w:rsid w:val="0D5F3705"/>
    <w:rsid w:val="0D827401"/>
    <w:rsid w:val="0D84094E"/>
    <w:rsid w:val="0D8A00E9"/>
    <w:rsid w:val="0D8D589E"/>
    <w:rsid w:val="0DA01C73"/>
    <w:rsid w:val="0DD63300"/>
    <w:rsid w:val="0DF50604"/>
    <w:rsid w:val="0DF702FE"/>
    <w:rsid w:val="0E060E51"/>
    <w:rsid w:val="0E1529C0"/>
    <w:rsid w:val="0E181A3C"/>
    <w:rsid w:val="0E5604B2"/>
    <w:rsid w:val="0E645087"/>
    <w:rsid w:val="0E6D5D79"/>
    <w:rsid w:val="0E9658AF"/>
    <w:rsid w:val="0E9D0089"/>
    <w:rsid w:val="0EAE30D6"/>
    <w:rsid w:val="0EB803EE"/>
    <w:rsid w:val="0EBD624E"/>
    <w:rsid w:val="0ECA3487"/>
    <w:rsid w:val="0ECC4B2E"/>
    <w:rsid w:val="0EF63A53"/>
    <w:rsid w:val="0EF94D4B"/>
    <w:rsid w:val="0F3D5D2B"/>
    <w:rsid w:val="0F4958DC"/>
    <w:rsid w:val="0F515DF7"/>
    <w:rsid w:val="0F596BA8"/>
    <w:rsid w:val="0F6248D2"/>
    <w:rsid w:val="0F693536"/>
    <w:rsid w:val="0F7B0511"/>
    <w:rsid w:val="0F7B76D9"/>
    <w:rsid w:val="0F7B797C"/>
    <w:rsid w:val="0F816ACD"/>
    <w:rsid w:val="0F9832DB"/>
    <w:rsid w:val="0FBF3FD2"/>
    <w:rsid w:val="0FBF7FF3"/>
    <w:rsid w:val="0FC62BD4"/>
    <w:rsid w:val="10601025"/>
    <w:rsid w:val="10646583"/>
    <w:rsid w:val="107269C9"/>
    <w:rsid w:val="107D4B15"/>
    <w:rsid w:val="108A3C80"/>
    <w:rsid w:val="10C26171"/>
    <w:rsid w:val="10D47AD6"/>
    <w:rsid w:val="10F33360"/>
    <w:rsid w:val="10FC16EA"/>
    <w:rsid w:val="110F1D40"/>
    <w:rsid w:val="11162638"/>
    <w:rsid w:val="11266F33"/>
    <w:rsid w:val="113C0484"/>
    <w:rsid w:val="118963A1"/>
    <w:rsid w:val="11C6522A"/>
    <w:rsid w:val="11E104CC"/>
    <w:rsid w:val="11E20309"/>
    <w:rsid w:val="11E21676"/>
    <w:rsid w:val="11EE1D7B"/>
    <w:rsid w:val="11F9133B"/>
    <w:rsid w:val="12255233"/>
    <w:rsid w:val="12530213"/>
    <w:rsid w:val="127723A9"/>
    <w:rsid w:val="12862074"/>
    <w:rsid w:val="12883966"/>
    <w:rsid w:val="129E45B4"/>
    <w:rsid w:val="12A04F4F"/>
    <w:rsid w:val="12C2066C"/>
    <w:rsid w:val="12CA2B59"/>
    <w:rsid w:val="12D81596"/>
    <w:rsid w:val="13072A44"/>
    <w:rsid w:val="134B1FE3"/>
    <w:rsid w:val="1357061D"/>
    <w:rsid w:val="135F4BE2"/>
    <w:rsid w:val="139B1A0A"/>
    <w:rsid w:val="139D25C7"/>
    <w:rsid w:val="13BB725D"/>
    <w:rsid w:val="13BF3CE4"/>
    <w:rsid w:val="13EF7DF0"/>
    <w:rsid w:val="13F466E6"/>
    <w:rsid w:val="14032507"/>
    <w:rsid w:val="14057CE6"/>
    <w:rsid w:val="141008D8"/>
    <w:rsid w:val="14125FE6"/>
    <w:rsid w:val="14173326"/>
    <w:rsid w:val="146D271E"/>
    <w:rsid w:val="14982588"/>
    <w:rsid w:val="149A5AD9"/>
    <w:rsid w:val="14A7619D"/>
    <w:rsid w:val="14AF2F65"/>
    <w:rsid w:val="150536C3"/>
    <w:rsid w:val="150C1963"/>
    <w:rsid w:val="151447A0"/>
    <w:rsid w:val="154A6454"/>
    <w:rsid w:val="15707C41"/>
    <w:rsid w:val="15762120"/>
    <w:rsid w:val="161875C2"/>
    <w:rsid w:val="16A8729C"/>
    <w:rsid w:val="16B33777"/>
    <w:rsid w:val="16B54D41"/>
    <w:rsid w:val="16BC70A7"/>
    <w:rsid w:val="16C6339E"/>
    <w:rsid w:val="16F133D9"/>
    <w:rsid w:val="170F26A3"/>
    <w:rsid w:val="172F2D79"/>
    <w:rsid w:val="17557BEF"/>
    <w:rsid w:val="178564C1"/>
    <w:rsid w:val="17877E7A"/>
    <w:rsid w:val="17D349C1"/>
    <w:rsid w:val="1821183E"/>
    <w:rsid w:val="1830729E"/>
    <w:rsid w:val="1870062C"/>
    <w:rsid w:val="18817102"/>
    <w:rsid w:val="18830A15"/>
    <w:rsid w:val="18852B28"/>
    <w:rsid w:val="188B5321"/>
    <w:rsid w:val="18B74823"/>
    <w:rsid w:val="197B7B7C"/>
    <w:rsid w:val="19932372"/>
    <w:rsid w:val="19A20DD5"/>
    <w:rsid w:val="19AE03F1"/>
    <w:rsid w:val="1A071A03"/>
    <w:rsid w:val="1A1B5468"/>
    <w:rsid w:val="1A1F16AE"/>
    <w:rsid w:val="1A3B5C77"/>
    <w:rsid w:val="1A7F2221"/>
    <w:rsid w:val="1A824F3A"/>
    <w:rsid w:val="1A984BAD"/>
    <w:rsid w:val="1A991D03"/>
    <w:rsid w:val="1AA41354"/>
    <w:rsid w:val="1AA749A0"/>
    <w:rsid w:val="1AB8220E"/>
    <w:rsid w:val="1ADD688E"/>
    <w:rsid w:val="1AE4166C"/>
    <w:rsid w:val="1AF06CFB"/>
    <w:rsid w:val="1AF11B8D"/>
    <w:rsid w:val="1B11359C"/>
    <w:rsid w:val="1B2A271F"/>
    <w:rsid w:val="1B36772F"/>
    <w:rsid w:val="1B3D1D91"/>
    <w:rsid w:val="1B530544"/>
    <w:rsid w:val="1B713184"/>
    <w:rsid w:val="1BA209CF"/>
    <w:rsid w:val="1BB4777D"/>
    <w:rsid w:val="1BD75AB8"/>
    <w:rsid w:val="1BDA3226"/>
    <w:rsid w:val="1BF70B1B"/>
    <w:rsid w:val="1C0459C2"/>
    <w:rsid w:val="1C1B3B4A"/>
    <w:rsid w:val="1C405668"/>
    <w:rsid w:val="1C414149"/>
    <w:rsid w:val="1C4B4B4C"/>
    <w:rsid w:val="1C755C9C"/>
    <w:rsid w:val="1C88086E"/>
    <w:rsid w:val="1C986C96"/>
    <w:rsid w:val="1D0E0D07"/>
    <w:rsid w:val="1D266CE1"/>
    <w:rsid w:val="1D3963AF"/>
    <w:rsid w:val="1D5040B2"/>
    <w:rsid w:val="1D6A673C"/>
    <w:rsid w:val="1D714DDC"/>
    <w:rsid w:val="1D9247AE"/>
    <w:rsid w:val="1DB567EC"/>
    <w:rsid w:val="1DC97914"/>
    <w:rsid w:val="1DD71A40"/>
    <w:rsid w:val="1DF51A98"/>
    <w:rsid w:val="1E116D00"/>
    <w:rsid w:val="1E2C58E8"/>
    <w:rsid w:val="1E3D060F"/>
    <w:rsid w:val="1E3F7D2E"/>
    <w:rsid w:val="1E4134E4"/>
    <w:rsid w:val="1E5062B3"/>
    <w:rsid w:val="1E523514"/>
    <w:rsid w:val="1E714A66"/>
    <w:rsid w:val="1E802593"/>
    <w:rsid w:val="1E874E4D"/>
    <w:rsid w:val="1E8E331F"/>
    <w:rsid w:val="1EA703CC"/>
    <w:rsid w:val="1EB7330C"/>
    <w:rsid w:val="1F0A0FF3"/>
    <w:rsid w:val="1F5771FF"/>
    <w:rsid w:val="1F616604"/>
    <w:rsid w:val="1F6F4BC0"/>
    <w:rsid w:val="1F8B41DC"/>
    <w:rsid w:val="1F9E45C4"/>
    <w:rsid w:val="1FC16504"/>
    <w:rsid w:val="1FCD30FB"/>
    <w:rsid w:val="1FE868A9"/>
    <w:rsid w:val="1FEB3581"/>
    <w:rsid w:val="20034907"/>
    <w:rsid w:val="20173E4B"/>
    <w:rsid w:val="204E48BC"/>
    <w:rsid w:val="208921B3"/>
    <w:rsid w:val="20973DEB"/>
    <w:rsid w:val="20B10327"/>
    <w:rsid w:val="20B26522"/>
    <w:rsid w:val="20B44310"/>
    <w:rsid w:val="211116EB"/>
    <w:rsid w:val="213A7B26"/>
    <w:rsid w:val="213C62A7"/>
    <w:rsid w:val="2140451F"/>
    <w:rsid w:val="21537630"/>
    <w:rsid w:val="216133FC"/>
    <w:rsid w:val="218026AF"/>
    <w:rsid w:val="21806242"/>
    <w:rsid w:val="21D56769"/>
    <w:rsid w:val="21E52EF3"/>
    <w:rsid w:val="21EE4C40"/>
    <w:rsid w:val="21FB5D7B"/>
    <w:rsid w:val="220B1C3D"/>
    <w:rsid w:val="221D1D20"/>
    <w:rsid w:val="222B46FB"/>
    <w:rsid w:val="22334A87"/>
    <w:rsid w:val="226513C9"/>
    <w:rsid w:val="22AD4B1E"/>
    <w:rsid w:val="22BE6801"/>
    <w:rsid w:val="232362DA"/>
    <w:rsid w:val="233500BF"/>
    <w:rsid w:val="23377FF7"/>
    <w:rsid w:val="236B425F"/>
    <w:rsid w:val="23836192"/>
    <w:rsid w:val="23901F29"/>
    <w:rsid w:val="239C0061"/>
    <w:rsid w:val="23B908A4"/>
    <w:rsid w:val="23E95BEF"/>
    <w:rsid w:val="23F73406"/>
    <w:rsid w:val="23FD0064"/>
    <w:rsid w:val="245375B0"/>
    <w:rsid w:val="24642C0A"/>
    <w:rsid w:val="248C6BB8"/>
    <w:rsid w:val="24B22173"/>
    <w:rsid w:val="24B95AD9"/>
    <w:rsid w:val="24BE24DA"/>
    <w:rsid w:val="24CF5825"/>
    <w:rsid w:val="24D663E6"/>
    <w:rsid w:val="24D77F2B"/>
    <w:rsid w:val="24DB3BC4"/>
    <w:rsid w:val="24ED1C2C"/>
    <w:rsid w:val="25545142"/>
    <w:rsid w:val="25666BEA"/>
    <w:rsid w:val="256E3173"/>
    <w:rsid w:val="257F568B"/>
    <w:rsid w:val="258B00E2"/>
    <w:rsid w:val="258C59D8"/>
    <w:rsid w:val="25A06C79"/>
    <w:rsid w:val="25A917A6"/>
    <w:rsid w:val="25BE27CC"/>
    <w:rsid w:val="25D845A8"/>
    <w:rsid w:val="25F55855"/>
    <w:rsid w:val="25F74A5C"/>
    <w:rsid w:val="26192901"/>
    <w:rsid w:val="2628662C"/>
    <w:rsid w:val="262D45DE"/>
    <w:rsid w:val="26A53EF9"/>
    <w:rsid w:val="26A94201"/>
    <w:rsid w:val="26AC274F"/>
    <w:rsid w:val="27044A29"/>
    <w:rsid w:val="271D34C8"/>
    <w:rsid w:val="276142BF"/>
    <w:rsid w:val="27783712"/>
    <w:rsid w:val="27907362"/>
    <w:rsid w:val="27D86739"/>
    <w:rsid w:val="28007E03"/>
    <w:rsid w:val="28333E1D"/>
    <w:rsid w:val="28454BD6"/>
    <w:rsid w:val="28455253"/>
    <w:rsid w:val="28551971"/>
    <w:rsid w:val="285B1C53"/>
    <w:rsid w:val="28834ADA"/>
    <w:rsid w:val="289F7086"/>
    <w:rsid w:val="28C32028"/>
    <w:rsid w:val="28CC490F"/>
    <w:rsid w:val="28DA3746"/>
    <w:rsid w:val="28DE40AA"/>
    <w:rsid w:val="28E43A61"/>
    <w:rsid w:val="291E2A83"/>
    <w:rsid w:val="29345E77"/>
    <w:rsid w:val="294C65AD"/>
    <w:rsid w:val="29575C73"/>
    <w:rsid w:val="296A6B0A"/>
    <w:rsid w:val="297B7724"/>
    <w:rsid w:val="297F2FC3"/>
    <w:rsid w:val="29806583"/>
    <w:rsid w:val="298760C9"/>
    <w:rsid w:val="298B3C4C"/>
    <w:rsid w:val="29A86BF3"/>
    <w:rsid w:val="29CC2210"/>
    <w:rsid w:val="29F26D24"/>
    <w:rsid w:val="2A15033F"/>
    <w:rsid w:val="2A1662C1"/>
    <w:rsid w:val="2A1C7367"/>
    <w:rsid w:val="2A2815FA"/>
    <w:rsid w:val="2A4346D9"/>
    <w:rsid w:val="2A6D6092"/>
    <w:rsid w:val="2A7D76B4"/>
    <w:rsid w:val="2A892376"/>
    <w:rsid w:val="2AAB67BE"/>
    <w:rsid w:val="2ACB7893"/>
    <w:rsid w:val="2ADB2B70"/>
    <w:rsid w:val="2AE621C1"/>
    <w:rsid w:val="2AFF256D"/>
    <w:rsid w:val="2B437463"/>
    <w:rsid w:val="2B7807EE"/>
    <w:rsid w:val="2B990335"/>
    <w:rsid w:val="2BAF7B59"/>
    <w:rsid w:val="2BB942CC"/>
    <w:rsid w:val="2BBC2259"/>
    <w:rsid w:val="2BBF00EC"/>
    <w:rsid w:val="2BC37CFD"/>
    <w:rsid w:val="2BD5237F"/>
    <w:rsid w:val="2BE536CE"/>
    <w:rsid w:val="2BE758D9"/>
    <w:rsid w:val="2C09049E"/>
    <w:rsid w:val="2C0A653C"/>
    <w:rsid w:val="2C191F85"/>
    <w:rsid w:val="2C1D2195"/>
    <w:rsid w:val="2C5A1B12"/>
    <w:rsid w:val="2CA4097B"/>
    <w:rsid w:val="2CBD6670"/>
    <w:rsid w:val="2CE82D6F"/>
    <w:rsid w:val="2D343236"/>
    <w:rsid w:val="2D493370"/>
    <w:rsid w:val="2D74642A"/>
    <w:rsid w:val="2DA01E52"/>
    <w:rsid w:val="2DD15014"/>
    <w:rsid w:val="2DF72DE4"/>
    <w:rsid w:val="2E0220AF"/>
    <w:rsid w:val="2E293BF2"/>
    <w:rsid w:val="2E2B5B27"/>
    <w:rsid w:val="2E45647B"/>
    <w:rsid w:val="2E4B082A"/>
    <w:rsid w:val="2E5D4E86"/>
    <w:rsid w:val="2E5D790B"/>
    <w:rsid w:val="2E9A3C18"/>
    <w:rsid w:val="2EBB0FEE"/>
    <w:rsid w:val="2EC63002"/>
    <w:rsid w:val="2F0247C0"/>
    <w:rsid w:val="2F0A6B38"/>
    <w:rsid w:val="2F7D025E"/>
    <w:rsid w:val="2F946CCB"/>
    <w:rsid w:val="2FD25781"/>
    <w:rsid w:val="2FFD7934"/>
    <w:rsid w:val="30264587"/>
    <w:rsid w:val="304545E8"/>
    <w:rsid w:val="30733ACD"/>
    <w:rsid w:val="308C3862"/>
    <w:rsid w:val="30907A59"/>
    <w:rsid w:val="309379D8"/>
    <w:rsid w:val="30A270F7"/>
    <w:rsid w:val="30DE140E"/>
    <w:rsid w:val="30DF1478"/>
    <w:rsid w:val="30EC586F"/>
    <w:rsid w:val="30EC63CF"/>
    <w:rsid w:val="314920DA"/>
    <w:rsid w:val="316A3DCE"/>
    <w:rsid w:val="319C6071"/>
    <w:rsid w:val="31AB2B70"/>
    <w:rsid w:val="31AC537E"/>
    <w:rsid w:val="31B95865"/>
    <w:rsid w:val="31E3679B"/>
    <w:rsid w:val="31E732FD"/>
    <w:rsid w:val="3200080C"/>
    <w:rsid w:val="32280759"/>
    <w:rsid w:val="32517576"/>
    <w:rsid w:val="325F1CE9"/>
    <w:rsid w:val="327D1EA4"/>
    <w:rsid w:val="32BE0D6B"/>
    <w:rsid w:val="32BE5C2C"/>
    <w:rsid w:val="32FB6478"/>
    <w:rsid w:val="330D5C27"/>
    <w:rsid w:val="33107D6B"/>
    <w:rsid w:val="3325072D"/>
    <w:rsid w:val="33263B3F"/>
    <w:rsid w:val="333B331B"/>
    <w:rsid w:val="336963EB"/>
    <w:rsid w:val="336F293F"/>
    <w:rsid w:val="33816EEB"/>
    <w:rsid w:val="338E4722"/>
    <w:rsid w:val="33EB55CD"/>
    <w:rsid w:val="33EC4C02"/>
    <w:rsid w:val="340D2360"/>
    <w:rsid w:val="3410665D"/>
    <w:rsid w:val="34211214"/>
    <w:rsid w:val="342E63AB"/>
    <w:rsid w:val="3444532F"/>
    <w:rsid w:val="34950E68"/>
    <w:rsid w:val="34986E94"/>
    <w:rsid w:val="34AF62C9"/>
    <w:rsid w:val="34CB4388"/>
    <w:rsid w:val="34D63803"/>
    <w:rsid w:val="34FA6E12"/>
    <w:rsid w:val="353C037E"/>
    <w:rsid w:val="354E3F3E"/>
    <w:rsid w:val="355443ED"/>
    <w:rsid w:val="355A361C"/>
    <w:rsid w:val="35831E3A"/>
    <w:rsid w:val="358D5588"/>
    <w:rsid w:val="35BE7316"/>
    <w:rsid w:val="35EC7C60"/>
    <w:rsid w:val="35F57C18"/>
    <w:rsid w:val="363A3B40"/>
    <w:rsid w:val="365302AE"/>
    <w:rsid w:val="36607A0A"/>
    <w:rsid w:val="366E227C"/>
    <w:rsid w:val="366F2E0D"/>
    <w:rsid w:val="367B6A5C"/>
    <w:rsid w:val="36A74ADA"/>
    <w:rsid w:val="36AD60D5"/>
    <w:rsid w:val="36B224F9"/>
    <w:rsid w:val="36B54BF8"/>
    <w:rsid w:val="36C27951"/>
    <w:rsid w:val="36C4095C"/>
    <w:rsid w:val="36EC0CC9"/>
    <w:rsid w:val="37102412"/>
    <w:rsid w:val="37367CB7"/>
    <w:rsid w:val="373F410B"/>
    <w:rsid w:val="374F5DB0"/>
    <w:rsid w:val="379C3687"/>
    <w:rsid w:val="37EE7094"/>
    <w:rsid w:val="38296C89"/>
    <w:rsid w:val="383002EB"/>
    <w:rsid w:val="384F1CFD"/>
    <w:rsid w:val="38586797"/>
    <w:rsid w:val="38BC0149"/>
    <w:rsid w:val="38D35375"/>
    <w:rsid w:val="38D87D1C"/>
    <w:rsid w:val="38F25761"/>
    <w:rsid w:val="3920079D"/>
    <w:rsid w:val="39317DFF"/>
    <w:rsid w:val="39636459"/>
    <w:rsid w:val="396B7F6C"/>
    <w:rsid w:val="39B417A9"/>
    <w:rsid w:val="39F71B77"/>
    <w:rsid w:val="39FC5695"/>
    <w:rsid w:val="3A006D8E"/>
    <w:rsid w:val="3A3651E5"/>
    <w:rsid w:val="3A744481"/>
    <w:rsid w:val="3A8C7BEF"/>
    <w:rsid w:val="3A906246"/>
    <w:rsid w:val="3AD06A61"/>
    <w:rsid w:val="3AD63889"/>
    <w:rsid w:val="3AF47DCD"/>
    <w:rsid w:val="3B2349B7"/>
    <w:rsid w:val="3B4B3061"/>
    <w:rsid w:val="3B616CFF"/>
    <w:rsid w:val="3B6259F6"/>
    <w:rsid w:val="3B6D3D8B"/>
    <w:rsid w:val="3B8A450E"/>
    <w:rsid w:val="3B976654"/>
    <w:rsid w:val="3BA32EA7"/>
    <w:rsid w:val="3BC01EFC"/>
    <w:rsid w:val="3BCA5C37"/>
    <w:rsid w:val="3BCA786A"/>
    <w:rsid w:val="3BD31E2F"/>
    <w:rsid w:val="3BF15831"/>
    <w:rsid w:val="3C073006"/>
    <w:rsid w:val="3C105946"/>
    <w:rsid w:val="3C471448"/>
    <w:rsid w:val="3C5F759A"/>
    <w:rsid w:val="3C6C525A"/>
    <w:rsid w:val="3CCE23CB"/>
    <w:rsid w:val="3CD17D17"/>
    <w:rsid w:val="3D3B5012"/>
    <w:rsid w:val="3D3C7F39"/>
    <w:rsid w:val="3D440F09"/>
    <w:rsid w:val="3D4504A0"/>
    <w:rsid w:val="3D8734BB"/>
    <w:rsid w:val="3D933E65"/>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4676A"/>
    <w:rsid w:val="3F060E16"/>
    <w:rsid w:val="3F1D1096"/>
    <w:rsid w:val="3F2F0234"/>
    <w:rsid w:val="3F6363FE"/>
    <w:rsid w:val="3F7406EF"/>
    <w:rsid w:val="3F756B8F"/>
    <w:rsid w:val="3F95482B"/>
    <w:rsid w:val="3FE0432D"/>
    <w:rsid w:val="3FFB06F3"/>
    <w:rsid w:val="4019356B"/>
    <w:rsid w:val="40592157"/>
    <w:rsid w:val="406E1CAE"/>
    <w:rsid w:val="4081341A"/>
    <w:rsid w:val="4093153B"/>
    <w:rsid w:val="40A0133A"/>
    <w:rsid w:val="40C31A53"/>
    <w:rsid w:val="40CE4BAF"/>
    <w:rsid w:val="40FF545D"/>
    <w:rsid w:val="410067C8"/>
    <w:rsid w:val="415A717B"/>
    <w:rsid w:val="418F0D2A"/>
    <w:rsid w:val="4194426D"/>
    <w:rsid w:val="41986C6D"/>
    <w:rsid w:val="41CC4F2D"/>
    <w:rsid w:val="41D01505"/>
    <w:rsid w:val="42474939"/>
    <w:rsid w:val="424C3C57"/>
    <w:rsid w:val="425D2FFA"/>
    <w:rsid w:val="425F4E78"/>
    <w:rsid w:val="42613FF3"/>
    <w:rsid w:val="42660D96"/>
    <w:rsid w:val="428667D2"/>
    <w:rsid w:val="42906572"/>
    <w:rsid w:val="42BC2FBE"/>
    <w:rsid w:val="42CD1CE0"/>
    <w:rsid w:val="42E1381E"/>
    <w:rsid w:val="42ED6459"/>
    <w:rsid w:val="42FE58DD"/>
    <w:rsid w:val="43174B3D"/>
    <w:rsid w:val="434B790E"/>
    <w:rsid w:val="4360274F"/>
    <w:rsid w:val="437D4206"/>
    <w:rsid w:val="43977AB6"/>
    <w:rsid w:val="43A3342B"/>
    <w:rsid w:val="43A35D9D"/>
    <w:rsid w:val="43A52C25"/>
    <w:rsid w:val="43C02809"/>
    <w:rsid w:val="43C77C27"/>
    <w:rsid w:val="43DE09EE"/>
    <w:rsid w:val="43E268C5"/>
    <w:rsid w:val="43F25C18"/>
    <w:rsid w:val="44002FAD"/>
    <w:rsid w:val="44154206"/>
    <w:rsid w:val="44242A3A"/>
    <w:rsid w:val="44665428"/>
    <w:rsid w:val="4484797D"/>
    <w:rsid w:val="449101DD"/>
    <w:rsid w:val="44CF5606"/>
    <w:rsid w:val="44DE1391"/>
    <w:rsid w:val="44F066A6"/>
    <w:rsid w:val="451B225C"/>
    <w:rsid w:val="452410C9"/>
    <w:rsid w:val="45317DFB"/>
    <w:rsid w:val="456D3CE4"/>
    <w:rsid w:val="4579042C"/>
    <w:rsid w:val="457F0571"/>
    <w:rsid w:val="45851176"/>
    <w:rsid w:val="45C63B94"/>
    <w:rsid w:val="460E7DA5"/>
    <w:rsid w:val="46184820"/>
    <w:rsid w:val="46422483"/>
    <w:rsid w:val="4659254A"/>
    <w:rsid w:val="465B0637"/>
    <w:rsid w:val="465E3F0D"/>
    <w:rsid w:val="466A16E6"/>
    <w:rsid w:val="4671546A"/>
    <w:rsid w:val="46893F2B"/>
    <w:rsid w:val="46C4686E"/>
    <w:rsid w:val="47191C6B"/>
    <w:rsid w:val="477B778F"/>
    <w:rsid w:val="478203EC"/>
    <w:rsid w:val="478A34FC"/>
    <w:rsid w:val="47B025FA"/>
    <w:rsid w:val="4809698F"/>
    <w:rsid w:val="4811697D"/>
    <w:rsid w:val="48204014"/>
    <w:rsid w:val="48547666"/>
    <w:rsid w:val="48704B28"/>
    <w:rsid w:val="487A3E25"/>
    <w:rsid w:val="488B5503"/>
    <w:rsid w:val="48937E21"/>
    <w:rsid w:val="489A0361"/>
    <w:rsid w:val="48A759E8"/>
    <w:rsid w:val="48B94FF3"/>
    <w:rsid w:val="48CA0674"/>
    <w:rsid w:val="48E37AAB"/>
    <w:rsid w:val="48FD4B4C"/>
    <w:rsid w:val="490A68E0"/>
    <w:rsid w:val="491055FE"/>
    <w:rsid w:val="49387703"/>
    <w:rsid w:val="495C4A24"/>
    <w:rsid w:val="495F5B3E"/>
    <w:rsid w:val="496016C5"/>
    <w:rsid w:val="496F77D7"/>
    <w:rsid w:val="497654FD"/>
    <w:rsid w:val="49B64211"/>
    <w:rsid w:val="49F6167F"/>
    <w:rsid w:val="4A064FA0"/>
    <w:rsid w:val="4A16615C"/>
    <w:rsid w:val="4A4424D7"/>
    <w:rsid w:val="4A641D3B"/>
    <w:rsid w:val="4A6E5CE1"/>
    <w:rsid w:val="4AB82D0F"/>
    <w:rsid w:val="4AEB7664"/>
    <w:rsid w:val="4AFD7C19"/>
    <w:rsid w:val="4B0567D1"/>
    <w:rsid w:val="4B236AAE"/>
    <w:rsid w:val="4B687A11"/>
    <w:rsid w:val="4B707271"/>
    <w:rsid w:val="4B9739F7"/>
    <w:rsid w:val="4BEE2503"/>
    <w:rsid w:val="4BF8720B"/>
    <w:rsid w:val="4C245A30"/>
    <w:rsid w:val="4C3F1F41"/>
    <w:rsid w:val="4CB6685F"/>
    <w:rsid w:val="4CC367FE"/>
    <w:rsid w:val="4D077F3C"/>
    <w:rsid w:val="4D092950"/>
    <w:rsid w:val="4D123355"/>
    <w:rsid w:val="4D1963E7"/>
    <w:rsid w:val="4D2A3B31"/>
    <w:rsid w:val="4D312C52"/>
    <w:rsid w:val="4D905305"/>
    <w:rsid w:val="4D964A72"/>
    <w:rsid w:val="4D9C1254"/>
    <w:rsid w:val="4DCA28A4"/>
    <w:rsid w:val="4DE4148C"/>
    <w:rsid w:val="4DE809CF"/>
    <w:rsid w:val="4E10742E"/>
    <w:rsid w:val="4E473EF5"/>
    <w:rsid w:val="4E67106D"/>
    <w:rsid w:val="4E7416C9"/>
    <w:rsid w:val="4E793892"/>
    <w:rsid w:val="4E7A439B"/>
    <w:rsid w:val="4E800872"/>
    <w:rsid w:val="4EC36AA5"/>
    <w:rsid w:val="4EC569ED"/>
    <w:rsid w:val="4ED50EA1"/>
    <w:rsid w:val="4EEC050C"/>
    <w:rsid w:val="4EF954AC"/>
    <w:rsid w:val="4F104EC3"/>
    <w:rsid w:val="4F2852AB"/>
    <w:rsid w:val="4F2F41EB"/>
    <w:rsid w:val="4F47354A"/>
    <w:rsid w:val="4F5916FD"/>
    <w:rsid w:val="4F911C54"/>
    <w:rsid w:val="4FD53C9E"/>
    <w:rsid w:val="4FE625E0"/>
    <w:rsid w:val="4FEC7DC2"/>
    <w:rsid w:val="5021480F"/>
    <w:rsid w:val="50331E9D"/>
    <w:rsid w:val="50962ECB"/>
    <w:rsid w:val="50A42E38"/>
    <w:rsid w:val="50A4577F"/>
    <w:rsid w:val="50B73D1F"/>
    <w:rsid w:val="50BD5BC9"/>
    <w:rsid w:val="50C11EEE"/>
    <w:rsid w:val="50E97CFC"/>
    <w:rsid w:val="50FA4028"/>
    <w:rsid w:val="510D65B7"/>
    <w:rsid w:val="511157AB"/>
    <w:rsid w:val="51136310"/>
    <w:rsid w:val="5142540C"/>
    <w:rsid w:val="516676AF"/>
    <w:rsid w:val="518832C8"/>
    <w:rsid w:val="51A0432A"/>
    <w:rsid w:val="51A86090"/>
    <w:rsid w:val="51B7396D"/>
    <w:rsid w:val="522E4CC3"/>
    <w:rsid w:val="523A34F4"/>
    <w:rsid w:val="5244713B"/>
    <w:rsid w:val="52555E41"/>
    <w:rsid w:val="52615633"/>
    <w:rsid w:val="52977FD4"/>
    <w:rsid w:val="5298521F"/>
    <w:rsid w:val="52A25790"/>
    <w:rsid w:val="52A96B6F"/>
    <w:rsid w:val="52B45975"/>
    <w:rsid w:val="52D94AA4"/>
    <w:rsid w:val="52EA3A62"/>
    <w:rsid w:val="52F50BB8"/>
    <w:rsid w:val="53097272"/>
    <w:rsid w:val="531E0F9C"/>
    <w:rsid w:val="53311AB3"/>
    <w:rsid w:val="53544462"/>
    <w:rsid w:val="53691845"/>
    <w:rsid w:val="5397158E"/>
    <w:rsid w:val="53D543BE"/>
    <w:rsid w:val="53EB340C"/>
    <w:rsid w:val="54013861"/>
    <w:rsid w:val="540902DE"/>
    <w:rsid w:val="54487265"/>
    <w:rsid w:val="544D6070"/>
    <w:rsid w:val="54605E1E"/>
    <w:rsid w:val="54684819"/>
    <w:rsid w:val="546B1FBF"/>
    <w:rsid w:val="54AB4AB2"/>
    <w:rsid w:val="54B3506A"/>
    <w:rsid w:val="54CA0D16"/>
    <w:rsid w:val="54DD4057"/>
    <w:rsid w:val="54E7490F"/>
    <w:rsid w:val="550764A4"/>
    <w:rsid w:val="550B2BF6"/>
    <w:rsid w:val="55106439"/>
    <w:rsid w:val="55214EB5"/>
    <w:rsid w:val="55332D15"/>
    <w:rsid w:val="55364EFD"/>
    <w:rsid w:val="555D4828"/>
    <w:rsid w:val="555F16B6"/>
    <w:rsid w:val="557A4C8B"/>
    <w:rsid w:val="558931E1"/>
    <w:rsid w:val="55923347"/>
    <w:rsid w:val="55925180"/>
    <w:rsid w:val="55983B1B"/>
    <w:rsid w:val="55A8376B"/>
    <w:rsid w:val="55DC29B6"/>
    <w:rsid w:val="55DD4241"/>
    <w:rsid w:val="566B6D1E"/>
    <w:rsid w:val="567F0E43"/>
    <w:rsid w:val="569C4B39"/>
    <w:rsid w:val="56B04601"/>
    <w:rsid w:val="57032A2C"/>
    <w:rsid w:val="570F5219"/>
    <w:rsid w:val="573568B4"/>
    <w:rsid w:val="573A204C"/>
    <w:rsid w:val="575D12B5"/>
    <w:rsid w:val="57610A87"/>
    <w:rsid w:val="5775371C"/>
    <w:rsid w:val="577B1140"/>
    <w:rsid w:val="577B7F21"/>
    <w:rsid w:val="577F181B"/>
    <w:rsid w:val="57921984"/>
    <w:rsid w:val="579737F0"/>
    <w:rsid w:val="57AB7B30"/>
    <w:rsid w:val="57AF5251"/>
    <w:rsid w:val="57B26373"/>
    <w:rsid w:val="57B63F04"/>
    <w:rsid w:val="57CD20C2"/>
    <w:rsid w:val="57D675AB"/>
    <w:rsid w:val="57D95FDD"/>
    <w:rsid w:val="580744DF"/>
    <w:rsid w:val="58081A7B"/>
    <w:rsid w:val="580E5A83"/>
    <w:rsid w:val="584F250D"/>
    <w:rsid w:val="58554672"/>
    <w:rsid w:val="587C3DDB"/>
    <w:rsid w:val="58917D2F"/>
    <w:rsid w:val="5894085C"/>
    <w:rsid w:val="58AE4F0C"/>
    <w:rsid w:val="58B85899"/>
    <w:rsid w:val="58BD4DB3"/>
    <w:rsid w:val="58E363A9"/>
    <w:rsid w:val="595E1678"/>
    <w:rsid w:val="596D5BD4"/>
    <w:rsid w:val="597E3DD8"/>
    <w:rsid w:val="59E62D47"/>
    <w:rsid w:val="59F80043"/>
    <w:rsid w:val="5A09252F"/>
    <w:rsid w:val="5A0B2778"/>
    <w:rsid w:val="5A2A7C7B"/>
    <w:rsid w:val="5A3E2560"/>
    <w:rsid w:val="5A5D3B6E"/>
    <w:rsid w:val="5A637A76"/>
    <w:rsid w:val="5A6D33BA"/>
    <w:rsid w:val="5A792B1F"/>
    <w:rsid w:val="5A874767"/>
    <w:rsid w:val="5AA97C6D"/>
    <w:rsid w:val="5AAD6F28"/>
    <w:rsid w:val="5AB14152"/>
    <w:rsid w:val="5AD63A24"/>
    <w:rsid w:val="5ADA3D99"/>
    <w:rsid w:val="5B137D30"/>
    <w:rsid w:val="5B2E1A1D"/>
    <w:rsid w:val="5B365212"/>
    <w:rsid w:val="5B843A1C"/>
    <w:rsid w:val="5B873E3F"/>
    <w:rsid w:val="5B995C87"/>
    <w:rsid w:val="5BA935F2"/>
    <w:rsid w:val="5BA95A2C"/>
    <w:rsid w:val="5BC62565"/>
    <w:rsid w:val="5BF16DCD"/>
    <w:rsid w:val="5C02690E"/>
    <w:rsid w:val="5C196DA7"/>
    <w:rsid w:val="5C293FC1"/>
    <w:rsid w:val="5C2A048C"/>
    <w:rsid w:val="5C725325"/>
    <w:rsid w:val="5C80234E"/>
    <w:rsid w:val="5C8A680C"/>
    <w:rsid w:val="5CDA699F"/>
    <w:rsid w:val="5CFE264B"/>
    <w:rsid w:val="5D0C4701"/>
    <w:rsid w:val="5D0F0395"/>
    <w:rsid w:val="5D153410"/>
    <w:rsid w:val="5D221076"/>
    <w:rsid w:val="5D397964"/>
    <w:rsid w:val="5D5A391C"/>
    <w:rsid w:val="5D5F10C0"/>
    <w:rsid w:val="5D794F9B"/>
    <w:rsid w:val="5D891B7B"/>
    <w:rsid w:val="5DAD38EE"/>
    <w:rsid w:val="5DD51D80"/>
    <w:rsid w:val="5E006862"/>
    <w:rsid w:val="5E0207B9"/>
    <w:rsid w:val="5E090A31"/>
    <w:rsid w:val="5E1834A1"/>
    <w:rsid w:val="5E261785"/>
    <w:rsid w:val="5E4A7017"/>
    <w:rsid w:val="5E552BBA"/>
    <w:rsid w:val="5E554871"/>
    <w:rsid w:val="5E611C10"/>
    <w:rsid w:val="5EFC7377"/>
    <w:rsid w:val="5F06174D"/>
    <w:rsid w:val="5F3A3602"/>
    <w:rsid w:val="5F4E7EE1"/>
    <w:rsid w:val="5F51734E"/>
    <w:rsid w:val="5F6277C6"/>
    <w:rsid w:val="5F6D0B1D"/>
    <w:rsid w:val="5F8D0B82"/>
    <w:rsid w:val="5FCC5339"/>
    <w:rsid w:val="5FE34A5B"/>
    <w:rsid w:val="5FEB2206"/>
    <w:rsid w:val="5FFE1E36"/>
    <w:rsid w:val="6000081D"/>
    <w:rsid w:val="60232584"/>
    <w:rsid w:val="607330CE"/>
    <w:rsid w:val="60825176"/>
    <w:rsid w:val="609F2AC4"/>
    <w:rsid w:val="60A45FF5"/>
    <w:rsid w:val="60CE0B25"/>
    <w:rsid w:val="60DB04CD"/>
    <w:rsid w:val="60FA2EE8"/>
    <w:rsid w:val="61054A27"/>
    <w:rsid w:val="610A52BC"/>
    <w:rsid w:val="61186BC7"/>
    <w:rsid w:val="611D2366"/>
    <w:rsid w:val="61421856"/>
    <w:rsid w:val="615227C4"/>
    <w:rsid w:val="61654E3F"/>
    <w:rsid w:val="6182292A"/>
    <w:rsid w:val="618A5582"/>
    <w:rsid w:val="619F7F92"/>
    <w:rsid w:val="61F94C26"/>
    <w:rsid w:val="62000E56"/>
    <w:rsid w:val="62326812"/>
    <w:rsid w:val="624F3E49"/>
    <w:rsid w:val="62632286"/>
    <w:rsid w:val="626506AE"/>
    <w:rsid w:val="62885958"/>
    <w:rsid w:val="62AF5545"/>
    <w:rsid w:val="62DF0A9B"/>
    <w:rsid w:val="62E50C04"/>
    <w:rsid w:val="62F40B65"/>
    <w:rsid w:val="62FC2CFE"/>
    <w:rsid w:val="6302148C"/>
    <w:rsid w:val="63024505"/>
    <w:rsid w:val="632165B7"/>
    <w:rsid w:val="632B2D73"/>
    <w:rsid w:val="635B1DB5"/>
    <w:rsid w:val="63711FED"/>
    <w:rsid w:val="63880DDC"/>
    <w:rsid w:val="638D750D"/>
    <w:rsid w:val="63A376E5"/>
    <w:rsid w:val="63AC6CC0"/>
    <w:rsid w:val="63D74760"/>
    <w:rsid w:val="63D82A36"/>
    <w:rsid w:val="64055776"/>
    <w:rsid w:val="64240056"/>
    <w:rsid w:val="643E143A"/>
    <w:rsid w:val="644A1BF1"/>
    <w:rsid w:val="645D39F0"/>
    <w:rsid w:val="648B6EEF"/>
    <w:rsid w:val="648B7F50"/>
    <w:rsid w:val="64A46A42"/>
    <w:rsid w:val="64C158BF"/>
    <w:rsid w:val="64CE2EAA"/>
    <w:rsid w:val="6532279F"/>
    <w:rsid w:val="653C3090"/>
    <w:rsid w:val="65646CE3"/>
    <w:rsid w:val="65731015"/>
    <w:rsid w:val="65854376"/>
    <w:rsid w:val="658767BE"/>
    <w:rsid w:val="65892531"/>
    <w:rsid w:val="658C2585"/>
    <w:rsid w:val="659012DA"/>
    <w:rsid w:val="65B3357F"/>
    <w:rsid w:val="66195831"/>
    <w:rsid w:val="661F0E5C"/>
    <w:rsid w:val="662E75B1"/>
    <w:rsid w:val="66342C2E"/>
    <w:rsid w:val="663E784C"/>
    <w:rsid w:val="665B0BF3"/>
    <w:rsid w:val="665C4A27"/>
    <w:rsid w:val="667E066E"/>
    <w:rsid w:val="668B6A45"/>
    <w:rsid w:val="66BF75A2"/>
    <w:rsid w:val="66CD17AB"/>
    <w:rsid w:val="67114A94"/>
    <w:rsid w:val="671C61EA"/>
    <w:rsid w:val="672F3F24"/>
    <w:rsid w:val="673E055F"/>
    <w:rsid w:val="67551CE3"/>
    <w:rsid w:val="67A22552"/>
    <w:rsid w:val="67B22DCC"/>
    <w:rsid w:val="67BE71AA"/>
    <w:rsid w:val="67D14808"/>
    <w:rsid w:val="67D90273"/>
    <w:rsid w:val="67DE5875"/>
    <w:rsid w:val="67E55852"/>
    <w:rsid w:val="67EB1AB4"/>
    <w:rsid w:val="67FA1285"/>
    <w:rsid w:val="680D18B3"/>
    <w:rsid w:val="68551F4F"/>
    <w:rsid w:val="687C10C9"/>
    <w:rsid w:val="68840C16"/>
    <w:rsid w:val="68876EFB"/>
    <w:rsid w:val="68884654"/>
    <w:rsid w:val="689F444F"/>
    <w:rsid w:val="68B96DBB"/>
    <w:rsid w:val="68C208E3"/>
    <w:rsid w:val="68CA2805"/>
    <w:rsid w:val="68E937A3"/>
    <w:rsid w:val="693E15D3"/>
    <w:rsid w:val="69627681"/>
    <w:rsid w:val="6977531D"/>
    <w:rsid w:val="698B2B70"/>
    <w:rsid w:val="699456BD"/>
    <w:rsid w:val="69CC2BFF"/>
    <w:rsid w:val="69FD55B8"/>
    <w:rsid w:val="6A0B1C62"/>
    <w:rsid w:val="6A2406C8"/>
    <w:rsid w:val="6ABA5F21"/>
    <w:rsid w:val="6ABD5696"/>
    <w:rsid w:val="6AC60321"/>
    <w:rsid w:val="6ADE0BD1"/>
    <w:rsid w:val="6AE96859"/>
    <w:rsid w:val="6AF57D95"/>
    <w:rsid w:val="6B147746"/>
    <w:rsid w:val="6B1B4A3D"/>
    <w:rsid w:val="6B24787C"/>
    <w:rsid w:val="6B573233"/>
    <w:rsid w:val="6B5B6274"/>
    <w:rsid w:val="6B935D53"/>
    <w:rsid w:val="6B937D6E"/>
    <w:rsid w:val="6BC524A5"/>
    <w:rsid w:val="6BF608B1"/>
    <w:rsid w:val="6C196F71"/>
    <w:rsid w:val="6C226FCB"/>
    <w:rsid w:val="6C31226F"/>
    <w:rsid w:val="6C4E447A"/>
    <w:rsid w:val="6C552F0B"/>
    <w:rsid w:val="6C812C1F"/>
    <w:rsid w:val="6C8C67B7"/>
    <w:rsid w:val="6C9D744C"/>
    <w:rsid w:val="6D167928"/>
    <w:rsid w:val="6D26299B"/>
    <w:rsid w:val="6D3965C4"/>
    <w:rsid w:val="6D4772EC"/>
    <w:rsid w:val="6D9078AF"/>
    <w:rsid w:val="6DAA3FEF"/>
    <w:rsid w:val="6DAF0D62"/>
    <w:rsid w:val="6DC0172B"/>
    <w:rsid w:val="6DCB690C"/>
    <w:rsid w:val="6DD41A5B"/>
    <w:rsid w:val="6DF417DE"/>
    <w:rsid w:val="6DF43C2E"/>
    <w:rsid w:val="6DF51CA3"/>
    <w:rsid w:val="6E6B7334"/>
    <w:rsid w:val="6E8335BD"/>
    <w:rsid w:val="6E8E12EF"/>
    <w:rsid w:val="6E972936"/>
    <w:rsid w:val="6EA61C4D"/>
    <w:rsid w:val="6ED446C5"/>
    <w:rsid w:val="6F034CBF"/>
    <w:rsid w:val="6F2A7D94"/>
    <w:rsid w:val="6F654891"/>
    <w:rsid w:val="6F8331F1"/>
    <w:rsid w:val="6FAE1A09"/>
    <w:rsid w:val="6FB85FF1"/>
    <w:rsid w:val="6FCF205D"/>
    <w:rsid w:val="6FD46C64"/>
    <w:rsid w:val="6FD75BF8"/>
    <w:rsid w:val="700545A2"/>
    <w:rsid w:val="7064403B"/>
    <w:rsid w:val="7065704A"/>
    <w:rsid w:val="706E1A83"/>
    <w:rsid w:val="707723D0"/>
    <w:rsid w:val="708A2B77"/>
    <w:rsid w:val="70A83A16"/>
    <w:rsid w:val="70F3716D"/>
    <w:rsid w:val="70F5661B"/>
    <w:rsid w:val="71360107"/>
    <w:rsid w:val="713B688E"/>
    <w:rsid w:val="71D43752"/>
    <w:rsid w:val="71F1796A"/>
    <w:rsid w:val="720A5620"/>
    <w:rsid w:val="72154626"/>
    <w:rsid w:val="72262B5D"/>
    <w:rsid w:val="72283FF7"/>
    <w:rsid w:val="722E7212"/>
    <w:rsid w:val="723A0474"/>
    <w:rsid w:val="724F6ED1"/>
    <w:rsid w:val="725923E4"/>
    <w:rsid w:val="725D3479"/>
    <w:rsid w:val="72864BF7"/>
    <w:rsid w:val="728E1F78"/>
    <w:rsid w:val="729023FC"/>
    <w:rsid w:val="72954ED2"/>
    <w:rsid w:val="729B6821"/>
    <w:rsid w:val="72F07E08"/>
    <w:rsid w:val="731004BB"/>
    <w:rsid w:val="73B56A44"/>
    <w:rsid w:val="73C0646E"/>
    <w:rsid w:val="73ED1FC4"/>
    <w:rsid w:val="7408658E"/>
    <w:rsid w:val="742222F5"/>
    <w:rsid w:val="743C0E2B"/>
    <w:rsid w:val="74476126"/>
    <w:rsid w:val="74706664"/>
    <w:rsid w:val="747F3682"/>
    <w:rsid w:val="749C4185"/>
    <w:rsid w:val="74DC5AF6"/>
    <w:rsid w:val="74F41284"/>
    <w:rsid w:val="75067759"/>
    <w:rsid w:val="752E6DCD"/>
    <w:rsid w:val="7551380D"/>
    <w:rsid w:val="75600BE5"/>
    <w:rsid w:val="7564475C"/>
    <w:rsid w:val="75706FDE"/>
    <w:rsid w:val="7583797F"/>
    <w:rsid w:val="75B26C34"/>
    <w:rsid w:val="75D20F1D"/>
    <w:rsid w:val="75DA2C18"/>
    <w:rsid w:val="75E70EB1"/>
    <w:rsid w:val="75F54412"/>
    <w:rsid w:val="7604418A"/>
    <w:rsid w:val="761D08E0"/>
    <w:rsid w:val="765D347C"/>
    <w:rsid w:val="765E2A5C"/>
    <w:rsid w:val="76826699"/>
    <w:rsid w:val="76C87133"/>
    <w:rsid w:val="76CC0B8C"/>
    <w:rsid w:val="76CD08D5"/>
    <w:rsid w:val="76DB4B92"/>
    <w:rsid w:val="77052AA4"/>
    <w:rsid w:val="77136511"/>
    <w:rsid w:val="77340A39"/>
    <w:rsid w:val="77351FD0"/>
    <w:rsid w:val="77472422"/>
    <w:rsid w:val="7758241F"/>
    <w:rsid w:val="777F31F2"/>
    <w:rsid w:val="77CF7D34"/>
    <w:rsid w:val="77D1700D"/>
    <w:rsid w:val="77EC04CC"/>
    <w:rsid w:val="78775729"/>
    <w:rsid w:val="78A42DB0"/>
    <w:rsid w:val="78A656AB"/>
    <w:rsid w:val="78B2245C"/>
    <w:rsid w:val="78B65D69"/>
    <w:rsid w:val="78E172CC"/>
    <w:rsid w:val="78EA1D1F"/>
    <w:rsid w:val="7904172F"/>
    <w:rsid w:val="790F7E27"/>
    <w:rsid w:val="792A231A"/>
    <w:rsid w:val="79316829"/>
    <w:rsid w:val="794B6758"/>
    <w:rsid w:val="79516D09"/>
    <w:rsid w:val="796671FD"/>
    <w:rsid w:val="79694470"/>
    <w:rsid w:val="797E66A9"/>
    <w:rsid w:val="79A97383"/>
    <w:rsid w:val="79BD47BC"/>
    <w:rsid w:val="79E27E8B"/>
    <w:rsid w:val="79F850CE"/>
    <w:rsid w:val="79FD443C"/>
    <w:rsid w:val="7A1D1975"/>
    <w:rsid w:val="7A263B8E"/>
    <w:rsid w:val="7A3E5150"/>
    <w:rsid w:val="7A4670D6"/>
    <w:rsid w:val="7A534B63"/>
    <w:rsid w:val="7A615382"/>
    <w:rsid w:val="7A67303B"/>
    <w:rsid w:val="7A8657CC"/>
    <w:rsid w:val="7AAB1D04"/>
    <w:rsid w:val="7ABA4368"/>
    <w:rsid w:val="7AD05746"/>
    <w:rsid w:val="7B257FFD"/>
    <w:rsid w:val="7B343476"/>
    <w:rsid w:val="7B392C1B"/>
    <w:rsid w:val="7B522ADB"/>
    <w:rsid w:val="7B5A2978"/>
    <w:rsid w:val="7B5A7E4C"/>
    <w:rsid w:val="7B667AF9"/>
    <w:rsid w:val="7B7468F8"/>
    <w:rsid w:val="7BEE0103"/>
    <w:rsid w:val="7BF344C5"/>
    <w:rsid w:val="7C0A0FE4"/>
    <w:rsid w:val="7C0B5CB2"/>
    <w:rsid w:val="7C254906"/>
    <w:rsid w:val="7C336C00"/>
    <w:rsid w:val="7C590818"/>
    <w:rsid w:val="7C703D67"/>
    <w:rsid w:val="7C732B0B"/>
    <w:rsid w:val="7C7C10F6"/>
    <w:rsid w:val="7C853BEA"/>
    <w:rsid w:val="7C881368"/>
    <w:rsid w:val="7CC56406"/>
    <w:rsid w:val="7CE27788"/>
    <w:rsid w:val="7D0C32F1"/>
    <w:rsid w:val="7D0F408D"/>
    <w:rsid w:val="7D1714E5"/>
    <w:rsid w:val="7D233879"/>
    <w:rsid w:val="7D2A5BB1"/>
    <w:rsid w:val="7D2F1A65"/>
    <w:rsid w:val="7D491C6C"/>
    <w:rsid w:val="7D515FB3"/>
    <w:rsid w:val="7D5429C0"/>
    <w:rsid w:val="7D6E6D43"/>
    <w:rsid w:val="7D825E08"/>
    <w:rsid w:val="7DB57A34"/>
    <w:rsid w:val="7DBF677A"/>
    <w:rsid w:val="7DE60973"/>
    <w:rsid w:val="7DEF0916"/>
    <w:rsid w:val="7DFA7D8C"/>
    <w:rsid w:val="7E1E5218"/>
    <w:rsid w:val="7E2E3EDA"/>
    <w:rsid w:val="7E9A4E1F"/>
    <w:rsid w:val="7EA7723A"/>
    <w:rsid w:val="7EF56FBB"/>
    <w:rsid w:val="7F0215EE"/>
    <w:rsid w:val="7F0768EB"/>
    <w:rsid w:val="7F0A0F58"/>
    <w:rsid w:val="7F143BEC"/>
    <w:rsid w:val="7F4339B5"/>
    <w:rsid w:val="7F715AF2"/>
    <w:rsid w:val="7F886E69"/>
    <w:rsid w:val="7FE1513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4"/>
    <w:qFormat/>
    <w:uiPriority w:val="0"/>
    <w:pPr>
      <w:spacing w:line="480" w:lineRule="exact"/>
      <w:ind w:firstLine="480" w:firstLineChars="200"/>
    </w:pPr>
    <w:rPr>
      <w:rFonts w:ascii="宋体" w:hAnsi="宋体"/>
      <w:sz w:val="24"/>
    </w:rPr>
  </w:style>
  <w:style w:type="paragraph" w:styleId="27">
    <w:name w:val="Body Text First Indent 2"/>
    <w:basedOn w:val="26"/>
    <w:link w:val="120"/>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spacing w:after="120" w:line="240" w:lineRule="auto"/>
      <w:ind w:left="420" w:leftChars="200" w:firstLine="420" w:firstLineChars="200"/>
    </w:pPr>
    <w:rPr>
      <w:sz w:val="21"/>
    </w:rPr>
  </w:style>
  <w:style w:type="paragraph" w:customStyle="1" w:styleId="80">
    <w:name w:val="Body Text Indent1"/>
    <w:basedOn w:val="1"/>
    <w:qFormat/>
    <w:uiPriority w:val="0"/>
    <w:pPr>
      <w:spacing w:line="200" w:lineRule="exact"/>
      <w:ind w:firstLine="301"/>
    </w:pPr>
    <w:rPr>
      <w:rFonts w:ascii="宋体" w:hAnsi="Courier New"/>
      <w:spacing w:val="-4"/>
      <w:sz w:val="1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27"/>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8"/>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1"/>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样式 首行缩进:  2.25 字符 + 首行缩进:  2.25 字符"/>
    <w:basedOn w:val="1"/>
    <w:qFormat/>
    <w:uiPriority w:val="0"/>
    <w:pPr>
      <w:spacing w:line="360" w:lineRule="auto"/>
      <w:ind w:firstLine="420" w:firstLineChars="200"/>
    </w:pPr>
    <w:rPr>
      <w:rFonts w:ascii="宋体" w:hAnsi="宋体" w:cs="宋体"/>
      <w:szCs w:val="21"/>
    </w:rPr>
  </w:style>
  <w:style w:type="paragraph" w:customStyle="1" w:styleId="964">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character" w:customStyle="1" w:styleId="965">
    <w:name w:val="NormalCharacter"/>
    <w:link w:val="966"/>
    <w:qFormat/>
    <w:uiPriority w:val="0"/>
    <w:rPr>
      <w:rFonts w:ascii="Calibri"/>
      <w:szCs w:val="22"/>
    </w:rPr>
  </w:style>
  <w:style w:type="paragraph" w:customStyle="1" w:styleId="966">
    <w:name w:val="UserStyle_127"/>
    <w:basedOn w:val="1"/>
    <w:link w:val="965"/>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B37AB-46C1-4CA2-B51F-73AAE3CD36B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34232</Words>
  <Characters>36150</Characters>
  <Lines>380</Lines>
  <Paragraphs>107</Paragraphs>
  <TotalTime>65</TotalTime>
  <ScaleCrop>false</ScaleCrop>
  <LinksUpToDate>false</LinksUpToDate>
  <CharactersWithSpaces>40460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成套-李晓倩</cp:lastModifiedBy>
  <cp:lastPrinted>2023-03-22T03:11:00Z</cp:lastPrinted>
  <dcterms:modified xsi:type="dcterms:W3CDTF">2024-04-27T01:43:04Z</dcterms:modified>
  <dc:title>杭州市市民卡扩大发卡工程</dc:title>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68E0668324964DB6B3F4DC5F6AF856D0_13</vt:lpwstr>
  </property>
</Properties>
</file>