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spacing w:before="24" w:beforeLines="10" w:line="360" w:lineRule="auto"/>
        <w:jc w:val="center"/>
        <w:rPr>
          <w:rFonts w:hint="eastAsia" w:ascii="宋体" w:hAnsi="宋体" w:cs="Arial"/>
          <w:b/>
          <w:sz w:val="52"/>
          <w:szCs w:val="52"/>
        </w:rPr>
      </w:pPr>
      <w:bookmarkStart w:id="126" w:name="_GoBack"/>
      <w:bookmarkEnd w:id="126"/>
      <w:r>
        <w:rPr>
          <w:rFonts w:hint="eastAsia" w:ascii="宋体" w:hAnsi="宋体" w:cs="Arial"/>
          <w:b/>
          <w:sz w:val="52"/>
          <w:szCs w:val="52"/>
        </w:rPr>
        <w:t>杭州市西湖区城市管理局</w:t>
      </w:r>
    </w:p>
    <w:p>
      <w:pPr>
        <w:tabs>
          <w:tab w:val="left" w:pos="0"/>
          <w:tab w:val="left" w:pos="2140"/>
          <w:tab w:val="center" w:pos="4753"/>
        </w:tabs>
        <w:spacing w:before="24" w:beforeLines="10" w:line="360" w:lineRule="auto"/>
        <w:jc w:val="center"/>
        <w:rPr>
          <w:rFonts w:hint="eastAsia" w:ascii="宋体" w:hAnsi="宋体" w:cs="Arial"/>
          <w:b/>
          <w:sz w:val="52"/>
          <w:szCs w:val="52"/>
        </w:rPr>
      </w:pPr>
      <w:r>
        <w:rPr>
          <w:rFonts w:hint="eastAsia" w:ascii="宋体" w:hAnsi="宋体" w:cs="Arial"/>
          <w:b/>
          <w:sz w:val="52"/>
          <w:szCs w:val="52"/>
        </w:rPr>
        <w:t>杭州市西湖区人民政府文新街道办事处</w:t>
      </w:r>
    </w:p>
    <w:p>
      <w:pPr>
        <w:tabs>
          <w:tab w:val="left" w:pos="4500"/>
        </w:tabs>
        <w:autoSpaceDE w:val="0"/>
        <w:autoSpaceDN w:val="0"/>
        <w:adjustRightInd w:val="0"/>
        <w:snapToGrid w:val="0"/>
        <w:spacing w:line="360" w:lineRule="auto"/>
        <w:jc w:val="center"/>
        <w:textAlignment w:val="bottom"/>
        <w:rPr>
          <w:rFonts w:hint="eastAsia" w:ascii="宋体" w:hAnsi="宋体" w:cs="Arial"/>
          <w:b/>
          <w:sz w:val="52"/>
          <w:szCs w:val="52"/>
        </w:rPr>
      </w:pPr>
      <w:r>
        <w:rPr>
          <w:rFonts w:hint="eastAsia" w:ascii="宋体" w:hAnsi="宋体" w:cs="Arial"/>
          <w:b/>
          <w:sz w:val="52"/>
          <w:szCs w:val="52"/>
        </w:rPr>
        <w:t>公开招标采购文件</w:t>
      </w:r>
    </w:p>
    <w:p>
      <w:pPr>
        <w:tabs>
          <w:tab w:val="left" w:pos="4500"/>
        </w:tabs>
        <w:autoSpaceDE w:val="0"/>
        <w:autoSpaceDN w:val="0"/>
        <w:adjustRightInd w:val="0"/>
        <w:snapToGrid w:val="0"/>
        <w:spacing w:line="360" w:lineRule="auto"/>
        <w:jc w:val="center"/>
        <w:textAlignment w:val="bottom"/>
        <w:rPr>
          <w:rFonts w:hint="eastAsia" w:ascii="宋体" w:hAnsi="宋体" w:cs="Arial"/>
          <w:b/>
          <w:sz w:val="36"/>
          <w:szCs w:val="36"/>
        </w:rPr>
      </w:pPr>
      <w:r>
        <w:rPr>
          <w:rFonts w:hint="eastAsia" w:ascii="宋体" w:hAnsi="宋体" w:cs="Arial"/>
          <w:b/>
          <w:sz w:val="36"/>
          <w:szCs w:val="36"/>
        </w:rPr>
        <w:t>（政府采购电子交易）</w:t>
      </w:r>
    </w:p>
    <w:p>
      <w:pPr>
        <w:spacing w:before="24" w:beforeLines="10" w:line="360" w:lineRule="auto"/>
        <w:jc w:val="center"/>
        <w:rPr>
          <w:rFonts w:hint="eastAsia" w:ascii="宋体" w:hAnsi="宋体" w:cs="Arial"/>
          <w:b/>
          <w:sz w:val="36"/>
          <w:szCs w:val="36"/>
        </w:rPr>
      </w:pPr>
    </w:p>
    <w:p>
      <w:pPr>
        <w:spacing w:before="24" w:beforeLines="10" w:line="360" w:lineRule="auto"/>
        <w:ind w:firstLine="904" w:firstLineChars="250"/>
        <w:jc w:val="left"/>
        <w:rPr>
          <w:rFonts w:hint="eastAsia" w:ascii="宋体" w:hAnsi="宋体" w:cs="Arial"/>
          <w:b/>
          <w:sz w:val="36"/>
          <w:szCs w:val="36"/>
        </w:rPr>
      </w:pPr>
      <w:r>
        <w:rPr>
          <w:rFonts w:hint="eastAsia" w:ascii="宋体" w:hAnsi="宋体" w:cs="Arial"/>
          <w:b/>
          <w:sz w:val="36"/>
          <w:szCs w:val="36"/>
        </w:rPr>
        <w:t>项目编号：</w:t>
      </w:r>
      <w:r>
        <w:rPr>
          <w:rFonts w:hint="eastAsia" w:ascii="宋体" w:hAnsi="宋体" w:cs="Arial"/>
          <w:b/>
          <w:sz w:val="36"/>
          <w:szCs w:val="36"/>
          <w:u w:val="single"/>
        </w:rPr>
        <w:t>CTZB-2021090711</w:t>
      </w:r>
    </w:p>
    <w:p>
      <w:pPr>
        <w:spacing w:before="24" w:beforeLines="10" w:line="360" w:lineRule="auto"/>
        <w:ind w:left="2552" w:hanging="2552" w:hangingChars="706"/>
        <w:jc w:val="left"/>
        <w:rPr>
          <w:rFonts w:hint="eastAsia" w:ascii="宋体" w:hAnsi="宋体" w:cs="Arial"/>
          <w:b/>
          <w:sz w:val="36"/>
          <w:szCs w:val="36"/>
        </w:rPr>
      </w:pPr>
      <w:r>
        <w:rPr>
          <w:rFonts w:hint="eastAsia" w:ascii="宋体" w:hAnsi="宋体" w:cs="Arial"/>
          <w:b/>
          <w:sz w:val="36"/>
          <w:szCs w:val="36"/>
        </w:rPr>
        <w:t xml:space="preserve">     项目名称：</w:t>
      </w:r>
      <w:r>
        <w:rPr>
          <w:rFonts w:hint="eastAsia" w:ascii="宋体" w:hAnsi="宋体" w:cs="Arial"/>
          <w:b/>
          <w:sz w:val="36"/>
          <w:szCs w:val="36"/>
          <w:u w:val="single"/>
        </w:rPr>
        <w:t>杭州市西湖区文新街道辖区2021年度街巷清扫保洁采购项目-文二西路以南、西城广场区块</w:t>
      </w:r>
    </w:p>
    <w:p>
      <w:pPr>
        <w:autoSpaceDE w:val="0"/>
        <w:autoSpaceDN w:val="0"/>
        <w:adjustRightInd w:val="0"/>
        <w:snapToGrid w:val="0"/>
        <w:spacing w:before="24" w:beforeLines="10" w:line="360" w:lineRule="auto"/>
        <w:textAlignment w:val="bottom"/>
        <w:rPr>
          <w:rFonts w:hint="eastAsia" w:ascii="宋体" w:hAnsi="宋体" w:cs="Arial"/>
          <w:b/>
        </w:rPr>
      </w:pPr>
    </w:p>
    <w:p>
      <w:pPr>
        <w:autoSpaceDE w:val="0"/>
        <w:autoSpaceDN w:val="0"/>
        <w:adjustRightInd w:val="0"/>
        <w:snapToGrid w:val="0"/>
        <w:spacing w:before="24" w:beforeLines="10" w:line="360" w:lineRule="auto"/>
        <w:jc w:val="center"/>
        <w:textAlignment w:val="bottom"/>
        <w:rPr>
          <w:rFonts w:hint="eastAsia" w:ascii="宋体" w:hAnsi="宋体" w:cs="Arial"/>
          <w:b/>
        </w:rPr>
      </w:pPr>
      <w:r>
        <w:rPr>
          <w:rFonts w:ascii="宋体" w:hAnsi="宋体" w:cs="宋体"/>
          <w:kern w:val="0"/>
          <w:sz w:val="24"/>
          <w:lang w:bidi="ar"/>
        </w:rPr>
        <w:drawing>
          <wp:inline distT="0" distB="0" distL="114300" distR="114300">
            <wp:extent cx="1771015" cy="1352550"/>
            <wp:effectExtent l="0" t="0" r="635" b="0"/>
            <wp:docPr id="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56"/>
                    <pic:cNvPicPr>
                      <a:picLocks noChangeAspect="1"/>
                    </pic:cNvPicPr>
                  </pic:nvPicPr>
                  <pic:blipFill>
                    <a:blip r:embed="rId17"/>
                    <a:stretch>
                      <a:fillRect/>
                    </a:stretch>
                  </pic:blipFill>
                  <pic:spPr>
                    <a:xfrm>
                      <a:off x="0" y="0"/>
                      <a:ext cx="1771015" cy="1352550"/>
                    </a:xfrm>
                    <a:prstGeom prst="rect">
                      <a:avLst/>
                    </a:prstGeom>
                    <a:noFill/>
                    <a:ln>
                      <a:noFill/>
                    </a:ln>
                  </pic:spPr>
                </pic:pic>
              </a:graphicData>
            </a:graphic>
          </wp:inline>
        </w:drawing>
      </w:r>
    </w:p>
    <w:p>
      <w:pPr>
        <w:autoSpaceDE w:val="0"/>
        <w:autoSpaceDN w:val="0"/>
        <w:adjustRightInd w:val="0"/>
        <w:snapToGrid w:val="0"/>
        <w:spacing w:before="24" w:beforeLines="10" w:line="360" w:lineRule="auto"/>
        <w:jc w:val="center"/>
        <w:textAlignment w:val="bottom"/>
        <w:rPr>
          <w:rFonts w:hint="eastAsia" w:ascii="宋体" w:hAnsi="宋体" w:cs="Arial"/>
          <w:b/>
        </w:rPr>
      </w:pPr>
    </w:p>
    <w:p>
      <w:pPr>
        <w:autoSpaceDE w:val="0"/>
        <w:autoSpaceDN w:val="0"/>
        <w:adjustRightInd w:val="0"/>
        <w:snapToGrid w:val="0"/>
        <w:spacing w:line="360" w:lineRule="auto"/>
        <w:ind w:firstLine="542" w:firstLineChars="150"/>
        <w:textAlignment w:val="bottom"/>
        <w:rPr>
          <w:rFonts w:hint="eastAsia" w:ascii="宋体" w:hAnsi="宋体" w:cs="Arial"/>
          <w:b/>
          <w:sz w:val="36"/>
          <w:szCs w:val="36"/>
        </w:rPr>
      </w:pPr>
      <w:r>
        <w:rPr>
          <w:rFonts w:hint="eastAsia" w:ascii="宋体" w:hAnsi="宋体" w:cs="Arial"/>
          <w:b/>
          <w:sz w:val="36"/>
          <w:szCs w:val="36"/>
        </w:rPr>
        <w:t>招  标 人：杭州市西湖区城市管理局</w:t>
      </w:r>
    </w:p>
    <w:p>
      <w:pPr>
        <w:autoSpaceDE w:val="0"/>
        <w:autoSpaceDN w:val="0"/>
        <w:adjustRightInd w:val="0"/>
        <w:snapToGrid w:val="0"/>
        <w:spacing w:line="360" w:lineRule="auto"/>
        <w:ind w:firstLine="2552" w:firstLineChars="706"/>
        <w:textAlignment w:val="bottom"/>
        <w:rPr>
          <w:rFonts w:hint="eastAsia" w:ascii="宋体" w:hAnsi="宋体" w:cs="Arial"/>
          <w:b/>
          <w:sz w:val="36"/>
          <w:szCs w:val="36"/>
        </w:rPr>
      </w:pPr>
      <w:r>
        <w:rPr>
          <w:rFonts w:hint="eastAsia" w:ascii="宋体" w:hAnsi="宋体" w:cs="Arial"/>
          <w:b/>
          <w:sz w:val="36"/>
          <w:szCs w:val="36"/>
        </w:rPr>
        <w:t>杭州市西湖区人民政府文新街道办事处</w:t>
      </w:r>
    </w:p>
    <w:p>
      <w:pPr>
        <w:autoSpaceDE w:val="0"/>
        <w:autoSpaceDN w:val="0"/>
        <w:adjustRightInd w:val="0"/>
        <w:snapToGrid w:val="0"/>
        <w:spacing w:line="360" w:lineRule="auto"/>
        <w:ind w:firstLine="542" w:firstLineChars="150"/>
        <w:textAlignment w:val="bottom"/>
        <w:rPr>
          <w:rFonts w:hint="eastAsia" w:ascii="宋体" w:hAnsi="宋体" w:cs="Arial"/>
          <w:b/>
          <w:sz w:val="36"/>
          <w:szCs w:val="36"/>
        </w:rPr>
      </w:pPr>
      <w:r>
        <w:rPr>
          <w:rFonts w:hint="eastAsia" w:ascii="宋体" w:hAnsi="宋体" w:cs="Arial"/>
          <w:b/>
          <w:sz w:val="36"/>
          <w:szCs w:val="36"/>
        </w:rPr>
        <w:t>招标代理机构：浙江省成套招标代理有限公司</w:t>
      </w:r>
    </w:p>
    <w:p>
      <w:pPr>
        <w:pStyle w:val="50"/>
        <w:spacing w:before="24" w:beforeLines="10" w:line="360" w:lineRule="auto"/>
        <w:ind w:firstLine="542" w:firstLineChars="150"/>
        <w:jc w:val="both"/>
        <w:rPr>
          <w:rFonts w:hint="eastAsia" w:ascii="宋体" w:hAnsi="宋体" w:eastAsia="宋体"/>
          <w:sz w:val="36"/>
          <w:szCs w:val="36"/>
        </w:rPr>
      </w:pPr>
      <w:r>
        <w:rPr>
          <w:rFonts w:hint="eastAsia" w:ascii="宋体" w:hAnsi="宋体" w:eastAsia="宋体"/>
          <w:sz w:val="36"/>
          <w:szCs w:val="36"/>
        </w:rPr>
        <w:t>日        期：2021年09月</w:t>
      </w:r>
    </w:p>
    <w:p>
      <w:pPr>
        <w:jc w:val="center"/>
        <w:rPr>
          <w:rFonts w:hint="eastAsia" w:ascii="宋体" w:hAnsi="宋体"/>
          <w:b/>
          <w:sz w:val="36"/>
        </w:rPr>
      </w:pPr>
      <w:r>
        <w:rPr>
          <w:rFonts w:hint="eastAsia" w:ascii="宋体" w:hAnsi="宋体"/>
        </w:rPr>
        <w:br w:type="page"/>
      </w:r>
      <w:r>
        <w:rPr>
          <w:rFonts w:hint="eastAsia" w:ascii="宋体" w:hAnsi="宋体"/>
          <w:b/>
          <w:sz w:val="36"/>
        </w:rPr>
        <w:t>目  录</w:t>
      </w:r>
    </w:p>
    <w:p>
      <w:pPr>
        <w:pStyle w:val="59"/>
        <w:spacing w:line="276" w:lineRule="auto"/>
        <w:rPr>
          <w:rFonts w:hint="eastAsia" w:ascii="宋体" w:hAnsi="宋体"/>
          <w:b w:val="0"/>
          <w:sz w:val="24"/>
          <w:szCs w:val="24"/>
        </w:rPr>
      </w:pPr>
    </w:p>
    <w:p>
      <w:pPr>
        <w:pStyle w:val="59"/>
        <w:spacing w:line="240" w:lineRule="auto"/>
        <w:rPr>
          <w:rFonts w:ascii="宋体" w:hAnsi="宋体"/>
          <w:b w:val="0"/>
          <w:bCs w:val="0"/>
          <w:caps w:val="0"/>
          <w:sz w:val="24"/>
          <w:szCs w:val="24"/>
          <w:lang/>
        </w:rPr>
      </w:pPr>
      <w:r>
        <w:rPr>
          <w:rFonts w:hint="eastAsia" w:ascii="宋体" w:hAnsi="宋体" w:cs="Arial"/>
          <w:b w:val="0"/>
          <w:sz w:val="24"/>
          <w:szCs w:val="24"/>
        </w:rPr>
        <w:fldChar w:fldCharType="begin"/>
      </w:r>
      <w:r>
        <w:rPr>
          <w:rFonts w:hint="eastAsia" w:ascii="宋体" w:hAnsi="宋体" w:cs="Arial"/>
          <w:b w:val="0"/>
          <w:sz w:val="24"/>
          <w:szCs w:val="24"/>
        </w:rPr>
        <w:instrText xml:space="preserve"> TOC \o "1-2" \h \z \u </w:instrText>
      </w:r>
      <w:r>
        <w:rPr>
          <w:rFonts w:hint="eastAsia" w:ascii="宋体" w:hAnsi="宋体" w:cs="Arial"/>
          <w:b w:val="0"/>
          <w:sz w:val="24"/>
          <w:szCs w:val="24"/>
        </w:rPr>
        <w:fldChar w:fldCharType="separate"/>
      </w:r>
      <w:r>
        <w:rPr>
          <w:rStyle w:val="96"/>
          <w:rFonts w:ascii="宋体" w:hAnsi="宋体"/>
          <w:b w:val="0"/>
          <w:color w:val="auto"/>
          <w:sz w:val="24"/>
          <w:szCs w:val="24"/>
          <w:lang/>
        </w:rPr>
        <w:fldChar w:fldCharType="begin"/>
      </w:r>
      <w:r>
        <w:rPr>
          <w:rStyle w:val="96"/>
          <w:rFonts w:ascii="宋体" w:hAnsi="宋体"/>
          <w:b w:val="0"/>
          <w:color w:val="auto"/>
          <w:sz w:val="24"/>
          <w:szCs w:val="24"/>
          <w:lang/>
        </w:rPr>
        <w:instrText xml:space="preserve"> </w:instrText>
      </w:r>
      <w:r>
        <w:rPr>
          <w:rFonts w:ascii="宋体" w:hAnsi="宋体"/>
          <w:b w:val="0"/>
          <w:sz w:val="24"/>
          <w:szCs w:val="24"/>
          <w:lang/>
        </w:rPr>
        <w:instrText xml:space="preserve">HYPERLINK \l "_Toc83910184"</w:instrText>
      </w:r>
      <w:r>
        <w:rPr>
          <w:rStyle w:val="96"/>
          <w:rFonts w:ascii="宋体" w:hAnsi="宋体"/>
          <w:b w:val="0"/>
          <w:color w:val="auto"/>
          <w:sz w:val="24"/>
          <w:szCs w:val="24"/>
          <w:lang/>
        </w:rPr>
        <w:instrText xml:space="preserve"> </w:instrText>
      </w:r>
      <w:r>
        <w:rPr>
          <w:rStyle w:val="96"/>
          <w:rFonts w:ascii="宋体" w:hAnsi="宋体"/>
          <w:b w:val="0"/>
          <w:color w:val="auto"/>
          <w:sz w:val="24"/>
          <w:szCs w:val="24"/>
          <w:lang/>
        </w:rPr>
        <w:fldChar w:fldCharType="separate"/>
      </w:r>
      <w:r>
        <w:rPr>
          <w:rStyle w:val="96"/>
          <w:rFonts w:hint="eastAsia" w:ascii="宋体" w:hAnsi="宋体"/>
          <w:b w:val="0"/>
          <w:color w:val="auto"/>
          <w:sz w:val="24"/>
          <w:szCs w:val="24"/>
          <w:lang/>
        </w:rPr>
        <w:t>第一部分</w:t>
      </w:r>
      <w:r>
        <w:rPr>
          <w:rStyle w:val="96"/>
          <w:rFonts w:ascii="宋体" w:hAnsi="宋体"/>
          <w:b w:val="0"/>
          <w:color w:val="auto"/>
          <w:sz w:val="24"/>
          <w:szCs w:val="24"/>
          <w:lang/>
        </w:rPr>
        <w:t xml:space="preserve">  </w:t>
      </w:r>
      <w:r>
        <w:rPr>
          <w:rStyle w:val="96"/>
          <w:rFonts w:hint="eastAsia" w:ascii="宋体" w:hAnsi="宋体"/>
          <w:b w:val="0"/>
          <w:color w:val="auto"/>
          <w:sz w:val="24"/>
          <w:szCs w:val="24"/>
          <w:lang/>
        </w:rPr>
        <w:t>招标公告</w:t>
      </w:r>
      <w:r>
        <w:rPr>
          <w:rFonts w:ascii="宋体" w:hAnsi="宋体"/>
          <w:b w:val="0"/>
          <w:sz w:val="24"/>
          <w:szCs w:val="24"/>
          <w:lang/>
        </w:rPr>
        <w:tab/>
      </w:r>
      <w:r>
        <w:rPr>
          <w:rFonts w:ascii="宋体" w:hAnsi="宋体"/>
          <w:b w:val="0"/>
          <w:sz w:val="24"/>
          <w:szCs w:val="24"/>
          <w:lang/>
        </w:rPr>
        <w:fldChar w:fldCharType="begin"/>
      </w:r>
      <w:r>
        <w:rPr>
          <w:rFonts w:ascii="宋体" w:hAnsi="宋体"/>
          <w:b w:val="0"/>
          <w:sz w:val="24"/>
          <w:szCs w:val="24"/>
          <w:lang/>
        </w:rPr>
        <w:instrText xml:space="preserve"> PAGEREF _Toc83910184 \h </w:instrText>
      </w:r>
      <w:r>
        <w:rPr>
          <w:rFonts w:ascii="宋体" w:hAnsi="宋体"/>
          <w:b w:val="0"/>
          <w:sz w:val="24"/>
          <w:szCs w:val="24"/>
          <w:lang/>
        </w:rPr>
        <w:fldChar w:fldCharType="separate"/>
      </w:r>
      <w:r>
        <w:rPr>
          <w:rFonts w:ascii="宋体" w:hAnsi="宋体"/>
          <w:b w:val="0"/>
          <w:sz w:val="24"/>
          <w:szCs w:val="24"/>
          <w:lang/>
        </w:rPr>
        <w:t>1</w:t>
      </w:r>
      <w:r>
        <w:rPr>
          <w:rFonts w:ascii="宋体" w:hAnsi="宋体"/>
          <w:b w:val="0"/>
          <w:sz w:val="24"/>
          <w:szCs w:val="24"/>
          <w:lang/>
        </w:rPr>
        <w:fldChar w:fldCharType="end"/>
      </w:r>
      <w:r>
        <w:rPr>
          <w:rStyle w:val="96"/>
          <w:rFonts w:ascii="宋体" w:hAnsi="宋体"/>
          <w:b w:val="0"/>
          <w:color w:val="auto"/>
          <w:sz w:val="24"/>
          <w:szCs w:val="24"/>
          <w:lang/>
        </w:rPr>
        <w:fldChar w:fldCharType="end"/>
      </w:r>
    </w:p>
    <w:p>
      <w:pPr>
        <w:pStyle w:val="59"/>
        <w:spacing w:line="240" w:lineRule="auto"/>
        <w:rPr>
          <w:rFonts w:ascii="宋体" w:hAnsi="宋体"/>
          <w:b w:val="0"/>
          <w:bCs w:val="0"/>
          <w:caps w:val="0"/>
          <w:sz w:val="24"/>
          <w:szCs w:val="24"/>
          <w:lang/>
        </w:rPr>
      </w:pPr>
      <w:r>
        <w:rPr>
          <w:rStyle w:val="96"/>
          <w:rFonts w:ascii="宋体" w:hAnsi="宋体"/>
          <w:b w:val="0"/>
          <w:color w:val="auto"/>
          <w:sz w:val="24"/>
          <w:szCs w:val="24"/>
          <w:lang/>
        </w:rPr>
        <w:fldChar w:fldCharType="begin"/>
      </w:r>
      <w:r>
        <w:rPr>
          <w:rStyle w:val="96"/>
          <w:rFonts w:ascii="宋体" w:hAnsi="宋体"/>
          <w:b w:val="0"/>
          <w:color w:val="auto"/>
          <w:sz w:val="24"/>
          <w:szCs w:val="24"/>
          <w:lang/>
        </w:rPr>
        <w:instrText xml:space="preserve"> </w:instrText>
      </w:r>
      <w:r>
        <w:rPr>
          <w:rFonts w:ascii="宋体" w:hAnsi="宋体"/>
          <w:b w:val="0"/>
          <w:sz w:val="24"/>
          <w:szCs w:val="24"/>
          <w:lang/>
        </w:rPr>
        <w:instrText xml:space="preserve">HYPERLINK \l "_Toc83910185"</w:instrText>
      </w:r>
      <w:r>
        <w:rPr>
          <w:rStyle w:val="96"/>
          <w:rFonts w:ascii="宋体" w:hAnsi="宋体"/>
          <w:b w:val="0"/>
          <w:color w:val="auto"/>
          <w:sz w:val="24"/>
          <w:szCs w:val="24"/>
          <w:lang/>
        </w:rPr>
        <w:instrText xml:space="preserve"> </w:instrText>
      </w:r>
      <w:r>
        <w:rPr>
          <w:rStyle w:val="96"/>
          <w:rFonts w:ascii="宋体" w:hAnsi="宋体"/>
          <w:b w:val="0"/>
          <w:color w:val="auto"/>
          <w:sz w:val="24"/>
          <w:szCs w:val="24"/>
          <w:lang/>
        </w:rPr>
        <w:fldChar w:fldCharType="separate"/>
      </w:r>
      <w:r>
        <w:rPr>
          <w:rStyle w:val="96"/>
          <w:rFonts w:hint="eastAsia" w:ascii="宋体" w:hAnsi="宋体"/>
          <w:b w:val="0"/>
          <w:color w:val="auto"/>
          <w:sz w:val="24"/>
          <w:szCs w:val="24"/>
          <w:lang/>
        </w:rPr>
        <w:t>第二部分</w:t>
      </w:r>
      <w:r>
        <w:rPr>
          <w:rStyle w:val="96"/>
          <w:rFonts w:ascii="宋体" w:hAnsi="宋体"/>
          <w:b w:val="0"/>
          <w:color w:val="auto"/>
          <w:sz w:val="24"/>
          <w:szCs w:val="24"/>
          <w:lang/>
        </w:rPr>
        <w:t xml:space="preserve">  </w:t>
      </w:r>
      <w:r>
        <w:rPr>
          <w:rStyle w:val="96"/>
          <w:rFonts w:hint="eastAsia" w:ascii="宋体" w:hAnsi="宋体"/>
          <w:b w:val="0"/>
          <w:color w:val="auto"/>
          <w:sz w:val="24"/>
          <w:szCs w:val="24"/>
          <w:lang/>
        </w:rPr>
        <w:t>投标人须知</w:t>
      </w:r>
      <w:r>
        <w:rPr>
          <w:rFonts w:ascii="宋体" w:hAnsi="宋体"/>
          <w:b w:val="0"/>
          <w:sz w:val="24"/>
          <w:szCs w:val="24"/>
          <w:lang/>
        </w:rPr>
        <w:tab/>
      </w:r>
      <w:r>
        <w:rPr>
          <w:rFonts w:ascii="宋体" w:hAnsi="宋体"/>
          <w:b w:val="0"/>
          <w:sz w:val="24"/>
          <w:szCs w:val="24"/>
          <w:lang/>
        </w:rPr>
        <w:fldChar w:fldCharType="begin"/>
      </w:r>
      <w:r>
        <w:rPr>
          <w:rFonts w:ascii="宋体" w:hAnsi="宋体"/>
          <w:b w:val="0"/>
          <w:sz w:val="24"/>
          <w:szCs w:val="24"/>
          <w:lang/>
        </w:rPr>
        <w:instrText xml:space="preserve"> PAGEREF _Toc83910185 \h </w:instrText>
      </w:r>
      <w:r>
        <w:rPr>
          <w:rFonts w:ascii="宋体" w:hAnsi="宋体"/>
          <w:b w:val="0"/>
          <w:sz w:val="24"/>
          <w:szCs w:val="24"/>
          <w:lang/>
        </w:rPr>
        <w:fldChar w:fldCharType="separate"/>
      </w:r>
      <w:r>
        <w:rPr>
          <w:rFonts w:ascii="宋体" w:hAnsi="宋体"/>
          <w:b w:val="0"/>
          <w:sz w:val="24"/>
          <w:szCs w:val="24"/>
          <w:lang/>
        </w:rPr>
        <w:t>6</w:t>
      </w:r>
      <w:r>
        <w:rPr>
          <w:rFonts w:ascii="宋体" w:hAnsi="宋体"/>
          <w:b w:val="0"/>
          <w:sz w:val="24"/>
          <w:szCs w:val="24"/>
          <w:lang/>
        </w:rPr>
        <w:fldChar w:fldCharType="end"/>
      </w:r>
      <w:r>
        <w:rPr>
          <w:rStyle w:val="96"/>
          <w:rFonts w:ascii="宋体" w:hAnsi="宋体"/>
          <w:b w:val="0"/>
          <w:color w:val="auto"/>
          <w:sz w:val="24"/>
          <w:szCs w:val="24"/>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"_Toc83910186"</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前</w:t>
      </w:r>
      <w:r>
        <w:rPr>
          <w:rStyle w:val="96"/>
          <w:rFonts w:ascii="宋体" w:hAnsi="宋体" w:eastAsia="宋体"/>
          <w:b w:val="0"/>
          <w:color w:val="auto"/>
          <w:lang/>
        </w:rPr>
        <w:t xml:space="preserve"> </w:t>
      </w:r>
      <w:r>
        <w:rPr>
          <w:rStyle w:val="96"/>
          <w:rFonts w:hint="eastAsia" w:ascii="宋体" w:hAnsi="宋体" w:eastAsia="宋体"/>
          <w:b w:val="0"/>
          <w:color w:val="auto"/>
          <w:lang/>
        </w:rPr>
        <w:t>附</w:t>
      </w:r>
      <w:r>
        <w:rPr>
          <w:rStyle w:val="96"/>
          <w:rFonts w:ascii="宋体" w:hAnsi="宋体" w:eastAsia="宋体"/>
          <w:b w:val="0"/>
          <w:color w:val="auto"/>
          <w:lang/>
        </w:rPr>
        <w:t xml:space="preserve"> </w:t>
      </w:r>
      <w:r>
        <w:rPr>
          <w:rStyle w:val="96"/>
          <w:rFonts w:hint="eastAsia" w:ascii="宋体" w:hAnsi="宋体" w:eastAsia="宋体"/>
          <w:b w:val="0"/>
          <w:color w:val="auto"/>
          <w:lang/>
        </w:rPr>
        <w:t>表</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_Toc83910186 \h </w:instrText>
      </w:r>
      <w:r>
        <w:rPr>
          <w:rFonts w:ascii="宋体" w:hAnsi="宋体" w:eastAsia="宋体"/>
          <w:b w:val="0"/>
          <w:lang/>
        </w:rPr>
        <w:fldChar w:fldCharType="separate"/>
      </w:r>
      <w:r>
        <w:rPr>
          <w:rFonts w:ascii="宋体" w:hAnsi="宋体" w:eastAsia="宋体"/>
          <w:b w:val="0"/>
          <w:lang/>
        </w:rPr>
        <w:t>6</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"_Toc83910188"</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一、总</w:t>
      </w:r>
      <w:r>
        <w:rPr>
          <w:rStyle w:val="96"/>
          <w:rFonts w:ascii="宋体" w:hAnsi="宋体" w:eastAsia="宋体"/>
          <w:b w:val="0"/>
          <w:color w:val="auto"/>
          <w:lang/>
        </w:rPr>
        <w:t xml:space="preserve"> </w:t>
      </w:r>
      <w:r>
        <w:rPr>
          <w:rStyle w:val="96"/>
          <w:rFonts w:hint="eastAsia" w:ascii="宋体" w:hAnsi="宋体" w:eastAsia="宋体"/>
          <w:b w:val="0"/>
          <w:color w:val="auto"/>
          <w:lang/>
        </w:rPr>
        <w:t>则</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_Toc83910188 \h </w:instrText>
      </w:r>
      <w:r>
        <w:rPr>
          <w:rFonts w:ascii="宋体" w:hAnsi="宋体" w:eastAsia="宋体"/>
          <w:b w:val="0"/>
          <w:lang/>
        </w:rPr>
        <w:fldChar w:fldCharType="separate"/>
      </w:r>
      <w:r>
        <w:rPr>
          <w:rFonts w:ascii="宋体" w:hAnsi="宋体" w:eastAsia="宋体"/>
          <w:b w:val="0"/>
          <w:lang/>
        </w:rPr>
        <w:t>13</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"_Toc83910189"</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二、招标文件</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_Toc83910189 \h </w:instrText>
      </w:r>
      <w:r>
        <w:rPr>
          <w:rFonts w:ascii="宋体" w:hAnsi="宋体" w:eastAsia="宋体"/>
          <w:b w:val="0"/>
          <w:lang/>
        </w:rPr>
        <w:fldChar w:fldCharType="separate"/>
      </w:r>
      <w:r>
        <w:rPr>
          <w:rFonts w:ascii="宋体" w:hAnsi="宋体" w:eastAsia="宋体"/>
          <w:b w:val="0"/>
          <w:lang/>
        </w:rPr>
        <w:t>19</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"_Toc83910190"</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三、投标文件</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_Toc83910190 \h </w:instrText>
      </w:r>
      <w:r>
        <w:rPr>
          <w:rFonts w:ascii="宋体" w:hAnsi="宋体" w:eastAsia="宋体"/>
          <w:b w:val="0"/>
          <w:lang/>
        </w:rPr>
        <w:fldChar w:fldCharType="separate"/>
      </w:r>
      <w:r>
        <w:rPr>
          <w:rFonts w:ascii="宋体" w:hAnsi="宋体" w:eastAsia="宋体"/>
          <w:b w:val="0"/>
          <w:lang/>
        </w:rPr>
        <w:t>21</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"_Toc83910191"</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四、投</w:t>
      </w:r>
      <w:r>
        <w:rPr>
          <w:rStyle w:val="96"/>
          <w:rFonts w:ascii="宋体" w:hAnsi="宋体" w:eastAsia="宋体"/>
          <w:b w:val="0"/>
          <w:color w:val="auto"/>
          <w:lang/>
        </w:rPr>
        <w:t xml:space="preserve"> </w:t>
      </w:r>
      <w:r>
        <w:rPr>
          <w:rStyle w:val="96"/>
          <w:rFonts w:hint="eastAsia" w:ascii="宋体" w:hAnsi="宋体" w:eastAsia="宋体"/>
          <w:b w:val="0"/>
          <w:color w:val="auto"/>
          <w:lang/>
        </w:rPr>
        <w:t>标</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_Toc83910191 \h </w:instrText>
      </w:r>
      <w:r>
        <w:rPr>
          <w:rFonts w:ascii="宋体" w:hAnsi="宋体" w:eastAsia="宋体"/>
          <w:b w:val="0"/>
          <w:lang/>
        </w:rPr>
        <w:fldChar w:fldCharType="separate"/>
      </w:r>
      <w:r>
        <w:rPr>
          <w:rFonts w:ascii="宋体" w:hAnsi="宋体" w:eastAsia="宋体"/>
          <w:b w:val="0"/>
          <w:lang/>
        </w:rPr>
        <w:t>25</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"_Toc83910192"</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五、开</w:t>
      </w:r>
      <w:r>
        <w:rPr>
          <w:rStyle w:val="96"/>
          <w:rFonts w:ascii="宋体" w:hAnsi="宋体" w:eastAsia="宋体"/>
          <w:b w:val="0"/>
          <w:color w:val="auto"/>
          <w:lang/>
        </w:rPr>
        <w:t xml:space="preserve"> </w:t>
      </w:r>
      <w:r>
        <w:rPr>
          <w:rStyle w:val="96"/>
          <w:rFonts w:hint="eastAsia" w:ascii="宋体" w:hAnsi="宋体" w:eastAsia="宋体"/>
          <w:b w:val="0"/>
          <w:color w:val="auto"/>
          <w:lang/>
        </w:rPr>
        <w:t>标</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_Toc83910192 \h </w:instrText>
      </w:r>
      <w:r>
        <w:rPr>
          <w:rFonts w:ascii="宋体" w:hAnsi="宋体" w:eastAsia="宋体"/>
          <w:b w:val="0"/>
          <w:lang/>
        </w:rPr>
        <w:fldChar w:fldCharType="separate"/>
      </w:r>
      <w:r>
        <w:rPr>
          <w:rFonts w:ascii="宋体" w:hAnsi="宋体" w:eastAsia="宋体"/>
          <w:b w:val="0"/>
          <w:lang/>
        </w:rPr>
        <w:t>26</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"_Toc83910193"</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六、评</w:t>
      </w:r>
      <w:r>
        <w:rPr>
          <w:rStyle w:val="96"/>
          <w:rFonts w:ascii="宋体" w:hAnsi="宋体" w:eastAsia="宋体"/>
          <w:b w:val="0"/>
          <w:color w:val="auto"/>
          <w:lang/>
        </w:rPr>
        <w:t xml:space="preserve"> </w:t>
      </w:r>
      <w:r>
        <w:rPr>
          <w:rStyle w:val="96"/>
          <w:rFonts w:hint="eastAsia" w:ascii="宋体" w:hAnsi="宋体" w:eastAsia="宋体"/>
          <w:b w:val="0"/>
          <w:color w:val="auto"/>
          <w:lang/>
        </w:rPr>
        <w:t>标</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_Toc83910193 \h </w:instrText>
      </w:r>
      <w:r>
        <w:rPr>
          <w:rFonts w:ascii="宋体" w:hAnsi="宋体" w:eastAsia="宋体"/>
          <w:b w:val="0"/>
          <w:lang/>
        </w:rPr>
        <w:fldChar w:fldCharType="separate"/>
      </w:r>
      <w:r>
        <w:rPr>
          <w:rFonts w:ascii="宋体" w:hAnsi="宋体" w:eastAsia="宋体"/>
          <w:b w:val="0"/>
          <w:lang/>
        </w:rPr>
        <w:t>28</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"_Toc83910194"</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七、定</w:t>
      </w:r>
      <w:r>
        <w:rPr>
          <w:rStyle w:val="96"/>
          <w:rFonts w:ascii="宋体" w:hAnsi="宋体" w:eastAsia="宋体"/>
          <w:b w:val="0"/>
          <w:color w:val="auto"/>
          <w:lang/>
        </w:rPr>
        <w:t xml:space="preserve"> </w:t>
      </w:r>
      <w:r>
        <w:rPr>
          <w:rStyle w:val="96"/>
          <w:rFonts w:hint="eastAsia" w:ascii="宋体" w:hAnsi="宋体" w:eastAsia="宋体"/>
          <w:b w:val="0"/>
          <w:color w:val="auto"/>
          <w:lang/>
        </w:rPr>
        <w:t>标</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_Toc83910194 \h </w:instrText>
      </w:r>
      <w:r>
        <w:rPr>
          <w:rFonts w:ascii="宋体" w:hAnsi="宋体" w:eastAsia="宋体"/>
          <w:b w:val="0"/>
          <w:lang/>
        </w:rPr>
        <w:fldChar w:fldCharType="separate"/>
      </w:r>
      <w:r>
        <w:rPr>
          <w:rFonts w:ascii="宋体" w:hAnsi="宋体" w:eastAsia="宋体"/>
          <w:b w:val="0"/>
          <w:lang/>
        </w:rPr>
        <w:t>33</w:t>
      </w:r>
      <w:r>
        <w:rPr>
          <w:rFonts w:ascii="宋体" w:hAnsi="宋体" w:eastAsia="宋体"/>
          <w:b w:val="0"/>
          <w:lang/>
        </w:rPr>
        <w:fldChar w:fldCharType="end"/>
      </w:r>
      <w:r>
        <w:rPr>
          <w:rStyle w:val="96"/>
          <w:rFonts w:ascii="宋体" w:hAnsi="宋体" w:eastAsia="宋体"/>
          <w:b w:val="0"/>
          <w:color w:val="auto"/>
          <w:lang/>
        </w:rPr>
        <w:fldChar w:fldCharType="end"/>
      </w:r>
    </w:p>
    <w:p>
      <w:pPr>
        <w:pStyle w:val="59"/>
        <w:spacing w:line="240" w:lineRule="auto"/>
        <w:rPr>
          <w:rFonts w:ascii="宋体" w:hAnsi="宋体"/>
          <w:b w:val="0"/>
          <w:bCs w:val="0"/>
          <w:caps w:val="0"/>
          <w:sz w:val="24"/>
          <w:szCs w:val="24"/>
          <w:lang/>
        </w:rPr>
      </w:pPr>
      <w:r>
        <w:rPr>
          <w:rStyle w:val="96"/>
          <w:rFonts w:ascii="宋体" w:hAnsi="宋体"/>
          <w:b w:val="0"/>
          <w:color w:val="auto"/>
          <w:sz w:val="24"/>
          <w:szCs w:val="24"/>
          <w:lang/>
        </w:rPr>
        <w:fldChar w:fldCharType="begin"/>
      </w:r>
      <w:r>
        <w:rPr>
          <w:rStyle w:val="96"/>
          <w:rFonts w:ascii="宋体" w:hAnsi="宋体"/>
          <w:b w:val="0"/>
          <w:color w:val="auto"/>
          <w:sz w:val="24"/>
          <w:szCs w:val="24"/>
          <w:lang/>
        </w:rPr>
        <w:instrText xml:space="preserve"> </w:instrText>
      </w:r>
      <w:r>
        <w:rPr>
          <w:rFonts w:ascii="宋体" w:hAnsi="宋体"/>
          <w:b w:val="0"/>
          <w:sz w:val="24"/>
          <w:szCs w:val="24"/>
          <w:lang/>
        </w:rPr>
        <w:instrText xml:space="preserve">HYPERLINK \l "_Toc83910195"</w:instrText>
      </w:r>
      <w:r>
        <w:rPr>
          <w:rStyle w:val="96"/>
          <w:rFonts w:ascii="宋体" w:hAnsi="宋体"/>
          <w:b w:val="0"/>
          <w:color w:val="auto"/>
          <w:sz w:val="24"/>
          <w:szCs w:val="24"/>
          <w:lang/>
        </w:rPr>
        <w:instrText xml:space="preserve"> </w:instrText>
      </w:r>
      <w:r>
        <w:rPr>
          <w:rStyle w:val="96"/>
          <w:rFonts w:ascii="宋体" w:hAnsi="宋体"/>
          <w:b w:val="0"/>
          <w:color w:val="auto"/>
          <w:sz w:val="24"/>
          <w:szCs w:val="24"/>
          <w:lang/>
        </w:rPr>
        <w:fldChar w:fldCharType="separate"/>
      </w:r>
      <w:r>
        <w:rPr>
          <w:rStyle w:val="96"/>
          <w:rFonts w:hint="eastAsia" w:ascii="宋体" w:hAnsi="宋体"/>
          <w:b w:val="0"/>
          <w:color w:val="auto"/>
          <w:sz w:val="24"/>
          <w:szCs w:val="24"/>
          <w:lang/>
        </w:rPr>
        <w:t>第三部分</w:t>
      </w:r>
      <w:r>
        <w:rPr>
          <w:rStyle w:val="96"/>
          <w:rFonts w:ascii="宋体" w:hAnsi="宋体"/>
          <w:b w:val="0"/>
          <w:color w:val="auto"/>
          <w:sz w:val="24"/>
          <w:szCs w:val="24"/>
          <w:lang/>
        </w:rPr>
        <w:t xml:space="preserve">  </w:t>
      </w:r>
      <w:r>
        <w:rPr>
          <w:rStyle w:val="96"/>
          <w:rFonts w:hint="eastAsia" w:ascii="宋体" w:hAnsi="宋体"/>
          <w:b w:val="0"/>
          <w:color w:val="auto"/>
          <w:sz w:val="24"/>
          <w:szCs w:val="24"/>
          <w:lang/>
        </w:rPr>
        <w:t>项目技术及服务要求</w:t>
      </w:r>
      <w:r>
        <w:rPr>
          <w:rFonts w:ascii="宋体" w:hAnsi="宋体"/>
          <w:b w:val="0"/>
          <w:sz w:val="24"/>
          <w:szCs w:val="24"/>
          <w:lang/>
        </w:rPr>
        <w:tab/>
      </w:r>
      <w:r>
        <w:rPr>
          <w:rFonts w:ascii="宋体" w:hAnsi="宋体"/>
          <w:b w:val="0"/>
          <w:sz w:val="24"/>
          <w:szCs w:val="24"/>
          <w:lang/>
        </w:rPr>
        <w:fldChar w:fldCharType="begin"/>
      </w:r>
      <w:r>
        <w:rPr>
          <w:rFonts w:ascii="宋体" w:hAnsi="宋体"/>
          <w:b w:val="0"/>
          <w:sz w:val="24"/>
          <w:szCs w:val="24"/>
          <w:lang/>
        </w:rPr>
        <w:instrText xml:space="preserve"> PAGEREF _Toc83910195 \h </w:instrText>
      </w:r>
      <w:r>
        <w:rPr>
          <w:rFonts w:ascii="宋体" w:hAnsi="宋体"/>
          <w:b w:val="0"/>
          <w:sz w:val="24"/>
          <w:szCs w:val="24"/>
          <w:lang/>
        </w:rPr>
        <w:fldChar w:fldCharType="separate"/>
      </w:r>
      <w:r>
        <w:rPr>
          <w:rFonts w:ascii="宋体" w:hAnsi="宋体"/>
          <w:b w:val="0"/>
          <w:sz w:val="24"/>
          <w:szCs w:val="24"/>
          <w:lang/>
        </w:rPr>
        <w:t>36</w:t>
      </w:r>
      <w:r>
        <w:rPr>
          <w:rFonts w:ascii="宋体" w:hAnsi="宋体"/>
          <w:b w:val="0"/>
          <w:sz w:val="24"/>
          <w:szCs w:val="24"/>
          <w:lang/>
        </w:rPr>
        <w:fldChar w:fldCharType="end"/>
      </w:r>
      <w:r>
        <w:rPr>
          <w:rStyle w:val="96"/>
          <w:rFonts w:ascii="宋体" w:hAnsi="宋体"/>
          <w:b w:val="0"/>
          <w:color w:val="auto"/>
          <w:sz w:val="24"/>
          <w:szCs w:val="24"/>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"_Toc83910196"</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cs="仿宋"/>
          <w:b w:val="0"/>
          <w:color w:val="auto"/>
          <w:lang/>
        </w:rPr>
        <w:t>一、招标作业内容</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_Toc83910196 \h </w:instrText>
      </w:r>
      <w:r>
        <w:rPr>
          <w:rFonts w:ascii="宋体" w:hAnsi="宋体" w:eastAsia="宋体"/>
          <w:b w:val="0"/>
          <w:lang/>
        </w:rPr>
        <w:fldChar w:fldCharType="separate"/>
      </w:r>
      <w:r>
        <w:rPr>
          <w:rFonts w:ascii="宋体" w:hAnsi="宋体" w:eastAsia="宋体"/>
          <w:b w:val="0"/>
          <w:lang/>
        </w:rPr>
        <w:t>36</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"_Toc83910197"</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二、质量要求</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_Toc83910197 \h </w:instrText>
      </w:r>
      <w:r>
        <w:rPr>
          <w:rFonts w:ascii="宋体" w:hAnsi="宋体" w:eastAsia="宋体"/>
          <w:b w:val="0"/>
          <w:lang/>
        </w:rPr>
        <w:fldChar w:fldCharType="separate"/>
      </w:r>
      <w:r>
        <w:rPr>
          <w:rFonts w:ascii="宋体" w:hAnsi="宋体" w:eastAsia="宋体"/>
          <w:b w:val="0"/>
          <w:lang/>
        </w:rPr>
        <w:t>36</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"_Toc83910198"</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三、管理要求</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_Toc83910198 \h </w:instrText>
      </w:r>
      <w:r>
        <w:rPr>
          <w:rFonts w:ascii="宋体" w:hAnsi="宋体" w:eastAsia="宋体"/>
          <w:b w:val="0"/>
          <w:lang/>
        </w:rPr>
        <w:fldChar w:fldCharType="separate"/>
      </w:r>
      <w:r>
        <w:rPr>
          <w:rFonts w:ascii="宋体" w:hAnsi="宋体" w:eastAsia="宋体"/>
          <w:b w:val="0"/>
          <w:lang/>
        </w:rPr>
        <w:t>39</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"_Toc83910199"</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四、承包方式</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_Toc83910199 \h </w:instrText>
      </w:r>
      <w:r>
        <w:rPr>
          <w:rFonts w:ascii="宋体" w:hAnsi="宋体" w:eastAsia="宋体"/>
          <w:b w:val="0"/>
          <w:lang/>
        </w:rPr>
        <w:fldChar w:fldCharType="separate"/>
      </w:r>
      <w:r>
        <w:rPr>
          <w:rFonts w:ascii="宋体" w:hAnsi="宋体" w:eastAsia="宋体"/>
          <w:b w:val="0"/>
          <w:lang/>
        </w:rPr>
        <w:t>41</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"_Toc83910200"</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cs="宋体"/>
          <w:b w:val="0"/>
          <w:color w:val="auto"/>
          <w:lang/>
        </w:rPr>
        <w:t>五、人员要求</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_Toc83910200 \h </w:instrText>
      </w:r>
      <w:r>
        <w:rPr>
          <w:rFonts w:ascii="宋体" w:hAnsi="宋体" w:eastAsia="宋体"/>
          <w:b w:val="0"/>
          <w:lang/>
        </w:rPr>
        <w:fldChar w:fldCharType="separate"/>
      </w:r>
      <w:r>
        <w:rPr>
          <w:rFonts w:ascii="宋体" w:hAnsi="宋体" w:eastAsia="宋体"/>
          <w:b w:val="0"/>
          <w:lang/>
        </w:rPr>
        <w:t>41</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"_Toc83910201"</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六、 服务期限</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_Toc83910201 \h </w:instrText>
      </w:r>
      <w:r>
        <w:rPr>
          <w:rFonts w:ascii="宋体" w:hAnsi="宋体" w:eastAsia="宋体"/>
          <w:b w:val="0"/>
          <w:lang/>
        </w:rPr>
        <w:fldChar w:fldCharType="separate"/>
      </w:r>
      <w:r>
        <w:rPr>
          <w:rFonts w:ascii="宋体" w:hAnsi="宋体" w:eastAsia="宋体"/>
          <w:b w:val="0"/>
          <w:lang/>
        </w:rPr>
        <w:t>41</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"_Toc83910202"</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cs="宋体"/>
          <w:b w:val="0"/>
          <w:color w:val="auto"/>
          <w:lang/>
        </w:rPr>
        <w:t>七、</w:t>
      </w:r>
      <w:r>
        <w:rPr>
          <w:rStyle w:val="96"/>
          <w:rFonts w:ascii="宋体" w:hAnsi="宋体" w:eastAsia="宋体" w:cs="宋体"/>
          <w:b w:val="0"/>
          <w:color w:val="auto"/>
          <w:lang/>
        </w:rPr>
        <w:t xml:space="preserve"> </w:t>
      </w:r>
      <w:r>
        <w:rPr>
          <w:rStyle w:val="96"/>
          <w:rFonts w:hint="eastAsia" w:ascii="宋体" w:hAnsi="宋体" w:eastAsia="宋体" w:cs="宋体"/>
          <w:b w:val="0"/>
          <w:color w:val="auto"/>
          <w:lang/>
        </w:rPr>
        <w:t>项目明细（附后）</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_Toc83910202 \h </w:instrText>
      </w:r>
      <w:r>
        <w:rPr>
          <w:rFonts w:ascii="宋体" w:hAnsi="宋体" w:eastAsia="宋体"/>
          <w:b w:val="0"/>
          <w:lang/>
        </w:rPr>
        <w:fldChar w:fldCharType="separate"/>
      </w:r>
      <w:r>
        <w:rPr>
          <w:rFonts w:ascii="宋体" w:hAnsi="宋体" w:eastAsia="宋体"/>
          <w:b w:val="0"/>
          <w:lang/>
        </w:rPr>
        <w:t>41</w:t>
      </w:r>
      <w:r>
        <w:rPr>
          <w:rFonts w:ascii="宋体" w:hAnsi="宋体" w:eastAsia="宋体"/>
          <w:b w:val="0"/>
          <w:lang/>
        </w:rPr>
        <w:fldChar w:fldCharType="end"/>
      </w:r>
      <w:r>
        <w:rPr>
          <w:rStyle w:val="96"/>
          <w:rFonts w:ascii="宋体" w:hAnsi="宋体" w:eastAsia="宋体"/>
          <w:b w:val="0"/>
          <w:color w:val="auto"/>
          <w:lang/>
        </w:rPr>
        <w:fldChar w:fldCharType="end"/>
      </w:r>
    </w:p>
    <w:p>
      <w:pPr>
        <w:pStyle w:val="59"/>
        <w:spacing w:line="240" w:lineRule="auto"/>
        <w:rPr>
          <w:rFonts w:ascii="宋体" w:hAnsi="宋体"/>
          <w:b w:val="0"/>
          <w:bCs w:val="0"/>
          <w:caps w:val="0"/>
          <w:sz w:val="24"/>
          <w:szCs w:val="24"/>
          <w:lang/>
        </w:rPr>
      </w:pPr>
      <w:r>
        <w:rPr>
          <w:rStyle w:val="96"/>
          <w:rFonts w:ascii="宋体" w:hAnsi="宋体"/>
          <w:b w:val="0"/>
          <w:color w:val="auto"/>
          <w:sz w:val="24"/>
          <w:szCs w:val="24"/>
          <w:lang/>
        </w:rPr>
        <w:fldChar w:fldCharType="begin"/>
      </w:r>
      <w:r>
        <w:rPr>
          <w:rStyle w:val="96"/>
          <w:rFonts w:ascii="宋体" w:hAnsi="宋体"/>
          <w:b w:val="0"/>
          <w:color w:val="auto"/>
          <w:sz w:val="24"/>
          <w:szCs w:val="24"/>
          <w:lang/>
        </w:rPr>
        <w:instrText xml:space="preserve"> </w:instrText>
      </w:r>
      <w:r>
        <w:rPr>
          <w:rFonts w:ascii="宋体" w:hAnsi="宋体"/>
          <w:b w:val="0"/>
          <w:sz w:val="24"/>
          <w:szCs w:val="24"/>
          <w:lang/>
        </w:rPr>
        <w:instrText xml:space="preserve">HYPERLINK \l "_Toc83910203"</w:instrText>
      </w:r>
      <w:r>
        <w:rPr>
          <w:rStyle w:val="96"/>
          <w:rFonts w:ascii="宋体" w:hAnsi="宋体"/>
          <w:b w:val="0"/>
          <w:color w:val="auto"/>
          <w:sz w:val="24"/>
          <w:szCs w:val="24"/>
          <w:lang/>
        </w:rPr>
        <w:instrText xml:space="preserve"> </w:instrText>
      </w:r>
      <w:r>
        <w:rPr>
          <w:rStyle w:val="96"/>
          <w:rFonts w:ascii="宋体" w:hAnsi="宋体"/>
          <w:b w:val="0"/>
          <w:color w:val="auto"/>
          <w:sz w:val="24"/>
          <w:szCs w:val="24"/>
          <w:lang/>
        </w:rPr>
        <w:fldChar w:fldCharType="separate"/>
      </w:r>
      <w:r>
        <w:rPr>
          <w:rStyle w:val="96"/>
          <w:rFonts w:hint="eastAsia" w:ascii="宋体" w:hAnsi="宋体"/>
          <w:b w:val="0"/>
          <w:color w:val="auto"/>
          <w:sz w:val="24"/>
          <w:szCs w:val="24"/>
          <w:lang/>
        </w:rPr>
        <w:t>第四部分</w:t>
      </w:r>
      <w:r>
        <w:rPr>
          <w:rStyle w:val="96"/>
          <w:rFonts w:ascii="宋体" w:hAnsi="宋体"/>
          <w:b w:val="0"/>
          <w:color w:val="auto"/>
          <w:sz w:val="24"/>
          <w:szCs w:val="24"/>
          <w:lang/>
        </w:rPr>
        <w:t xml:space="preserve">  </w:t>
      </w:r>
      <w:r>
        <w:rPr>
          <w:rStyle w:val="96"/>
          <w:rFonts w:hint="eastAsia" w:ascii="宋体" w:hAnsi="宋体"/>
          <w:b w:val="0"/>
          <w:color w:val="auto"/>
          <w:sz w:val="24"/>
          <w:szCs w:val="24"/>
          <w:lang/>
        </w:rPr>
        <w:t>合同文本</w:t>
      </w:r>
      <w:r>
        <w:rPr>
          <w:rFonts w:ascii="宋体" w:hAnsi="宋体"/>
          <w:b w:val="0"/>
          <w:sz w:val="24"/>
          <w:szCs w:val="24"/>
          <w:lang/>
        </w:rPr>
        <w:tab/>
      </w:r>
      <w:r>
        <w:rPr>
          <w:rFonts w:ascii="宋体" w:hAnsi="宋体"/>
          <w:b w:val="0"/>
          <w:sz w:val="24"/>
          <w:szCs w:val="24"/>
          <w:lang/>
        </w:rPr>
        <w:fldChar w:fldCharType="begin"/>
      </w:r>
      <w:r>
        <w:rPr>
          <w:rFonts w:ascii="宋体" w:hAnsi="宋体"/>
          <w:b w:val="0"/>
          <w:sz w:val="24"/>
          <w:szCs w:val="24"/>
          <w:lang/>
        </w:rPr>
        <w:instrText xml:space="preserve"> PAGEREF _Toc83910203 \h </w:instrText>
      </w:r>
      <w:r>
        <w:rPr>
          <w:rFonts w:ascii="宋体" w:hAnsi="宋体"/>
          <w:b w:val="0"/>
          <w:sz w:val="24"/>
          <w:szCs w:val="24"/>
          <w:lang/>
        </w:rPr>
        <w:fldChar w:fldCharType="separate"/>
      </w:r>
      <w:r>
        <w:rPr>
          <w:rFonts w:ascii="宋体" w:hAnsi="宋体"/>
          <w:b w:val="0"/>
          <w:sz w:val="24"/>
          <w:szCs w:val="24"/>
          <w:lang/>
        </w:rPr>
        <w:t>43</w:t>
      </w:r>
      <w:r>
        <w:rPr>
          <w:rFonts w:ascii="宋体" w:hAnsi="宋体"/>
          <w:b w:val="0"/>
          <w:sz w:val="24"/>
          <w:szCs w:val="24"/>
          <w:lang/>
        </w:rPr>
        <w:fldChar w:fldCharType="end"/>
      </w:r>
      <w:r>
        <w:rPr>
          <w:rStyle w:val="96"/>
          <w:rFonts w:ascii="宋体" w:hAnsi="宋体"/>
          <w:b w:val="0"/>
          <w:color w:val="auto"/>
          <w:sz w:val="24"/>
          <w:szCs w:val="24"/>
          <w:lang/>
        </w:rPr>
        <w:fldChar w:fldCharType="end"/>
      </w:r>
    </w:p>
    <w:p>
      <w:pPr>
        <w:pStyle w:val="59"/>
        <w:spacing w:line="240" w:lineRule="auto"/>
        <w:rPr>
          <w:rFonts w:ascii="宋体" w:hAnsi="宋体"/>
          <w:b w:val="0"/>
          <w:bCs w:val="0"/>
          <w:caps w:val="0"/>
          <w:sz w:val="24"/>
          <w:szCs w:val="24"/>
          <w:lang/>
        </w:rPr>
      </w:pPr>
      <w:r>
        <w:rPr>
          <w:rStyle w:val="96"/>
          <w:rFonts w:ascii="宋体" w:hAnsi="宋体"/>
          <w:b w:val="0"/>
          <w:color w:val="auto"/>
          <w:sz w:val="24"/>
          <w:szCs w:val="24"/>
          <w:lang/>
        </w:rPr>
        <w:fldChar w:fldCharType="begin"/>
      </w:r>
      <w:r>
        <w:rPr>
          <w:rStyle w:val="96"/>
          <w:rFonts w:ascii="宋体" w:hAnsi="宋体"/>
          <w:b w:val="0"/>
          <w:color w:val="auto"/>
          <w:sz w:val="24"/>
          <w:szCs w:val="24"/>
          <w:lang/>
        </w:rPr>
        <w:instrText xml:space="preserve"> </w:instrText>
      </w:r>
      <w:r>
        <w:rPr>
          <w:rFonts w:ascii="宋体" w:hAnsi="宋体"/>
          <w:b w:val="0"/>
          <w:sz w:val="24"/>
          <w:szCs w:val="24"/>
          <w:lang/>
        </w:rPr>
        <w:instrText xml:space="preserve">HYPERLINK \l "_Toc83910204"</w:instrText>
      </w:r>
      <w:r>
        <w:rPr>
          <w:rStyle w:val="96"/>
          <w:rFonts w:ascii="宋体" w:hAnsi="宋体"/>
          <w:b w:val="0"/>
          <w:color w:val="auto"/>
          <w:sz w:val="24"/>
          <w:szCs w:val="24"/>
          <w:lang/>
        </w:rPr>
        <w:instrText xml:space="preserve"> </w:instrText>
      </w:r>
      <w:r>
        <w:rPr>
          <w:rStyle w:val="96"/>
          <w:rFonts w:ascii="宋体" w:hAnsi="宋体"/>
          <w:b w:val="0"/>
          <w:color w:val="auto"/>
          <w:sz w:val="24"/>
          <w:szCs w:val="24"/>
          <w:lang/>
        </w:rPr>
        <w:fldChar w:fldCharType="separate"/>
      </w:r>
      <w:r>
        <w:rPr>
          <w:rStyle w:val="96"/>
          <w:rFonts w:hint="eastAsia" w:ascii="宋体" w:hAnsi="宋体"/>
          <w:b w:val="0"/>
          <w:color w:val="auto"/>
          <w:sz w:val="24"/>
          <w:szCs w:val="24"/>
          <w:lang/>
        </w:rPr>
        <w:t>第五部分</w:t>
      </w:r>
      <w:r>
        <w:rPr>
          <w:rStyle w:val="96"/>
          <w:rFonts w:ascii="宋体" w:hAnsi="宋体"/>
          <w:b w:val="0"/>
          <w:color w:val="auto"/>
          <w:sz w:val="24"/>
          <w:szCs w:val="24"/>
          <w:lang/>
        </w:rPr>
        <w:t xml:space="preserve">  </w:t>
      </w:r>
      <w:r>
        <w:rPr>
          <w:rStyle w:val="96"/>
          <w:rFonts w:hint="eastAsia" w:ascii="宋体" w:hAnsi="宋体"/>
          <w:b w:val="0"/>
          <w:color w:val="auto"/>
          <w:sz w:val="24"/>
          <w:szCs w:val="24"/>
          <w:lang/>
        </w:rPr>
        <w:t>投标文件部分格式文件</w:t>
      </w:r>
      <w:r>
        <w:rPr>
          <w:rFonts w:ascii="宋体" w:hAnsi="宋体"/>
          <w:b w:val="0"/>
          <w:sz w:val="24"/>
          <w:szCs w:val="24"/>
          <w:lang/>
        </w:rPr>
        <w:tab/>
      </w:r>
      <w:r>
        <w:rPr>
          <w:rFonts w:ascii="宋体" w:hAnsi="宋体"/>
          <w:b w:val="0"/>
          <w:sz w:val="24"/>
          <w:szCs w:val="24"/>
          <w:lang/>
        </w:rPr>
        <w:fldChar w:fldCharType="begin"/>
      </w:r>
      <w:r>
        <w:rPr>
          <w:rFonts w:ascii="宋体" w:hAnsi="宋体"/>
          <w:b w:val="0"/>
          <w:sz w:val="24"/>
          <w:szCs w:val="24"/>
          <w:lang/>
        </w:rPr>
        <w:instrText xml:space="preserve"> PAGEREF _Toc83910204 \h </w:instrText>
      </w:r>
      <w:r>
        <w:rPr>
          <w:rFonts w:ascii="宋体" w:hAnsi="宋体"/>
          <w:b w:val="0"/>
          <w:sz w:val="24"/>
          <w:szCs w:val="24"/>
          <w:lang/>
        </w:rPr>
        <w:fldChar w:fldCharType="separate"/>
      </w:r>
      <w:r>
        <w:rPr>
          <w:rFonts w:ascii="宋体" w:hAnsi="宋体"/>
          <w:b w:val="0"/>
          <w:sz w:val="24"/>
          <w:szCs w:val="24"/>
          <w:lang/>
        </w:rPr>
        <w:t>47</w:t>
      </w:r>
      <w:r>
        <w:rPr>
          <w:rFonts w:ascii="宋体" w:hAnsi="宋体"/>
          <w:b w:val="0"/>
          <w:sz w:val="24"/>
          <w:szCs w:val="24"/>
          <w:lang/>
        </w:rPr>
        <w:fldChar w:fldCharType="end"/>
      </w:r>
      <w:r>
        <w:rPr>
          <w:rStyle w:val="96"/>
          <w:rFonts w:ascii="宋体" w:hAnsi="宋体"/>
          <w:b w:val="0"/>
          <w:color w:val="auto"/>
          <w:sz w:val="24"/>
          <w:szCs w:val="24"/>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"_Toc83910205"</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kern w:val="0"/>
          <w:lang w:val="zh-CN"/>
        </w:rPr>
        <w:t>格式</w:t>
      </w:r>
      <w:r>
        <w:rPr>
          <w:rStyle w:val="96"/>
          <w:rFonts w:hint="eastAsia" w:ascii="宋体" w:hAnsi="宋体" w:eastAsia="宋体"/>
          <w:b w:val="0"/>
          <w:color w:val="auto"/>
          <w:kern w:val="0"/>
          <w:lang/>
        </w:rPr>
        <w:t>一：资格审查材料</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_Toc83910205 \h </w:instrText>
      </w:r>
      <w:r>
        <w:rPr>
          <w:rFonts w:ascii="宋体" w:hAnsi="宋体" w:eastAsia="宋体"/>
          <w:b w:val="0"/>
          <w:lang/>
        </w:rPr>
        <w:fldChar w:fldCharType="separate"/>
      </w:r>
      <w:r>
        <w:rPr>
          <w:rFonts w:ascii="宋体" w:hAnsi="宋体" w:eastAsia="宋体"/>
          <w:b w:val="0"/>
          <w:lang/>
        </w:rPr>
        <w:t>47</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"_Toc83910206"</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kern w:val="0"/>
          <w:lang/>
        </w:rPr>
        <w:t>格式二：投标声明</w:t>
      </w:r>
      <w:r>
        <w:rPr>
          <w:rStyle w:val="96"/>
          <w:rFonts w:hint="eastAsia" w:ascii="宋体" w:hAnsi="宋体" w:eastAsia="宋体"/>
          <w:b w:val="0"/>
          <w:color w:val="auto"/>
          <w:lang/>
        </w:rPr>
        <w:t>函</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_Toc83910206 \h </w:instrText>
      </w:r>
      <w:r>
        <w:rPr>
          <w:rFonts w:ascii="宋体" w:hAnsi="宋体" w:eastAsia="宋体"/>
          <w:b w:val="0"/>
          <w:lang/>
        </w:rPr>
        <w:fldChar w:fldCharType="separate"/>
      </w:r>
      <w:r>
        <w:rPr>
          <w:rFonts w:ascii="宋体" w:hAnsi="宋体" w:eastAsia="宋体"/>
          <w:b w:val="0"/>
          <w:lang/>
        </w:rPr>
        <w:t>52</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"_Toc83910207"</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cs="仿宋_GB2312"/>
          <w:b w:val="0"/>
          <w:color w:val="auto"/>
          <w:kern w:val="0"/>
          <w:lang w:val="zh-CN"/>
        </w:rPr>
        <w:t>格式三：</w:t>
      </w:r>
      <w:r>
        <w:rPr>
          <w:rStyle w:val="96"/>
          <w:rFonts w:hint="eastAsia" w:ascii="宋体" w:hAnsi="宋体" w:eastAsia="宋体"/>
          <w:b w:val="0"/>
          <w:color w:val="auto"/>
          <w:lang/>
        </w:rPr>
        <w:t>法定代表人身份证明或法定代表人身份证明及授权委托书</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_Toc83910207 \h </w:instrText>
      </w:r>
      <w:r>
        <w:rPr>
          <w:rFonts w:ascii="宋体" w:hAnsi="宋体" w:eastAsia="宋体"/>
          <w:b w:val="0"/>
          <w:lang/>
        </w:rPr>
        <w:fldChar w:fldCharType="separate"/>
      </w:r>
      <w:r>
        <w:rPr>
          <w:rFonts w:ascii="宋体" w:hAnsi="宋体" w:eastAsia="宋体"/>
          <w:b w:val="0"/>
          <w:lang/>
        </w:rPr>
        <w:t>54</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"_Toc83910208"</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cs="仿宋_GB2312"/>
          <w:b w:val="0"/>
          <w:color w:val="auto"/>
          <w:kern w:val="0"/>
          <w:lang w:val="zh-CN"/>
        </w:rPr>
        <w:t>格式四：以往业绩情况表</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_Toc83910208 \h </w:instrText>
      </w:r>
      <w:r>
        <w:rPr>
          <w:rFonts w:ascii="宋体" w:hAnsi="宋体" w:eastAsia="宋体"/>
          <w:b w:val="0"/>
          <w:lang/>
        </w:rPr>
        <w:fldChar w:fldCharType="separate"/>
      </w:r>
      <w:r>
        <w:rPr>
          <w:rFonts w:ascii="宋体" w:hAnsi="宋体" w:eastAsia="宋体"/>
          <w:b w:val="0"/>
          <w:lang/>
        </w:rPr>
        <w:t>56</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"_Toc83910209"</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bCs/>
          <w:color w:val="auto"/>
          <w:lang/>
        </w:rPr>
        <w:t>格式五：商务</w:t>
      </w:r>
      <w:r>
        <w:rPr>
          <w:rStyle w:val="96"/>
          <w:rFonts w:ascii="宋体" w:hAnsi="宋体" w:eastAsia="宋体"/>
          <w:b w:val="0"/>
          <w:bCs/>
          <w:color w:val="auto"/>
          <w:lang/>
        </w:rPr>
        <w:t>/</w:t>
      </w:r>
      <w:r>
        <w:rPr>
          <w:rStyle w:val="96"/>
          <w:rFonts w:hint="eastAsia" w:ascii="宋体" w:hAnsi="宋体" w:eastAsia="宋体"/>
          <w:b w:val="0"/>
          <w:bCs/>
          <w:color w:val="auto"/>
          <w:lang/>
        </w:rPr>
        <w:t>技术偏离表</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_Toc83910209 \h </w:instrText>
      </w:r>
      <w:r>
        <w:rPr>
          <w:rFonts w:ascii="宋体" w:hAnsi="宋体" w:eastAsia="宋体"/>
          <w:b w:val="0"/>
          <w:lang/>
        </w:rPr>
        <w:fldChar w:fldCharType="separate"/>
      </w:r>
      <w:r>
        <w:rPr>
          <w:rFonts w:ascii="宋体" w:hAnsi="宋体" w:eastAsia="宋体"/>
          <w:b w:val="0"/>
          <w:lang/>
        </w:rPr>
        <w:t>57</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"_Toc83910210"</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bCs/>
          <w:color w:val="auto"/>
          <w:lang/>
        </w:rPr>
        <w:t>格式六：货物清单（不含报价）（货物项目提供，服务项目则不用）</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_Toc83910210 \h </w:instrText>
      </w:r>
      <w:r>
        <w:rPr>
          <w:rFonts w:ascii="宋体" w:hAnsi="宋体" w:eastAsia="宋体"/>
          <w:b w:val="0"/>
          <w:lang/>
        </w:rPr>
        <w:fldChar w:fldCharType="separate"/>
      </w:r>
      <w:r>
        <w:rPr>
          <w:rFonts w:ascii="宋体" w:hAnsi="宋体" w:eastAsia="宋体"/>
          <w:b w:val="0"/>
          <w:lang/>
        </w:rPr>
        <w:t>58</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"_Toc83910211"</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bCs/>
          <w:color w:val="auto"/>
          <w:lang/>
        </w:rPr>
        <w:t>格式七：拟投入本项目的服务团队情况表</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_Toc83910211 \h </w:instrText>
      </w:r>
      <w:r>
        <w:rPr>
          <w:rFonts w:ascii="宋体" w:hAnsi="宋体" w:eastAsia="宋体"/>
          <w:b w:val="0"/>
          <w:lang/>
        </w:rPr>
        <w:fldChar w:fldCharType="separate"/>
      </w:r>
      <w:r>
        <w:rPr>
          <w:rFonts w:ascii="宋体" w:hAnsi="宋体" w:eastAsia="宋体"/>
          <w:b w:val="0"/>
          <w:lang/>
        </w:rPr>
        <w:t>59</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"_Toc83910212"</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kern w:val="0"/>
          <w:lang/>
        </w:rPr>
        <w:t>格式八：开标一览表</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_Toc83910212 \h </w:instrText>
      </w:r>
      <w:r>
        <w:rPr>
          <w:rFonts w:ascii="宋体" w:hAnsi="宋体" w:eastAsia="宋体"/>
          <w:b w:val="0"/>
          <w:lang/>
        </w:rPr>
        <w:fldChar w:fldCharType="separate"/>
      </w:r>
      <w:r>
        <w:rPr>
          <w:rFonts w:ascii="宋体" w:hAnsi="宋体" w:eastAsia="宋体"/>
          <w:b w:val="0"/>
          <w:lang/>
        </w:rPr>
        <w:t>60</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"_Toc83910213"</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bCs/>
          <w:color w:val="auto"/>
          <w:lang/>
        </w:rPr>
        <w:t>格式九：</w:t>
      </w:r>
      <w:r>
        <w:rPr>
          <w:rStyle w:val="96"/>
          <w:rFonts w:hint="eastAsia" w:ascii="宋体" w:hAnsi="宋体" w:eastAsia="宋体"/>
          <w:b w:val="0"/>
          <w:color w:val="auto"/>
          <w:lang/>
        </w:rPr>
        <w:t>报价明细表</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_Toc83910213 \h </w:instrText>
      </w:r>
      <w:r>
        <w:rPr>
          <w:rFonts w:ascii="宋体" w:hAnsi="宋体" w:eastAsia="宋体"/>
          <w:b w:val="0"/>
          <w:lang/>
        </w:rPr>
        <w:fldChar w:fldCharType="separate"/>
      </w:r>
      <w:r>
        <w:rPr>
          <w:rFonts w:ascii="宋体" w:hAnsi="宋体" w:eastAsia="宋体"/>
          <w:b w:val="0"/>
          <w:lang/>
        </w:rPr>
        <w:t>61</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"_Toc83910214"</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kern w:val="0"/>
          <w:lang/>
        </w:rPr>
        <w:t>格式十：中小企业</w:t>
      </w:r>
      <w:r>
        <w:rPr>
          <w:rStyle w:val="96"/>
          <w:rFonts w:ascii="宋体" w:hAnsi="宋体" w:eastAsia="宋体"/>
          <w:b w:val="0"/>
          <w:color w:val="auto"/>
          <w:kern w:val="0"/>
          <w:lang/>
        </w:rPr>
        <w:t>/</w:t>
      </w:r>
      <w:r>
        <w:rPr>
          <w:rStyle w:val="96"/>
          <w:rFonts w:hint="eastAsia" w:ascii="宋体" w:hAnsi="宋体" w:eastAsia="宋体"/>
          <w:b w:val="0"/>
          <w:color w:val="auto"/>
          <w:kern w:val="0"/>
          <w:lang/>
        </w:rPr>
        <w:t>监狱企业</w:t>
      </w:r>
      <w:r>
        <w:rPr>
          <w:rStyle w:val="96"/>
          <w:rFonts w:ascii="宋体" w:hAnsi="宋体" w:eastAsia="宋体"/>
          <w:b w:val="0"/>
          <w:color w:val="auto"/>
          <w:kern w:val="0"/>
          <w:lang/>
        </w:rPr>
        <w:t>/</w:t>
      </w:r>
      <w:r>
        <w:rPr>
          <w:rStyle w:val="96"/>
          <w:rFonts w:hint="eastAsia" w:ascii="宋体" w:hAnsi="宋体" w:eastAsia="宋体"/>
          <w:b w:val="0"/>
          <w:color w:val="auto"/>
          <w:kern w:val="0"/>
          <w:lang/>
        </w:rPr>
        <w:t>残疾人福利性单位声明函</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_Toc83910214 \h </w:instrText>
      </w:r>
      <w:r>
        <w:rPr>
          <w:rFonts w:ascii="宋体" w:hAnsi="宋体" w:eastAsia="宋体"/>
          <w:b w:val="0"/>
          <w:lang/>
        </w:rPr>
        <w:fldChar w:fldCharType="separate"/>
      </w:r>
      <w:r>
        <w:rPr>
          <w:rFonts w:ascii="宋体" w:hAnsi="宋体" w:eastAsia="宋体"/>
          <w:b w:val="0"/>
          <w:lang/>
        </w:rPr>
        <w:t>62</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"_Toc83910215"</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投标文件封面</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_Toc83910215 \h </w:instrText>
      </w:r>
      <w:r>
        <w:rPr>
          <w:rFonts w:ascii="宋体" w:hAnsi="宋体" w:eastAsia="宋体"/>
          <w:b w:val="0"/>
          <w:lang/>
        </w:rPr>
        <w:fldChar w:fldCharType="separate"/>
      </w:r>
      <w:r>
        <w:rPr>
          <w:rFonts w:ascii="宋体" w:hAnsi="宋体" w:eastAsia="宋体"/>
          <w:b w:val="0"/>
          <w:lang/>
        </w:rPr>
        <w:t>66</w:t>
      </w:r>
      <w:r>
        <w:rPr>
          <w:rFonts w:ascii="宋体" w:hAnsi="宋体" w:eastAsia="宋体"/>
          <w:b w:val="0"/>
          <w:lang/>
        </w:rPr>
        <w:fldChar w:fldCharType="end"/>
      </w:r>
      <w:r>
        <w:rPr>
          <w:rStyle w:val="96"/>
          <w:rFonts w:ascii="宋体" w:hAnsi="宋体" w:eastAsia="宋体"/>
          <w:b w:val="0"/>
          <w:color w:val="auto"/>
          <w:lang/>
        </w:rPr>
        <w:fldChar w:fldCharType="end"/>
      </w:r>
    </w:p>
    <w:p>
      <w:pPr>
        <w:pStyle w:val="59"/>
        <w:spacing w:line="240" w:lineRule="auto"/>
        <w:rPr>
          <w:rFonts w:ascii="宋体" w:hAnsi="宋体"/>
          <w:b w:val="0"/>
          <w:bCs w:val="0"/>
          <w:caps w:val="0"/>
          <w:sz w:val="24"/>
          <w:szCs w:val="24"/>
          <w:lang/>
        </w:rPr>
      </w:pPr>
      <w:r>
        <w:rPr>
          <w:rStyle w:val="96"/>
          <w:rFonts w:ascii="宋体" w:hAnsi="宋体"/>
          <w:b w:val="0"/>
          <w:color w:val="auto"/>
          <w:sz w:val="24"/>
          <w:szCs w:val="24"/>
          <w:lang/>
        </w:rPr>
        <w:fldChar w:fldCharType="begin"/>
      </w:r>
      <w:r>
        <w:rPr>
          <w:rStyle w:val="96"/>
          <w:rFonts w:ascii="宋体" w:hAnsi="宋体"/>
          <w:b w:val="0"/>
          <w:color w:val="auto"/>
          <w:sz w:val="24"/>
          <w:szCs w:val="24"/>
          <w:lang/>
        </w:rPr>
        <w:instrText xml:space="preserve"> </w:instrText>
      </w:r>
      <w:r>
        <w:rPr>
          <w:rFonts w:ascii="宋体" w:hAnsi="宋体"/>
          <w:b w:val="0"/>
          <w:sz w:val="24"/>
          <w:szCs w:val="24"/>
          <w:lang/>
        </w:rPr>
        <w:instrText xml:space="preserve">HYPERLINK \l "_Toc83910216"</w:instrText>
      </w:r>
      <w:r>
        <w:rPr>
          <w:rStyle w:val="96"/>
          <w:rFonts w:ascii="宋体" w:hAnsi="宋体"/>
          <w:b w:val="0"/>
          <w:color w:val="auto"/>
          <w:sz w:val="24"/>
          <w:szCs w:val="24"/>
          <w:lang/>
        </w:rPr>
        <w:instrText xml:space="preserve"> </w:instrText>
      </w:r>
      <w:r>
        <w:rPr>
          <w:rStyle w:val="96"/>
          <w:rFonts w:ascii="宋体" w:hAnsi="宋体"/>
          <w:b w:val="0"/>
          <w:color w:val="auto"/>
          <w:sz w:val="24"/>
          <w:szCs w:val="24"/>
          <w:lang/>
        </w:rPr>
        <w:fldChar w:fldCharType="separate"/>
      </w:r>
      <w:r>
        <w:rPr>
          <w:rStyle w:val="96"/>
          <w:rFonts w:hint="eastAsia" w:ascii="宋体" w:hAnsi="宋体"/>
          <w:b w:val="0"/>
          <w:color w:val="auto"/>
          <w:sz w:val="24"/>
          <w:szCs w:val="24"/>
          <w:lang/>
        </w:rPr>
        <w:t>第六部分</w:t>
      </w:r>
      <w:r>
        <w:rPr>
          <w:rStyle w:val="96"/>
          <w:rFonts w:ascii="宋体" w:hAnsi="宋体"/>
          <w:b w:val="0"/>
          <w:color w:val="auto"/>
          <w:sz w:val="24"/>
          <w:szCs w:val="24"/>
          <w:lang/>
        </w:rPr>
        <w:t xml:space="preserve">  </w:t>
      </w:r>
      <w:r>
        <w:rPr>
          <w:rStyle w:val="96"/>
          <w:rFonts w:hint="eastAsia" w:ascii="宋体" w:hAnsi="宋体"/>
          <w:b w:val="0"/>
          <w:color w:val="auto"/>
          <w:sz w:val="24"/>
          <w:szCs w:val="24"/>
          <w:lang/>
        </w:rPr>
        <w:t>评分办法</w:t>
      </w:r>
      <w:r>
        <w:rPr>
          <w:rFonts w:ascii="宋体" w:hAnsi="宋体"/>
          <w:b w:val="0"/>
          <w:sz w:val="24"/>
          <w:szCs w:val="24"/>
          <w:lang/>
        </w:rPr>
        <w:tab/>
      </w:r>
      <w:r>
        <w:rPr>
          <w:rFonts w:ascii="宋体" w:hAnsi="宋体"/>
          <w:b w:val="0"/>
          <w:sz w:val="24"/>
          <w:szCs w:val="24"/>
          <w:lang/>
        </w:rPr>
        <w:fldChar w:fldCharType="begin"/>
      </w:r>
      <w:r>
        <w:rPr>
          <w:rFonts w:ascii="宋体" w:hAnsi="宋体"/>
          <w:b w:val="0"/>
          <w:sz w:val="24"/>
          <w:szCs w:val="24"/>
          <w:lang/>
        </w:rPr>
        <w:instrText xml:space="preserve"> PAGEREF _Toc83910216 \h </w:instrText>
      </w:r>
      <w:r>
        <w:rPr>
          <w:rFonts w:ascii="宋体" w:hAnsi="宋体"/>
          <w:b w:val="0"/>
          <w:sz w:val="24"/>
          <w:szCs w:val="24"/>
          <w:lang/>
        </w:rPr>
        <w:fldChar w:fldCharType="separate"/>
      </w:r>
      <w:r>
        <w:rPr>
          <w:rFonts w:ascii="宋体" w:hAnsi="宋体"/>
          <w:b w:val="0"/>
          <w:sz w:val="24"/>
          <w:szCs w:val="24"/>
          <w:lang/>
        </w:rPr>
        <w:t>68</w:t>
      </w:r>
      <w:r>
        <w:rPr>
          <w:rFonts w:ascii="宋体" w:hAnsi="宋体"/>
          <w:b w:val="0"/>
          <w:sz w:val="24"/>
          <w:szCs w:val="24"/>
          <w:lang/>
        </w:rPr>
        <w:fldChar w:fldCharType="end"/>
      </w:r>
      <w:r>
        <w:rPr>
          <w:rStyle w:val="96"/>
          <w:rFonts w:ascii="宋体" w:hAnsi="宋体"/>
          <w:b w:val="0"/>
          <w:color w:val="auto"/>
          <w:sz w:val="24"/>
          <w:szCs w:val="24"/>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"_Toc83910217"</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一、评分办法</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_Toc83910217 \h </w:instrText>
      </w:r>
      <w:r>
        <w:rPr>
          <w:rFonts w:ascii="宋体" w:hAnsi="宋体" w:eastAsia="宋体"/>
          <w:b w:val="0"/>
          <w:lang/>
        </w:rPr>
        <w:fldChar w:fldCharType="separate"/>
      </w:r>
      <w:r>
        <w:rPr>
          <w:rFonts w:ascii="宋体" w:hAnsi="宋体" w:eastAsia="宋体"/>
          <w:b w:val="0"/>
          <w:lang/>
        </w:rPr>
        <w:t>68</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"_Toc83910218"</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二、评分细则</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_Toc83910218 \h </w:instrText>
      </w:r>
      <w:r>
        <w:rPr>
          <w:rFonts w:ascii="宋体" w:hAnsi="宋体" w:eastAsia="宋体"/>
          <w:b w:val="0"/>
          <w:lang/>
        </w:rPr>
        <w:fldChar w:fldCharType="separate"/>
      </w:r>
      <w:r>
        <w:rPr>
          <w:rFonts w:ascii="宋体" w:hAnsi="宋体" w:eastAsia="宋体"/>
          <w:b w:val="0"/>
          <w:lang/>
        </w:rPr>
        <w:t>68</w:t>
      </w:r>
      <w:r>
        <w:rPr>
          <w:rFonts w:ascii="宋体" w:hAnsi="宋体" w:eastAsia="宋体"/>
          <w:b w:val="0"/>
          <w:lang/>
        </w:rPr>
        <w:fldChar w:fldCharType="end"/>
      </w:r>
      <w:r>
        <w:rPr>
          <w:rStyle w:val="96"/>
          <w:rFonts w:ascii="宋体" w:hAnsi="宋体" w:eastAsia="宋体"/>
          <w:b w:val="0"/>
          <w:color w:val="auto"/>
          <w:lang/>
        </w:rPr>
        <w:fldChar w:fldCharType="end"/>
      </w:r>
    </w:p>
    <w:p>
      <w:pPr>
        <w:pStyle w:val="74"/>
        <w:spacing w:line="240" w:lineRule="auto"/>
        <w:rPr>
          <w:rFonts w:ascii="宋体" w:hAnsi="宋体" w:eastAsia="宋体"/>
          <w:b w:val="0"/>
          <w:smallCaps w:val="0"/>
          <w:lang w:val="en-US" w:eastAsia="zh-CN"/>
        </w:rPr>
      </w:pPr>
      <w:r>
        <w:rPr>
          <w:rStyle w:val="96"/>
          <w:rFonts w:ascii="宋体" w:hAnsi="宋体" w:eastAsia="宋体"/>
          <w:b w:val="0"/>
          <w:color w:val="auto"/>
          <w:lang/>
        </w:rPr>
        <w:fldChar w:fldCharType="begin"/>
      </w:r>
      <w:r>
        <w:rPr>
          <w:rStyle w:val="96"/>
          <w:rFonts w:ascii="宋体" w:hAnsi="宋体" w:eastAsia="宋体"/>
          <w:b w:val="0"/>
          <w:color w:val="auto"/>
          <w:lang/>
        </w:rPr>
        <w:instrText xml:space="preserve"> </w:instrText>
      </w:r>
      <w:r>
        <w:rPr>
          <w:rFonts w:ascii="宋体" w:hAnsi="宋体" w:eastAsia="宋体"/>
          <w:b w:val="0"/>
          <w:lang/>
        </w:rPr>
        <w:instrText xml:space="preserve">HYPERLINK \l "_Toc83910221"</w:instrText>
      </w:r>
      <w:r>
        <w:rPr>
          <w:rStyle w:val="96"/>
          <w:rFonts w:ascii="宋体" w:hAnsi="宋体" w:eastAsia="宋体"/>
          <w:b w:val="0"/>
          <w:color w:val="auto"/>
          <w:lang/>
        </w:rPr>
        <w:instrText xml:space="preserve"> </w:instrText>
      </w:r>
      <w:r>
        <w:rPr>
          <w:rStyle w:val="96"/>
          <w:rFonts w:ascii="宋体" w:hAnsi="宋体" w:eastAsia="宋体"/>
          <w:b w:val="0"/>
          <w:color w:val="auto"/>
          <w:lang/>
        </w:rPr>
        <w:fldChar w:fldCharType="separate"/>
      </w:r>
      <w:r>
        <w:rPr>
          <w:rStyle w:val="96"/>
          <w:rFonts w:hint="eastAsia" w:ascii="宋体" w:hAnsi="宋体" w:eastAsia="宋体"/>
          <w:b w:val="0"/>
          <w:color w:val="auto"/>
          <w:lang/>
        </w:rPr>
        <w:t>政府采购支持中小企业信用融资相关事项通知</w:t>
      </w:r>
      <w:r>
        <w:rPr>
          <w:rFonts w:ascii="宋体" w:hAnsi="宋体" w:eastAsia="宋体"/>
          <w:b w:val="0"/>
          <w:lang/>
        </w:rPr>
        <w:tab/>
      </w:r>
      <w:r>
        <w:rPr>
          <w:rFonts w:ascii="宋体" w:hAnsi="宋体" w:eastAsia="宋体"/>
          <w:b w:val="0"/>
          <w:lang/>
        </w:rPr>
        <w:fldChar w:fldCharType="begin"/>
      </w:r>
      <w:r>
        <w:rPr>
          <w:rFonts w:ascii="宋体" w:hAnsi="宋体" w:eastAsia="宋体"/>
          <w:b w:val="0"/>
          <w:lang/>
        </w:rPr>
        <w:instrText xml:space="preserve"> PAGEREF _Toc83910221 \h </w:instrText>
      </w:r>
      <w:r>
        <w:rPr>
          <w:rFonts w:ascii="宋体" w:hAnsi="宋体" w:eastAsia="宋体"/>
          <w:b w:val="0"/>
          <w:lang/>
        </w:rPr>
        <w:fldChar w:fldCharType="separate"/>
      </w:r>
      <w:r>
        <w:rPr>
          <w:rFonts w:ascii="宋体" w:hAnsi="宋体" w:eastAsia="宋体"/>
          <w:b w:val="0"/>
          <w:lang/>
        </w:rPr>
        <w:t>74</w:t>
      </w:r>
      <w:r>
        <w:rPr>
          <w:rFonts w:ascii="宋体" w:hAnsi="宋体" w:eastAsia="宋体"/>
          <w:b w:val="0"/>
          <w:lang/>
        </w:rPr>
        <w:fldChar w:fldCharType="end"/>
      </w:r>
      <w:r>
        <w:rPr>
          <w:rStyle w:val="96"/>
          <w:rFonts w:ascii="宋体" w:hAnsi="宋体" w:eastAsia="宋体"/>
          <w:b w:val="0"/>
          <w:color w:val="auto"/>
          <w:lang/>
        </w:rPr>
        <w:fldChar w:fldCharType="end"/>
      </w:r>
    </w:p>
    <w:p>
      <w:pPr>
        <w:pStyle w:val="59"/>
        <w:spacing w:line="240" w:lineRule="auto"/>
        <w:rPr>
          <w:rFonts w:hint="eastAsia" w:ascii="宋体" w:hAnsi="宋体"/>
          <w:b w:val="0"/>
          <w:sz w:val="24"/>
          <w:szCs w:val="28"/>
        </w:rPr>
        <w:sectPr>
          <w:footerReference r:id="rId5" w:type="first"/>
          <w:footerReference r:id="rId3" w:type="default"/>
          <w:footerReference r:id="rId4" w:type="even"/>
          <w:type w:val="continuous"/>
          <w:pgSz w:w="11906" w:h="16838"/>
          <w:pgMar w:top="1440" w:right="1440" w:bottom="1440" w:left="1440" w:header="851" w:footer="851" w:gutter="0"/>
          <w:cols w:space="720" w:num="1"/>
          <w:titlePg/>
          <w:docGrid w:linePitch="381" w:charSpace="0"/>
        </w:sectPr>
      </w:pPr>
      <w:r>
        <w:rPr>
          <w:rFonts w:hint="eastAsia" w:ascii="宋体" w:hAnsi="宋体"/>
          <w:b w:val="0"/>
          <w:sz w:val="24"/>
          <w:szCs w:val="24"/>
        </w:rPr>
        <w:fldChar w:fldCharType="end"/>
      </w:r>
    </w:p>
    <w:p>
      <w:pPr>
        <w:pageBreakBefore/>
        <w:adjustRightInd w:val="0"/>
        <w:snapToGrid w:val="0"/>
        <w:spacing w:line="360" w:lineRule="auto"/>
        <w:jc w:val="center"/>
        <w:outlineLvl w:val="0"/>
        <w:rPr>
          <w:rFonts w:hint="eastAsia" w:ascii="宋体" w:hAnsi="宋体"/>
          <w:b/>
          <w:sz w:val="36"/>
        </w:rPr>
      </w:pPr>
      <w:r>
        <w:rPr>
          <w:rFonts w:hint="eastAsia" w:ascii="宋体" w:hAnsi="宋体"/>
          <w:b/>
          <w:sz w:val="36"/>
        </w:rPr>
        <w:t xml:space="preserve"> </w:t>
      </w:r>
      <w:bookmarkStart w:id="0" w:name="_Toc83910184"/>
      <w:r>
        <w:rPr>
          <w:rFonts w:hint="eastAsia" w:ascii="宋体" w:hAnsi="宋体"/>
          <w:b/>
          <w:sz w:val="36"/>
        </w:rPr>
        <w:t>第一部分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szCs w:val="24"/>
        </w:rPr>
      </w:pPr>
      <w:bookmarkStart w:id="1" w:name="_Toc225840107"/>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szCs w:val="24"/>
        </w:rPr>
      </w:pPr>
      <w:r>
        <w:rPr>
          <w:rFonts w:hint="eastAsia" w:ascii="宋体" w:hAnsi="宋体"/>
          <w:sz w:val="24"/>
          <w:szCs w:val="24"/>
          <w:u w:val="single"/>
        </w:rPr>
        <w:t xml:space="preserve"> 杭州市西湖区文新街道辖区2021年度街巷清扫保洁采购项目-文二西路以南、西城广场区块</w:t>
      </w:r>
      <w:r>
        <w:rPr>
          <w:rFonts w:hint="eastAsia" w:ascii="宋体" w:hAnsi="宋体"/>
          <w:sz w:val="24"/>
          <w:szCs w:val="24"/>
        </w:rPr>
        <w:t>招标项目的潜在投标人应在</w:t>
      </w:r>
      <w:r>
        <w:rPr>
          <w:rFonts w:hint="eastAsia" w:ascii="宋体" w:hAnsi="宋体"/>
          <w:sz w:val="24"/>
          <w:szCs w:val="24"/>
          <w:u w:val="single"/>
        </w:rPr>
        <w:t>浙江政府采购网（http://zfcg.czt.zj.gov.cn）</w:t>
      </w:r>
      <w:r>
        <w:rPr>
          <w:rFonts w:hint="eastAsia" w:ascii="宋体" w:hAnsi="宋体"/>
          <w:sz w:val="24"/>
          <w:szCs w:val="24"/>
        </w:rPr>
        <w:t>获取招标文件，并于</w:t>
      </w:r>
      <w:r>
        <w:rPr>
          <w:rFonts w:hint="eastAsia" w:ascii="宋体" w:hAnsi="宋体"/>
          <w:sz w:val="24"/>
          <w:szCs w:val="24"/>
          <w:u w:val="single"/>
        </w:rPr>
        <w:t>2021</w:t>
      </w:r>
      <w:r>
        <w:rPr>
          <w:rFonts w:hint="eastAsia" w:ascii="宋体" w:hAnsi="宋体"/>
          <w:bCs/>
          <w:sz w:val="24"/>
          <w:szCs w:val="24"/>
          <w:u w:val="single"/>
        </w:rPr>
        <w:t>年10月21日09点30分（</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pPr>
        <w:autoSpaceDE w:val="0"/>
        <w:autoSpaceDN w:val="0"/>
        <w:adjustRightInd w:val="0"/>
        <w:spacing w:line="360" w:lineRule="auto"/>
        <w:ind w:right="-20" w:firstLine="482" w:firstLineChars="200"/>
        <w:rPr>
          <w:rFonts w:ascii="宋体" w:hAnsi="宋体"/>
          <w:b/>
          <w:sz w:val="24"/>
          <w:szCs w:val="24"/>
        </w:rPr>
      </w:pPr>
      <w:bookmarkStart w:id="2" w:name="_Toc28359002"/>
      <w:bookmarkStart w:id="3" w:name="_Toc35393790"/>
      <w:bookmarkStart w:id="4" w:name="_Toc28359079"/>
      <w:bookmarkStart w:id="5" w:name="_Toc35393621"/>
      <w:bookmarkStart w:id="6" w:name="_Hlk24379207"/>
      <w:r>
        <w:rPr>
          <w:rFonts w:hint="eastAsia" w:ascii="宋体" w:hAnsi="宋体"/>
          <w:b/>
          <w:sz w:val="24"/>
          <w:szCs w:val="24"/>
        </w:rPr>
        <w:t>一、项目基本情况</w:t>
      </w:r>
      <w:bookmarkEnd w:id="2"/>
      <w:bookmarkEnd w:id="3"/>
      <w:bookmarkEnd w:id="4"/>
      <w:bookmarkEnd w:id="5"/>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项目编号：</w:t>
      </w:r>
      <w:r>
        <w:rPr>
          <w:rFonts w:ascii="宋体" w:hAnsi="宋体"/>
          <w:sz w:val="24"/>
          <w:szCs w:val="24"/>
        </w:rPr>
        <w:t>CTZB-2021090711</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项目名称：杭州市西湖区文新街道辖区2021年度街巷清扫保洁采购项目-文二西路以南、西城广场区块</w:t>
      </w:r>
    </w:p>
    <w:bookmarkEnd w:id="6"/>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预算金额：1620000</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最高限价：1620000</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采购需求：详见招标文件</w:t>
      </w:r>
    </w:p>
    <w:p>
      <w:pPr>
        <w:spacing w:line="360" w:lineRule="auto"/>
        <w:rPr>
          <w:rFonts w:hint="eastAsia" w:ascii="宋体" w:hAnsi="宋体" w:cs="宋体"/>
          <w:sz w:val="24"/>
          <w:szCs w:val="24"/>
        </w:rPr>
      </w:pP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标项名称：杭州市西湖区文新街道辖区2021年度街巷清扫保洁采购项目-文二西路以南、西城广场区块</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数量：不限，详见招标文件。</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预算金额（元）：1620000</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简要规格描述或项目基本概况介绍、用途：一类街巷保洁面积：69428.85㎡，二类街巷保洁面积：11066.16㎡，三类街巷保洁面积：3000㎡</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 xml:space="preserve">备注：西政采分-2021-00347，最高限价为1620000元，服务项目。 </w:t>
      </w:r>
    </w:p>
    <w:p>
      <w:pPr>
        <w:autoSpaceDE w:val="0"/>
        <w:autoSpaceDN w:val="0"/>
        <w:adjustRightInd w:val="0"/>
        <w:spacing w:line="360" w:lineRule="auto"/>
        <w:ind w:right="-20" w:firstLine="480" w:firstLineChars="200"/>
        <w:rPr>
          <w:rFonts w:hint="eastAsia" w:ascii="宋体" w:hAnsi="宋体"/>
          <w:sz w:val="24"/>
          <w:szCs w:val="24"/>
        </w:rPr>
      </w:pP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合同履行期限：详见招标文件要求。</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本项目（否）接受联合体投标。</w:t>
      </w:r>
    </w:p>
    <w:p>
      <w:pPr>
        <w:autoSpaceDE w:val="0"/>
        <w:autoSpaceDN w:val="0"/>
        <w:adjustRightInd w:val="0"/>
        <w:spacing w:line="360" w:lineRule="auto"/>
        <w:ind w:right="-20" w:firstLine="482" w:firstLineChars="200"/>
        <w:rPr>
          <w:rFonts w:ascii="宋体" w:hAnsi="宋体"/>
          <w:b/>
          <w:sz w:val="24"/>
          <w:szCs w:val="24"/>
        </w:rPr>
      </w:pPr>
      <w:bookmarkStart w:id="7" w:name="_Toc28359080"/>
      <w:bookmarkStart w:id="8" w:name="_Toc35393622"/>
      <w:bookmarkStart w:id="9" w:name="_Toc28359003"/>
      <w:bookmarkStart w:id="10" w:name="_Toc35393791"/>
      <w:r>
        <w:rPr>
          <w:rFonts w:hint="eastAsia" w:ascii="宋体" w:hAnsi="宋体"/>
          <w:b/>
          <w:sz w:val="24"/>
          <w:szCs w:val="24"/>
        </w:rPr>
        <w:t>二、申请人的资格要求</w:t>
      </w:r>
      <w:bookmarkEnd w:id="7"/>
      <w:bookmarkEnd w:id="8"/>
      <w:bookmarkEnd w:id="9"/>
      <w:bookmarkEnd w:id="10"/>
    </w:p>
    <w:p>
      <w:pPr>
        <w:spacing w:line="360" w:lineRule="auto"/>
        <w:ind w:firstLine="480" w:firstLineChars="200"/>
        <w:rPr>
          <w:rFonts w:hint="eastAsia" w:ascii="宋体" w:hAnsi="宋体" w:cs="宋体"/>
          <w:sz w:val="24"/>
          <w:szCs w:val="24"/>
        </w:rPr>
      </w:pPr>
      <w:bookmarkStart w:id="11" w:name="_Toc28359004"/>
      <w:bookmarkStart w:id="12" w:name="_Toc28359081"/>
      <w:r>
        <w:rPr>
          <w:rFonts w:hint="eastAsia" w:ascii="宋体" w:hAnsi="宋体" w:cs="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E w:val="0"/>
        <w:autoSpaceDN w:val="0"/>
        <w:adjustRightInd w:val="0"/>
        <w:spacing w:line="360" w:lineRule="auto"/>
        <w:ind w:right="-20" w:firstLine="480" w:firstLineChars="200"/>
        <w:rPr>
          <w:rFonts w:ascii="宋体" w:hAnsi="宋体"/>
          <w:sz w:val="24"/>
          <w:szCs w:val="24"/>
        </w:rPr>
      </w:pPr>
      <w:r>
        <w:rPr>
          <w:rFonts w:ascii="宋体" w:hAnsi="宋体"/>
          <w:sz w:val="24"/>
          <w:szCs w:val="24"/>
        </w:rPr>
        <w:t>2</w:t>
      </w:r>
      <w:r>
        <w:rPr>
          <w:rFonts w:hint="eastAsia" w:ascii="宋体" w:hAnsi="宋体"/>
          <w:sz w:val="24"/>
          <w:szCs w:val="24"/>
        </w:rPr>
        <w:t>.落实政府采购政策需满足的资格要求：本项目为服务项目，属于【物业管理】，要求服务全部由中小企业承接，即提供服务的人员为中小企业依照《中华人民共和国劳动合同法》订立劳动合同的从业人员。中小企业是指满足《政府采购促进中小企业发展管理办法》（财库〔2020〕46 号）第二条规定的企业，监狱企业、残疾人福利性单位视为中小企业。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3.本项目的特定资格要求：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（1）单位负责人为同一人或者存在直接控股、管理关系的不同供应商，不得参加同一合同项下的政府采购活动。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（2）根据《关于规范政府采购供应商资格设定及资格审查的通知》（浙财采监[2013]24号）第6条规定接受金融、保险、通讯等特定行业的全国性企业所设立的区域性分支机构（应依法办理了工 商、税务和社保登记手续，获得总公司（总机构）授权或能够提供房产权证或其他有效财产证明材料， 能证明其具备实际承担责任的能力和法定的缔结合同能力）、以及个体工商户、个人独资企业、合伙 企业（应依法办理了工商、税务和社保登记手续，能够提供房产权证或其他有效财产证明材料，能证明其具备实际承担责任的能力和法定的缔结合同能力）。</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（3）公益一类事业单位不属于政府购买服务的承接主体，不得参与承接购买服务。</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（4）具有保洁经营范围（以营业执照体现的内容为准）。</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（5）本项目不接受联合体投标。</w:t>
      </w:r>
    </w:p>
    <w:p>
      <w:pPr>
        <w:autoSpaceDE w:val="0"/>
        <w:autoSpaceDN w:val="0"/>
        <w:adjustRightInd w:val="0"/>
        <w:spacing w:line="360" w:lineRule="auto"/>
        <w:ind w:right="-20" w:firstLine="482" w:firstLineChars="200"/>
        <w:rPr>
          <w:rFonts w:ascii="宋体" w:hAnsi="宋体"/>
          <w:b/>
          <w:sz w:val="24"/>
          <w:szCs w:val="24"/>
        </w:rPr>
      </w:pPr>
      <w:bookmarkStart w:id="13" w:name="_Toc35393623"/>
      <w:bookmarkStart w:id="14" w:name="_Toc35393792"/>
      <w:r>
        <w:rPr>
          <w:rFonts w:hint="eastAsia" w:ascii="宋体" w:hAnsi="宋体"/>
          <w:b/>
          <w:sz w:val="24"/>
          <w:szCs w:val="24"/>
        </w:rPr>
        <w:t>三、获取招标文件</w:t>
      </w:r>
      <w:bookmarkEnd w:id="11"/>
      <w:bookmarkEnd w:id="12"/>
      <w:bookmarkEnd w:id="13"/>
      <w:bookmarkEnd w:id="14"/>
    </w:p>
    <w:p>
      <w:pPr>
        <w:autoSpaceDE w:val="0"/>
        <w:autoSpaceDN w:val="0"/>
        <w:adjustRightInd w:val="0"/>
        <w:spacing w:line="360" w:lineRule="auto"/>
        <w:ind w:right="-20" w:firstLine="480" w:firstLineChars="200"/>
        <w:rPr>
          <w:rFonts w:hint="eastAsia" w:ascii="宋体" w:hAnsi="宋体"/>
          <w:sz w:val="24"/>
          <w:szCs w:val="24"/>
        </w:rPr>
      </w:pPr>
      <w:bookmarkStart w:id="15" w:name="_Toc28359082"/>
      <w:bookmarkStart w:id="16" w:name="_Toc28359005"/>
      <w:bookmarkStart w:id="17" w:name="_Toc35393793"/>
      <w:bookmarkStart w:id="18" w:name="_Toc35393624"/>
      <w:r>
        <w:rPr>
          <w:rFonts w:hint="eastAsia" w:ascii="宋体" w:hAnsi="宋体"/>
          <w:sz w:val="24"/>
          <w:szCs w:val="24"/>
        </w:rPr>
        <w:t>1.时间：</w:t>
      </w:r>
      <w:r>
        <w:rPr>
          <w:rFonts w:hint="eastAsia" w:ascii="宋体" w:hAnsi="宋体" w:cs="宋体"/>
          <w:sz w:val="24"/>
          <w:szCs w:val="24"/>
        </w:rPr>
        <w:t>/至2021年10月21日，每天上午00:00至12:00 ，下午12:00至23:59（北京时间，线上获取法定节假日均可，线下获取文件法定节假日除外）；</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2.地点（网址）：浙江政府采购网（http://zfcg.czt.zj.gov.cn）；</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3.方式：</w:t>
      </w:r>
      <w:r>
        <w:rPr>
          <w:rFonts w:hint="eastAsia" w:ascii="宋体" w:hAnsi="宋体" w:cs="宋体"/>
          <w:sz w:val="24"/>
          <w:szCs w:val="24"/>
        </w:rPr>
        <w:t>供应商登录政采云平台https://www.zcygov.cn/在线申请获取采购文件（进入“项目采购”应用，在获取采购文件菜单中选择项目，申请获取采购文件）。供应商通过“浙江政府采购网”在线获取（招标公告下方选取“潜在供应商”处“获取招标文件”），不提供纸制版招标文件；供应商只有在“浙江政府采购网”完成获取招标文件申请并下载了招标文件后才视作依法获取招标文件（法律法规所指的供应商获取招标文件时间以供应商完成获取招标文件申请后下载招标文件的时间为准）。</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4.获取时需要提交的资料：无。</w:t>
      </w:r>
    </w:p>
    <w:p>
      <w:pPr>
        <w:autoSpaceDE w:val="0"/>
        <w:autoSpaceDN w:val="0"/>
        <w:adjustRightInd w:val="0"/>
        <w:spacing w:line="360" w:lineRule="auto"/>
        <w:ind w:right="-20" w:firstLine="480" w:firstLineChars="200"/>
        <w:rPr>
          <w:rFonts w:hint="eastAsia" w:ascii="宋体" w:hAnsi="宋体"/>
          <w:bCs/>
          <w:sz w:val="24"/>
        </w:rPr>
      </w:pPr>
      <w:r>
        <w:rPr>
          <w:rFonts w:hint="eastAsia" w:ascii="宋体" w:hAnsi="宋体"/>
          <w:sz w:val="24"/>
          <w:szCs w:val="24"/>
        </w:rPr>
        <w:t>5.招标文件售价：</w:t>
      </w:r>
      <w:r>
        <w:rPr>
          <w:rFonts w:hint="eastAsia" w:ascii="宋体" w:hAnsi="宋体"/>
          <w:bCs/>
          <w:sz w:val="24"/>
        </w:rPr>
        <w:t>免费提供招标文件。</w:t>
      </w:r>
    </w:p>
    <w:p>
      <w:pPr>
        <w:spacing w:line="360" w:lineRule="auto"/>
        <w:ind w:firstLine="480" w:firstLineChars="200"/>
        <w:rPr>
          <w:rFonts w:hint="eastAsia" w:ascii="宋体" w:hAnsi="宋体"/>
          <w:sz w:val="24"/>
        </w:rPr>
      </w:pPr>
      <w:r>
        <w:rPr>
          <w:rFonts w:hint="eastAsia" w:ascii="宋体" w:hAnsi="宋体"/>
          <w:sz w:val="24"/>
          <w:szCs w:val="24"/>
        </w:rPr>
        <w:t>6.</w:t>
      </w:r>
      <w:r>
        <w:rPr>
          <w:rFonts w:hint="eastAsia" w:ascii="宋体" w:hAnsi="宋体"/>
          <w:sz w:val="24"/>
        </w:rPr>
        <w:t>通过本公告下方“游客，浏览招标文件”下载的招标文件仅供浏览，不视作依法获取招标文件。</w:t>
      </w:r>
    </w:p>
    <w:p>
      <w:pPr>
        <w:autoSpaceDE w:val="0"/>
        <w:autoSpaceDN w:val="0"/>
        <w:adjustRightInd w:val="0"/>
        <w:spacing w:line="360" w:lineRule="auto"/>
        <w:ind w:right="-20" w:firstLine="482" w:firstLineChars="200"/>
        <w:rPr>
          <w:rFonts w:ascii="宋体" w:hAnsi="宋体" w:cs="宋体"/>
          <w:b/>
          <w:sz w:val="24"/>
          <w:szCs w:val="24"/>
        </w:rPr>
      </w:pPr>
      <w:r>
        <w:rPr>
          <w:rFonts w:hint="eastAsia" w:ascii="宋体" w:hAnsi="宋体" w:cs="宋体"/>
          <w:b/>
          <w:sz w:val="24"/>
          <w:szCs w:val="24"/>
        </w:rPr>
        <w:t>四、提交投标</w:t>
      </w:r>
      <w:r>
        <w:rPr>
          <w:rFonts w:hint="eastAsia" w:ascii="宋体" w:hAnsi="宋体"/>
          <w:b/>
          <w:sz w:val="24"/>
          <w:szCs w:val="24"/>
        </w:rPr>
        <w:t>文件</w:t>
      </w:r>
      <w:bookmarkEnd w:id="15"/>
      <w:bookmarkEnd w:id="16"/>
      <w:r>
        <w:rPr>
          <w:rFonts w:hint="eastAsia" w:ascii="宋体" w:hAnsi="宋体" w:cs="宋体"/>
          <w:b/>
          <w:sz w:val="24"/>
          <w:szCs w:val="24"/>
        </w:rPr>
        <w:t>截止时间、开标时间和地点</w:t>
      </w:r>
      <w:bookmarkEnd w:id="17"/>
      <w:bookmarkEnd w:id="18"/>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1.投标截止时间：2021-10-21    09:30:00</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2.投标文件递交地点：通过“政府采购云平台（www.zcygov.cn）”在线投标响应。</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3.开标时间：2021-10-21    09:30:00</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4.开标地址：在政府采购云平台（www.zcygov.cn）上开启投标文件。</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注：供应商应按招标文件规定的方式和时间在线解密。</w:t>
      </w:r>
    </w:p>
    <w:p>
      <w:pPr>
        <w:autoSpaceDE w:val="0"/>
        <w:autoSpaceDN w:val="0"/>
        <w:adjustRightInd w:val="0"/>
        <w:spacing w:line="360" w:lineRule="auto"/>
        <w:ind w:right="-20" w:firstLine="482" w:firstLineChars="200"/>
        <w:rPr>
          <w:rFonts w:ascii="宋体" w:hAnsi="宋体"/>
          <w:b/>
          <w:sz w:val="24"/>
          <w:szCs w:val="24"/>
        </w:rPr>
      </w:pPr>
      <w:bookmarkStart w:id="19" w:name="_Toc35393625"/>
      <w:bookmarkStart w:id="20" w:name="_Toc28359007"/>
      <w:bookmarkStart w:id="21" w:name="_Toc28359084"/>
      <w:bookmarkStart w:id="22" w:name="_Toc35393794"/>
      <w:r>
        <w:rPr>
          <w:rFonts w:hint="eastAsia" w:ascii="宋体" w:hAnsi="宋体"/>
          <w:b/>
          <w:sz w:val="24"/>
          <w:szCs w:val="24"/>
        </w:rPr>
        <w:t>五、公告期限</w:t>
      </w:r>
      <w:bookmarkEnd w:id="19"/>
      <w:bookmarkEnd w:id="20"/>
      <w:bookmarkEnd w:id="21"/>
      <w:bookmarkEnd w:id="22"/>
      <w:r>
        <w:rPr>
          <w:rFonts w:hint="eastAsia" w:ascii="宋体" w:hAnsi="宋体"/>
          <w:b/>
          <w:sz w:val="24"/>
          <w:szCs w:val="24"/>
        </w:rPr>
        <w:t>（招标文件公告期限）</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自本公告发布之日起5个工作日。</w:t>
      </w:r>
    </w:p>
    <w:p>
      <w:pPr>
        <w:autoSpaceDE w:val="0"/>
        <w:autoSpaceDN w:val="0"/>
        <w:adjustRightInd w:val="0"/>
        <w:spacing w:line="360" w:lineRule="auto"/>
        <w:ind w:right="-20" w:firstLine="482" w:firstLineChars="200"/>
        <w:rPr>
          <w:rFonts w:ascii="宋体" w:hAnsi="宋体"/>
          <w:b/>
          <w:sz w:val="24"/>
          <w:szCs w:val="24"/>
        </w:rPr>
      </w:pPr>
      <w:bookmarkStart w:id="23" w:name="_Toc35393626"/>
      <w:bookmarkStart w:id="24" w:name="_Toc35393795"/>
      <w:r>
        <w:rPr>
          <w:rFonts w:hint="eastAsia" w:ascii="宋体" w:hAnsi="宋体"/>
          <w:b/>
          <w:sz w:val="24"/>
          <w:szCs w:val="24"/>
        </w:rPr>
        <w:t>六、其他补充事宜</w:t>
      </w:r>
      <w:bookmarkEnd w:id="23"/>
      <w:bookmarkEnd w:id="24"/>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1.</w:t>
      </w:r>
      <w:r>
        <w:rPr>
          <w:rFonts w:ascii="宋体" w:hAnsi="宋体"/>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2.其他事项:</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(1)投标保证金：不需交纳投标保证金。</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(2)质疑与投诉：</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1）未按招标公告规定获取招标文件的潜在投标人不得对招标文件提出质疑，其投标将被拒绝；</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2）质疑接收方式：书面形式（当面或邮寄送达）。</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(3)招标项目需要落实的政府采购政策：</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1）本项目对符合《政府采购促进中小企业发展管理办法》规定的中小企业、监狱企业、残疾人福利性单位给予政策扶持，执行节能产品政府强制采购和优先采购政策，执行环境标志产品政府优先采购政策。</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2）根据财政部工业和信息化部关于印发《政府采购促进中小企业发展管理办法》的通知（财库〔2020〕46 号）的规定，经采购人确定，本项目属于预留份额专门面向中小企业采购项目；</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3）为支持和促进中小企业发展，杭州市财政局出台了政府采购信用融资政策，供应商可凭中标合同申请贷款，利率一般在基准利率左右（不同银行略有差异）。具体可登录http://220.191.208.230/login.do办理业务。</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 xml:space="preserve"> (4)电子交易说明：</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1）投标人应在投标前完成CA数字证书办理。（办理流程详见http://zfcg.czt.zj.gov.cn/bidClientTemplate/2019-05-27/12945.html）。</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2）投标人应安装“政采云投标客户端”，电子投标工具请投标人自行前往浙江政府采购网下载并安装，（下载网址：http://zfcg.czt.zj.gov.cn/bidClientTemplate/2019-09-24/12975.html）。</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3）电子交易具体流程详见操作指南：登录政府采购云平台（https://www.zcygov.cn/），从首页-服务中心-帮助文档-项目采购-电子招投标，查看文档和视频。</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 xml:space="preserve">4）投标供应商在“政府采购云平台”完成“电子加密投标文件”的上传递交之外，还可以（EMS邮寄形式或派人现场递交，以招标代理机构联系人签收时间为准）在投标截止时间前递交以介质（U盘）存储的数据电文形式的“备份投标文件”。 </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(5)采购信息发布媒介：浙江政府采购网（http://zfcg.czt.zj.gov.cn/）、杭州市政府采购网（</w:t>
      </w:r>
      <w:r>
        <w:rPr>
          <w:rFonts w:ascii="宋体" w:hAnsi="宋体"/>
          <w:sz w:val="24"/>
          <w:szCs w:val="24"/>
        </w:rPr>
        <w:t>http://czj.hangzhou.gov.cn/zfcg</w:t>
      </w:r>
      <w:r>
        <w:rPr>
          <w:rFonts w:hint="eastAsia" w:ascii="宋体" w:hAnsi="宋体"/>
          <w:sz w:val="24"/>
          <w:szCs w:val="24"/>
        </w:rPr>
        <w:t>）。</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(6)联系邮箱：85831685@zjsct.cn。</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(7)供应商支付申请和查询: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autoSpaceDE w:val="0"/>
        <w:autoSpaceDN w:val="0"/>
        <w:adjustRightInd w:val="0"/>
        <w:spacing w:line="360" w:lineRule="auto"/>
        <w:ind w:right="-20" w:firstLine="482" w:firstLineChars="200"/>
        <w:rPr>
          <w:rFonts w:ascii="宋体" w:hAnsi="宋体"/>
          <w:b/>
          <w:sz w:val="24"/>
          <w:szCs w:val="24"/>
        </w:rPr>
      </w:pPr>
      <w:bookmarkStart w:id="25" w:name="_Toc28359085"/>
      <w:bookmarkStart w:id="26" w:name="_Toc35393796"/>
      <w:bookmarkStart w:id="27" w:name="_Toc28359008"/>
      <w:bookmarkStart w:id="28" w:name="_Toc35393627"/>
      <w:r>
        <w:rPr>
          <w:rFonts w:hint="eastAsia" w:ascii="宋体" w:hAnsi="宋体"/>
          <w:b/>
          <w:sz w:val="24"/>
          <w:szCs w:val="24"/>
        </w:rPr>
        <w:t>七、对本次招标提出询问，请按</w:t>
      </w:r>
      <w:r>
        <w:rPr>
          <w:rFonts w:ascii="宋体" w:hAnsi="宋体"/>
          <w:b/>
          <w:sz w:val="24"/>
          <w:szCs w:val="24"/>
        </w:rPr>
        <w:t>以下方式</w:t>
      </w:r>
      <w:r>
        <w:rPr>
          <w:rFonts w:hint="eastAsia" w:ascii="宋体" w:hAnsi="宋体"/>
          <w:b/>
          <w:sz w:val="24"/>
          <w:szCs w:val="24"/>
        </w:rPr>
        <w:t>联系。</w:t>
      </w:r>
      <w:bookmarkEnd w:id="25"/>
      <w:bookmarkEnd w:id="26"/>
      <w:bookmarkEnd w:id="27"/>
      <w:bookmarkEnd w:id="28"/>
    </w:p>
    <w:p>
      <w:pPr>
        <w:autoSpaceDE w:val="0"/>
        <w:autoSpaceDN w:val="0"/>
        <w:adjustRightInd w:val="0"/>
        <w:spacing w:line="360" w:lineRule="auto"/>
        <w:ind w:right="-20" w:firstLine="482" w:firstLineChars="200"/>
        <w:rPr>
          <w:rFonts w:ascii="宋体" w:hAnsi="宋体"/>
          <w:b/>
          <w:sz w:val="24"/>
          <w:szCs w:val="24"/>
        </w:rPr>
      </w:pPr>
      <w:r>
        <w:rPr>
          <w:rFonts w:hint="eastAsia" w:ascii="宋体" w:hAnsi="宋体"/>
          <w:b/>
          <w:sz w:val="24"/>
          <w:szCs w:val="24"/>
        </w:rPr>
        <w:t>1.采购人信息</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名 称：杭州市西湖区城市管理局、杭州市西湖区人民政府文新街道办事处</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地址：杭州市西湖区文三西路9号、杭州市西湖区文三西路428号</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项目联系人（询问）：龚天用（城管局）刘工（文新街道）</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联系电话（询问）：</w:t>
      </w:r>
      <w:r>
        <w:rPr>
          <w:rFonts w:ascii="宋体" w:hAnsi="宋体"/>
          <w:sz w:val="24"/>
          <w:szCs w:val="24"/>
        </w:rPr>
        <w:t>0571-85127207</w:t>
      </w:r>
      <w:r>
        <w:rPr>
          <w:rFonts w:hint="eastAsia" w:ascii="宋体" w:hAnsi="宋体"/>
          <w:sz w:val="24"/>
          <w:szCs w:val="24"/>
        </w:rPr>
        <w:t>（城管局）、</w:t>
      </w:r>
      <w:r>
        <w:rPr>
          <w:rFonts w:ascii="宋体" w:hAnsi="宋体"/>
          <w:sz w:val="24"/>
          <w:szCs w:val="24"/>
        </w:rPr>
        <w:t>0571-88973183</w:t>
      </w:r>
      <w:r>
        <w:rPr>
          <w:rFonts w:hint="eastAsia" w:ascii="宋体" w:hAnsi="宋体"/>
          <w:sz w:val="24"/>
          <w:szCs w:val="24"/>
        </w:rPr>
        <w:t>（文新街道）</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质疑联系人：沈老师</w:t>
      </w:r>
    </w:p>
    <w:p>
      <w:pPr>
        <w:autoSpaceDE w:val="0"/>
        <w:autoSpaceDN w:val="0"/>
        <w:adjustRightInd w:val="0"/>
        <w:spacing w:line="360" w:lineRule="auto"/>
        <w:ind w:right="-20" w:firstLine="480" w:firstLineChars="200"/>
        <w:rPr>
          <w:rFonts w:hint="eastAsia" w:ascii="宋体" w:hAnsi="宋体"/>
          <w:sz w:val="24"/>
          <w:szCs w:val="24"/>
        </w:rPr>
      </w:pPr>
      <w:r>
        <w:rPr>
          <w:rFonts w:hint="eastAsia" w:ascii="宋体" w:hAnsi="宋体"/>
          <w:sz w:val="24"/>
          <w:szCs w:val="24"/>
        </w:rPr>
        <w:t>质疑联系方式：</w:t>
      </w:r>
      <w:bookmarkStart w:id="29" w:name="_Toc28359086"/>
      <w:bookmarkStart w:id="30" w:name="_Toc28359009"/>
      <w:r>
        <w:rPr>
          <w:rFonts w:ascii="宋体" w:hAnsi="宋体"/>
          <w:sz w:val="24"/>
          <w:szCs w:val="24"/>
        </w:rPr>
        <w:t>0571-85125367</w:t>
      </w:r>
    </w:p>
    <w:p>
      <w:pPr>
        <w:autoSpaceDE w:val="0"/>
        <w:autoSpaceDN w:val="0"/>
        <w:adjustRightInd w:val="0"/>
        <w:spacing w:line="360" w:lineRule="auto"/>
        <w:ind w:right="-20" w:firstLine="482" w:firstLineChars="200"/>
        <w:rPr>
          <w:rFonts w:ascii="宋体" w:hAnsi="宋体"/>
          <w:b/>
          <w:sz w:val="24"/>
          <w:szCs w:val="24"/>
        </w:rPr>
      </w:pPr>
      <w:r>
        <w:rPr>
          <w:rFonts w:hint="eastAsia" w:ascii="宋体" w:hAnsi="宋体"/>
          <w:b/>
          <w:sz w:val="24"/>
          <w:szCs w:val="24"/>
        </w:rPr>
        <w:t>2.采购代理机构信息</w:t>
      </w:r>
      <w:bookmarkEnd w:id="29"/>
      <w:bookmarkEnd w:id="30"/>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名 称：浙江省成套招标代理有限公司</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地　址：杭州市文晖路42号现代置业大厦西楼1801</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项目联系人（询问）：沈智丽</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联系电话（询问）：</w:t>
      </w:r>
      <w:r>
        <w:rPr>
          <w:rFonts w:hint="eastAsia" w:ascii="宋体" w:hAnsi="宋体" w:cs="宋体"/>
          <w:sz w:val="24"/>
          <w:szCs w:val="24"/>
        </w:rPr>
        <w:t>0571-88368026、15167128833</w:t>
      </w:r>
    </w:p>
    <w:p>
      <w:pPr>
        <w:autoSpaceDE w:val="0"/>
        <w:autoSpaceDN w:val="0"/>
        <w:adjustRightInd w:val="0"/>
        <w:spacing w:line="360" w:lineRule="auto"/>
        <w:ind w:right="-20" w:firstLine="480" w:firstLineChars="200"/>
        <w:rPr>
          <w:rFonts w:ascii="宋体" w:hAnsi="宋体"/>
          <w:sz w:val="24"/>
          <w:szCs w:val="24"/>
        </w:rPr>
      </w:pPr>
      <w:r>
        <w:rPr>
          <w:rFonts w:ascii="宋体" w:hAnsi="宋体"/>
          <w:sz w:val="24"/>
          <w:szCs w:val="24"/>
        </w:rPr>
        <w:t>传真</w:t>
      </w:r>
      <w:r>
        <w:rPr>
          <w:rFonts w:hint="eastAsia" w:ascii="宋体" w:hAnsi="宋体"/>
          <w:sz w:val="24"/>
          <w:szCs w:val="24"/>
        </w:rPr>
        <w:t>: 4008266163转07347</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质疑联系人：冯工</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质疑联系方式：0571-87631297、85331293</w:t>
      </w:r>
    </w:p>
    <w:p>
      <w:pPr>
        <w:autoSpaceDE w:val="0"/>
        <w:autoSpaceDN w:val="0"/>
        <w:adjustRightInd w:val="0"/>
        <w:spacing w:line="360" w:lineRule="auto"/>
        <w:ind w:right="-20" w:firstLine="482" w:firstLineChars="200"/>
        <w:rPr>
          <w:rFonts w:ascii="宋体" w:hAnsi="宋体"/>
          <w:b/>
          <w:sz w:val="24"/>
          <w:szCs w:val="24"/>
        </w:rPr>
      </w:pPr>
      <w:bookmarkStart w:id="31" w:name="_Toc28359087"/>
      <w:bookmarkStart w:id="32" w:name="_Toc28359010"/>
      <w:r>
        <w:rPr>
          <w:rFonts w:hint="eastAsia" w:ascii="宋体" w:hAnsi="宋体"/>
          <w:b/>
          <w:sz w:val="24"/>
          <w:szCs w:val="24"/>
        </w:rPr>
        <w:t>3.</w:t>
      </w:r>
      <w:bookmarkEnd w:id="31"/>
      <w:bookmarkEnd w:id="32"/>
      <w:r>
        <w:rPr>
          <w:rFonts w:hint="eastAsia" w:ascii="宋体" w:hAnsi="宋体"/>
          <w:b/>
          <w:sz w:val="24"/>
          <w:szCs w:val="24"/>
        </w:rPr>
        <w:t>同级政府采购监督管理部门信息</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名称：杭州市西湖区财政局</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地址：杭州市西湖区文三西路18号1104室</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1"/>
        </w:rPr>
        <w:t>韩继伟</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监督投诉电话：</w:t>
      </w:r>
      <w:r>
        <w:rPr>
          <w:rFonts w:ascii="宋体" w:hAnsi="宋体"/>
          <w:sz w:val="24"/>
          <w:szCs w:val="21"/>
        </w:rPr>
        <w:t>13958132623</w:t>
      </w:r>
    </w:p>
    <w:p>
      <w:pPr>
        <w:autoSpaceDE w:val="0"/>
        <w:autoSpaceDN w:val="0"/>
        <w:adjustRightInd w:val="0"/>
        <w:spacing w:line="360" w:lineRule="auto"/>
        <w:ind w:right="-20" w:firstLine="480" w:firstLineChars="200"/>
        <w:rPr>
          <w:rFonts w:ascii="宋体" w:hAnsi="宋体"/>
          <w:sz w:val="24"/>
          <w:szCs w:val="24"/>
        </w:rPr>
      </w:pPr>
      <w:r>
        <w:rPr>
          <w:rFonts w:hint="eastAsia" w:ascii="宋体" w:hAnsi="宋体"/>
          <w:sz w:val="24"/>
          <w:szCs w:val="24"/>
        </w:rPr>
        <w:t>传真：</w:t>
      </w:r>
      <w:r>
        <w:rPr>
          <w:rFonts w:hint="eastAsia" w:ascii="宋体" w:hAnsi="宋体"/>
          <w:sz w:val="24"/>
          <w:szCs w:val="21"/>
        </w:rPr>
        <w:t>/</w:t>
      </w:r>
    </w:p>
    <w:p>
      <w:pPr>
        <w:autoSpaceDE w:val="0"/>
        <w:autoSpaceDN w:val="0"/>
        <w:adjustRightInd w:val="0"/>
        <w:spacing w:line="360" w:lineRule="auto"/>
        <w:ind w:right="-20" w:firstLine="480" w:firstLineChars="200"/>
        <w:rPr>
          <w:rFonts w:hint="eastAsia" w:ascii="宋体" w:hAnsi="宋体"/>
          <w:sz w:val="24"/>
          <w:szCs w:val="21"/>
        </w:rPr>
      </w:pPr>
    </w:p>
    <w:p>
      <w:pPr>
        <w:spacing w:line="360" w:lineRule="auto"/>
        <w:rPr>
          <w:rFonts w:hint="eastAsia" w:ascii="宋体" w:hAnsi="宋体" w:cs="宋体"/>
          <w:sz w:val="24"/>
          <w:szCs w:val="24"/>
        </w:rPr>
      </w:pPr>
      <w:r>
        <w:rPr>
          <w:rFonts w:hint="eastAsia" w:ascii="宋体" w:hAnsi="宋体" w:cs="宋体"/>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hint="eastAsia" w:ascii="宋体" w:hAnsi="宋体" w:cs="宋体"/>
          <w:b/>
          <w:sz w:val="24"/>
          <w:szCs w:val="24"/>
        </w:rPr>
      </w:pPr>
      <w:r>
        <w:rPr>
          <w:rFonts w:hint="eastAsia" w:ascii="宋体" w:hAnsi="宋体" w:cs="宋体"/>
          <w:sz w:val="24"/>
          <w:szCs w:val="24"/>
        </w:rPr>
        <w:t>CA问题联系电话（人工）：汇信CA 400-888-4636；天谷CA 400-087-8198。</w:t>
      </w:r>
    </w:p>
    <w:p>
      <w:pPr>
        <w:autoSpaceDE w:val="0"/>
        <w:autoSpaceDN w:val="0"/>
        <w:adjustRightInd w:val="0"/>
        <w:spacing w:line="360" w:lineRule="auto"/>
        <w:ind w:right="-20" w:firstLine="482" w:firstLineChars="200"/>
        <w:rPr>
          <w:rFonts w:hint="eastAsia" w:ascii="宋体" w:hAnsi="宋体"/>
          <w:b/>
          <w:sz w:val="24"/>
          <w:szCs w:val="24"/>
        </w:rPr>
      </w:pPr>
    </w:p>
    <w:p>
      <w:pPr>
        <w:pStyle w:val="45"/>
        <w:pageBreakBefore/>
        <w:adjustRightInd w:val="0"/>
        <w:snapToGrid w:val="0"/>
        <w:spacing w:line="360" w:lineRule="auto"/>
        <w:jc w:val="center"/>
        <w:outlineLvl w:val="0"/>
        <w:rPr>
          <w:rFonts w:hint="eastAsia" w:hAnsi="宋体"/>
          <w:b/>
          <w:sz w:val="36"/>
          <w:szCs w:val="36"/>
        </w:rPr>
      </w:pPr>
      <w:bookmarkStart w:id="33" w:name="_Toc83910185"/>
      <w:r>
        <w:rPr>
          <w:rFonts w:hint="eastAsia" w:hAnsi="宋体"/>
          <w:b/>
          <w:sz w:val="36"/>
          <w:szCs w:val="36"/>
        </w:rPr>
        <w:t>第二部分  投标人须知</w:t>
      </w:r>
      <w:bookmarkEnd w:id="33"/>
    </w:p>
    <w:p>
      <w:pPr>
        <w:pStyle w:val="4"/>
        <w:ind w:left="560" w:firstLine="0"/>
        <w:jc w:val="center"/>
        <w:rPr>
          <w:rFonts w:hint="eastAsia" w:ascii="宋体" w:hAnsi="宋体" w:eastAsia="宋体"/>
          <w:sz w:val="32"/>
        </w:rPr>
      </w:pPr>
      <w:bookmarkStart w:id="34" w:name="_Toc83910186"/>
      <w:bookmarkStart w:id="35" w:name="_Toc233618971"/>
      <w:r>
        <w:rPr>
          <w:rFonts w:hint="eastAsia" w:ascii="宋体" w:hAnsi="宋体" w:eastAsia="宋体"/>
          <w:sz w:val="32"/>
        </w:rPr>
        <w:t>前 附 表</w:t>
      </w:r>
      <w:bookmarkEnd w:id="34"/>
      <w:bookmarkEnd w:id="35"/>
    </w:p>
    <w:tbl>
      <w:tblPr>
        <w:tblStyle w:val="88"/>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23"/>
        <w:gridCol w:w="658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237" w:type="dxa"/>
            <w:noWrap w:val="0"/>
            <w:vAlign w:val="center"/>
          </w:tcPr>
          <w:p>
            <w:pPr>
              <w:spacing w:line="276" w:lineRule="auto"/>
              <w:jc w:val="center"/>
              <w:rPr>
                <w:rFonts w:hint="eastAsia" w:ascii="宋体" w:hAnsi="宋体"/>
                <w:b/>
                <w:sz w:val="24"/>
                <w:szCs w:val="24"/>
              </w:rPr>
            </w:pPr>
            <w:r>
              <w:rPr>
                <w:rFonts w:hint="eastAsia" w:ascii="宋体" w:hAnsi="宋体"/>
                <w:b/>
                <w:sz w:val="24"/>
                <w:szCs w:val="24"/>
              </w:rPr>
              <w:t>对应条款</w:t>
            </w:r>
          </w:p>
        </w:tc>
        <w:tc>
          <w:tcPr>
            <w:tcW w:w="1423" w:type="dxa"/>
            <w:noWrap w:val="0"/>
            <w:vAlign w:val="center"/>
          </w:tcPr>
          <w:p>
            <w:pPr>
              <w:spacing w:line="276" w:lineRule="auto"/>
              <w:jc w:val="center"/>
              <w:rPr>
                <w:rFonts w:hint="eastAsia" w:ascii="宋体" w:hAnsi="宋体"/>
                <w:b/>
                <w:sz w:val="24"/>
                <w:szCs w:val="24"/>
              </w:rPr>
            </w:pPr>
            <w:r>
              <w:rPr>
                <w:rFonts w:hint="eastAsia" w:ascii="宋体" w:hAnsi="宋体"/>
                <w:b/>
                <w:sz w:val="24"/>
                <w:szCs w:val="24"/>
              </w:rPr>
              <w:t>名称</w:t>
            </w:r>
          </w:p>
        </w:tc>
        <w:tc>
          <w:tcPr>
            <w:tcW w:w="6582" w:type="dxa"/>
            <w:noWrap w:val="0"/>
            <w:vAlign w:val="center"/>
          </w:tcPr>
          <w:p>
            <w:pPr>
              <w:spacing w:line="276" w:lineRule="auto"/>
              <w:jc w:val="center"/>
              <w:rPr>
                <w:rFonts w:hint="eastAsia" w:ascii="宋体" w:hAnsi="宋体"/>
                <w:b/>
                <w:sz w:val="24"/>
                <w:szCs w:val="24"/>
              </w:rPr>
            </w:pPr>
            <w:r>
              <w:rPr>
                <w:rFonts w:hint="eastAsia" w:ascii="宋体" w:hAnsi="宋体"/>
                <w:b/>
                <w:sz w:val="24"/>
                <w:szCs w:val="24"/>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一、（三）</w:t>
            </w:r>
          </w:p>
        </w:tc>
        <w:tc>
          <w:tcPr>
            <w:tcW w:w="1423" w:type="dxa"/>
            <w:noWrap w:val="0"/>
            <w:vAlign w:val="center"/>
          </w:tcPr>
          <w:p>
            <w:pPr>
              <w:spacing w:line="276" w:lineRule="auto"/>
              <w:jc w:val="center"/>
              <w:rPr>
                <w:rFonts w:hint="eastAsia" w:ascii="宋体" w:hAnsi="宋体"/>
                <w:b/>
                <w:sz w:val="24"/>
                <w:szCs w:val="24"/>
              </w:rPr>
            </w:pPr>
            <w:r>
              <w:rPr>
                <w:rFonts w:hint="eastAsia" w:ascii="宋体" w:hAnsi="宋体"/>
                <w:sz w:val="24"/>
                <w:lang w:val="zh-CN"/>
              </w:rPr>
              <w:t>本项目所属行业</w:t>
            </w:r>
          </w:p>
        </w:tc>
        <w:tc>
          <w:tcPr>
            <w:tcW w:w="6582" w:type="dxa"/>
            <w:noWrap w:val="0"/>
            <w:vAlign w:val="center"/>
          </w:tcPr>
          <w:p>
            <w:pPr>
              <w:spacing w:line="276" w:lineRule="auto"/>
              <w:rPr>
                <w:rFonts w:hint="eastAsia" w:ascii="宋体" w:hAnsi="宋体"/>
                <w:b/>
                <w:sz w:val="24"/>
                <w:szCs w:val="24"/>
              </w:rPr>
            </w:pPr>
            <w:r>
              <w:rPr>
                <w:rFonts w:hint="eastAsia" w:ascii="宋体" w:hAnsi="宋体" w:cs="AdobeFangsongStd-Regular"/>
                <w:spacing w:val="-2"/>
                <w:kern w:val="0"/>
                <w:position w:val="-3"/>
                <w:sz w:val="24"/>
                <w:szCs w:val="24"/>
              </w:rPr>
              <w:t>物业管理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一、（七）</w:t>
            </w:r>
          </w:p>
        </w:tc>
        <w:tc>
          <w:tcPr>
            <w:tcW w:w="1423" w:type="dxa"/>
            <w:noWrap w:val="0"/>
            <w:vAlign w:val="center"/>
          </w:tcPr>
          <w:p>
            <w:pPr>
              <w:spacing w:line="276" w:lineRule="auto"/>
              <w:rPr>
                <w:rFonts w:hint="eastAsia" w:ascii="宋体" w:hAnsi="宋体"/>
                <w:sz w:val="24"/>
                <w:szCs w:val="24"/>
              </w:rPr>
            </w:pPr>
            <w:r>
              <w:rPr>
                <w:rFonts w:hint="eastAsia" w:ascii="宋体" w:hAnsi="宋体"/>
                <w:sz w:val="24"/>
                <w:szCs w:val="24"/>
              </w:rPr>
              <w:t>是否允许分包</w:t>
            </w:r>
          </w:p>
        </w:tc>
        <w:tc>
          <w:tcPr>
            <w:tcW w:w="6582" w:type="dxa"/>
            <w:noWrap w:val="0"/>
            <w:vAlign w:val="center"/>
          </w:tcPr>
          <w:p>
            <w:pPr>
              <w:spacing w:line="276" w:lineRule="auto"/>
              <w:rPr>
                <w:rFonts w:hint="eastAsia" w:ascii="宋体" w:hAnsi="宋体"/>
                <w:sz w:val="24"/>
                <w:szCs w:val="24"/>
              </w:rPr>
            </w:pPr>
            <w:r>
              <w:rPr>
                <w:rFonts w:hint="eastAsia" w:ascii="宋体" w:hAnsi="宋体"/>
                <w:sz w:val="24"/>
                <w:szCs w:val="24"/>
              </w:rPr>
              <w:sym w:font="Wingdings" w:char="F0FE"/>
            </w:r>
            <w:r>
              <w:rPr>
                <w:rFonts w:hint="eastAsia" w:ascii="宋体" w:hAnsi="宋体"/>
                <w:sz w:val="24"/>
                <w:szCs w:val="24"/>
              </w:rPr>
              <w:t>不允许</w:t>
            </w:r>
          </w:p>
          <w:p>
            <w:pPr>
              <w:spacing w:line="276" w:lineRule="auto"/>
              <w:rPr>
                <w:rFonts w:hint="eastAsia" w:ascii="宋体" w:hAnsi="宋体"/>
                <w:sz w:val="24"/>
                <w:szCs w:val="24"/>
              </w:rPr>
            </w:pPr>
            <w:r>
              <w:rPr>
                <w:rFonts w:hint="eastAsia" w:ascii="宋体" w:hAnsi="宋体"/>
                <w:sz w:val="24"/>
                <w:szCs w:val="24"/>
              </w:rPr>
              <w:t>□允许  分包内容要求：      分包金额要求：</w:t>
            </w:r>
          </w:p>
          <w:p>
            <w:pPr>
              <w:spacing w:line="276" w:lineRule="auto"/>
              <w:rPr>
                <w:rFonts w:hint="eastAsia" w:ascii="宋体" w:hAnsi="宋体"/>
                <w:sz w:val="24"/>
                <w:szCs w:val="24"/>
              </w:rPr>
            </w:pPr>
            <w:r>
              <w:rPr>
                <w:rFonts w:hint="eastAsia" w:ascii="宋体" w:hAnsi="宋体"/>
                <w:sz w:val="24"/>
                <w:szCs w:val="24"/>
              </w:rPr>
              <w:t xml:space="preserve">        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一、（八）</w:t>
            </w:r>
          </w:p>
        </w:tc>
        <w:tc>
          <w:tcPr>
            <w:tcW w:w="1423" w:type="dxa"/>
            <w:noWrap w:val="0"/>
            <w:vAlign w:val="center"/>
          </w:tcPr>
          <w:p>
            <w:pPr>
              <w:spacing w:line="276" w:lineRule="auto"/>
              <w:rPr>
                <w:rFonts w:hint="eastAsia" w:ascii="宋体" w:hAnsi="宋体" w:cs="AdobeFangsongStd-Regular"/>
                <w:spacing w:val="-2"/>
                <w:kern w:val="0"/>
                <w:position w:val="-3"/>
                <w:sz w:val="24"/>
                <w:szCs w:val="24"/>
              </w:rPr>
            </w:pPr>
            <w:r>
              <w:rPr>
                <w:rFonts w:hint="eastAsia" w:ascii="宋体" w:hAnsi="宋体" w:cs="AdobeFangsongStd-Regular"/>
                <w:spacing w:val="-2"/>
                <w:kern w:val="0"/>
                <w:position w:val="-3"/>
                <w:sz w:val="24"/>
                <w:szCs w:val="24"/>
              </w:rPr>
              <w:t>踏勘现场</w:t>
            </w:r>
          </w:p>
        </w:tc>
        <w:tc>
          <w:tcPr>
            <w:tcW w:w="6582" w:type="dxa"/>
            <w:noWrap w:val="0"/>
            <w:vAlign w:val="center"/>
          </w:tcPr>
          <w:p>
            <w:pPr>
              <w:spacing w:line="276" w:lineRule="auto"/>
              <w:rPr>
                <w:rFonts w:hint="eastAsia" w:ascii="宋体" w:hAnsi="宋体" w:cs="AdobeFangsongStd-Regular"/>
                <w:spacing w:val="-2"/>
                <w:kern w:val="0"/>
                <w:position w:val="-3"/>
                <w:sz w:val="24"/>
                <w:szCs w:val="24"/>
              </w:rPr>
            </w:pPr>
            <w:r>
              <w:rPr>
                <w:rFonts w:hint="eastAsia" w:ascii="宋体" w:hAnsi="宋体" w:cs="AdobeFangsongStd-Regular"/>
                <w:spacing w:val="-2"/>
                <w:kern w:val="0"/>
                <w:position w:val="-3"/>
                <w:sz w:val="24"/>
                <w:szCs w:val="24"/>
              </w:rPr>
              <w:sym w:font="Wingdings" w:char="F0FE"/>
            </w:r>
            <w:r>
              <w:rPr>
                <w:rFonts w:hint="eastAsia" w:ascii="宋体" w:hAnsi="宋体" w:cs="AdobeFangsongStd-Regular"/>
                <w:spacing w:val="-2"/>
                <w:kern w:val="0"/>
                <w:position w:val="-3"/>
                <w:sz w:val="24"/>
                <w:szCs w:val="24"/>
              </w:rPr>
              <w:t>不组织    供应商如有需要可自行前往踏勘，联系方式见招标公告。</w:t>
            </w:r>
          </w:p>
          <w:p>
            <w:pPr>
              <w:spacing w:line="276" w:lineRule="auto"/>
              <w:rPr>
                <w:rFonts w:hint="eastAsia" w:ascii="宋体" w:hAnsi="宋体" w:cs="AdobeFangsongStd-Regular"/>
                <w:spacing w:val="-2"/>
                <w:kern w:val="0"/>
                <w:position w:val="-3"/>
                <w:sz w:val="24"/>
                <w:szCs w:val="24"/>
              </w:rPr>
            </w:pPr>
            <w:r>
              <w:rPr>
                <w:rFonts w:hint="eastAsia" w:ascii="宋体" w:hAnsi="宋体" w:cs="AdobeFangsongStd-Regular"/>
                <w:spacing w:val="-2"/>
                <w:kern w:val="0"/>
                <w:position w:val="-3"/>
                <w:sz w:val="24"/>
                <w:szCs w:val="24"/>
              </w:rPr>
              <w:t xml:space="preserve">□统一组织  踏勘时间：      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一、（九）</w:t>
            </w:r>
          </w:p>
        </w:tc>
        <w:tc>
          <w:tcPr>
            <w:tcW w:w="1423" w:type="dxa"/>
            <w:noWrap w:val="0"/>
            <w:vAlign w:val="center"/>
          </w:tcPr>
          <w:p>
            <w:pPr>
              <w:spacing w:line="276" w:lineRule="auto"/>
              <w:rPr>
                <w:rFonts w:hint="eastAsia" w:ascii="宋体" w:hAnsi="宋体" w:cs="AdobeFangsongStd-Regular"/>
                <w:spacing w:val="-2"/>
                <w:kern w:val="0"/>
                <w:position w:val="-3"/>
                <w:sz w:val="24"/>
                <w:szCs w:val="24"/>
              </w:rPr>
            </w:pPr>
            <w:r>
              <w:rPr>
                <w:rFonts w:hint="eastAsia" w:ascii="宋体" w:hAnsi="宋体" w:cs="AdobeFangsongStd-Regular"/>
                <w:spacing w:val="-2"/>
                <w:kern w:val="0"/>
                <w:position w:val="-3"/>
                <w:sz w:val="24"/>
                <w:szCs w:val="24"/>
              </w:rPr>
              <w:t>投标预备会（答疑会）</w:t>
            </w:r>
          </w:p>
        </w:tc>
        <w:tc>
          <w:tcPr>
            <w:tcW w:w="6582" w:type="dxa"/>
            <w:noWrap w:val="0"/>
            <w:vAlign w:val="center"/>
          </w:tcPr>
          <w:p>
            <w:pPr>
              <w:spacing w:line="276" w:lineRule="auto"/>
              <w:rPr>
                <w:rFonts w:hint="eastAsia" w:ascii="宋体" w:hAnsi="宋体" w:cs="AdobeFangsongStd-Regular"/>
                <w:spacing w:val="-2"/>
                <w:kern w:val="0"/>
                <w:position w:val="-3"/>
                <w:sz w:val="24"/>
                <w:szCs w:val="24"/>
              </w:rPr>
            </w:pPr>
            <w:r>
              <w:rPr>
                <w:rFonts w:hint="eastAsia" w:ascii="宋体" w:hAnsi="宋体" w:cs="AdobeFangsongStd-Regular"/>
                <w:spacing w:val="-2"/>
                <w:kern w:val="0"/>
                <w:position w:val="-3"/>
                <w:sz w:val="24"/>
                <w:szCs w:val="24"/>
              </w:rPr>
              <w:sym w:font="Wingdings" w:char="F0FE"/>
            </w:r>
            <w:r>
              <w:rPr>
                <w:rFonts w:hint="eastAsia" w:ascii="宋体" w:hAnsi="宋体" w:cs="AdobeFangsongStd-Regular"/>
                <w:spacing w:val="-2"/>
                <w:kern w:val="0"/>
                <w:position w:val="-3"/>
                <w:sz w:val="24"/>
                <w:szCs w:val="24"/>
              </w:rPr>
              <w:t>不召开</w:t>
            </w:r>
          </w:p>
          <w:p>
            <w:pPr>
              <w:spacing w:line="276" w:lineRule="auto"/>
              <w:rPr>
                <w:rFonts w:hint="eastAsia" w:ascii="宋体" w:hAnsi="宋体" w:cs="AdobeFangsongStd-Regular"/>
                <w:spacing w:val="-2"/>
                <w:kern w:val="0"/>
                <w:position w:val="-3"/>
                <w:sz w:val="24"/>
                <w:szCs w:val="24"/>
              </w:rPr>
            </w:pPr>
            <w:r>
              <w:rPr>
                <w:rFonts w:hint="eastAsia" w:ascii="宋体" w:hAnsi="宋体" w:cs="AdobeFangsongStd-Regular"/>
                <w:spacing w:val="-2"/>
                <w:kern w:val="0"/>
                <w:position w:val="-3"/>
                <w:sz w:val="24"/>
                <w:szCs w:val="24"/>
              </w:rPr>
              <w:t>□召开  召开时间：      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一、（十）</w:t>
            </w:r>
          </w:p>
        </w:tc>
        <w:tc>
          <w:tcPr>
            <w:tcW w:w="1423" w:type="dxa"/>
            <w:noWrap w:val="0"/>
            <w:vAlign w:val="center"/>
          </w:tcPr>
          <w:p>
            <w:pPr>
              <w:spacing w:line="276" w:lineRule="auto"/>
              <w:rPr>
                <w:rFonts w:hint="eastAsia" w:ascii="宋体" w:hAnsi="宋体"/>
                <w:sz w:val="24"/>
                <w:szCs w:val="24"/>
              </w:rPr>
            </w:pPr>
            <w:r>
              <w:rPr>
                <w:rFonts w:hint="eastAsia" w:ascii="宋体" w:hAnsi="宋体" w:cs="AdobeFangsongStd-Regular"/>
                <w:kern w:val="0"/>
                <w:position w:val="-3"/>
                <w:sz w:val="24"/>
                <w:szCs w:val="24"/>
              </w:rPr>
              <w:t>是否</w:t>
            </w:r>
            <w:r>
              <w:rPr>
                <w:rFonts w:hint="eastAsia" w:ascii="宋体" w:hAnsi="宋体" w:cs="AdobeFangsongStd-Regular"/>
                <w:spacing w:val="-2"/>
                <w:kern w:val="0"/>
                <w:position w:val="-3"/>
                <w:sz w:val="24"/>
                <w:szCs w:val="24"/>
              </w:rPr>
              <w:t>接</w:t>
            </w:r>
            <w:r>
              <w:rPr>
                <w:rFonts w:hint="eastAsia" w:ascii="宋体" w:hAnsi="宋体" w:cs="AdobeFangsongStd-Regular"/>
                <w:kern w:val="0"/>
                <w:position w:val="-3"/>
                <w:sz w:val="24"/>
                <w:szCs w:val="24"/>
              </w:rPr>
              <w:t>受</w:t>
            </w:r>
            <w:r>
              <w:rPr>
                <w:rFonts w:hint="eastAsia" w:ascii="宋体" w:hAnsi="宋体" w:cs="AdobeFangsongStd-Regular"/>
                <w:spacing w:val="-2"/>
                <w:kern w:val="0"/>
                <w:position w:val="-3"/>
                <w:sz w:val="24"/>
                <w:szCs w:val="24"/>
              </w:rPr>
              <w:t>联</w:t>
            </w:r>
            <w:r>
              <w:rPr>
                <w:rFonts w:hint="eastAsia" w:ascii="宋体" w:hAnsi="宋体" w:cs="AdobeFangsongStd-Regular"/>
                <w:kern w:val="0"/>
                <w:position w:val="-3"/>
                <w:sz w:val="24"/>
                <w:szCs w:val="24"/>
              </w:rPr>
              <w:t>合</w:t>
            </w:r>
            <w:r>
              <w:rPr>
                <w:rFonts w:hint="eastAsia" w:ascii="宋体" w:hAnsi="宋体" w:cs="AdobeFangsongStd-Regular"/>
                <w:spacing w:val="-2"/>
                <w:kern w:val="0"/>
                <w:position w:val="-3"/>
                <w:sz w:val="24"/>
                <w:szCs w:val="24"/>
              </w:rPr>
              <w:t>体</w:t>
            </w:r>
            <w:r>
              <w:rPr>
                <w:rFonts w:hint="eastAsia" w:ascii="宋体" w:hAnsi="宋体" w:cs="AdobeFangsongStd-Regular"/>
                <w:kern w:val="0"/>
                <w:position w:val="-3"/>
                <w:sz w:val="24"/>
                <w:szCs w:val="24"/>
              </w:rPr>
              <w:t>投标</w:t>
            </w:r>
          </w:p>
        </w:tc>
        <w:tc>
          <w:tcPr>
            <w:tcW w:w="6582" w:type="dxa"/>
            <w:noWrap w:val="0"/>
            <w:vAlign w:val="center"/>
          </w:tcPr>
          <w:p>
            <w:pPr>
              <w:autoSpaceDE w:val="0"/>
              <w:autoSpaceDN w:val="0"/>
              <w:adjustRightInd w:val="0"/>
              <w:spacing w:line="276" w:lineRule="auto"/>
              <w:ind w:right="-20"/>
              <w:rPr>
                <w:rFonts w:hint="eastAsia" w:ascii="宋体" w:hAnsi="宋体"/>
                <w:sz w:val="24"/>
                <w:szCs w:val="24"/>
                <w:lang w:val="zh-CN"/>
              </w:rPr>
            </w:pPr>
            <w:r>
              <w:rPr>
                <w:rFonts w:hint="eastAsia" w:ascii="宋体" w:hAnsi="宋体"/>
                <w:sz w:val="24"/>
                <w:szCs w:val="24"/>
              </w:rPr>
              <w:sym w:font="Wingdings" w:char="F0FE"/>
            </w:r>
            <w:r>
              <w:rPr>
                <w:rFonts w:hint="eastAsia" w:ascii="宋体" w:hAnsi="宋体"/>
                <w:sz w:val="24"/>
                <w:szCs w:val="24"/>
                <w:lang w:val="zh-CN"/>
              </w:rPr>
              <w:t>否。</w:t>
            </w:r>
          </w:p>
          <w:p>
            <w:pPr>
              <w:spacing w:line="276" w:lineRule="auto"/>
              <w:rPr>
                <w:rFonts w:hint="eastAsia" w:ascii="宋体" w:hAnsi="宋体"/>
                <w:sz w:val="24"/>
                <w:szCs w:val="24"/>
              </w:rPr>
            </w:pPr>
            <w:r>
              <w:rPr>
                <w:rFonts w:hint="eastAsia" w:ascii="宋体" w:hAnsi="宋体"/>
                <w:sz w:val="24"/>
                <w:szCs w:val="24"/>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一、（十三）8；三、（六）、</w:t>
            </w:r>
          </w:p>
        </w:tc>
        <w:tc>
          <w:tcPr>
            <w:tcW w:w="1423" w:type="dxa"/>
            <w:noWrap w:val="0"/>
            <w:vAlign w:val="center"/>
          </w:tcPr>
          <w:p>
            <w:pPr>
              <w:spacing w:line="276" w:lineRule="auto"/>
              <w:jc w:val="left"/>
              <w:rPr>
                <w:rFonts w:hint="eastAsia" w:ascii="宋体" w:hAnsi="宋体" w:cs="AdobeFangsongStd-Regular"/>
                <w:kern w:val="0"/>
                <w:sz w:val="24"/>
                <w:szCs w:val="24"/>
              </w:rPr>
            </w:pPr>
            <w:r>
              <w:rPr>
                <w:rFonts w:hint="eastAsia" w:ascii="宋体" w:hAnsi="宋体" w:cs="AdobeFangsongStd-Regular"/>
                <w:kern w:val="0"/>
                <w:sz w:val="24"/>
                <w:szCs w:val="24"/>
              </w:rPr>
              <w:t>是否允许进口产品投标</w:t>
            </w:r>
            <w:r>
              <w:rPr>
                <w:rFonts w:hint="eastAsia" w:ascii="宋体" w:hAnsi="宋体"/>
                <w:position w:val="-3"/>
                <w:sz w:val="24"/>
                <w:szCs w:val="24"/>
              </w:rPr>
              <w:t>（若为货物项目）</w:t>
            </w:r>
          </w:p>
        </w:tc>
        <w:tc>
          <w:tcPr>
            <w:tcW w:w="6582" w:type="dxa"/>
            <w:noWrap w:val="0"/>
            <w:vAlign w:val="center"/>
          </w:tcPr>
          <w:p>
            <w:pPr>
              <w:autoSpaceDE w:val="0"/>
              <w:autoSpaceDN w:val="0"/>
              <w:adjustRightInd w:val="0"/>
              <w:spacing w:line="276" w:lineRule="auto"/>
              <w:ind w:right="-20"/>
              <w:rPr>
                <w:rFonts w:hint="eastAsia" w:ascii="宋体" w:hAnsi="宋体"/>
                <w:sz w:val="24"/>
                <w:szCs w:val="24"/>
                <w:lang w:val="zh-CN"/>
              </w:rPr>
            </w:pPr>
            <w:r>
              <w:rPr>
                <w:rFonts w:hint="eastAsia" w:ascii="宋体" w:hAnsi="宋体"/>
                <w:sz w:val="24"/>
                <w:szCs w:val="24"/>
              </w:rPr>
              <w:sym w:font="Wingdings" w:char="F0FE"/>
            </w:r>
            <w:r>
              <w:rPr>
                <w:rFonts w:hint="eastAsia" w:ascii="宋体" w:hAnsi="宋体"/>
                <w:sz w:val="24"/>
                <w:szCs w:val="24"/>
                <w:lang w:val="zh-CN"/>
              </w:rPr>
              <w:t>不允许。</w:t>
            </w:r>
          </w:p>
          <w:p>
            <w:pPr>
              <w:autoSpaceDE w:val="0"/>
              <w:autoSpaceDN w:val="0"/>
              <w:adjustRightInd w:val="0"/>
              <w:spacing w:line="276" w:lineRule="auto"/>
              <w:ind w:right="-20"/>
              <w:rPr>
                <w:rFonts w:hint="eastAsia" w:ascii="宋体" w:hAnsi="宋体"/>
                <w:sz w:val="24"/>
                <w:szCs w:val="24"/>
              </w:rPr>
            </w:pPr>
            <w:r>
              <w:rPr>
                <w:rFonts w:hint="eastAsia" w:ascii="宋体" w:hAnsi="宋体"/>
                <w:sz w:val="24"/>
                <w:szCs w:val="24"/>
              </w:rPr>
              <w:t>□允许，详见招标文件第三部分 项目技术及服务要求。</w:t>
            </w:r>
          </w:p>
          <w:p>
            <w:pPr>
              <w:autoSpaceDE w:val="0"/>
              <w:autoSpaceDN w:val="0"/>
              <w:adjustRightInd w:val="0"/>
              <w:spacing w:line="276" w:lineRule="auto"/>
              <w:ind w:right="-20"/>
              <w:rPr>
                <w:rFonts w:hint="eastAsia" w:ascii="宋体" w:hAnsi="宋体"/>
                <w:sz w:val="24"/>
                <w:szCs w:val="24"/>
              </w:rPr>
            </w:pPr>
            <w:r>
              <w:rPr>
                <w:rFonts w:hint="eastAsia" w:ascii="宋体" w:hAnsi="宋体"/>
                <w:sz w:val="24"/>
                <w:szCs w:val="24"/>
              </w:rPr>
              <w:t>□部分允许，详见招标文件第三部分 项目技术及服务要求。</w:t>
            </w:r>
          </w:p>
          <w:p>
            <w:pPr>
              <w:autoSpaceDE w:val="0"/>
              <w:autoSpaceDN w:val="0"/>
              <w:adjustRightInd w:val="0"/>
              <w:spacing w:line="276" w:lineRule="auto"/>
              <w:ind w:right="-20"/>
              <w:rPr>
                <w:rFonts w:hint="eastAsia" w:ascii="宋体" w:hAnsi="宋体"/>
                <w:sz w:val="24"/>
                <w:szCs w:val="24"/>
              </w:rPr>
            </w:pPr>
            <w:r>
              <w:rPr>
                <w:rFonts w:hint="eastAsia" w:ascii="宋体" w:hAnsi="宋体"/>
                <w:sz w:val="24"/>
                <w:szCs w:val="24"/>
              </w:rPr>
              <w:t>报价及交货方式：□CIP</w:t>
            </w:r>
            <w:r>
              <w:rPr>
                <w:rFonts w:hint="eastAsia" w:ascii="宋体" w:hAnsi="宋体"/>
                <w:sz w:val="24"/>
                <w:szCs w:val="24"/>
                <w:lang w:val="zh-CN"/>
              </w:rPr>
              <w:t>/</w:t>
            </w:r>
            <w:r>
              <w:rPr>
                <w:rFonts w:hint="eastAsia" w:ascii="宋体" w:hAnsi="宋体"/>
                <w:sz w:val="24"/>
                <w:szCs w:val="24"/>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一、（十三） 5、</w:t>
            </w:r>
          </w:p>
        </w:tc>
        <w:tc>
          <w:tcPr>
            <w:tcW w:w="1423" w:type="dxa"/>
            <w:noWrap w:val="0"/>
            <w:vAlign w:val="center"/>
          </w:tcPr>
          <w:p>
            <w:pPr>
              <w:spacing w:line="276" w:lineRule="auto"/>
              <w:jc w:val="left"/>
              <w:rPr>
                <w:rFonts w:hint="eastAsia" w:ascii="宋体" w:hAnsi="宋体" w:cs="AdobeFangsongStd-Regular"/>
                <w:kern w:val="0"/>
                <w:sz w:val="24"/>
                <w:szCs w:val="24"/>
              </w:rPr>
            </w:pPr>
            <w:r>
              <w:rPr>
                <w:rFonts w:hint="eastAsia" w:ascii="宋体" w:hAnsi="宋体" w:cs="AdobeFangsongStd-Regular"/>
                <w:kern w:val="0"/>
                <w:sz w:val="24"/>
                <w:szCs w:val="24"/>
              </w:rPr>
              <w:t>是否资格入围项目</w:t>
            </w:r>
          </w:p>
        </w:tc>
        <w:tc>
          <w:tcPr>
            <w:tcW w:w="6582" w:type="dxa"/>
            <w:noWrap w:val="0"/>
            <w:vAlign w:val="center"/>
          </w:tcPr>
          <w:p>
            <w:pPr>
              <w:autoSpaceDE w:val="0"/>
              <w:autoSpaceDN w:val="0"/>
              <w:adjustRightInd w:val="0"/>
              <w:spacing w:line="276" w:lineRule="auto"/>
              <w:ind w:right="-20"/>
              <w:rPr>
                <w:rFonts w:hint="eastAsia" w:ascii="宋体" w:hAnsi="宋体"/>
                <w:sz w:val="24"/>
                <w:szCs w:val="24"/>
                <w:lang w:val="zh-CN"/>
              </w:rPr>
            </w:pPr>
            <w:r>
              <w:rPr>
                <w:rFonts w:hint="eastAsia" w:ascii="宋体" w:hAnsi="宋体"/>
                <w:sz w:val="24"/>
                <w:szCs w:val="24"/>
              </w:rPr>
              <w:sym w:font="Wingdings" w:char="F0FE"/>
            </w:r>
            <w:r>
              <w:rPr>
                <w:rFonts w:hint="eastAsia" w:ascii="宋体" w:hAnsi="宋体"/>
                <w:sz w:val="24"/>
                <w:szCs w:val="24"/>
                <w:lang w:val="zh-CN"/>
              </w:rPr>
              <w:t>否。</w:t>
            </w:r>
          </w:p>
          <w:p>
            <w:pPr>
              <w:autoSpaceDE w:val="0"/>
              <w:autoSpaceDN w:val="0"/>
              <w:adjustRightInd w:val="0"/>
              <w:spacing w:line="276" w:lineRule="auto"/>
              <w:ind w:right="-20"/>
              <w:rPr>
                <w:rFonts w:hint="eastAsia" w:ascii="宋体" w:hAnsi="宋体"/>
                <w:sz w:val="24"/>
                <w:szCs w:val="24"/>
                <w:lang w:val="zh-CN"/>
              </w:rPr>
            </w:pPr>
            <w:r>
              <w:rPr>
                <w:rFonts w:hint="eastAsia" w:ascii="宋体" w:hAnsi="宋体"/>
                <w:sz w:val="24"/>
                <w:szCs w:val="24"/>
              </w:rPr>
              <w:t>□是  入围家数：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三、（一）1-3、</w:t>
            </w:r>
          </w:p>
        </w:tc>
        <w:tc>
          <w:tcPr>
            <w:tcW w:w="1423" w:type="dxa"/>
            <w:noWrap w:val="0"/>
            <w:vAlign w:val="center"/>
          </w:tcPr>
          <w:p>
            <w:pPr>
              <w:spacing w:line="276" w:lineRule="auto"/>
              <w:jc w:val="left"/>
              <w:rPr>
                <w:rFonts w:hint="eastAsia" w:ascii="宋体" w:hAnsi="宋体" w:cs="AdobeFangsongStd-Regular"/>
                <w:b/>
                <w:kern w:val="0"/>
                <w:sz w:val="24"/>
                <w:szCs w:val="24"/>
              </w:rPr>
            </w:pPr>
            <w:r>
              <w:rPr>
                <w:rFonts w:hint="eastAsia" w:ascii="宋体" w:hAnsi="宋体" w:cs="AdobeFangsongStd-Regular"/>
                <w:b/>
                <w:kern w:val="0"/>
                <w:sz w:val="24"/>
                <w:szCs w:val="24"/>
              </w:rPr>
              <w:t>投标文件组成</w:t>
            </w:r>
          </w:p>
        </w:tc>
        <w:tc>
          <w:tcPr>
            <w:tcW w:w="6582" w:type="dxa"/>
            <w:noWrap w:val="0"/>
            <w:vAlign w:val="center"/>
          </w:tcPr>
          <w:p>
            <w:pPr>
              <w:autoSpaceDE w:val="0"/>
              <w:autoSpaceDN w:val="0"/>
              <w:adjustRightInd w:val="0"/>
              <w:spacing w:line="276" w:lineRule="auto"/>
              <w:ind w:right="-20"/>
              <w:rPr>
                <w:rFonts w:hint="eastAsia" w:ascii="宋体" w:hAnsi="宋体"/>
                <w:sz w:val="24"/>
                <w:szCs w:val="24"/>
              </w:rPr>
            </w:pPr>
            <w:r>
              <w:rPr>
                <w:rFonts w:hint="eastAsia" w:ascii="宋体" w:hAnsi="宋体"/>
                <w:sz w:val="24"/>
                <w:szCs w:val="24"/>
              </w:rPr>
              <w:t>完整的《投标文件》由“资格文件”、“商务、技术文件”和“报价文件”三个部分组成。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三、（二）1-8、</w:t>
            </w:r>
          </w:p>
        </w:tc>
        <w:tc>
          <w:tcPr>
            <w:tcW w:w="1423" w:type="dxa"/>
            <w:noWrap w:val="0"/>
            <w:vAlign w:val="center"/>
          </w:tcPr>
          <w:p>
            <w:pPr>
              <w:spacing w:line="276" w:lineRule="auto"/>
              <w:jc w:val="left"/>
              <w:rPr>
                <w:rFonts w:hint="eastAsia" w:ascii="宋体" w:hAnsi="宋体" w:cs="AdobeFangsongStd-Regular"/>
                <w:b/>
                <w:kern w:val="0"/>
                <w:sz w:val="24"/>
                <w:szCs w:val="24"/>
              </w:rPr>
            </w:pPr>
            <w:r>
              <w:rPr>
                <w:rFonts w:hint="eastAsia" w:ascii="宋体" w:hAnsi="宋体" w:cs="AdobeFangsongStd-Regular"/>
                <w:b/>
                <w:kern w:val="0"/>
                <w:sz w:val="24"/>
                <w:szCs w:val="24"/>
              </w:rPr>
              <w:t>投标文件编制</w:t>
            </w:r>
          </w:p>
        </w:tc>
        <w:tc>
          <w:tcPr>
            <w:tcW w:w="6582" w:type="dxa"/>
            <w:noWrap w:val="0"/>
            <w:vAlign w:val="center"/>
          </w:tcPr>
          <w:p>
            <w:pPr>
              <w:autoSpaceDE w:val="0"/>
              <w:autoSpaceDN w:val="0"/>
              <w:adjustRightInd w:val="0"/>
              <w:spacing w:line="276" w:lineRule="auto"/>
              <w:ind w:right="-20"/>
              <w:rPr>
                <w:rFonts w:hint="eastAsia" w:ascii="宋体" w:hAnsi="宋体"/>
                <w:sz w:val="24"/>
                <w:szCs w:val="24"/>
              </w:rPr>
            </w:pPr>
            <w:r>
              <w:rPr>
                <w:rFonts w:hint="eastAsia" w:ascii="宋体" w:hAnsi="宋体"/>
                <w:sz w:val="24"/>
                <w:szCs w:val="24"/>
              </w:rPr>
              <w:t>供应商应先安装“政采云电子交易客户端”，并按照本招标文件和“政府采购云平台”的要求，通过“政采云电子交易客户端”编制并加密投标文件。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三、（三）1-3、</w:t>
            </w:r>
          </w:p>
        </w:tc>
        <w:tc>
          <w:tcPr>
            <w:tcW w:w="1423" w:type="dxa"/>
            <w:noWrap w:val="0"/>
            <w:vAlign w:val="center"/>
          </w:tcPr>
          <w:p>
            <w:pPr>
              <w:spacing w:line="276" w:lineRule="auto"/>
              <w:rPr>
                <w:rFonts w:hint="eastAsia" w:ascii="宋体" w:hAnsi="宋体" w:cs="AdobeFangsongStd-Regular"/>
                <w:b/>
                <w:kern w:val="0"/>
                <w:position w:val="-5"/>
                <w:sz w:val="24"/>
                <w:szCs w:val="24"/>
              </w:rPr>
            </w:pPr>
            <w:r>
              <w:rPr>
                <w:rFonts w:hint="eastAsia" w:ascii="宋体" w:hAnsi="宋体" w:cs="AdobeFangsongStd-Regular"/>
                <w:b/>
                <w:kern w:val="0"/>
                <w:position w:val="-5"/>
                <w:sz w:val="24"/>
                <w:szCs w:val="24"/>
              </w:rPr>
              <w:t>投标文件签章</w:t>
            </w:r>
          </w:p>
        </w:tc>
        <w:tc>
          <w:tcPr>
            <w:tcW w:w="6582" w:type="dxa"/>
            <w:noWrap w:val="0"/>
            <w:vAlign w:val="center"/>
          </w:tcPr>
          <w:p>
            <w:pPr>
              <w:adjustRightInd w:val="0"/>
              <w:snapToGrid w:val="0"/>
              <w:spacing w:line="276" w:lineRule="auto"/>
              <w:rPr>
                <w:rFonts w:ascii="宋体" w:hAnsi="宋体" w:cs="宋体"/>
                <w:sz w:val="24"/>
                <w:lang w:bidi="ar"/>
              </w:rPr>
            </w:pPr>
            <w:r>
              <w:rPr>
                <w:rFonts w:hint="eastAsia" w:ascii="宋体" w:hAnsi="宋体" w:cs="宋体"/>
                <w:sz w:val="24"/>
                <w:lang w:bidi="ar"/>
              </w:rPr>
              <w:t>公章采用单位CA章或单位公章。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三、（四）1-3、</w:t>
            </w:r>
          </w:p>
        </w:tc>
        <w:tc>
          <w:tcPr>
            <w:tcW w:w="1423" w:type="dxa"/>
            <w:noWrap w:val="0"/>
            <w:vAlign w:val="center"/>
          </w:tcPr>
          <w:p>
            <w:pPr>
              <w:spacing w:line="276" w:lineRule="auto"/>
              <w:rPr>
                <w:rFonts w:hint="eastAsia" w:ascii="宋体" w:hAnsi="宋体" w:cs="AdobeFangsongStd-Regular"/>
                <w:b/>
                <w:kern w:val="0"/>
                <w:position w:val="-5"/>
                <w:sz w:val="24"/>
                <w:szCs w:val="24"/>
              </w:rPr>
            </w:pPr>
            <w:r>
              <w:rPr>
                <w:rFonts w:hint="eastAsia" w:ascii="宋体" w:hAnsi="宋体" w:cs="AdobeFangsongStd-Regular"/>
                <w:b/>
                <w:kern w:val="0"/>
                <w:position w:val="-5"/>
                <w:sz w:val="24"/>
                <w:szCs w:val="24"/>
              </w:rPr>
              <w:t>投标文件形式</w:t>
            </w:r>
          </w:p>
        </w:tc>
        <w:tc>
          <w:tcPr>
            <w:tcW w:w="6582" w:type="dxa"/>
            <w:noWrap w:val="0"/>
            <w:vAlign w:val="center"/>
          </w:tcPr>
          <w:p>
            <w:pPr>
              <w:adjustRightInd w:val="0"/>
              <w:snapToGrid w:val="0"/>
              <w:spacing w:line="276" w:lineRule="auto"/>
              <w:rPr>
                <w:rFonts w:hint="eastAsia" w:ascii="宋体" w:hAnsi="宋体" w:cs="宋体"/>
                <w:sz w:val="24"/>
                <w:lang w:bidi="ar"/>
              </w:rPr>
            </w:pPr>
            <w:r>
              <w:rPr>
                <w:rFonts w:hint="eastAsia" w:ascii="宋体" w:hAnsi="宋体" w:cs="宋体"/>
                <w:sz w:val="24"/>
                <w:lang w:bidi="ar"/>
              </w:rPr>
              <w:sym w:font="Wingdings" w:char="F0FE"/>
            </w:r>
            <w:r>
              <w:rPr>
                <w:rFonts w:hint="eastAsia" w:ascii="宋体" w:hAnsi="宋体" w:cs="宋体"/>
                <w:sz w:val="24"/>
                <w:lang w:bidi="ar"/>
              </w:rPr>
              <w:t>电子投标文件（包括“电子加密投标文件”和“备份投标文件”，在投标文件编制完成后同时生成）；</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pPr>
              <w:adjustRightInd w:val="0"/>
              <w:snapToGrid w:val="0"/>
              <w:spacing w:line="276" w:lineRule="auto"/>
              <w:rPr>
                <w:rFonts w:ascii="宋体" w:hAnsi="宋体" w:cs="宋体"/>
                <w:sz w:val="24"/>
                <w:lang w:bidi="ar"/>
              </w:rPr>
            </w:pPr>
            <w:r>
              <w:rPr>
                <w:rFonts w:hint="eastAsia" w:ascii="宋体" w:hAnsi="宋体" w:cs="宋体"/>
                <w:sz w:val="24"/>
                <w:lang w:bidi="ar"/>
              </w:rPr>
              <w:t>（2）“备份投标文件”是指与“电子加密投标文件”同时生成的数据电文形式的电子文件（备份投标文件），其他方式编制的备份投标文件视为无效备份投标文件。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三、（五）1、</w:t>
            </w:r>
          </w:p>
        </w:tc>
        <w:tc>
          <w:tcPr>
            <w:tcW w:w="1423" w:type="dxa"/>
            <w:noWrap w:val="0"/>
            <w:vAlign w:val="center"/>
          </w:tcPr>
          <w:p>
            <w:pPr>
              <w:spacing w:line="276" w:lineRule="auto"/>
              <w:rPr>
                <w:rFonts w:hint="eastAsia" w:ascii="宋体" w:hAnsi="宋体" w:cs="AdobeFangsongStd-Regular"/>
                <w:b/>
                <w:kern w:val="0"/>
                <w:position w:val="-5"/>
                <w:sz w:val="24"/>
                <w:szCs w:val="24"/>
              </w:rPr>
            </w:pPr>
            <w:r>
              <w:rPr>
                <w:rFonts w:hint="eastAsia" w:ascii="宋体" w:hAnsi="宋体" w:cs="AdobeFangsongStd-Regular"/>
                <w:b/>
                <w:kern w:val="0"/>
                <w:position w:val="-5"/>
                <w:sz w:val="24"/>
                <w:szCs w:val="24"/>
              </w:rPr>
              <w:t>投标文件份数</w:t>
            </w:r>
          </w:p>
        </w:tc>
        <w:tc>
          <w:tcPr>
            <w:tcW w:w="6582" w:type="dxa"/>
            <w:noWrap w:val="0"/>
            <w:vAlign w:val="center"/>
          </w:tcPr>
          <w:p>
            <w:pPr>
              <w:adjustRightInd w:val="0"/>
              <w:snapToGrid w:val="0"/>
              <w:spacing w:line="276" w:lineRule="auto"/>
              <w:rPr>
                <w:rFonts w:hint="eastAsia" w:ascii="宋体" w:hAnsi="宋体" w:cs="宋体"/>
                <w:sz w:val="24"/>
                <w:lang w:bidi="ar"/>
              </w:rPr>
            </w:pPr>
            <w:r>
              <w:rPr>
                <w:rFonts w:hint="eastAsia" w:ascii="宋体" w:hAnsi="宋体" w:cs="宋体"/>
                <w:sz w:val="24"/>
                <w:lang w:bidi="ar"/>
              </w:rPr>
              <w:t>（1）“电子加密投标文件”：在线上传递交一份。</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（2）“备份投标文件”一份；（包含以介质（U盘）存储的电子版备份投标文件一份和纸质版备份投标文件一套）</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纸质版备份投标文件将以纸质文件的形式递交；编制要求：资格文件一份、商务技术文件一份、报价文件一份（均需单独包装，且文件内需签字盖章）。</w:t>
            </w:r>
          </w:p>
          <w:p>
            <w:pPr>
              <w:adjustRightInd w:val="0"/>
              <w:snapToGrid w:val="0"/>
              <w:spacing w:line="276" w:lineRule="auto"/>
              <w:rPr>
                <w:rFonts w:ascii="宋体" w:hAnsi="宋体" w:cs="宋体"/>
                <w:sz w:val="24"/>
                <w:lang w:bidi="ar"/>
              </w:rPr>
            </w:pPr>
            <w:r>
              <w:rPr>
                <w:rFonts w:hint="eastAsia" w:ascii="宋体" w:hAnsi="宋体" w:cs="宋体"/>
                <w:sz w:val="24"/>
                <w:lang w:bidi="ar"/>
              </w:rPr>
              <w:t>以上（2）以E</w:t>
            </w:r>
            <w:r>
              <w:rPr>
                <w:rFonts w:ascii="宋体" w:hAnsi="宋体" w:cs="宋体"/>
                <w:sz w:val="24"/>
                <w:lang w:bidi="ar"/>
              </w:rPr>
              <w:t>MS</w:t>
            </w:r>
            <w:r>
              <w:rPr>
                <w:rFonts w:hint="eastAsia" w:ascii="宋体" w:hAnsi="宋体" w:cs="宋体"/>
                <w:sz w:val="24"/>
                <w:lang w:bidi="ar"/>
              </w:rPr>
              <w:t>邮寄形式或派人现场递交形式提交：密封包装后投标截止时间前递交一份（地址：杭州市文晖路4</w:t>
            </w:r>
            <w:r>
              <w:rPr>
                <w:rFonts w:ascii="宋体" w:hAnsi="宋体" w:cs="宋体"/>
                <w:sz w:val="24"/>
                <w:lang w:bidi="ar"/>
              </w:rPr>
              <w:t>2</w:t>
            </w:r>
            <w:r>
              <w:rPr>
                <w:rFonts w:hint="eastAsia" w:ascii="宋体" w:hAnsi="宋体" w:cs="宋体"/>
                <w:sz w:val="24"/>
                <w:lang w:bidi="ar"/>
              </w:rPr>
              <w:t>号现代置业大厦西楼1</w:t>
            </w:r>
            <w:r>
              <w:rPr>
                <w:rFonts w:ascii="宋体" w:hAnsi="宋体" w:cs="宋体"/>
                <w:sz w:val="24"/>
                <w:lang w:bidi="ar"/>
              </w:rPr>
              <w:t>80</w:t>
            </w:r>
            <w:r>
              <w:rPr>
                <w:rFonts w:hint="eastAsia" w:ascii="宋体" w:hAnsi="宋体" w:cs="宋体"/>
                <w:sz w:val="24"/>
                <w:lang w:bidi="ar"/>
              </w:rPr>
              <w:t>1室，沈智丽收，电话：15167128833）。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三、（七）1、</w:t>
            </w:r>
          </w:p>
        </w:tc>
        <w:tc>
          <w:tcPr>
            <w:tcW w:w="1423" w:type="dxa"/>
            <w:noWrap w:val="0"/>
            <w:vAlign w:val="center"/>
          </w:tcPr>
          <w:p>
            <w:pPr>
              <w:autoSpaceDE w:val="0"/>
              <w:autoSpaceDN w:val="0"/>
              <w:adjustRightInd w:val="0"/>
              <w:spacing w:line="276" w:lineRule="auto"/>
              <w:ind w:right="-20"/>
              <w:rPr>
                <w:rFonts w:hint="eastAsia" w:ascii="宋体" w:hAnsi="宋体"/>
                <w:kern w:val="0"/>
                <w:sz w:val="24"/>
                <w:szCs w:val="24"/>
              </w:rPr>
            </w:pPr>
            <w:r>
              <w:rPr>
                <w:rFonts w:hint="eastAsia" w:ascii="宋体" w:hAnsi="宋体" w:cs="AdobeFangsongStd-Regular"/>
                <w:kern w:val="0"/>
                <w:position w:val="-3"/>
                <w:sz w:val="24"/>
                <w:szCs w:val="24"/>
              </w:rPr>
              <w:t>投标</w:t>
            </w:r>
            <w:r>
              <w:rPr>
                <w:rFonts w:hint="eastAsia" w:ascii="宋体" w:hAnsi="宋体" w:cs="AdobeFangsongStd-Regular"/>
                <w:spacing w:val="-2"/>
                <w:kern w:val="0"/>
                <w:position w:val="-3"/>
                <w:sz w:val="24"/>
                <w:szCs w:val="24"/>
              </w:rPr>
              <w:t>文</w:t>
            </w:r>
            <w:r>
              <w:rPr>
                <w:rFonts w:hint="eastAsia" w:ascii="宋体" w:hAnsi="宋体" w:cs="AdobeFangsongStd-Regular"/>
                <w:kern w:val="0"/>
                <w:position w:val="-3"/>
                <w:sz w:val="24"/>
                <w:szCs w:val="24"/>
              </w:rPr>
              <w:t>件</w:t>
            </w:r>
            <w:r>
              <w:rPr>
                <w:rFonts w:hint="eastAsia" w:ascii="宋体" w:hAnsi="宋体" w:cs="AdobeFangsongStd-Regular"/>
                <w:spacing w:val="-2"/>
                <w:kern w:val="0"/>
                <w:position w:val="-3"/>
                <w:sz w:val="24"/>
                <w:szCs w:val="24"/>
              </w:rPr>
              <w:t>有</w:t>
            </w:r>
            <w:r>
              <w:rPr>
                <w:rFonts w:hint="eastAsia" w:ascii="宋体" w:hAnsi="宋体" w:cs="AdobeFangsongStd-Regular"/>
                <w:kern w:val="0"/>
                <w:position w:val="-3"/>
                <w:sz w:val="24"/>
                <w:szCs w:val="24"/>
              </w:rPr>
              <w:t>效期</w:t>
            </w:r>
          </w:p>
        </w:tc>
        <w:tc>
          <w:tcPr>
            <w:tcW w:w="6582" w:type="dxa"/>
            <w:noWrap w:val="0"/>
            <w:vAlign w:val="center"/>
          </w:tcPr>
          <w:p>
            <w:pPr>
              <w:autoSpaceDE w:val="0"/>
              <w:autoSpaceDN w:val="0"/>
              <w:adjustRightInd w:val="0"/>
              <w:spacing w:line="276" w:lineRule="auto"/>
              <w:ind w:right="-20"/>
              <w:rPr>
                <w:rFonts w:hint="eastAsia" w:ascii="宋体" w:hAnsi="宋体"/>
                <w:kern w:val="0"/>
                <w:sz w:val="24"/>
                <w:szCs w:val="24"/>
              </w:rPr>
            </w:pPr>
            <w:r>
              <w:rPr>
                <w:rFonts w:hint="eastAsia" w:ascii="宋体" w:hAnsi="宋体" w:cs="AdobeFangsongStd-Regular"/>
                <w:kern w:val="0"/>
                <w:position w:val="-2"/>
                <w:sz w:val="24"/>
                <w:szCs w:val="24"/>
              </w:rPr>
              <w:t>自投</w:t>
            </w:r>
            <w:r>
              <w:rPr>
                <w:rFonts w:hint="eastAsia" w:ascii="宋体" w:hAnsi="宋体" w:cs="AdobeFangsongStd-Regular"/>
                <w:spacing w:val="-2"/>
                <w:kern w:val="0"/>
                <w:position w:val="-2"/>
                <w:sz w:val="24"/>
                <w:szCs w:val="24"/>
              </w:rPr>
              <w:t>标</w:t>
            </w:r>
            <w:r>
              <w:rPr>
                <w:rFonts w:hint="eastAsia" w:ascii="宋体" w:hAnsi="宋体" w:cs="AdobeFangsongStd-Regular"/>
                <w:kern w:val="0"/>
                <w:position w:val="-2"/>
                <w:sz w:val="24"/>
                <w:szCs w:val="24"/>
              </w:rPr>
              <w:t>截</w:t>
            </w:r>
            <w:r>
              <w:rPr>
                <w:rFonts w:hint="eastAsia" w:ascii="宋体" w:hAnsi="宋体" w:cs="AdobeFangsongStd-Regular"/>
                <w:spacing w:val="-2"/>
                <w:kern w:val="0"/>
                <w:position w:val="-2"/>
                <w:sz w:val="24"/>
                <w:szCs w:val="24"/>
              </w:rPr>
              <w:t>止</w:t>
            </w:r>
            <w:r>
              <w:rPr>
                <w:rFonts w:hint="eastAsia" w:ascii="宋体" w:hAnsi="宋体" w:cs="AdobeFangsongStd-Regular"/>
                <w:kern w:val="0"/>
                <w:position w:val="-2"/>
                <w:sz w:val="24"/>
                <w:szCs w:val="24"/>
              </w:rPr>
              <w:t>时</w:t>
            </w:r>
            <w:r>
              <w:rPr>
                <w:rFonts w:hint="eastAsia" w:ascii="宋体" w:hAnsi="宋体" w:cs="AdobeFangsongStd-Regular"/>
                <w:spacing w:val="-2"/>
                <w:kern w:val="0"/>
                <w:position w:val="-2"/>
                <w:sz w:val="24"/>
                <w:szCs w:val="24"/>
              </w:rPr>
              <w:t>间</w:t>
            </w:r>
            <w:r>
              <w:rPr>
                <w:rFonts w:hint="eastAsia" w:ascii="宋体" w:hAnsi="宋体" w:cs="AdobeFangsongStd-Regular"/>
                <w:kern w:val="0"/>
                <w:position w:val="-2"/>
                <w:sz w:val="24"/>
                <w:szCs w:val="24"/>
              </w:rPr>
              <w:t>起不少于</w:t>
            </w:r>
            <w:r>
              <w:rPr>
                <w:rFonts w:hint="eastAsia" w:ascii="宋体" w:hAnsi="宋体" w:cs="Arial"/>
                <w:spacing w:val="-2"/>
                <w:kern w:val="0"/>
                <w:position w:val="-2"/>
                <w:sz w:val="24"/>
                <w:szCs w:val="24"/>
              </w:rPr>
              <w:t>90</w:t>
            </w:r>
            <w:r>
              <w:rPr>
                <w:rFonts w:hint="eastAsia" w:ascii="宋体" w:hAnsi="宋体" w:cs="AdobeFangsongStd-Regular"/>
                <w:spacing w:val="-2"/>
                <w:kern w:val="0"/>
                <w:position w:val="-2"/>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四、（一）1、</w:t>
            </w:r>
          </w:p>
        </w:tc>
        <w:tc>
          <w:tcPr>
            <w:tcW w:w="1423" w:type="dxa"/>
            <w:noWrap w:val="0"/>
            <w:vAlign w:val="center"/>
          </w:tcPr>
          <w:p>
            <w:pPr>
              <w:spacing w:line="276" w:lineRule="auto"/>
              <w:rPr>
                <w:rFonts w:hint="eastAsia" w:ascii="宋体" w:hAnsi="宋体" w:cs="AdobeFangsongStd-Regular"/>
                <w:b/>
                <w:kern w:val="0"/>
                <w:position w:val="-5"/>
                <w:sz w:val="24"/>
                <w:szCs w:val="24"/>
              </w:rPr>
            </w:pPr>
            <w:r>
              <w:rPr>
                <w:rFonts w:hint="eastAsia" w:ascii="宋体" w:hAnsi="宋体" w:cs="AdobeFangsongStd-Regular"/>
                <w:b/>
                <w:kern w:val="0"/>
                <w:position w:val="-5"/>
                <w:sz w:val="24"/>
                <w:szCs w:val="24"/>
              </w:rPr>
              <w:t>投标文件的上传和递交</w:t>
            </w:r>
          </w:p>
        </w:tc>
        <w:tc>
          <w:tcPr>
            <w:tcW w:w="6582" w:type="dxa"/>
            <w:noWrap w:val="0"/>
            <w:vAlign w:val="center"/>
          </w:tcPr>
          <w:p>
            <w:pPr>
              <w:adjustRightInd w:val="0"/>
              <w:snapToGrid w:val="0"/>
              <w:spacing w:line="276" w:lineRule="auto"/>
              <w:rPr>
                <w:rFonts w:hint="eastAsia" w:ascii="宋体" w:hAnsi="宋体" w:cs="宋体"/>
                <w:sz w:val="24"/>
                <w:lang w:bidi="ar"/>
              </w:rPr>
            </w:pPr>
            <w:r>
              <w:rPr>
                <w:rFonts w:hint="eastAsia" w:ascii="宋体" w:hAnsi="宋体" w:cs="宋体"/>
                <w:sz w:val="24"/>
                <w:lang w:bidi="ar"/>
              </w:rPr>
              <w:t>（1）“电子加密投标文件”的上传、递交：</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a.投标供应商应在投标截止时间前将“电子加密投标文件”成功上传递交至“政府采购云平台”，否则投标无效（即投标截止时间以后上传递交的投标文件将被“政府采购云平台”拒收）。</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b.“电子加密投标文件”成功上传递交后，供应商可自行打印投标文件接收回执。</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（2）“备份投标文件”的密封包装、递交：</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a.投标供应商在“政府采购云平台”完成“电子加密投标文件”的上传递交后，还可以（EMS邮寄形式或派人现场递交）在投标截止时间前递交以介质（U盘）存储的 “备份投标文件”（一份）和纸质版备份投标文件（一套）；</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b.“备份投标文件”应当密封包装，并在包装上标注投标项目名称、投标单位名称并加盖公章。没有密封包装或者逾期送达至投标地点的“备份投标文件”将不予接收；</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四、（二）1、</w:t>
            </w:r>
          </w:p>
        </w:tc>
        <w:tc>
          <w:tcPr>
            <w:tcW w:w="1423" w:type="dxa"/>
            <w:noWrap w:val="0"/>
            <w:vAlign w:val="center"/>
          </w:tcPr>
          <w:p>
            <w:pPr>
              <w:spacing w:line="276" w:lineRule="auto"/>
              <w:rPr>
                <w:rFonts w:hint="eastAsia" w:ascii="宋体" w:hAnsi="宋体" w:cs="AdobeFangsongStd-Regular"/>
                <w:b/>
                <w:kern w:val="0"/>
                <w:position w:val="-5"/>
                <w:sz w:val="24"/>
                <w:szCs w:val="24"/>
              </w:rPr>
            </w:pPr>
            <w:r>
              <w:rPr>
                <w:rFonts w:hint="eastAsia" w:ascii="宋体" w:hAnsi="宋体" w:cs="AdobeFangsongStd-Regular"/>
                <w:b/>
                <w:kern w:val="0"/>
                <w:position w:val="-5"/>
                <w:sz w:val="24"/>
                <w:szCs w:val="24"/>
              </w:rPr>
              <w:t>电子加密投标文件的解密和异常情况处理</w:t>
            </w:r>
          </w:p>
        </w:tc>
        <w:tc>
          <w:tcPr>
            <w:tcW w:w="6582" w:type="dxa"/>
            <w:noWrap w:val="0"/>
            <w:vAlign w:val="center"/>
          </w:tcPr>
          <w:p>
            <w:pPr>
              <w:adjustRightInd w:val="0"/>
              <w:snapToGrid w:val="0"/>
              <w:spacing w:line="276" w:lineRule="auto"/>
              <w:rPr>
                <w:rFonts w:hint="eastAsia" w:ascii="宋体" w:hAnsi="宋体" w:cs="宋体"/>
                <w:sz w:val="24"/>
                <w:lang w:bidi="ar"/>
              </w:rPr>
            </w:pPr>
            <w:r>
              <w:rPr>
                <w:rFonts w:hint="eastAsia" w:ascii="宋体" w:hAnsi="宋体" w:cs="宋体"/>
                <w:sz w:val="24"/>
                <w:lang w:bidi="ar"/>
              </w:rPr>
              <w:t>（1）开标后，招标组织机构将向各投标供应商发出“电子加密投标文件”的解密通知，各投标供应商代表应当在接到解密通知后30分钟内自行完成“电子加密投标文件”的在线解密。</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（2）通过“政府采购云平台”成功上传递交的“电子加密投标文件”</w:t>
            </w:r>
            <w:r>
              <w:rPr>
                <w:rFonts w:hint="eastAsia" w:ascii="宋体" w:hAnsi="宋体"/>
              </w:rPr>
              <w:t xml:space="preserve"> </w:t>
            </w:r>
            <w:r>
              <w:rPr>
                <w:rFonts w:hint="eastAsia" w:ascii="宋体" w:hAnsi="宋体" w:cs="宋体"/>
                <w:sz w:val="24"/>
                <w:lang w:bidi="ar"/>
              </w:rPr>
              <w:t>已按时解密的，“备份投标文件”自动失效。</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通过“政府采购云平台”成功上传递交的“电子加密投标文件”无法按时解密的，投标供应商如按规定递交了“备份投标文件”的，以“备份投标文件”为依据（由招标组织机构按“政府采购云平台”操作规范将“备份投标文件”上传至“政府采购云平台”，上传成功后，“电子加密投标文件”自动失效），否则视为投标文件撤回。</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（3）投标截止时间前，投标供应商仅递交了“备份投标文件”而未将电子加密投标文件上传至“政府采购云平台”的，投标无效。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四、（三）1、</w:t>
            </w:r>
          </w:p>
        </w:tc>
        <w:tc>
          <w:tcPr>
            <w:tcW w:w="1423" w:type="dxa"/>
            <w:noWrap w:val="0"/>
            <w:vAlign w:val="center"/>
          </w:tcPr>
          <w:p>
            <w:pPr>
              <w:spacing w:line="276" w:lineRule="auto"/>
              <w:rPr>
                <w:rFonts w:hint="eastAsia" w:ascii="宋体" w:hAnsi="宋体" w:cs="AdobeFangsongStd-Regular"/>
                <w:b/>
                <w:kern w:val="0"/>
                <w:position w:val="-5"/>
                <w:sz w:val="24"/>
                <w:szCs w:val="24"/>
              </w:rPr>
            </w:pPr>
            <w:r>
              <w:rPr>
                <w:rFonts w:hint="eastAsia" w:ascii="宋体" w:hAnsi="宋体" w:cs="AdobeFangsongStd-Regular"/>
                <w:b/>
                <w:kern w:val="0"/>
                <w:position w:val="-5"/>
                <w:sz w:val="24"/>
                <w:szCs w:val="24"/>
              </w:rPr>
              <w:t>投标文件的补充、修改或撤回</w:t>
            </w:r>
          </w:p>
        </w:tc>
        <w:tc>
          <w:tcPr>
            <w:tcW w:w="6582" w:type="dxa"/>
            <w:noWrap w:val="0"/>
            <w:vAlign w:val="center"/>
          </w:tcPr>
          <w:p>
            <w:pPr>
              <w:adjustRightInd w:val="0"/>
              <w:snapToGrid w:val="0"/>
              <w:spacing w:line="276" w:lineRule="auto"/>
              <w:rPr>
                <w:rFonts w:hint="eastAsia" w:ascii="宋体" w:hAnsi="宋体" w:cs="宋体"/>
                <w:sz w:val="24"/>
                <w:lang w:bidi="ar"/>
              </w:rPr>
            </w:pPr>
            <w:r>
              <w:rPr>
                <w:rFonts w:hint="eastAsia" w:ascii="宋体" w:hAnsi="宋体" w:cs="宋体"/>
                <w:sz w:val="24"/>
                <w:lang w:bidi="ar"/>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276" w:lineRule="auto"/>
              <w:rPr>
                <w:rFonts w:hint="eastAsia" w:ascii="宋体" w:hAnsi="宋体" w:cs="宋体"/>
                <w:sz w:val="24"/>
                <w:lang w:bidi="ar"/>
              </w:rPr>
            </w:pPr>
            <w:r>
              <w:rPr>
                <w:rFonts w:hint="eastAsia" w:ascii="宋体" w:hAnsi="宋体" w:cs="宋体"/>
                <w:sz w:val="24"/>
                <w:lang w:bidi="ar"/>
              </w:rPr>
              <w:t>（2）投标截止时间后，投标供应商不得撤回、修改投标文件。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四、（四）1、</w:t>
            </w:r>
          </w:p>
        </w:tc>
        <w:tc>
          <w:tcPr>
            <w:tcW w:w="1423" w:type="dxa"/>
            <w:noWrap w:val="0"/>
            <w:vAlign w:val="center"/>
          </w:tcPr>
          <w:p>
            <w:pPr>
              <w:spacing w:line="276" w:lineRule="auto"/>
              <w:rPr>
                <w:rFonts w:hint="eastAsia" w:ascii="宋体" w:hAnsi="宋体" w:cs="AdobeFangsongStd-Regular"/>
                <w:b/>
                <w:kern w:val="0"/>
                <w:position w:val="-5"/>
                <w:sz w:val="24"/>
                <w:szCs w:val="24"/>
              </w:rPr>
            </w:pPr>
            <w:r>
              <w:rPr>
                <w:rFonts w:hint="eastAsia" w:ascii="宋体" w:hAnsi="宋体" w:cs="AdobeFangsongStd-Regular"/>
                <w:b/>
                <w:kern w:val="0"/>
                <w:position w:val="-5"/>
                <w:sz w:val="24"/>
                <w:szCs w:val="24"/>
              </w:rPr>
              <w:t>投标文件的备选方案</w:t>
            </w:r>
          </w:p>
        </w:tc>
        <w:tc>
          <w:tcPr>
            <w:tcW w:w="6582" w:type="dxa"/>
            <w:noWrap w:val="0"/>
            <w:vAlign w:val="center"/>
          </w:tcPr>
          <w:p>
            <w:pPr>
              <w:adjustRightInd w:val="0"/>
              <w:snapToGrid w:val="0"/>
              <w:spacing w:line="276" w:lineRule="auto"/>
              <w:rPr>
                <w:rFonts w:hint="eastAsia" w:ascii="宋体" w:hAnsi="宋体" w:cs="宋体"/>
                <w:sz w:val="24"/>
                <w:lang w:bidi="ar"/>
              </w:rPr>
            </w:pPr>
            <w:r>
              <w:rPr>
                <w:rFonts w:hint="eastAsia" w:ascii="宋体" w:hAnsi="宋体" w:cs="宋体"/>
                <w:sz w:val="24"/>
                <w:lang w:bidi="ar"/>
              </w:rPr>
              <w:t>投标供应商不得递交任何的投标备选（替代）方案，否则其投标文件将作无效标处理。与“电子加密投标文件”同时生成的“备份投标文件”不是投标备选（替代）方案。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四、（五）</w:t>
            </w:r>
          </w:p>
        </w:tc>
        <w:tc>
          <w:tcPr>
            <w:tcW w:w="1423" w:type="dxa"/>
            <w:noWrap w:val="0"/>
            <w:vAlign w:val="center"/>
          </w:tcPr>
          <w:p>
            <w:pPr>
              <w:spacing w:line="276" w:lineRule="auto"/>
              <w:rPr>
                <w:rFonts w:hint="eastAsia" w:ascii="宋体" w:hAnsi="宋体" w:cs="AdobeFangsongStd-Regular"/>
                <w:b/>
                <w:kern w:val="0"/>
                <w:position w:val="-5"/>
                <w:sz w:val="24"/>
                <w:szCs w:val="24"/>
              </w:rPr>
            </w:pPr>
            <w:r>
              <w:rPr>
                <w:rFonts w:hint="eastAsia" w:ascii="宋体" w:hAnsi="宋体"/>
                <w:b/>
                <w:sz w:val="24"/>
                <w:szCs w:val="24"/>
              </w:rPr>
              <w:t>在线投标响应（电子投标）说明</w:t>
            </w:r>
          </w:p>
        </w:tc>
        <w:tc>
          <w:tcPr>
            <w:tcW w:w="6582" w:type="dxa"/>
            <w:noWrap w:val="0"/>
            <w:vAlign w:val="center"/>
          </w:tcPr>
          <w:p>
            <w:pPr>
              <w:autoSpaceDE w:val="0"/>
              <w:autoSpaceDN w:val="0"/>
              <w:adjustRightInd w:val="0"/>
              <w:spacing w:line="276" w:lineRule="auto"/>
              <w:ind w:right="-20"/>
              <w:rPr>
                <w:rFonts w:hint="eastAsia" w:ascii="宋体" w:hAnsi="宋体"/>
                <w:b/>
                <w:snapToGrid w:val="0"/>
                <w:kern w:val="10"/>
                <w:sz w:val="24"/>
                <w:szCs w:val="24"/>
                <w:u w:val="single"/>
              </w:rPr>
            </w:pPr>
            <w:r>
              <w:rPr>
                <w:rFonts w:hint="eastAsia" w:ascii="宋体" w:hAnsi="宋体"/>
                <w:b/>
                <w:snapToGrid w:val="0"/>
                <w:kern w:val="10"/>
                <w:sz w:val="24"/>
                <w:szCs w:val="24"/>
                <w:u w:val="single"/>
              </w:rPr>
              <w:t>1、本项目通过“政府采购云平台（</w:t>
            </w:r>
            <w:r>
              <w:rPr>
                <w:rFonts w:ascii="宋体" w:hAnsi="宋体"/>
                <w:b/>
                <w:snapToGrid w:val="0"/>
                <w:kern w:val="10"/>
                <w:sz w:val="24"/>
                <w:szCs w:val="24"/>
                <w:u w:val="single"/>
              </w:rPr>
              <w:t>www.</w:t>
            </w:r>
            <w:r>
              <w:rPr>
                <w:rFonts w:hint="eastAsia" w:ascii="宋体" w:hAnsi="宋体"/>
                <w:b/>
                <w:snapToGrid w:val="0"/>
                <w:kern w:val="10"/>
                <w:sz w:val="24"/>
                <w:szCs w:val="24"/>
                <w:u w:val="single"/>
              </w:rPr>
              <w:t>zcy</w:t>
            </w:r>
            <w:r>
              <w:rPr>
                <w:rFonts w:ascii="宋体" w:hAnsi="宋体"/>
                <w:b/>
                <w:snapToGrid w:val="0"/>
                <w:kern w:val="10"/>
                <w:sz w:val="24"/>
                <w:szCs w:val="24"/>
                <w:u w:val="single"/>
              </w:rPr>
              <w:t>gov.cn</w:t>
            </w:r>
            <w:r>
              <w:rPr>
                <w:rFonts w:hint="eastAsia" w:ascii="宋体" w:hAnsi="宋体"/>
                <w:b/>
                <w:snapToGrid w:val="0"/>
                <w:kern w:val="10"/>
                <w:sz w:val="24"/>
                <w:szCs w:val="24"/>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autoSpaceDE w:val="0"/>
              <w:autoSpaceDN w:val="0"/>
              <w:adjustRightInd w:val="0"/>
              <w:spacing w:line="276" w:lineRule="auto"/>
              <w:ind w:right="-20"/>
              <w:rPr>
                <w:rFonts w:hint="eastAsia" w:ascii="宋体" w:hAnsi="宋体"/>
                <w:b/>
                <w:snapToGrid w:val="0"/>
                <w:kern w:val="10"/>
                <w:sz w:val="24"/>
                <w:szCs w:val="24"/>
              </w:rPr>
            </w:pPr>
            <w:r>
              <w:rPr>
                <w:rFonts w:hint="eastAsia" w:ascii="宋体" w:hAnsi="宋体"/>
                <w:b/>
                <w:snapToGrid w:val="0"/>
                <w:kern w:val="10"/>
                <w:sz w:val="24"/>
                <w:szCs w:val="24"/>
                <w:u w:val="singl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b/>
                <w:snapToGrid w:val="0"/>
                <w:kern w:val="10"/>
                <w:sz w:val="24"/>
                <w:szCs w:val="24"/>
              </w:rPr>
              <w:t>使用“政采云电子交易客户端”需要提前申领CA数字证书，申领流程请自行前往“浙江政府采购网-下载专区-电子交易客户端-</w:t>
            </w:r>
            <w:r>
              <w:rPr>
                <w:rFonts w:ascii="宋体" w:hAnsi="宋体"/>
                <w:b/>
                <w:snapToGrid w:val="0"/>
                <w:kern w:val="10"/>
                <w:sz w:val="24"/>
                <w:szCs w:val="24"/>
              </w:rPr>
              <w:fldChar w:fldCharType="begin"/>
            </w:r>
            <w:r>
              <w:rPr>
                <w:rFonts w:ascii="宋体" w:hAnsi="宋体"/>
                <w:b/>
                <w:snapToGrid w:val="0"/>
                <w:kern w:val="10"/>
                <w:sz w:val="24"/>
                <w:szCs w:val="24"/>
              </w:rPr>
              <w:instrText xml:space="preserve"> HYPERLINK "http://www.zjzfcg.gov.cn/bidClientTemplate/2019-05-27/12945.html" \o "CA驱动和申领流程" \t "_blank" </w:instrText>
            </w:r>
            <w:r>
              <w:rPr>
                <w:rFonts w:ascii="宋体" w:hAnsi="宋体"/>
                <w:b/>
                <w:snapToGrid w:val="0"/>
                <w:kern w:val="10"/>
                <w:sz w:val="24"/>
                <w:szCs w:val="24"/>
              </w:rPr>
              <w:fldChar w:fldCharType="separate"/>
            </w:r>
            <w:r>
              <w:rPr>
                <w:rFonts w:ascii="宋体" w:hAnsi="宋体"/>
                <w:b/>
                <w:snapToGrid w:val="0"/>
                <w:kern w:val="10"/>
                <w:sz w:val="24"/>
                <w:szCs w:val="24"/>
              </w:rPr>
              <w:t>CA驱动和申领流程</w:t>
            </w:r>
            <w:r>
              <w:rPr>
                <w:rFonts w:ascii="宋体" w:hAnsi="宋体"/>
                <w:b/>
                <w:snapToGrid w:val="0"/>
                <w:kern w:val="10"/>
                <w:sz w:val="24"/>
                <w:szCs w:val="24"/>
              </w:rPr>
              <w:fldChar w:fldCharType="end"/>
            </w:r>
            <w:r>
              <w:rPr>
                <w:rFonts w:hint="eastAsia" w:ascii="宋体" w:hAnsi="宋体"/>
                <w:b/>
                <w:snapToGrid w:val="0"/>
                <w:kern w:val="10"/>
                <w:sz w:val="24"/>
                <w:szCs w:val="24"/>
              </w:rPr>
              <w:t>”进行查阅；</w:t>
            </w:r>
          </w:p>
          <w:p>
            <w:pPr>
              <w:autoSpaceDE w:val="0"/>
              <w:autoSpaceDN w:val="0"/>
              <w:adjustRightInd w:val="0"/>
              <w:spacing w:line="276" w:lineRule="auto"/>
              <w:ind w:right="-20"/>
              <w:rPr>
                <w:rFonts w:hint="eastAsia" w:ascii="宋体" w:hAnsi="宋体"/>
                <w:b/>
                <w:snapToGrid w:val="0"/>
                <w:kern w:val="10"/>
                <w:sz w:val="24"/>
                <w:szCs w:val="24"/>
              </w:rPr>
            </w:pPr>
            <w:r>
              <w:rPr>
                <w:rFonts w:hint="eastAsia" w:ascii="宋体" w:hAnsi="宋体"/>
                <w:b/>
                <w:snapToGrid w:val="0"/>
                <w:kern w:val="10"/>
                <w:sz w:val="24"/>
                <w:szCs w:val="24"/>
              </w:rPr>
              <w:t>3、投标供应商应当在投标截止时间前，将生成的“电子加密投标文件”上传递交至“政府采购云平台”。投标截止时间以后上传递交的投标文件将被“政府采购云平台”拒收。</w:t>
            </w:r>
          </w:p>
          <w:p>
            <w:pPr>
              <w:autoSpaceDE w:val="0"/>
              <w:autoSpaceDN w:val="0"/>
              <w:adjustRightInd w:val="0"/>
              <w:spacing w:line="276" w:lineRule="auto"/>
              <w:ind w:right="-20"/>
              <w:rPr>
                <w:rFonts w:hint="eastAsia" w:ascii="宋体" w:hAnsi="宋体"/>
                <w:b/>
                <w:snapToGrid w:val="0"/>
                <w:kern w:val="10"/>
                <w:sz w:val="24"/>
                <w:szCs w:val="24"/>
              </w:rPr>
            </w:pPr>
            <w:r>
              <w:rPr>
                <w:rFonts w:hint="eastAsia" w:ascii="宋体" w:hAnsi="宋体"/>
                <w:b/>
                <w:snapToGrid w:val="0"/>
                <w:kern w:val="10"/>
                <w:sz w:val="24"/>
                <w:szCs w:val="24"/>
              </w:rPr>
              <w:t>4、投标供应商在“政府采购云平台”完成“电子加密投标文件”的上传递交后，还可以（E</w:t>
            </w:r>
            <w:r>
              <w:rPr>
                <w:rFonts w:ascii="宋体" w:hAnsi="宋体"/>
                <w:b/>
                <w:snapToGrid w:val="0"/>
                <w:kern w:val="10"/>
                <w:sz w:val="24"/>
                <w:szCs w:val="24"/>
              </w:rPr>
              <w:t>MS</w:t>
            </w:r>
            <w:r>
              <w:rPr>
                <w:rFonts w:hint="eastAsia" w:ascii="宋体" w:hAnsi="宋体"/>
                <w:b/>
                <w:snapToGrid w:val="0"/>
                <w:kern w:val="10"/>
                <w:sz w:val="24"/>
                <w:szCs w:val="24"/>
              </w:rPr>
              <w:t>邮寄形式或派人现场递交）在投标截止时间前递交以介质（U盘）存储的数据电文形式的“备份投标文件”，“备份投标文件”应当密封包装并在包装上标注投标项目名称、投标单位名称并加盖公章。</w:t>
            </w:r>
          </w:p>
          <w:p>
            <w:pPr>
              <w:autoSpaceDE w:val="0"/>
              <w:autoSpaceDN w:val="0"/>
              <w:adjustRightInd w:val="0"/>
              <w:spacing w:line="276" w:lineRule="auto"/>
              <w:ind w:right="-20"/>
              <w:rPr>
                <w:rFonts w:hint="eastAsia" w:ascii="宋体" w:hAnsi="宋体" w:cs="Arial"/>
                <w:sz w:val="24"/>
              </w:rPr>
            </w:pPr>
            <w:r>
              <w:rPr>
                <w:rFonts w:hint="eastAsia" w:ascii="宋体" w:hAnsi="宋体"/>
                <w:b/>
                <w:snapToGrid w:val="0"/>
                <w:kern w:val="10"/>
                <w:sz w:val="24"/>
                <w:szCs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noWrap w:val="0"/>
            <w:vAlign w:val="center"/>
          </w:tcPr>
          <w:p>
            <w:pPr>
              <w:spacing w:line="276" w:lineRule="auto"/>
              <w:jc w:val="center"/>
              <w:rPr>
                <w:rFonts w:hint="eastAsia" w:ascii="宋体" w:hAnsi="宋体"/>
                <w:sz w:val="24"/>
                <w:szCs w:val="24"/>
              </w:rPr>
            </w:pPr>
            <w:r>
              <w:rPr>
                <w:rFonts w:hint="eastAsia" w:ascii="宋体" w:hAnsi="宋体"/>
                <w:sz w:val="24"/>
                <w:szCs w:val="24"/>
              </w:rPr>
              <w:t>四、（五）</w:t>
            </w:r>
          </w:p>
        </w:tc>
        <w:tc>
          <w:tcPr>
            <w:tcW w:w="1423" w:type="dxa"/>
            <w:noWrap w:val="0"/>
            <w:vAlign w:val="center"/>
          </w:tcPr>
          <w:p>
            <w:pPr>
              <w:autoSpaceDE w:val="0"/>
              <w:autoSpaceDN w:val="0"/>
              <w:adjustRightInd w:val="0"/>
              <w:spacing w:line="276" w:lineRule="auto"/>
              <w:ind w:right="-20"/>
              <w:rPr>
                <w:rFonts w:hint="eastAsia" w:ascii="宋体" w:hAnsi="宋体" w:cs="AdobeFangsongStd-Regular"/>
                <w:kern w:val="0"/>
                <w:position w:val="-3"/>
                <w:sz w:val="24"/>
                <w:szCs w:val="24"/>
              </w:rPr>
            </w:pPr>
            <w:r>
              <w:rPr>
                <w:rFonts w:hint="eastAsia" w:ascii="宋体" w:hAnsi="宋体" w:cs="AdobeFangsongStd-Regular"/>
                <w:kern w:val="0"/>
                <w:position w:val="-3"/>
                <w:sz w:val="24"/>
                <w:szCs w:val="24"/>
              </w:rPr>
              <w:t>投标样品</w:t>
            </w:r>
            <w:r>
              <w:rPr>
                <w:rFonts w:hint="eastAsia" w:ascii="宋体" w:hAnsi="宋体" w:cs="AdobeFangsongStd-Regular"/>
                <w:kern w:val="0"/>
                <w:sz w:val="24"/>
                <w:szCs w:val="24"/>
              </w:rPr>
              <w:t>（若为货物项目）</w:t>
            </w:r>
          </w:p>
        </w:tc>
        <w:tc>
          <w:tcPr>
            <w:tcW w:w="6582" w:type="dxa"/>
            <w:noWrap w:val="0"/>
            <w:vAlign w:val="center"/>
          </w:tcPr>
          <w:p>
            <w:pPr>
              <w:autoSpaceDE w:val="0"/>
              <w:autoSpaceDN w:val="0"/>
              <w:adjustRightInd w:val="0"/>
              <w:spacing w:line="276" w:lineRule="auto"/>
              <w:ind w:right="-20"/>
              <w:rPr>
                <w:rFonts w:hint="eastAsia" w:ascii="宋体" w:hAnsi="宋体"/>
                <w:sz w:val="24"/>
                <w:szCs w:val="24"/>
                <w:lang w:val="zh-CN"/>
              </w:rPr>
            </w:pPr>
            <w:r>
              <w:rPr>
                <w:rFonts w:hint="eastAsia" w:ascii="宋体" w:hAnsi="宋体"/>
                <w:snapToGrid w:val="0"/>
                <w:kern w:val="10"/>
                <w:sz w:val="24"/>
                <w:szCs w:val="24"/>
              </w:rPr>
              <w:t>1、本项目是否需要样品：</w:t>
            </w:r>
            <w:r>
              <w:rPr>
                <w:rFonts w:hint="eastAsia" w:ascii="宋体" w:hAnsi="宋体"/>
                <w:sz w:val="24"/>
                <w:szCs w:val="24"/>
              </w:rPr>
              <w:sym w:font="Wingdings" w:char="F0FE"/>
            </w:r>
            <w:r>
              <w:rPr>
                <w:rFonts w:hint="eastAsia" w:ascii="宋体" w:hAnsi="宋体"/>
                <w:sz w:val="24"/>
                <w:szCs w:val="24"/>
                <w:lang w:val="zh-CN"/>
              </w:rPr>
              <w:t>否；</w:t>
            </w:r>
            <w:r>
              <w:rPr>
                <w:rFonts w:hint="eastAsia" w:ascii="宋体" w:hAnsi="宋体"/>
                <w:sz w:val="24"/>
                <w:szCs w:val="24"/>
              </w:rPr>
              <w:t>□是，详见第三部分要求。</w:t>
            </w:r>
          </w:p>
          <w:p>
            <w:pPr>
              <w:autoSpaceDE w:val="0"/>
              <w:autoSpaceDN w:val="0"/>
              <w:adjustRightInd w:val="0"/>
              <w:spacing w:line="276" w:lineRule="auto"/>
              <w:ind w:right="-20"/>
              <w:rPr>
                <w:rFonts w:hint="eastAsia" w:ascii="宋体" w:hAnsi="宋体"/>
                <w:snapToGrid w:val="0"/>
                <w:kern w:val="10"/>
                <w:sz w:val="24"/>
                <w:szCs w:val="24"/>
              </w:rPr>
            </w:pPr>
            <w:r>
              <w:rPr>
                <w:rFonts w:hint="eastAsia" w:ascii="宋体" w:hAnsi="宋体"/>
                <w:snapToGrid w:val="0"/>
                <w:kern w:val="10"/>
                <w:sz w:val="24"/>
                <w:szCs w:val="24"/>
              </w:rPr>
              <w:t>2、样品标识：</w:t>
            </w:r>
            <w:r>
              <w:rPr>
                <w:rFonts w:hint="eastAsia" w:ascii="宋体" w:hAnsi="宋体"/>
                <w:sz w:val="24"/>
                <w:szCs w:val="24"/>
              </w:rPr>
              <w:t>□</w:t>
            </w:r>
            <w:r>
              <w:rPr>
                <w:rFonts w:hint="eastAsia" w:ascii="宋体" w:hAnsi="宋体"/>
                <w:sz w:val="24"/>
                <w:szCs w:val="24"/>
                <w:lang w:val="zh-CN"/>
              </w:rPr>
              <w:t>明标；</w:t>
            </w:r>
            <w:r>
              <w:rPr>
                <w:rFonts w:hint="eastAsia" w:ascii="宋体" w:hAnsi="宋体"/>
                <w:sz w:val="24"/>
                <w:szCs w:val="24"/>
              </w:rPr>
              <w:t>□暗标。</w:t>
            </w:r>
          </w:p>
          <w:p>
            <w:pPr>
              <w:autoSpaceDE w:val="0"/>
              <w:autoSpaceDN w:val="0"/>
              <w:adjustRightInd w:val="0"/>
              <w:spacing w:line="276" w:lineRule="auto"/>
              <w:ind w:right="-20"/>
              <w:rPr>
                <w:rFonts w:hint="eastAsia" w:ascii="宋体" w:hAnsi="宋体"/>
                <w:snapToGrid w:val="0"/>
                <w:kern w:val="10"/>
                <w:sz w:val="24"/>
                <w:szCs w:val="24"/>
              </w:rPr>
            </w:pPr>
            <w:r>
              <w:rPr>
                <w:rFonts w:hint="eastAsia" w:ascii="宋体" w:hAnsi="宋体"/>
                <w:snapToGrid w:val="0"/>
                <w:kern w:val="10"/>
                <w:sz w:val="24"/>
                <w:szCs w:val="24"/>
              </w:rPr>
              <w:t>3、样品送至地点：______________________________</w:t>
            </w:r>
          </w:p>
          <w:p>
            <w:pPr>
              <w:autoSpaceDE w:val="0"/>
              <w:autoSpaceDN w:val="0"/>
              <w:adjustRightInd w:val="0"/>
              <w:spacing w:line="276" w:lineRule="auto"/>
              <w:ind w:right="-20"/>
              <w:rPr>
                <w:rFonts w:hint="eastAsia" w:ascii="宋体" w:hAnsi="宋体"/>
                <w:snapToGrid w:val="0"/>
                <w:kern w:val="10"/>
                <w:sz w:val="24"/>
                <w:szCs w:val="24"/>
              </w:rPr>
            </w:pPr>
            <w:r>
              <w:rPr>
                <w:rFonts w:hint="eastAsia" w:ascii="宋体" w:hAnsi="宋体"/>
                <w:snapToGrid w:val="0"/>
                <w:kern w:val="10"/>
                <w:sz w:val="24"/>
                <w:szCs w:val="24"/>
              </w:rPr>
              <w:t>4、中标人样品处理：</w:t>
            </w:r>
            <w:r>
              <w:rPr>
                <w:rFonts w:hint="eastAsia" w:ascii="宋体" w:hAnsi="宋体"/>
                <w:sz w:val="24"/>
                <w:szCs w:val="24"/>
              </w:rPr>
              <w:t>□退还；□封存至验收；□抵扣采购数量。</w:t>
            </w:r>
          </w:p>
          <w:p>
            <w:pPr>
              <w:autoSpaceDE w:val="0"/>
              <w:autoSpaceDN w:val="0"/>
              <w:adjustRightInd w:val="0"/>
              <w:spacing w:line="276" w:lineRule="auto"/>
              <w:ind w:right="-20"/>
              <w:rPr>
                <w:rFonts w:hint="eastAsia" w:ascii="宋体" w:hAnsi="宋体"/>
                <w:snapToGrid w:val="0"/>
                <w:kern w:val="10"/>
                <w:sz w:val="24"/>
                <w:szCs w:val="24"/>
              </w:rPr>
            </w:pPr>
            <w:r>
              <w:rPr>
                <w:rFonts w:hint="eastAsia" w:ascii="宋体" w:hAnsi="宋体"/>
                <w:snapToGrid w:val="0"/>
                <w:kern w:val="10"/>
                <w:sz w:val="24"/>
                <w:szCs w:val="24"/>
              </w:rPr>
              <w:t>5、样品退还时间：</w:t>
            </w:r>
            <w:r>
              <w:rPr>
                <w:rFonts w:hint="eastAsia" w:ascii="宋体" w:hAnsi="宋体"/>
                <w:snapToGrid w:val="0"/>
                <w:kern w:val="10"/>
                <w:sz w:val="24"/>
                <w:szCs w:val="24"/>
                <w:u w:val="single"/>
              </w:rPr>
              <w:t>（另行通知）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restart"/>
            <w:noWrap w:val="0"/>
            <w:vAlign w:val="center"/>
          </w:tcPr>
          <w:p>
            <w:pPr>
              <w:spacing w:line="276" w:lineRule="auto"/>
              <w:jc w:val="center"/>
              <w:rPr>
                <w:rFonts w:hint="eastAsia" w:ascii="宋体" w:hAnsi="宋体"/>
                <w:sz w:val="24"/>
                <w:szCs w:val="24"/>
              </w:rPr>
            </w:pPr>
            <w:r>
              <w:rPr>
                <w:rFonts w:hint="eastAsia" w:ascii="宋体" w:hAnsi="宋体"/>
                <w:sz w:val="24"/>
                <w:szCs w:val="24"/>
              </w:rPr>
              <w:t>一、（十三）</w:t>
            </w:r>
          </w:p>
        </w:tc>
        <w:tc>
          <w:tcPr>
            <w:tcW w:w="1423" w:type="dxa"/>
            <w:vMerge w:val="restart"/>
            <w:noWrap w:val="0"/>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其他注意事项</w:t>
            </w:r>
          </w:p>
        </w:tc>
        <w:tc>
          <w:tcPr>
            <w:tcW w:w="6582" w:type="dxa"/>
            <w:noWrap w:val="0"/>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本招标文件中所引用的政府文件内容如有最新文件规定的按最新文件规定执行。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adjustRightInd w:val="0"/>
              <w:snapToGrid w:val="0"/>
              <w:spacing w:line="276" w:lineRule="auto"/>
              <w:rPr>
                <w:rFonts w:hint="eastAsia" w:ascii="宋体" w:hAnsi="宋体"/>
                <w:sz w:val="24"/>
                <w:szCs w:val="24"/>
              </w:rPr>
            </w:pPr>
          </w:p>
        </w:tc>
        <w:tc>
          <w:tcPr>
            <w:tcW w:w="6582" w:type="dxa"/>
            <w:noWrap w:val="0"/>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adjustRightInd w:val="0"/>
              <w:snapToGrid w:val="0"/>
              <w:spacing w:line="276" w:lineRule="auto"/>
              <w:rPr>
                <w:rFonts w:hint="eastAsia" w:ascii="宋体" w:hAnsi="宋体"/>
                <w:sz w:val="24"/>
                <w:szCs w:val="24"/>
              </w:rPr>
            </w:pPr>
            <w:r>
              <w:rPr>
                <w:rFonts w:hint="eastAsia" w:ascii="宋体" w:hAnsi="宋体"/>
                <w:sz w:val="24"/>
                <w:szCs w:val="24"/>
              </w:rPr>
              <w:t>注：请供应商按上述要求获取招标文件，如未在“浙江政府采购网”系统内完成相关流程，引起的投标无效责任自负。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adjustRightInd w:val="0"/>
              <w:snapToGrid w:val="0"/>
              <w:spacing w:line="276" w:lineRule="auto"/>
              <w:rPr>
                <w:rFonts w:hint="eastAsia" w:ascii="宋体" w:hAnsi="宋体"/>
                <w:sz w:val="24"/>
                <w:szCs w:val="24"/>
              </w:rPr>
            </w:pPr>
          </w:p>
        </w:tc>
        <w:tc>
          <w:tcPr>
            <w:tcW w:w="6582" w:type="dxa"/>
            <w:noWrap w:val="0"/>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adjustRightInd w:val="0"/>
              <w:snapToGrid w:val="0"/>
              <w:spacing w:line="276" w:lineRule="auto"/>
              <w:rPr>
                <w:rFonts w:hint="eastAsia" w:ascii="宋体" w:hAnsi="宋体"/>
                <w:sz w:val="24"/>
                <w:szCs w:val="24"/>
              </w:rPr>
            </w:pPr>
          </w:p>
        </w:tc>
        <w:tc>
          <w:tcPr>
            <w:tcW w:w="6582" w:type="dxa"/>
            <w:noWrap w:val="0"/>
            <w:vAlign w:val="center"/>
          </w:tcPr>
          <w:p>
            <w:pPr>
              <w:snapToGrid w:val="0"/>
              <w:spacing w:line="360" w:lineRule="auto"/>
              <w:rPr>
                <w:rFonts w:hint="eastAsia" w:ascii="宋体" w:hAnsi="宋体" w:cs="宋体"/>
                <w:sz w:val="24"/>
                <w:lang w:bidi="ar"/>
              </w:rPr>
            </w:pPr>
            <w:r>
              <w:rPr>
                <w:rFonts w:hint="eastAsia" w:ascii="宋体" w:hAnsi="宋体" w:cs="宋体"/>
                <w:sz w:val="24"/>
                <w:lang w:bidi="ar"/>
              </w:rPr>
              <w:t>1、投标截止后，在投标有效期内，投标人不能撤销投标文件。投标人强行撤销投标文件的，应按预算金额的2%赔偿对招标人及招标代理机构造成的损失。</w:t>
            </w:r>
          </w:p>
          <w:p>
            <w:pPr>
              <w:snapToGrid w:val="0"/>
              <w:spacing w:line="360" w:lineRule="auto"/>
              <w:rPr>
                <w:rFonts w:hint="eastAsia" w:ascii="宋体" w:hAnsi="宋体" w:cs="宋体"/>
                <w:sz w:val="24"/>
                <w:lang w:bidi="ar"/>
              </w:rPr>
            </w:pPr>
            <w:r>
              <w:rPr>
                <w:rFonts w:hint="eastAsia" w:ascii="宋体" w:hAnsi="宋体" w:cs="宋体"/>
                <w:sz w:val="24"/>
                <w:lang w:bidi="ar"/>
              </w:rPr>
              <w:t>2、中标后，投标人拒绝签订合同的，招标人可以重新开展政府采购活动。投标人中标后拒绝签订合同的，应按预算金额的2%对招标人及招标代理机构进行赔偿；赔偿金额不足以弥补招标人损失的，投标人应继续承担超过部分的损失。</w:t>
            </w:r>
          </w:p>
          <w:p>
            <w:pPr>
              <w:snapToGrid w:val="0"/>
              <w:spacing w:line="360" w:lineRule="auto"/>
              <w:rPr>
                <w:rFonts w:hint="eastAsia" w:ascii="宋体" w:hAnsi="宋体" w:cs="宋体"/>
                <w:sz w:val="24"/>
                <w:lang w:bidi="ar"/>
              </w:rPr>
            </w:pPr>
            <w:r>
              <w:rPr>
                <w:rFonts w:hint="eastAsia" w:ascii="宋体" w:hAnsi="宋体" w:cs="宋体"/>
                <w:sz w:val="24"/>
                <w:lang w:bidi="ar"/>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sz w:val="24"/>
                <w:lang w:bidi="ar"/>
              </w:rPr>
            </w:pPr>
            <w:r>
              <w:rPr>
                <w:rFonts w:hint="eastAsia" w:ascii="宋体" w:hAnsi="宋体" w:cs="宋体"/>
                <w:sz w:val="24"/>
                <w:lang w:bidi="ar"/>
              </w:rPr>
              <w:t>（1）中标或者成交后，拒绝签订政府采购合同的；</w:t>
            </w:r>
          </w:p>
          <w:p>
            <w:pPr>
              <w:adjustRightInd w:val="0"/>
              <w:snapToGrid w:val="0"/>
              <w:spacing w:line="276" w:lineRule="auto"/>
              <w:rPr>
                <w:rFonts w:hint="eastAsia" w:ascii="宋体" w:hAnsi="宋体"/>
                <w:sz w:val="24"/>
                <w:szCs w:val="24"/>
              </w:rPr>
            </w:pPr>
            <w:r>
              <w:rPr>
                <w:rFonts w:hint="eastAsia" w:ascii="宋体" w:hAnsi="宋体" w:cs="宋体"/>
                <w:sz w:val="24"/>
                <w:lang w:bidi="ar"/>
              </w:rPr>
              <w:t>（2）投标有效期内撤销投标文件的。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spacing w:line="276" w:lineRule="auto"/>
              <w:rPr>
                <w:rFonts w:hint="eastAsia" w:ascii="宋体" w:hAnsi="宋体"/>
                <w:sz w:val="24"/>
                <w:szCs w:val="24"/>
              </w:rPr>
            </w:pPr>
          </w:p>
        </w:tc>
        <w:tc>
          <w:tcPr>
            <w:tcW w:w="6582" w:type="dxa"/>
            <w:noWrap w:val="0"/>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spacing w:line="276" w:lineRule="auto"/>
              <w:rPr>
                <w:rFonts w:hint="eastAsia" w:ascii="宋体" w:hAnsi="宋体"/>
                <w:sz w:val="24"/>
                <w:szCs w:val="24"/>
              </w:rPr>
            </w:pPr>
          </w:p>
        </w:tc>
        <w:tc>
          <w:tcPr>
            <w:tcW w:w="6582" w:type="dxa"/>
            <w:noWrap w:val="0"/>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企业信用融资：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w:t>
            </w:r>
            <w:r>
              <w:rPr>
                <w:rFonts w:ascii="宋体" w:hAnsi="宋体"/>
              </w:rPr>
              <w:fldChar w:fldCharType="begin"/>
            </w:r>
            <w:r>
              <w:rPr>
                <w:rFonts w:ascii="宋体" w:hAnsi="宋体"/>
              </w:rPr>
              <w:instrText xml:space="preserve"> HYPERLINK "http://cg.hzft.gov.cn" </w:instrText>
            </w:r>
            <w:r>
              <w:rPr>
                <w:rFonts w:ascii="宋体" w:hAnsi="宋体"/>
              </w:rPr>
              <w:fldChar w:fldCharType="separate"/>
            </w:r>
            <w:r>
              <w:rPr>
                <w:rFonts w:hint="eastAsia" w:ascii="宋体" w:hAnsi="宋体"/>
                <w:sz w:val="24"/>
              </w:rPr>
              <w:t>http://cg.hzft.gov.cn</w:t>
            </w:r>
            <w:r>
              <w:rPr>
                <w:rFonts w:ascii="宋体" w:hAnsi="宋体"/>
                <w:sz w:val="24"/>
              </w:rPr>
              <w:fldChar w:fldCharType="end"/>
            </w:r>
            <w:r>
              <w:rPr>
                <w:rFonts w:hint="eastAsia" w:ascii="宋体" w:hAnsi="宋体"/>
                <w:sz w:val="24"/>
                <w:szCs w:val="24"/>
              </w:rPr>
              <w:t>）“中小企业信用融资”专栏，查看信用融资政策文件及各相关银行服务方案。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spacing w:line="276" w:lineRule="auto"/>
              <w:rPr>
                <w:rFonts w:hint="eastAsia" w:ascii="宋体" w:hAnsi="宋体"/>
                <w:sz w:val="24"/>
                <w:szCs w:val="24"/>
              </w:rPr>
            </w:pPr>
          </w:p>
        </w:tc>
        <w:tc>
          <w:tcPr>
            <w:tcW w:w="6582" w:type="dxa"/>
            <w:noWrap w:val="0"/>
            <w:vAlign w:val="center"/>
          </w:tcPr>
          <w:p>
            <w:pPr>
              <w:adjustRightInd w:val="0"/>
              <w:snapToGrid w:val="0"/>
              <w:spacing w:line="276" w:lineRule="auto"/>
              <w:rPr>
                <w:rFonts w:hint="eastAsia" w:ascii="宋体" w:hAnsi="宋体"/>
                <w:sz w:val="24"/>
              </w:rPr>
            </w:pPr>
            <w:r>
              <w:rPr>
                <w:rFonts w:hint="eastAsia" w:ascii="宋体" w:hAnsi="宋体"/>
                <w:sz w:val="24"/>
              </w:rPr>
              <w:t>根据《关于在政府采购活动中查询及使用信用记录有关问题的通知》财库[2016]125号的规定：</w:t>
            </w:r>
          </w:p>
          <w:p>
            <w:pPr>
              <w:adjustRightInd w:val="0"/>
              <w:snapToGrid w:val="0"/>
              <w:spacing w:line="276" w:lineRule="auto"/>
              <w:rPr>
                <w:rFonts w:hint="eastAsia" w:ascii="宋体" w:hAnsi="宋体"/>
                <w:sz w:val="24"/>
              </w:rPr>
            </w:pPr>
            <w:r>
              <w:rPr>
                <w:rFonts w:hint="eastAsia" w:ascii="宋体" w:hAnsi="宋体"/>
                <w:sz w:val="24"/>
              </w:rPr>
              <w:t>1）招标人或招标代理机构将对本项目供应商的信用记录进行查询。</w:t>
            </w:r>
          </w:p>
          <w:p>
            <w:pPr>
              <w:adjustRightInd w:val="0"/>
              <w:snapToGrid w:val="0"/>
              <w:spacing w:line="276" w:lineRule="auto"/>
              <w:rPr>
                <w:rFonts w:hint="eastAsia" w:ascii="宋体" w:hAnsi="宋体"/>
                <w:sz w:val="24"/>
              </w:rPr>
            </w:pPr>
            <w:r>
              <w:rPr>
                <w:rFonts w:hint="eastAsia" w:ascii="宋体" w:hAnsi="宋体"/>
                <w:sz w:val="24"/>
              </w:rPr>
              <w:t>2）查询渠道为信用中国网站（www.creditchina.gov.cn）、中国政府采购网（www.ccgp.gov.cn）。</w:t>
            </w:r>
          </w:p>
          <w:p>
            <w:pPr>
              <w:pStyle w:val="425"/>
              <w:jc w:val="both"/>
              <w:rPr>
                <w:rFonts w:hint="eastAsia" w:ascii="宋体" w:hAnsi="宋体" w:cs="Times New Roman"/>
                <w:color w:val="auto"/>
                <w:kern w:val="2"/>
                <w:szCs w:val="20"/>
              </w:rPr>
            </w:pPr>
            <w:r>
              <w:rPr>
                <w:rFonts w:ascii="宋体" w:hAnsi="宋体" w:cs="Times New Roman"/>
                <w:color w:val="auto"/>
                <w:kern w:val="2"/>
                <w:szCs w:val="20"/>
              </w:rPr>
              <w:t>3）信用信息截止时点为从本项目投标截止日往前追溯三年，期间被列入失信被执行人、重大税收违法案件当事人名单、政府采购严重违法失信行为记录名单等供应商信用信息均将用于本项目。</w:t>
            </w:r>
          </w:p>
          <w:p>
            <w:pPr>
              <w:adjustRightInd w:val="0"/>
              <w:snapToGrid w:val="0"/>
              <w:spacing w:line="276" w:lineRule="auto"/>
              <w:rPr>
                <w:rFonts w:ascii="宋体" w:hAnsi="宋体"/>
                <w:sz w:val="24"/>
              </w:rPr>
            </w:pPr>
            <w:r>
              <w:rPr>
                <w:rFonts w:hint="eastAsia" w:ascii="宋体" w:hAnsi="宋体"/>
                <w:sz w:val="24"/>
              </w:rPr>
              <w:t>4）查询记录和证据的留存：信用信息查询记录和证据以网页截图等方式留存。</w:t>
            </w:r>
          </w:p>
          <w:p>
            <w:pPr>
              <w:pStyle w:val="425"/>
              <w:jc w:val="both"/>
              <w:rPr>
                <w:rFonts w:hint="eastAsia" w:ascii="宋体" w:hAnsi="宋体" w:cs="Times New Roman"/>
                <w:color w:val="auto"/>
                <w:kern w:val="2"/>
                <w:szCs w:val="20"/>
              </w:rPr>
            </w:pPr>
            <w:r>
              <w:rPr>
                <w:rFonts w:hint="eastAsia" w:ascii="宋体" w:hAnsi="宋体" w:cs="Times New Roman"/>
                <w:color w:val="auto"/>
                <w:kern w:val="2"/>
                <w:szCs w:val="20"/>
              </w:rPr>
              <w:t>5</w:t>
            </w:r>
            <w:r>
              <w:rPr>
                <w:rFonts w:ascii="宋体" w:hAnsi="宋体" w:cs="Times New Roman"/>
                <w:color w:val="auto"/>
                <w:kern w:val="2"/>
                <w:szCs w:val="20"/>
              </w:rPr>
              <w:t>）投标截止日当日网站显示的信用信息将作为评审和确定中标人的依据。</w:t>
            </w:r>
          </w:p>
          <w:p>
            <w:pPr>
              <w:adjustRightInd w:val="0"/>
              <w:snapToGrid w:val="0"/>
              <w:spacing w:line="276" w:lineRule="auto"/>
              <w:rPr>
                <w:rFonts w:hint="eastAsia" w:ascii="宋体" w:hAnsi="宋体"/>
                <w:sz w:val="24"/>
              </w:rPr>
            </w:pPr>
            <w:r>
              <w:rPr>
                <w:rFonts w:hint="eastAsia" w:ascii="宋体" w:hAnsi="宋体"/>
                <w:sz w:val="24"/>
              </w:rPr>
              <w:t>6）</w:t>
            </w:r>
            <w:r>
              <w:rPr>
                <w:rFonts w:hint="eastAsia" w:ascii="宋体" w:hAnsi="宋体"/>
                <w:b/>
                <w:sz w:val="24"/>
              </w:rPr>
              <w:t>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spacing w:line="276" w:lineRule="auto"/>
              <w:rPr>
                <w:rFonts w:hint="eastAsia" w:ascii="宋体" w:hAnsi="宋体"/>
                <w:sz w:val="24"/>
                <w:szCs w:val="24"/>
              </w:rPr>
            </w:pPr>
          </w:p>
        </w:tc>
        <w:tc>
          <w:tcPr>
            <w:tcW w:w="6582" w:type="dxa"/>
            <w:noWrap w:val="0"/>
            <w:vAlign w:val="center"/>
          </w:tcPr>
          <w:p>
            <w:pPr>
              <w:pStyle w:val="4"/>
              <w:adjustRightInd w:val="0"/>
              <w:spacing w:line="276" w:lineRule="auto"/>
              <w:ind w:left="0" w:firstLine="0"/>
              <w:rPr>
                <w:rFonts w:ascii="宋体" w:hAnsi="宋体" w:eastAsia="宋体" w:cs="Arial"/>
                <w:sz w:val="24"/>
                <w:szCs w:val="24"/>
              </w:rPr>
            </w:pPr>
            <w:bookmarkStart w:id="36" w:name="_Toc83910187"/>
            <w:r>
              <w:rPr>
                <w:rFonts w:ascii="宋体" w:hAnsi="宋体" w:eastAsia="宋体" w:cs="Arial"/>
                <w:sz w:val="24"/>
                <w:szCs w:val="24"/>
              </w:rPr>
              <w:t>落实政府采购政策要求</w:t>
            </w:r>
            <w:bookmarkEnd w:id="36"/>
          </w:p>
          <w:p>
            <w:pPr>
              <w:snapToGrid w:val="0"/>
              <w:spacing w:line="276" w:lineRule="auto"/>
              <w:ind w:firstLine="480" w:firstLineChars="200"/>
              <w:rPr>
                <w:rFonts w:ascii="宋体" w:hAnsi="宋体" w:cs="Arial"/>
                <w:sz w:val="24"/>
                <w:szCs w:val="24"/>
              </w:rPr>
            </w:pPr>
            <w:r>
              <w:rPr>
                <w:rFonts w:ascii="宋体" w:hAnsi="宋体" w:cs="Arial"/>
                <w:sz w:val="24"/>
                <w:szCs w:val="24"/>
              </w:rPr>
              <w:t>1. 本项目对符合财政扶持政策的中小企业、监狱企业、残疾人福利性单位给予价格优惠扶持，价格优惠扶持见《第</w:t>
            </w:r>
            <w:r>
              <w:rPr>
                <w:rFonts w:hint="eastAsia" w:ascii="宋体" w:hAnsi="宋体" w:cs="Arial"/>
                <w:sz w:val="24"/>
                <w:szCs w:val="24"/>
              </w:rPr>
              <w:t>六部分</w:t>
            </w:r>
            <w:r>
              <w:rPr>
                <w:rFonts w:ascii="宋体" w:hAnsi="宋体" w:cs="Arial"/>
                <w:sz w:val="24"/>
                <w:szCs w:val="24"/>
              </w:rPr>
              <w:t xml:space="preserve"> 评</w:t>
            </w:r>
            <w:r>
              <w:rPr>
                <w:rFonts w:hint="eastAsia" w:ascii="宋体" w:hAnsi="宋体" w:cs="Arial"/>
                <w:sz w:val="24"/>
                <w:szCs w:val="24"/>
              </w:rPr>
              <w:t>分</w:t>
            </w:r>
            <w:r>
              <w:rPr>
                <w:rFonts w:ascii="宋体" w:hAnsi="宋体" w:cs="Arial"/>
                <w:sz w:val="24"/>
                <w:szCs w:val="24"/>
              </w:rPr>
              <w:t>办法》。</w:t>
            </w:r>
          </w:p>
          <w:p>
            <w:pPr>
              <w:snapToGrid w:val="0"/>
              <w:spacing w:line="276" w:lineRule="auto"/>
              <w:ind w:firstLine="480" w:firstLineChars="200"/>
              <w:rPr>
                <w:rFonts w:ascii="宋体" w:hAnsi="宋体" w:cs="Arial"/>
                <w:sz w:val="24"/>
                <w:szCs w:val="24"/>
              </w:rPr>
            </w:pPr>
            <w:r>
              <w:rPr>
                <w:rFonts w:ascii="宋体" w:hAnsi="宋体" w:cs="Arial"/>
                <w:sz w:val="24"/>
                <w:szCs w:val="24"/>
              </w:rPr>
              <w:t>满足财政部工业和信息化部</w:t>
            </w:r>
            <w:r>
              <w:rPr>
                <w:rFonts w:ascii="宋体" w:hAnsi="宋体"/>
                <w:sz w:val="24"/>
              </w:rPr>
              <w:t>制定的</w:t>
            </w:r>
            <w:r>
              <w:rPr>
                <w:rFonts w:ascii="宋体" w:hAnsi="宋体" w:cs="Arial"/>
                <w:sz w:val="24"/>
                <w:szCs w:val="24"/>
              </w:rPr>
              <w:t>关于印发《政府采购促进中小企业发展管理办法》的通知（财库〔2020〕46号）的规定的中小企业可享受优惠扶持</w:t>
            </w:r>
            <w:r>
              <w:rPr>
                <w:rFonts w:hint="eastAsia" w:ascii="宋体" w:hAnsi="宋体" w:cs="Arial"/>
                <w:sz w:val="24"/>
                <w:szCs w:val="24"/>
              </w:rPr>
              <w:t>，</w:t>
            </w:r>
            <w:r>
              <w:rPr>
                <w:rFonts w:hint="eastAsia" w:ascii="宋体" w:hAnsi="宋体" w:cs="Arial"/>
                <w:b/>
                <w:sz w:val="24"/>
                <w:szCs w:val="24"/>
              </w:rPr>
              <w:t>经采购人确定，本项目属于预留份额专门面向中小企业采购项目</w:t>
            </w:r>
            <w:r>
              <w:rPr>
                <w:rFonts w:hint="eastAsia" w:ascii="宋体" w:hAnsi="宋体" w:cs="Arial"/>
                <w:sz w:val="24"/>
                <w:szCs w:val="24"/>
              </w:rPr>
              <w:t>。</w:t>
            </w:r>
          </w:p>
          <w:p>
            <w:pPr>
              <w:snapToGrid w:val="0"/>
              <w:spacing w:line="276" w:lineRule="auto"/>
              <w:ind w:firstLine="480" w:firstLineChars="200"/>
              <w:rPr>
                <w:rFonts w:ascii="宋体" w:hAnsi="宋体" w:cs="Arial"/>
                <w:sz w:val="24"/>
                <w:szCs w:val="24"/>
              </w:rPr>
            </w:pPr>
            <w:r>
              <w:rPr>
                <w:rFonts w:ascii="宋体" w:hAnsi="宋体" w:cs="Arial"/>
                <w:sz w:val="24"/>
                <w:szCs w:val="24"/>
              </w:rPr>
              <w:t>满足关于政府采购支持监狱企业发展有关问题的通知（财库〔2014〕68号）的规定的供应商可享受优惠扶持。</w:t>
            </w:r>
          </w:p>
          <w:p>
            <w:pPr>
              <w:snapToGrid w:val="0"/>
              <w:spacing w:line="276" w:lineRule="auto"/>
              <w:ind w:firstLine="480" w:firstLineChars="200"/>
              <w:rPr>
                <w:rFonts w:ascii="宋体" w:hAnsi="宋体" w:cs="Arial"/>
                <w:sz w:val="24"/>
                <w:szCs w:val="24"/>
              </w:rPr>
            </w:pPr>
            <w:r>
              <w:rPr>
                <w:rFonts w:ascii="宋体" w:hAnsi="宋体" w:cs="Arial"/>
                <w:sz w:val="24"/>
                <w:szCs w:val="24"/>
              </w:rPr>
              <w:t>满足关于促进残疾人就业政府采购政策的通知（财库〔2017〕141号）的规定的供应商可享受优惠扶持。</w:t>
            </w:r>
          </w:p>
          <w:p>
            <w:pPr>
              <w:snapToGrid w:val="0"/>
              <w:spacing w:line="276" w:lineRule="auto"/>
              <w:ind w:firstLine="480" w:firstLineChars="200"/>
              <w:rPr>
                <w:rFonts w:hint="eastAsia" w:ascii="宋体" w:hAnsi="宋体" w:cs="Arial"/>
                <w:sz w:val="24"/>
                <w:szCs w:val="24"/>
              </w:rPr>
            </w:pPr>
            <w:r>
              <w:rPr>
                <w:rFonts w:hint="eastAsia" w:ascii="宋体" w:hAnsi="宋体" w:cs="Arial"/>
                <w:sz w:val="24"/>
                <w:szCs w:val="24"/>
              </w:rPr>
              <w:t>2.《节能产品政府采购实施意见》（财库[2004]185号）。</w:t>
            </w:r>
          </w:p>
          <w:p>
            <w:pPr>
              <w:snapToGrid w:val="0"/>
              <w:spacing w:line="276" w:lineRule="auto"/>
              <w:ind w:firstLine="480" w:firstLineChars="200"/>
              <w:rPr>
                <w:rFonts w:hint="eastAsia" w:ascii="宋体" w:hAnsi="宋体" w:cs="宋体"/>
                <w:sz w:val="24"/>
              </w:rPr>
            </w:pPr>
            <w:r>
              <w:rPr>
                <w:rFonts w:hint="eastAsia" w:ascii="宋体" w:hAnsi="宋体" w:cs="Arial"/>
                <w:sz w:val="24"/>
                <w:szCs w:val="24"/>
              </w:rPr>
              <w:t>3.《关于环境标志产品政府采购实施的意见》（财库[2006]90号）。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spacing w:line="276" w:lineRule="auto"/>
              <w:rPr>
                <w:rFonts w:hint="eastAsia" w:ascii="宋体" w:hAnsi="宋体"/>
                <w:sz w:val="24"/>
                <w:szCs w:val="24"/>
              </w:rPr>
            </w:pPr>
          </w:p>
        </w:tc>
        <w:tc>
          <w:tcPr>
            <w:tcW w:w="6582" w:type="dxa"/>
            <w:noWrap w:val="0"/>
            <w:vAlign w:val="center"/>
          </w:tcPr>
          <w:p>
            <w:pPr>
              <w:adjustRightInd w:val="0"/>
              <w:snapToGrid w:val="0"/>
              <w:spacing w:line="276" w:lineRule="auto"/>
              <w:jc w:val="left"/>
              <w:rPr>
                <w:rFonts w:hint="eastAsia" w:ascii="宋体" w:hAnsi="宋体"/>
                <w:sz w:val="24"/>
              </w:rPr>
            </w:pPr>
            <w:r>
              <w:rPr>
                <w:rFonts w:hint="eastAsia" w:ascii="宋体" w:hAnsi="宋体"/>
                <w:sz w:val="24"/>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djustRightInd w:val="0"/>
              <w:snapToGrid w:val="0"/>
              <w:spacing w:line="276" w:lineRule="auto"/>
              <w:jc w:val="left"/>
              <w:rPr>
                <w:rFonts w:hint="eastAsia" w:ascii="宋体" w:hAnsi="宋体"/>
                <w:sz w:val="24"/>
              </w:rPr>
            </w:pPr>
            <w:r>
              <w:rPr>
                <w:rFonts w:hint="eastAsia" w:ascii="宋体" w:hAnsi="宋体"/>
                <w:sz w:val="24"/>
              </w:rPr>
              <w:t>本次采购对属于节能产品政府采购品目清单规定的政府强制采购产品范围内的产品实施强制采购。供应商应当在响应文件中提供国家确定的认证机构出具的、处于有效期之内的节能产品认证证书（复制件）。不能提供上述证书的，响应文件无效。</w:t>
            </w:r>
          </w:p>
          <w:p>
            <w:pPr>
              <w:adjustRightInd w:val="0"/>
              <w:snapToGrid w:val="0"/>
              <w:spacing w:line="276" w:lineRule="auto"/>
              <w:jc w:val="left"/>
              <w:rPr>
                <w:rFonts w:hint="eastAsia" w:ascii="宋体" w:hAnsi="宋体"/>
                <w:sz w:val="24"/>
              </w:rPr>
            </w:pPr>
            <w:r>
              <w:rPr>
                <w:rFonts w:hint="eastAsia" w:ascii="宋体" w:hAnsi="宋体"/>
                <w:sz w:val="24"/>
              </w:rPr>
              <w:t>本次采购对属于品目清单范围但不属于政府强制采购产品的，实施优先采购，具体按评审办法。供应商在响应文件中提供国家确定的认证机构出具的、处于有效期之内的节能产品或环境标志产品认证证书（复制件）。</w:t>
            </w:r>
          </w:p>
          <w:p>
            <w:pPr>
              <w:adjustRightInd w:val="0"/>
              <w:snapToGrid w:val="0"/>
              <w:spacing w:line="276" w:lineRule="auto"/>
              <w:jc w:val="left"/>
              <w:rPr>
                <w:rFonts w:ascii="宋体" w:hAnsi="宋体"/>
                <w:sz w:val="24"/>
              </w:rPr>
            </w:pPr>
            <w:r>
              <w:rPr>
                <w:rFonts w:hint="eastAsia" w:ascii="宋体" w:hAnsi="宋体"/>
                <w:sz w:val="24"/>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spacing w:line="276" w:lineRule="auto"/>
              <w:rPr>
                <w:rFonts w:hint="eastAsia" w:ascii="宋体" w:hAnsi="宋体"/>
                <w:sz w:val="24"/>
                <w:szCs w:val="24"/>
              </w:rPr>
            </w:pPr>
          </w:p>
        </w:tc>
        <w:tc>
          <w:tcPr>
            <w:tcW w:w="6582" w:type="dxa"/>
            <w:noWrap w:val="0"/>
            <w:vAlign w:val="center"/>
          </w:tcPr>
          <w:p>
            <w:pPr>
              <w:adjustRightInd w:val="0"/>
              <w:snapToGrid w:val="0"/>
              <w:spacing w:line="276" w:lineRule="auto"/>
              <w:jc w:val="left"/>
              <w:rPr>
                <w:rFonts w:hint="eastAsia" w:ascii="宋体" w:hAnsi="宋体"/>
                <w:sz w:val="24"/>
              </w:rPr>
            </w:pPr>
            <w:r>
              <w:rPr>
                <w:rFonts w:hint="eastAsia" w:ascii="宋体" w:hAnsi="宋体"/>
                <w:sz w:val="24"/>
              </w:rPr>
              <w:t>其他：为了节约社会资源，所有获取招标文件的潜在投标人如果放弃投标请务必在投标截止时间48小时前将盖章的放弃投标函发至招标代理机构（将扫描件发送至代理机构联系人邮箱：85831685@zjsct.cn）。谢谢配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spacing w:line="276" w:lineRule="auto"/>
              <w:rPr>
                <w:rFonts w:hint="eastAsia" w:ascii="宋体" w:hAnsi="宋体"/>
                <w:sz w:val="24"/>
                <w:szCs w:val="24"/>
              </w:rPr>
            </w:pPr>
          </w:p>
        </w:tc>
        <w:tc>
          <w:tcPr>
            <w:tcW w:w="6582" w:type="dxa"/>
            <w:noWrap w:val="0"/>
            <w:vAlign w:val="center"/>
          </w:tcPr>
          <w:p>
            <w:pPr>
              <w:adjustRightInd w:val="0"/>
              <w:snapToGrid w:val="0"/>
              <w:spacing w:line="276" w:lineRule="auto"/>
              <w:jc w:val="left"/>
              <w:rPr>
                <w:rFonts w:hint="eastAsia" w:ascii="宋体" w:hAnsi="宋体"/>
                <w:sz w:val="24"/>
              </w:rPr>
            </w:pPr>
            <w:r>
              <w:rPr>
                <w:rFonts w:hint="eastAsia" w:ascii="宋体" w:hAnsi="宋体"/>
                <w:sz w:val="24"/>
              </w:rPr>
              <w:t>供应商按照招标文件要求提交投标文件，并按自我意愿考虑是否参加现场开标大会，如参加现场开标大会，建议由授权代表参加，现场处理原本需要通过邮件形式传达的内容及签署,参加现场开标大会的授权代表需携带授权委托书原件和身份证；如不参加现场开标大会，授权代表需做好在线实时响应状态。</w:t>
            </w:r>
          </w:p>
          <w:p>
            <w:pPr>
              <w:adjustRightInd w:val="0"/>
              <w:snapToGrid w:val="0"/>
              <w:spacing w:line="276" w:lineRule="auto"/>
              <w:jc w:val="left"/>
              <w:rPr>
                <w:rFonts w:hint="eastAsia" w:ascii="宋体" w:hAnsi="宋体"/>
                <w:sz w:val="24"/>
              </w:rPr>
            </w:pPr>
            <w:r>
              <w:rPr>
                <w:rFonts w:hint="eastAsia" w:ascii="宋体" w:hAnsi="宋体"/>
                <w:sz w:val="24"/>
              </w:rPr>
              <w:t>注：开标期间，建议授权代表随身携带笔记本与CA锁，保持网络通畅</w:t>
            </w:r>
            <w:r>
              <w:rPr>
                <w:rFonts w:hint="eastAsia" w:ascii="宋体" w:hAnsi="宋体"/>
                <w:b/>
                <w:sz w:val="24"/>
              </w:rPr>
              <w:t>（注：疫情期间，不建议供应商参加现场开标大会</w:t>
            </w:r>
            <w:r>
              <w:rPr>
                <w:rFonts w:hint="eastAsia" w:ascii="宋体" w:hAnsi="宋体"/>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37" w:type="dxa"/>
            <w:vMerge w:val="continue"/>
            <w:noWrap w:val="0"/>
            <w:vAlign w:val="center"/>
          </w:tcPr>
          <w:p>
            <w:pPr>
              <w:spacing w:line="276" w:lineRule="auto"/>
              <w:jc w:val="center"/>
              <w:rPr>
                <w:rFonts w:hint="eastAsia" w:ascii="宋体" w:hAnsi="宋体"/>
                <w:sz w:val="24"/>
                <w:szCs w:val="24"/>
              </w:rPr>
            </w:pPr>
          </w:p>
        </w:tc>
        <w:tc>
          <w:tcPr>
            <w:tcW w:w="1423" w:type="dxa"/>
            <w:vMerge w:val="continue"/>
            <w:noWrap w:val="0"/>
            <w:vAlign w:val="center"/>
          </w:tcPr>
          <w:p>
            <w:pPr>
              <w:spacing w:line="276" w:lineRule="auto"/>
              <w:rPr>
                <w:rFonts w:hint="eastAsia" w:ascii="宋体" w:hAnsi="宋体"/>
                <w:sz w:val="24"/>
                <w:szCs w:val="24"/>
              </w:rPr>
            </w:pPr>
          </w:p>
        </w:tc>
        <w:tc>
          <w:tcPr>
            <w:tcW w:w="6582" w:type="dxa"/>
            <w:noWrap w:val="0"/>
            <w:vAlign w:val="center"/>
          </w:tcPr>
          <w:p>
            <w:pPr>
              <w:adjustRightInd w:val="0"/>
              <w:snapToGrid w:val="0"/>
              <w:spacing w:line="276" w:lineRule="auto"/>
              <w:jc w:val="left"/>
              <w:rPr>
                <w:rFonts w:hint="eastAsia" w:ascii="宋体" w:hAnsi="宋体"/>
                <w:sz w:val="24"/>
              </w:rPr>
            </w:pPr>
            <w:r>
              <w:rPr>
                <w:rFonts w:hint="eastAsia" w:ascii="宋体" w:hAnsi="宋体"/>
                <w:sz w:val="24"/>
              </w:rPr>
              <w:t>供应商支付申请和查询</w:t>
            </w:r>
          </w:p>
          <w:p>
            <w:pPr>
              <w:adjustRightInd w:val="0"/>
              <w:snapToGrid w:val="0"/>
              <w:spacing w:line="276" w:lineRule="auto"/>
              <w:jc w:val="left"/>
              <w:rPr>
                <w:rFonts w:hint="eastAsia" w:ascii="宋体" w:hAnsi="宋体"/>
                <w:sz w:val="24"/>
              </w:rPr>
            </w:pPr>
            <w:r>
              <w:rPr>
                <w:rFonts w:hint="eastAsia" w:ascii="宋体" w:hAnsi="宋体"/>
                <w:sz w:val="24"/>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tc>
      </w:tr>
    </w:tbl>
    <w:p>
      <w:pPr>
        <w:adjustRightInd w:val="0"/>
        <w:snapToGrid w:val="0"/>
        <w:spacing w:line="360" w:lineRule="auto"/>
        <w:jc w:val="center"/>
        <w:outlineLvl w:val="1"/>
        <w:rPr>
          <w:rFonts w:hint="eastAsia" w:ascii="宋体" w:hAnsi="宋体"/>
          <w:b/>
          <w:sz w:val="32"/>
        </w:rPr>
      </w:pPr>
      <w:r>
        <w:rPr>
          <w:rFonts w:hint="eastAsia" w:ascii="宋体" w:hAnsi="宋体"/>
          <w:sz w:val="24"/>
        </w:rPr>
        <w:br w:type="page"/>
      </w:r>
      <w:bookmarkEnd w:id="1"/>
      <w:bookmarkStart w:id="37" w:name="_Toc83910188"/>
      <w:bookmarkStart w:id="38" w:name="_Toc233618972"/>
      <w:bookmarkStart w:id="39" w:name="_Toc225840109"/>
      <w:bookmarkStart w:id="40" w:name="_Toc226521904"/>
      <w:bookmarkStart w:id="41" w:name="_Toc226106467"/>
      <w:bookmarkStart w:id="42" w:name="_Toc226106516"/>
      <w:r>
        <w:rPr>
          <w:rFonts w:hint="eastAsia" w:ascii="宋体" w:hAnsi="宋体"/>
          <w:b/>
          <w:sz w:val="32"/>
        </w:rPr>
        <w:t>一、总 则</w:t>
      </w:r>
      <w:bookmarkEnd w:id="37"/>
      <w:bookmarkEnd w:id="38"/>
    </w:p>
    <w:p>
      <w:pPr>
        <w:pStyle w:val="45"/>
        <w:adjustRightInd w:val="0"/>
        <w:snapToGrid w:val="0"/>
        <w:spacing w:line="360" w:lineRule="auto"/>
        <w:rPr>
          <w:rFonts w:hint="eastAsia" w:hAnsi="宋体"/>
          <w:b/>
          <w:sz w:val="24"/>
        </w:rPr>
      </w:pPr>
      <w:bookmarkStart w:id="43" w:name="_Hlt74714665"/>
      <w:bookmarkEnd w:id="43"/>
      <w:bookmarkStart w:id="44" w:name="_Hlt74730295"/>
      <w:bookmarkEnd w:id="44"/>
      <w:bookmarkStart w:id="45" w:name="_Hlt74730208"/>
      <w:bookmarkStart w:id="46" w:name="_Hlt74730112"/>
      <w:r>
        <w:rPr>
          <w:rFonts w:hint="eastAsia" w:hAnsi="宋体"/>
          <w:b/>
          <w:sz w:val="24"/>
        </w:rPr>
        <w:t>（一）实施依据</w:t>
      </w:r>
    </w:p>
    <w:p>
      <w:pPr>
        <w:pStyle w:val="202"/>
        <w:adjustRightInd w:val="0"/>
        <w:snapToGrid w:val="0"/>
        <w:spacing w:before="0"/>
        <w:ind w:firstLine="480"/>
        <w:rPr>
          <w:rFonts w:hint="eastAsia" w:ascii="宋体" w:hAnsi="宋体"/>
        </w:rPr>
      </w:pPr>
      <w:r>
        <w:rPr>
          <w:rFonts w:hint="eastAsia" w:ascii="宋体" w:hAnsi="宋体"/>
        </w:rPr>
        <w:t>本次招标工作按照《中华人民共和国政府采购法》等政府采购有关法律、法规、规章、文件的规定组织和实施。</w:t>
      </w:r>
    </w:p>
    <w:p>
      <w:pPr>
        <w:pStyle w:val="45"/>
        <w:adjustRightInd w:val="0"/>
        <w:snapToGrid w:val="0"/>
        <w:spacing w:line="360" w:lineRule="auto"/>
        <w:rPr>
          <w:rFonts w:hint="eastAsia" w:hAnsi="宋体"/>
          <w:b/>
          <w:sz w:val="24"/>
        </w:rPr>
      </w:pPr>
      <w:bookmarkStart w:id="47" w:name="_Toc91899873"/>
      <w:r>
        <w:rPr>
          <w:rFonts w:hint="eastAsia" w:hAnsi="宋体"/>
          <w:b/>
          <w:sz w:val="24"/>
        </w:rPr>
        <w:t>（二）采购方式</w:t>
      </w:r>
      <w:bookmarkEnd w:id="47"/>
    </w:p>
    <w:p>
      <w:pPr>
        <w:adjustRightInd w:val="0"/>
        <w:snapToGrid w:val="0"/>
        <w:spacing w:line="360" w:lineRule="auto"/>
        <w:ind w:firstLine="480" w:firstLineChars="200"/>
        <w:rPr>
          <w:rFonts w:hint="eastAsia" w:ascii="宋体" w:hAnsi="宋体"/>
          <w:sz w:val="24"/>
        </w:rPr>
      </w:pPr>
      <w:r>
        <w:rPr>
          <w:rFonts w:hint="eastAsia" w:ascii="宋体" w:hAnsi="宋体"/>
          <w:sz w:val="24"/>
        </w:rPr>
        <w:t>公开招标。</w:t>
      </w:r>
      <w:bookmarkEnd w:id="45"/>
      <w:bookmarkEnd w:id="46"/>
      <w:bookmarkStart w:id="48" w:name="_Hlt74388212"/>
      <w:bookmarkEnd w:id="48"/>
      <w:bookmarkStart w:id="49" w:name="_Hlt68516771"/>
      <w:bookmarkEnd w:id="49"/>
    </w:p>
    <w:p>
      <w:pPr>
        <w:adjustRightInd w:val="0"/>
        <w:snapToGrid w:val="0"/>
        <w:spacing w:line="360" w:lineRule="auto"/>
        <w:rPr>
          <w:rFonts w:hint="eastAsia" w:ascii="宋体" w:hAnsi="宋体"/>
          <w:b/>
          <w:kern w:val="0"/>
          <w:sz w:val="24"/>
          <w:lang w:val="zh-CN"/>
        </w:rPr>
      </w:pPr>
      <w:bookmarkStart w:id="50" w:name="_Toc91899877"/>
      <w:bookmarkStart w:id="51" w:name="_Hlt74730303"/>
      <w:r>
        <w:rPr>
          <w:rFonts w:hint="eastAsia" w:ascii="宋体" w:hAnsi="宋体"/>
          <w:b/>
          <w:sz w:val="24"/>
        </w:rPr>
        <w:t>（三）</w:t>
      </w:r>
      <w:r>
        <w:rPr>
          <w:rFonts w:hint="eastAsia" w:ascii="宋体" w:hAnsi="宋体"/>
          <w:b/>
          <w:kern w:val="0"/>
          <w:sz w:val="24"/>
          <w:lang w:val="zh-CN"/>
        </w:rPr>
        <w:t>定义</w:t>
      </w:r>
    </w:p>
    <w:p>
      <w:pPr>
        <w:adjustRightInd w:val="0"/>
        <w:snapToGrid w:val="0"/>
        <w:spacing w:line="360" w:lineRule="auto"/>
        <w:ind w:firstLine="480" w:firstLineChars="200"/>
        <w:rPr>
          <w:rFonts w:hint="eastAsia" w:ascii="宋体" w:hAnsi="宋体"/>
          <w:sz w:val="24"/>
        </w:rPr>
      </w:pPr>
      <w:r>
        <w:rPr>
          <w:rFonts w:hint="eastAsia" w:ascii="宋体" w:hAnsi="宋体"/>
          <w:sz w:val="24"/>
        </w:rPr>
        <w:t>招标（采购）人：是指依法进行政府采购的国家机关、事业单位、团体组织，见本项目“招标公告”；</w:t>
      </w:r>
    </w:p>
    <w:p>
      <w:pPr>
        <w:adjustRightInd w:val="0"/>
        <w:snapToGrid w:val="0"/>
        <w:spacing w:line="360" w:lineRule="auto"/>
        <w:ind w:firstLine="480" w:firstLineChars="200"/>
        <w:rPr>
          <w:rFonts w:hint="eastAsia" w:ascii="宋体" w:hAnsi="宋体"/>
          <w:sz w:val="24"/>
        </w:rPr>
      </w:pPr>
      <w:r>
        <w:rPr>
          <w:rFonts w:hint="eastAsia" w:ascii="宋体" w:hAnsi="宋体"/>
          <w:sz w:val="24"/>
        </w:rPr>
        <w:t>招标（采购）代理机构：受招标人委托，在委托的范围内办理政府采购事宜并组织招标活动的机构，见本项目“招标公告”；</w:t>
      </w:r>
    </w:p>
    <w:p>
      <w:pPr>
        <w:adjustRightInd w:val="0"/>
        <w:snapToGrid w:val="0"/>
        <w:spacing w:line="360" w:lineRule="auto"/>
        <w:ind w:firstLine="480" w:firstLineChars="200"/>
        <w:rPr>
          <w:rFonts w:hint="eastAsia" w:ascii="宋体" w:hAnsi="宋体"/>
          <w:sz w:val="24"/>
        </w:rPr>
      </w:pPr>
      <w:r>
        <w:rPr>
          <w:rFonts w:hint="eastAsia" w:ascii="宋体" w:hAnsi="宋体"/>
          <w:sz w:val="24"/>
        </w:rPr>
        <w:t>投标人（供应商）：是指参加本政府采购项目投标的供应商；</w:t>
      </w:r>
    </w:p>
    <w:p>
      <w:pPr>
        <w:adjustRightInd w:val="0"/>
        <w:snapToGrid w:val="0"/>
        <w:spacing w:line="360" w:lineRule="auto"/>
        <w:ind w:firstLine="480" w:firstLineChars="200"/>
        <w:rPr>
          <w:rFonts w:hint="eastAsia" w:ascii="宋体" w:hAnsi="宋体"/>
          <w:sz w:val="24"/>
        </w:rPr>
      </w:pPr>
      <w:r>
        <w:rPr>
          <w:rFonts w:hint="eastAsia" w:ascii="宋体" w:hAnsi="宋体"/>
          <w:sz w:val="24"/>
        </w:rPr>
        <w:t>中标人：是指经评审获得本项目最终合同签订资格的投标人；</w:t>
      </w:r>
    </w:p>
    <w:p>
      <w:pPr>
        <w:adjustRightInd w:val="0"/>
        <w:snapToGrid w:val="0"/>
        <w:spacing w:line="360" w:lineRule="auto"/>
        <w:ind w:firstLine="480" w:firstLineChars="200"/>
        <w:rPr>
          <w:rFonts w:hint="eastAsia" w:ascii="宋体" w:hAnsi="宋体"/>
          <w:sz w:val="24"/>
        </w:rPr>
      </w:pPr>
      <w:r>
        <w:rPr>
          <w:rFonts w:hint="eastAsia" w:ascii="宋体" w:hAnsi="宋体"/>
          <w:sz w:val="24"/>
        </w:rPr>
        <w:t>买方（甲方）：是指合同签订的一方，一般与招标人、用户相同；</w:t>
      </w:r>
    </w:p>
    <w:p>
      <w:pPr>
        <w:adjustRightInd w:val="0"/>
        <w:snapToGrid w:val="0"/>
        <w:spacing w:line="360" w:lineRule="auto"/>
        <w:ind w:firstLine="480" w:firstLineChars="200"/>
        <w:rPr>
          <w:rFonts w:hint="eastAsia" w:ascii="宋体" w:hAnsi="宋体"/>
          <w:sz w:val="24"/>
        </w:rPr>
      </w:pPr>
      <w:r>
        <w:rPr>
          <w:rFonts w:hint="eastAsia" w:ascii="宋体" w:hAnsi="宋体"/>
          <w:sz w:val="24"/>
        </w:rPr>
        <w:t>卖方（乙方）：是指合同签订的另一方，一般与中标人相同；</w:t>
      </w:r>
    </w:p>
    <w:p>
      <w:pPr>
        <w:adjustRightInd w:val="0"/>
        <w:snapToGrid w:val="0"/>
        <w:spacing w:line="360" w:lineRule="auto"/>
        <w:ind w:firstLine="480" w:firstLineChars="200"/>
        <w:rPr>
          <w:rFonts w:hint="eastAsia" w:ascii="宋体" w:hAnsi="宋体"/>
          <w:sz w:val="24"/>
        </w:rPr>
      </w:pPr>
      <w:r>
        <w:rPr>
          <w:rFonts w:hint="eastAsia" w:ascii="宋体" w:hAnsi="宋体"/>
          <w:sz w:val="24"/>
        </w:rPr>
        <w:t>制造商：包括是指拥有投标产品自主知识产权的单位；</w:t>
      </w:r>
    </w:p>
    <w:p>
      <w:pPr>
        <w:adjustRightInd w:val="0"/>
        <w:snapToGrid w:val="0"/>
        <w:spacing w:line="360" w:lineRule="auto"/>
        <w:ind w:firstLine="480" w:firstLineChars="200"/>
        <w:rPr>
          <w:rFonts w:hint="eastAsia" w:ascii="宋体" w:hAnsi="宋体"/>
          <w:sz w:val="24"/>
        </w:rPr>
      </w:pPr>
      <w:r>
        <w:rPr>
          <w:rFonts w:hint="eastAsia" w:ascii="宋体" w:hAnsi="宋体"/>
          <w:sz w:val="24"/>
        </w:rPr>
        <w:t>本招标文件中可享受中小企业政策功能的评标价格扣除的投标人：是指监狱企业或</w:t>
      </w:r>
      <w:r>
        <w:rPr>
          <w:rFonts w:hint="eastAsia" w:ascii="宋体" w:hAnsi="宋体"/>
          <w:sz w:val="24"/>
          <w:szCs w:val="24"/>
        </w:rPr>
        <w:t>符合中小企业划分标准（详见《关于印发中小企业划型标准规定的通知》工信部联企业〔2011〕300号）的小、微企业，同时该企业提供的货物、承担的工程或者服务是由本企业制造或者由其他小、微企业（监狱企业）制造（提供），本项所称货物不包括使用大型企业注册商标的货物；</w:t>
      </w:r>
    </w:p>
    <w:p>
      <w:pPr>
        <w:spacing w:line="360" w:lineRule="auto"/>
        <w:ind w:firstLine="480" w:firstLineChars="200"/>
        <w:rPr>
          <w:rFonts w:hint="eastAsia" w:ascii="宋体" w:hAnsi="宋体"/>
          <w:sz w:val="24"/>
          <w:szCs w:val="24"/>
        </w:rPr>
      </w:pPr>
      <w:r>
        <w:rPr>
          <w:rFonts w:hint="eastAsia" w:ascii="宋体" w:hAnsi="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sz w:val="24"/>
          <w:szCs w:val="24"/>
        </w:rPr>
      </w:pPr>
      <w:r>
        <w:rPr>
          <w:rFonts w:hint="eastAsia" w:ascii="宋体" w:hAnsi="宋体"/>
          <w:sz w:val="24"/>
          <w:szCs w:val="24"/>
        </w:rPr>
        <w:t>残疾人福利性单位：符合《财政部 民政部 中国残疾人联合会关于促进残疾人就业政府采购政策的通知》（财库〔2017〕141号）的规定单位；</w:t>
      </w:r>
    </w:p>
    <w:p>
      <w:pPr>
        <w:spacing w:line="360" w:lineRule="auto"/>
        <w:ind w:firstLine="480" w:firstLineChars="200"/>
        <w:rPr>
          <w:rFonts w:hint="eastAsia" w:ascii="宋体" w:hAnsi="宋体"/>
          <w:sz w:val="24"/>
          <w:szCs w:val="24"/>
        </w:rPr>
      </w:pPr>
      <w:r>
        <w:rPr>
          <w:rFonts w:hint="eastAsia" w:ascii="宋体" w:hAnsi="宋体"/>
          <w:sz w:val="24"/>
          <w:szCs w:val="24"/>
        </w:rPr>
        <w:t>政府采购监管部门：杭州市西湖区财政局；</w:t>
      </w:r>
    </w:p>
    <w:p>
      <w:pPr>
        <w:adjustRightInd w:val="0"/>
        <w:snapToGrid w:val="0"/>
        <w:spacing w:line="360" w:lineRule="auto"/>
        <w:ind w:firstLine="480" w:firstLineChars="200"/>
        <w:rPr>
          <w:rFonts w:hint="eastAsia" w:ascii="宋体" w:hAnsi="宋体"/>
          <w:kern w:val="0"/>
          <w:sz w:val="24"/>
          <w:lang w:val="zh-CN"/>
        </w:rPr>
      </w:pPr>
      <w:r>
        <w:rPr>
          <w:rFonts w:hint="eastAsia" w:ascii="宋体" w:hAnsi="宋体"/>
          <w:kern w:val="0"/>
          <w:sz w:val="24"/>
          <w:lang w:val="zh-CN"/>
        </w:rPr>
        <w:t>产品（货物）：系指按招标文件规定，须向招标人提供的一切设备及配套备品备件、工具、手册及其他有关技术资料和材料；</w:t>
      </w:r>
    </w:p>
    <w:p>
      <w:pPr>
        <w:adjustRightInd w:val="0"/>
        <w:snapToGrid w:val="0"/>
        <w:spacing w:line="360" w:lineRule="auto"/>
        <w:ind w:firstLine="480" w:firstLineChars="200"/>
        <w:rPr>
          <w:rFonts w:hint="eastAsia" w:ascii="宋体" w:hAnsi="宋体"/>
          <w:kern w:val="0"/>
          <w:sz w:val="24"/>
          <w:lang w:val="zh-CN"/>
        </w:rPr>
      </w:pPr>
      <w:r>
        <w:rPr>
          <w:rFonts w:hint="eastAsia" w:ascii="宋体" w:hAnsi="宋体"/>
          <w:kern w:val="0"/>
          <w:sz w:val="24"/>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tabs>
          <w:tab w:val="left" w:pos="0"/>
        </w:tabs>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lang w:val="zh-CN"/>
        </w:rPr>
        <w:t>服务：</w:t>
      </w:r>
      <w:r>
        <w:rPr>
          <w:rFonts w:hint="eastAsia" w:ascii="宋体" w:hAnsi="宋体"/>
          <w:kern w:val="0"/>
          <w:sz w:val="24"/>
          <w:lang w:val="zh-CN"/>
        </w:rPr>
        <w:t>系指按招标文件规定，须向招标人提供</w:t>
      </w:r>
      <w:r>
        <w:rPr>
          <w:rFonts w:hint="eastAsia" w:ascii="宋体" w:hAnsi="宋体"/>
          <w:sz w:val="24"/>
          <w:lang w:val="zh-CN"/>
        </w:rPr>
        <w:t xml:space="preserve">的与供货有关的辅助服务，如运输、保险、培训安装、调试、验收、技术支持和交付使用后质保期内应履行的售后服务等义务； </w:t>
      </w:r>
    </w:p>
    <w:p>
      <w:pPr>
        <w:tabs>
          <w:tab w:val="left" w:pos="0"/>
        </w:tabs>
        <w:autoSpaceDE w:val="0"/>
        <w:autoSpaceDN w:val="0"/>
        <w:adjustRightInd w:val="0"/>
        <w:spacing w:line="360" w:lineRule="auto"/>
        <w:ind w:firstLine="480" w:firstLineChars="200"/>
        <w:rPr>
          <w:rFonts w:hint="eastAsia" w:ascii="宋体" w:hAnsi="宋体"/>
          <w:kern w:val="0"/>
          <w:sz w:val="24"/>
          <w:lang w:val="zh-CN"/>
        </w:rPr>
      </w:pPr>
      <w:r>
        <w:rPr>
          <w:rFonts w:hint="eastAsia" w:ascii="宋体" w:hAnsi="宋体"/>
          <w:kern w:val="0"/>
          <w:sz w:val="24"/>
          <w:lang w:val="zh-CN"/>
        </w:rPr>
        <w:t>培训：系指按招标文件规定，向招标人提供操作使用培训、系统管理培训和其他相关培训等；</w:t>
      </w:r>
    </w:p>
    <w:p>
      <w:pPr>
        <w:tabs>
          <w:tab w:val="left" w:pos="0"/>
        </w:tabs>
        <w:autoSpaceDE w:val="0"/>
        <w:autoSpaceDN w:val="0"/>
        <w:adjustRightInd w:val="0"/>
        <w:spacing w:line="360" w:lineRule="auto"/>
        <w:ind w:firstLine="480" w:firstLineChars="200"/>
        <w:rPr>
          <w:rFonts w:hint="eastAsia" w:ascii="宋体" w:hAnsi="宋体"/>
          <w:kern w:val="0"/>
          <w:sz w:val="24"/>
          <w:lang w:val="zh-CN"/>
        </w:rPr>
      </w:pPr>
      <w:r>
        <w:rPr>
          <w:rFonts w:hint="eastAsia" w:ascii="宋体" w:hAnsi="宋体"/>
          <w:kern w:val="0"/>
          <w:sz w:val="24"/>
          <w:lang w:val="zh-CN"/>
        </w:rPr>
        <w:t>书面形式：包括纸质文件、电子邮件、传真、信函、电报等；</w:t>
      </w:r>
    </w:p>
    <w:p>
      <w:pPr>
        <w:adjustRightInd w:val="0"/>
        <w:snapToGrid w:val="0"/>
        <w:spacing w:line="360" w:lineRule="auto"/>
        <w:ind w:firstLine="480" w:firstLineChars="200"/>
        <w:rPr>
          <w:rFonts w:hint="eastAsia" w:ascii="宋体" w:hAnsi="宋体"/>
          <w:sz w:val="24"/>
          <w:lang w:val="zh-CN"/>
        </w:rPr>
      </w:pPr>
      <w:r>
        <w:rPr>
          <w:rFonts w:hint="eastAsia" w:ascii="宋体" w:hAnsi="宋体"/>
          <w:sz w:val="24"/>
          <w:lang w:val="zh-CN"/>
        </w:rPr>
        <w:t>实质性响应:系指投标文件符合招标文件规定的实质性内容、条件和规定；</w:t>
      </w:r>
    </w:p>
    <w:p>
      <w:pPr>
        <w:adjustRightInd w:val="0"/>
        <w:snapToGrid w:val="0"/>
        <w:spacing w:line="360" w:lineRule="auto"/>
        <w:ind w:firstLine="480" w:firstLineChars="200"/>
        <w:rPr>
          <w:rFonts w:hint="eastAsia" w:ascii="宋体" w:hAnsi="宋体"/>
          <w:sz w:val="24"/>
          <w:lang w:val="zh-CN"/>
        </w:rPr>
      </w:pPr>
      <w:r>
        <w:rPr>
          <w:rFonts w:hint="eastAsia" w:ascii="宋体" w:hAnsi="宋体"/>
          <w:sz w:val="24"/>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tabs>
          <w:tab w:val="left" w:pos="0"/>
        </w:tabs>
        <w:autoSpaceDE w:val="0"/>
        <w:autoSpaceDN w:val="0"/>
        <w:adjustRightInd w:val="0"/>
        <w:spacing w:line="360" w:lineRule="auto"/>
        <w:ind w:firstLine="480" w:firstLineChars="200"/>
        <w:rPr>
          <w:rFonts w:hint="eastAsia" w:ascii="宋体" w:hAnsi="宋体"/>
          <w:sz w:val="24"/>
          <w:lang w:val="zh-CN"/>
        </w:rPr>
      </w:pPr>
      <w:r>
        <w:rPr>
          <w:rFonts w:hint="eastAsia" w:ascii="宋体" w:hAnsi="宋体"/>
          <w:sz w:val="24"/>
          <w:lang w:val="zh-CN"/>
        </w:rPr>
        <w:t>细微偏离：系指投标文件对招标文件的非实质性内容存在不完全响应或不响应。</w:t>
      </w:r>
    </w:p>
    <w:p>
      <w:pPr>
        <w:tabs>
          <w:tab w:val="left" w:pos="0"/>
        </w:tabs>
        <w:autoSpaceDE w:val="0"/>
        <w:autoSpaceDN w:val="0"/>
        <w:adjustRightInd w:val="0"/>
        <w:spacing w:line="360" w:lineRule="auto"/>
        <w:ind w:firstLine="480" w:firstLineChars="200"/>
        <w:rPr>
          <w:rFonts w:hint="eastAsia" w:ascii="宋体" w:hAnsi="宋体" w:cs="AdobeFangsongStd-Regular"/>
          <w:spacing w:val="-2"/>
          <w:kern w:val="0"/>
          <w:position w:val="-3"/>
          <w:sz w:val="24"/>
          <w:szCs w:val="24"/>
        </w:rPr>
      </w:pPr>
      <w:r>
        <w:rPr>
          <w:rFonts w:hint="eastAsia" w:ascii="宋体" w:hAnsi="宋体"/>
          <w:sz w:val="24"/>
          <w:lang w:val="zh-CN"/>
        </w:rPr>
        <w:t>本项目所属行业：</w:t>
      </w:r>
      <w:r>
        <w:rPr>
          <w:rFonts w:hint="eastAsia" w:ascii="宋体" w:hAnsi="宋体" w:cs="AdobeFangsongStd-Regular"/>
          <w:spacing w:val="-2"/>
          <w:kern w:val="0"/>
          <w:position w:val="-3"/>
          <w:sz w:val="24"/>
          <w:szCs w:val="24"/>
        </w:rPr>
        <w:t>物业管理。</w:t>
      </w:r>
    </w:p>
    <w:p>
      <w:pPr>
        <w:pStyle w:val="45"/>
        <w:adjustRightInd w:val="0"/>
        <w:snapToGrid w:val="0"/>
        <w:spacing w:line="360" w:lineRule="auto"/>
        <w:rPr>
          <w:rFonts w:hint="eastAsia" w:hAnsi="宋体"/>
          <w:b/>
          <w:sz w:val="24"/>
        </w:rPr>
      </w:pPr>
      <w:r>
        <w:rPr>
          <w:rFonts w:hint="eastAsia" w:hAnsi="宋体"/>
          <w:b/>
          <w:sz w:val="24"/>
        </w:rPr>
        <w:t>（四）投标费用</w:t>
      </w:r>
    </w:p>
    <w:p>
      <w:pPr>
        <w:adjustRightInd w:val="0"/>
        <w:snapToGrid w:val="0"/>
        <w:spacing w:line="360" w:lineRule="auto"/>
        <w:ind w:firstLine="523" w:firstLineChars="218"/>
        <w:rPr>
          <w:rFonts w:hint="eastAsia" w:ascii="宋体" w:hAnsi="宋体" w:cs="AdobeFangsongStd-Regular"/>
          <w:kern w:val="0"/>
          <w:position w:val="-5"/>
          <w:sz w:val="24"/>
          <w:szCs w:val="24"/>
        </w:rPr>
      </w:pPr>
      <w:r>
        <w:rPr>
          <w:rFonts w:hint="eastAsia" w:ascii="宋体" w:hAnsi="宋体" w:cs="AdobeFangsongStd-Regular"/>
          <w:kern w:val="0"/>
          <w:position w:val="-5"/>
          <w:sz w:val="24"/>
          <w:szCs w:val="24"/>
        </w:rPr>
        <w:t>无论招投标过程中的做法和结果如何，投标人自行承担招投标活动中所发生的全部费用。</w:t>
      </w:r>
    </w:p>
    <w:p>
      <w:pPr>
        <w:adjustRightInd w:val="0"/>
        <w:snapToGrid w:val="0"/>
        <w:spacing w:line="360" w:lineRule="auto"/>
        <w:rPr>
          <w:rFonts w:hint="eastAsia" w:ascii="宋体" w:hAnsi="宋体"/>
          <w:b/>
          <w:sz w:val="24"/>
        </w:rPr>
      </w:pPr>
      <w:r>
        <w:rPr>
          <w:rFonts w:hint="eastAsia" w:ascii="宋体" w:hAnsi="宋体"/>
          <w:b/>
          <w:sz w:val="24"/>
        </w:rPr>
        <w:t>（五）语言文字</w:t>
      </w:r>
    </w:p>
    <w:bookmarkEnd w:id="50"/>
    <w:bookmarkEnd w:id="51"/>
    <w:p>
      <w:pPr>
        <w:adjustRightInd w:val="0"/>
        <w:snapToGrid w:val="0"/>
        <w:spacing w:line="360" w:lineRule="auto"/>
        <w:ind w:firstLine="523" w:firstLineChars="218"/>
        <w:rPr>
          <w:rFonts w:hint="eastAsia" w:ascii="宋体" w:hAnsi="宋体"/>
          <w:sz w:val="24"/>
        </w:rPr>
      </w:pPr>
      <w:bookmarkStart w:id="52" w:name="_Hlt68057669"/>
      <w:bookmarkEnd w:id="52"/>
      <w:bookmarkStart w:id="53" w:name="_Hlt75236290"/>
      <w:bookmarkEnd w:id="53"/>
      <w:bookmarkStart w:id="54" w:name="_Hlt74707468"/>
      <w:bookmarkEnd w:id="54"/>
      <w:bookmarkStart w:id="55" w:name="_Hlt74729768"/>
      <w:bookmarkEnd w:id="55"/>
      <w:bookmarkStart w:id="56" w:name="_Hlt68072990"/>
      <w:bookmarkEnd w:id="56"/>
      <w:bookmarkStart w:id="57" w:name="_Toc91899879"/>
      <w:r>
        <w:rPr>
          <w:rFonts w:hint="eastAsia" w:ascii="宋体" w:hAnsi="宋体"/>
          <w:sz w:val="24"/>
        </w:rPr>
        <w:t>1、招标投标有关的语言使用中文。</w:t>
      </w:r>
    </w:p>
    <w:p>
      <w:pPr>
        <w:adjustRightInd w:val="0"/>
        <w:snapToGrid w:val="0"/>
        <w:spacing w:line="360" w:lineRule="auto"/>
        <w:ind w:firstLine="523" w:firstLineChars="218"/>
        <w:rPr>
          <w:rFonts w:hint="eastAsia" w:ascii="宋体" w:hAnsi="宋体"/>
          <w:sz w:val="24"/>
        </w:rPr>
      </w:pPr>
      <w:r>
        <w:rPr>
          <w:rFonts w:hint="eastAsia" w:ascii="宋体" w:hAnsi="宋体"/>
          <w:sz w:val="24"/>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adjustRightInd w:val="0"/>
        <w:snapToGrid w:val="0"/>
        <w:spacing w:line="360" w:lineRule="auto"/>
        <w:rPr>
          <w:rFonts w:hint="eastAsia" w:ascii="宋体" w:hAnsi="宋体"/>
          <w:sz w:val="24"/>
        </w:rPr>
      </w:pPr>
      <w:r>
        <w:rPr>
          <w:rFonts w:hint="eastAsia" w:ascii="宋体" w:hAnsi="宋体"/>
          <w:b/>
          <w:sz w:val="24"/>
        </w:rPr>
        <w:t>（六）计量单位</w:t>
      </w:r>
    </w:p>
    <w:p>
      <w:pPr>
        <w:adjustRightInd w:val="0"/>
        <w:snapToGrid w:val="0"/>
        <w:spacing w:line="360" w:lineRule="auto"/>
        <w:ind w:firstLine="523" w:firstLineChars="218"/>
        <w:rPr>
          <w:rFonts w:hint="eastAsia" w:ascii="宋体" w:hAnsi="宋体"/>
          <w:sz w:val="24"/>
        </w:rPr>
      </w:pPr>
      <w:r>
        <w:rPr>
          <w:rFonts w:hint="eastAsia" w:ascii="宋体" w:hAnsi="宋体"/>
          <w:sz w:val="24"/>
        </w:rPr>
        <w:t>招标文件有明确规定的，适用招标文件规定的计量单位；招标文件没有规定的，应采用中华人民共和国法定计量单位，否则视同未响应。</w:t>
      </w:r>
    </w:p>
    <w:p>
      <w:pPr>
        <w:adjustRightInd w:val="0"/>
        <w:snapToGrid w:val="0"/>
        <w:spacing w:line="360" w:lineRule="auto"/>
        <w:rPr>
          <w:rFonts w:hint="eastAsia" w:ascii="宋体" w:hAnsi="宋体"/>
          <w:sz w:val="24"/>
        </w:rPr>
      </w:pPr>
      <w:r>
        <w:rPr>
          <w:rFonts w:hint="eastAsia" w:ascii="宋体" w:hAnsi="宋体"/>
          <w:b/>
          <w:sz w:val="24"/>
        </w:rPr>
        <w:t>（七）转包与分包</w:t>
      </w:r>
    </w:p>
    <w:p>
      <w:pPr>
        <w:adjustRightInd w:val="0"/>
        <w:snapToGrid w:val="0"/>
        <w:spacing w:line="360" w:lineRule="auto"/>
        <w:ind w:firstLine="523" w:firstLineChars="218"/>
        <w:rPr>
          <w:rFonts w:hint="eastAsia" w:ascii="宋体" w:hAnsi="宋体"/>
          <w:sz w:val="24"/>
        </w:rPr>
      </w:pPr>
      <w:r>
        <w:rPr>
          <w:rFonts w:hint="eastAsia" w:ascii="宋体" w:hAnsi="宋体"/>
          <w:sz w:val="24"/>
        </w:rPr>
        <w:t>本项目不允许转包。本须知“前附表”规定允许分包的，投标人应当在投标文件载明分包的具体情况，应符合招标人在本须知“前附表”规定的分包内容、分包金额和接受分包的第三人资质要求等限制条件。</w:t>
      </w:r>
    </w:p>
    <w:p>
      <w:pPr>
        <w:adjustRightInd w:val="0"/>
        <w:snapToGrid w:val="0"/>
        <w:spacing w:line="360" w:lineRule="auto"/>
        <w:ind w:firstLine="610" w:firstLineChars="218"/>
        <w:rPr>
          <w:rFonts w:hint="eastAsia" w:ascii="宋体" w:hAnsi="宋体"/>
          <w:sz w:val="24"/>
        </w:rPr>
      </w:pPr>
      <w:r>
        <w:rPr>
          <w:rFonts w:ascii="宋体" w:hAnsi="宋体"/>
        </w:rPr>
        <w:t>▲享受《政府采购促进中小企业发展管理办法》的通知（财库〔2020〕46 号）的规定扶持政策 获得政府采购合同的，小微企业不得将合同分包给大中型企业，中型企业不得将合同分包给大型企业；</w:t>
      </w:r>
    </w:p>
    <w:p>
      <w:pPr>
        <w:adjustRightInd w:val="0"/>
        <w:snapToGrid w:val="0"/>
        <w:spacing w:line="360" w:lineRule="auto"/>
        <w:rPr>
          <w:rFonts w:hint="eastAsia" w:ascii="宋体" w:hAnsi="宋体"/>
          <w:b/>
          <w:sz w:val="24"/>
        </w:rPr>
      </w:pPr>
      <w:r>
        <w:rPr>
          <w:rFonts w:hint="eastAsia" w:ascii="宋体" w:hAnsi="宋体"/>
          <w:b/>
          <w:sz w:val="24"/>
        </w:rPr>
        <w:t>（八）踏勘现场</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1、若本须知“前附表”规定统一组织的，供应商应按规定的时间、地点准时出席，否则将不予单独安排。</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2、供应商踏勘现场发生的费用自理。</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3、除招标人的原因外，供应商自行负责在踏勘现场中可能发生的人员伤亡和财产损失。</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4、招标人在踏勘现场中介绍的场地和相关的周边环境情况，供应商在编制投标文件时参考，招标人不对供应商据此作出的判断和决策负责。</w:t>
      </w:r>
    </w:p>
    <w:p>
      <w:pPr>
        <w:adjustRightInd w:val="0"/>
        <w:snapToGrid w:val="0"/>
        <w:spacing w:line="360" w:lineRule="auto"/>
        <w:rPr>
          <w:rFonts w:hint="eastAsia" w:ascii="宋体" w:hAnsi="宋体"/>
          <w:b/>
          <w:sz w:val="24"/>
        </w:rPr>
      </w:pPr>
      <w:r>
        <w:rPr>
          <w:rFonts w:hint="eastAsia" w:ascii="宋体" w:hAnsi="宋体"/>
          <w:b/>
          <w:sz w:val="24"/>
        </w:rPr>
        <w:t>（九）投标预备会（答疑会）</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1、若本须知“前附表”规定召开答疑会的，招标人将按规定的时间、地点准时召开答疑会，澄清供应商提出的问题，供应商应按规定准时出席，否则将不予单独安排答疑。</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2、供应商应在答疑会时间的前一天，以书面形式将提出的问题送达招标人，以便招标人在会议期间澄清。</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3、答疑会后，招标人将按规定对供应商所提问题进行书面澄清答复。</w:t>
      </w:r>
    </w:p>
    <w:p>
      <w:pPr>
        <w:adjustRightInd w:val="0"/>
        <w:snapToGrid w:val="0"/>
        <w:spacing w:line="360" w:lineRule="auto"/>
        <w:rPr>
          <w:rFonts w:hint="eastAsia" w:ascii="宋体" w:hAnsi="宋体"/>
          <w:b/>
          <w:sz w:val="24"/>
        </w:rPr>
      </w:pPr>
      <w:r>
        <w:rPr>
          <w:rFonts w:hint="eastAsia" w:ascii="宋体" w:hAnsi="宋体"/>
          <w:b/>
          <w:sz w:val="24"/>
        </w:rPr>
        <w:t>（十）联合体投标</w:t>
      </w:r>
    </w:p>
    <w:p>
      <w:pPr>
        <w:adjustRightInd w:val="0"/>
        <w:snapToGrid w:val="0"/>
        <w:spacing w:line="360" w:lineRule="auto"/>
        <w:ind w:firstLine="523" w:firstLineChars="218"/>
        <w:rPr>
          <w:rFonts w:hint="eastAsia" w:ascii="宋体" w:hAnsi="宋体"/>
          <w:sz w:val="24"/>
        </w:rPr>
      </w:pPr>
      <w:r>
        <w:rPr>
          <w:rFonts w:hint="eastAsia" w:ascii="宋体" w:hAnsi="宋体"/>
          <w:sz w:val="24"/>
        </w:rPr>
        <w:t>若本须知“前附表”规定接受联合体投标的，应遵守以下规定：</w:t>
      </w:r>
    </w:p>
    <w:p>
      <w:pPr>
        <w:adjustRightInd w:val="0"/>
        <w:snapToGrid w:val="0"/>
        <w:spacing w:line="360" w:lineRule="auto"/>
        <w:ind w:firstLine="523" w:firstLineChars="218"/>
        <w:rPr>
          <w:rFonts w:hint="eastAsia" w:ascii="宋体" w:hAnsi="宋体"/>
          <w:sz w:val="24"/>
        </w:rPr>
      </w:pPr>
      <w:r>
        <w:rPr>
          <w:rFonts w:hint="eastAsia" w:ascii="宋体" w:hAnsi="宋体"/>
          <w:sz w:val="24"/>
        </w:rPr>
        <w:t>1、两个以上供应商可以组成一个联合体，以一个供应商的身份共同参加投标；</w:t>
      </w:r>
    </w:p>
    <w:p>
      <w:pPr>
        <w:adjustRightInd w:val="0"/>
        <w:snapToGrid w:val="0"/>
        <w:spacing w:line="360" w:lineRule="auto"/>
        <w:ind w:firstLine="523" w:firstLineChars="218"/>
        <w:rPr>
          <w:rFonts w:hint="eastAsia" w:ascii="宋体" w:hAnsi="宋体"/>
          <w:sz w:val="24"/>
        </w:rPr>
      </w:pPr>
      <w:r>
        <w:rPr>
          <w:rFonts w:hint="eastAsia" w:ascii="宋体" w:hAnsi="宋体"/>
          <w:sz w:val="24"/>
        </w:rPr>
        <w:t>2、以联合体形式参加本项目投标的，联合体的各成员均应当具备《中华人民共和国政府采购法》第二十二条第一款规定的条件同时</w:t>
      </w:r>
      <w:r>
        <w:rPr>
          <w:rFonts w:hint="eastAsia" w:ascii="宋体" w:hAnsi="宋体"/>
          <w:sz w:val="24"/>
          <w:szCs w:val="24"/>
          <w:lang w:val="zh-CN"/>
        </w:rPr>
        <w:t>未被</w:t>
      </w:r>
      <w:r>
        <w:rPr>
          <w:rFonts w:hint="eastAsia" w:ascii="宋体" w:hAnsi="宋体"/>
          <w:sz w:val="24"/>
          <w:szCs w:val="24"/>
        </w:rPr>
        <w:t>“</w:t>
      </w:r>
      <w:r>
        <w:rPr>
          <w:rFonts w:hint="eastAsia" w:ascii="宋体" w:hAnsi="宋体"/>
          <w:sz w:val="24"/>
          <w:szCs w:val="24"/>
          <w:lang w:val="zh-CN"/>
        </w:rPr>
        <w:t>信用中国</w:t>
      </w:r>
      <w:r>
        <w:rPr>
          <w:rFonts w:hint="eastAsia" w:ascii="宋体" w:hAnsi="宋体"/>
          <w:sz w:val="24"/>
          <w:szCs w:val="24"/>
        </w:rPr>
        <w:t>”</w:t>
      </w:r>
      <w:r>
        <w:rPr>
          <w:rFonts w:hint="eastAsia" w:ascii="宋体" w:hAnsi="宋体"/>
          <w:sz w:val="24"/>
          <w:szCs w:val="24"/>
          <w:lang w:val="zh-CN"/>
        </w:rPr>
        <w:t>网站</w:t>
      </w:r>
      <w:r>
        <w:rPr>
          <w:rFonts w:hint="eastAsia" w:ascii="宋体" w:hAnsi="宋体"/>
          <w:sz w:val="24"/>
          <w:szCs w:val="24"/>
        </w:rPr>
        <w:t>(</w:t>
      </w:r>
      <w:r>
        <w:rPr>
          <w:rFonts w:hint="eastAsia" w:ascii="宋体" w:hAnsi="宋体"/>
          <w:sz w:val="24"/>
          <w:szCs w:val="24"/>
          <w:lang w:val="zh-CN"/>
        </w:rPr>
        <w:fldChar w:fldCharType="begin"/>
      </w:r>
      <w:r>
        <w:rPr>
          <w:rFonts w:hint="eastAsia" w:ascii="宋体" w:hAnsi="宋体"/>
          <w:sz w:val="24"/>
          <w:szCs w:val="24"/>
        </w:rPr>
        <w:instrText xml:space="preserve"> HYPERLINK "http://www.creditchina.gov.cn" </w:instrText>
      </w:r>
      <w:r>
        <w:rPr>
          <w:rFonts w:hint="eastAsia" w:ascii="宋体" w:hAnsi="宋体"/>
          <w:sz w:val="24"/>
          <w:szCs w:val="24"/>
          <w:lang w:val="zh-CN"/>
        </w:rPr>
        <w:fldChar w:fldCharType="separate"/>
      </w:r>
      <w:r>
        <w:rPr>
          <w:rStyle w:val="96"/>
          <w:rFonts w:hint="eastAsia" w:ascii="宋体" w:hAnsi="宋体"/>
          <w:color w:val="auto"/>
          <w:sz w:val="24"/>
          <w:szCs w:val="24"/>
        </w:rPr>
        <w:t>www.creditchina.gov.cn</w:t>
      </w:r>
      <w:r>
        <w:rPr>
          <w:rFonts w:hint="eastAsia" w:ascii="宋体" w:hAnsi="宋体"/>
          <w:sz w:val="24"/>
          <w:szCs w:val="24"/>
          <w:lang w:val="zh-CN"/>
        </w:rPr>
        <w:fldChar w:fldCharType="end"/>
      </w:r>
      <w:r>
        <w:rPr>
          <w:rFonts w:hint="eastAsia" w:ascii="宋体" w:hAnsi="宋体"/>
          <w:sz w:val="24"/>
          <w:szCs w:val="24"/>
        </w:rPr>
        <w:t>)</w:t>
      </w:r>
      <w:r>
        <w:rPr>
          <w:rFonts w:hint="eastAsia" w:ascii="宋体" w:hAnsi="宋体"/>
          <w:sz w:val="24"/>
          <w:szCs w:val="24"/>
          <w:lang w:val="zh-CN"/>
        </w:rPr>
        <w:t>列入失信被执行人、重大税收违法案件当事人名单</w:t>
      </w:r>
      <w:r>
        <w:rPr>
          <w:rFonts w:hint="eastAsia" w:ascii="宋体" w:hAnsi="宋体"/>
          <w:sz w:val="24"/>
          <w:szCs w:val="24"/>
        </w:rPr>
        <w:t>；</w:t>
      </w:r>
      <w:r>
        <w:rPr>
          <w:rFonts w:hint="eastAsia" w:ascii="宋体" w:hAnsi="宋体"/>
          <w:sz w:val="24"/>
          <w:szCs w:val="24"/>
          <w:lang w:val="zh-CN"/>
        </w:rPr>
        <w:t>未被</w:t>
      </w:r>
      <w:r>
        <w:rPr>
          <w:rFonts w:hint="eastAsia" w:ascii="宋体" w:hAnsi="宋体"/>
          <w:sz w:val="24"/>
          <w:szCs w:val="24"/>
        </w:rPr>
        <w:t>“</w:t>
      </w:r>
      <w:r>
        <w:rPr>
          <w:rFonts w:hint="eastAsia" w:ascii="宋体" w:hAnsi="宋体"/>
          <w:sz w:val="24"/>
          <w:szCs w:val="24"/>
          <w:lang w:val="zh-CN"/>
        </w:rPr>
        <w:t>中国政府采购网</w:t>
      </w:r>
      <w:r>
        <w:rPr>
          <w:rFonts w:hint="eastAsia" w:ascii="宋体" w:hAnsi="宋体"/>
          <w:sz w:val="24"/>
          <w:szCs w:val="24"/>
        </w:rPr>
        <w:t>”(</w:t>
      </w:r>
      <w:r>
        <w:rPr>
          <w:rFonts w:hint="eastAsia" w:ascii="宋体" w:hAnsi="宋体"/>
          <w:sz w:val="24"/>
          <w:szCs w:val="24"/>
          <w:lang w:val="zh-CN"/>
        </w:rPr>
        <w:fldChar w:fldCharType="begin"/>
      </w:r>
      <w:r>
        <w:rPr>
          <w:rFonts w:hint="eastAsia" w:ascii="宋体" w:hAnsi="宋体"/>
          <w:sz w:val="24"/>
          <w:szCs w:val="24"/>
        </w:rPr>
        <w:instrText xml:space="preserve"> HYPERLINK "http://www.ccgp.gov.cn" </w:instrText>
      </w:r>
      <w:r>
        <w:rPr>
          <w:rFonts w:hint="eastAsia" w:ascii="宋体" w:hAnsi="宋体"/>
          <w:sz w:val="24"/>
          <w:szCs w:val="24"/>
          <w:lang w:val="zh-CN"/>
        </w:rPr>
        <w:fldChar w:fldCharType="separate"/>
      </w:r>
      <w:r>
        <w:rPr>
          <w:rStyle w:val="96"/>
          <w:rFonts w:hint="eastAsia" w:ascii="宋体" w:hAnsi="宋体"/>
          <w:color w:val="auto"/>
          <w:sz w:val="24"/>
          <w:szCs w:val="24"/>
        </w:rPr>
        <w:t>www.ccgp.gov.cn</w:t>
      </w:r>
      <w:r>
        <w:rPr>
          <w:rFonts w:hint="eastAsia" w:ascii="宋体" w:hAnsi="宋体"/>
          <w:sz w:val="24"/>
          <w:szCs w:val="24"/>
          <w:lang w:val="zh-CN"/>
        </w:rPr>
        <w:fldChar w:fldCharType="end"/>
      </w:r>
      <w:r>
        <w:rPr>
          <w:rFonts w:hint="eastAsia" w:ascii="宋体" w:hAnsi="宋体"/>
          <w:sz w:val="24"/>
          <w:szCs w:val="24"/>
        </w:rPr>
        <w:t>)</w:t>
      </w:r>
      <w:r>
        <w:rPr>
          <w:rFonts w:hint="eastAsia" w:ascii="宋体" w:hAnsi="宋体"/>
          <w:sz w:val="24"/>
          <w:szCs w:val="24"/>
          <w:lang w:val="zh-CN"/>
        </w:rPr>
        <w:t>列入政府采购严重违法失信行为记录名单</w:t>
      </w:r>
      <w:r>
        <w:rPr>
          <w:rFonts w:hint="eastAsia" w:ascii="宋体" w:hAnsi="宋体"/>
          <w:sz w:val="24"/>
        </w:rPr>
        <w:t>，联合体各方中至少应当有一方符合招标人规定的特定条件。如由同一专业的供应商组成联合体的，评审时以资质最低的一方为依据；</w:t>
      </w:r>
    </w:p>
    <w:p>
      <w:pPr>
        <w:adjustRightInd w:val="0"/>
        <w:snapToGrid w:val="0"/>
        <w:spacing w:line="360" w:lineRule="auto"/>
        <w:ind w:firstLine="523" w:firstLineChars="218"/>
        <w:rPr>
          <w:rFonts w:hint="eastAsia" w:ascii="宋体" w:hAnsi="宋体"/>
          <w:sz w:val="24"/>
        </w:rPr>
      </w:pPr>
      <w:r>
        <w:rPr>
          <w:rFonts w:hint="eastAsia" w:ascii="宋体" w:hAnsi="宋体"/>
          <w:sz w:val="24"/>
        </w:rPr>
        <w:t>3、联合体各方之间须签订投标联合协议（成员中有小微企业或监狱企业的须附相应声明函），明确约定联合体各方承担的工作和相应的责任以及各方的协议合同金额比例，在投标联合协议中指定本项目主办人，并将投标联合协议作为投标文件组成的一部分；本项目的主体、关键性工作须由主办人完成，并在投标联合协议中进行说明；</w:t>
      </w:r>
    </w:p>
    <w:p>
      <w:pPr>
        <w:adjustRightInd w:val="0"/>
        <w:snapToGrid w:val="0"/>
        <w:spacing w:line="360" w:lineRule="auto"/>
        <w:ind w:firstLine="523" w:firstLineChars="218"/>
        <w:rPr>
          <w:rFonts w:hint="eastAsia" w:ascii="宋体" w:hAnsi="宋体"/>
          <w:sz w:val="24"/>
        </w:rPr>
      </w:pPr>
      <w:r>
        <w:rPr>
          <w:rFonts w:hint="eastAsia" w:ascii="宋体" w:hAnsi="宋体"/>
          <w:sz w:val="24"/>
        </w:rPr>
        <w:t>4、联合体各方签订投标联合协议后，不得再以自己名义单独在本项目中参加投标，也不得组成新的联合体参加本项目投标；</w:t>
      </w:r>
    </w:p>
    <w:p>
      <w:pPr>
        <w:adjustRightInd w:val="0"/>
        <w:snapToGrid w:val="0"/>
        <w:spacing w:line="360" w:lineRule="auto"/>
        <w:ind w:firstLine="523" w:firstLineChars="218"/>
        <w:rPr>
          <w:rFonts w:hint="eastAsia" w:ascii="宋体" w:hAnsi="宋体"/>
          <w:sz w:val="24"/>
        </w:rPr>
      </w:pPr>
      <w:r>
        <w:rPr>
          <w:rFonts w:hint="eastAsia" w:ascii="宋体" w:hAnsi="宋体"/>
          <w:sz w:val="24"/>
        </w:rPr>
        <w:t>5、联合体各方共同与招标人签订采购合同，就采购合同约定的事项对招标人承担连带责任。</w:t>
      </w:r>
    </w:p>
    <w:p>
      <w:pPr>
        <w:adjustRightInd w:val="0"/>
        <w:snapToGrid w:val="0"/>
        <w:spacing w:line="360" w:lineRule="auto"/>
        <w:rPr>
          <w:rFonts w:hint="eastAsia" w:ascii="宋体" w:hAnsi="宋体"/>
          <w:sz w:val="24"/>
        </w:rPr>
      </w:pPr>
      <w:r>
        <w:rPr>
          <w:rFonts w:hint="eastAsia" w:ascii="宋体" w:hAnsi="宋体"/>
          <w:b/>
          <w:sz w:val="24"/>
        </w:rPr>
        <w:t>（十一）对供应商的限制</w:t>
      </w:r>
    </w:p>
    <w:p>
      <w:pPr>
        <w:adjustRightInd w:val="0"/>
        <w:snapToGrid w:val="0"/>
        <w:spacing w:line="360" w:lineRule="auto"/>
        <w:ind w:firstLine="523" w:firstLineChars="218"/>
        <w:rPr>
          <w:rFonts w:hint="eastAsia" w:ascii="宋体" w:hAnsi="宋体"/>
          <w:sz w:val="24"/>
        </w:rPr>
      </w:pPr>
      <w:r>
        <w:rPr>
          <w:rFonts w:hint="eastAsia" w:ascii="宋体" w:hAnsi="宋体"/>
          <w:sz w:val="24"/>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adjustRightInd w:val="0"/>
        <w:snapToGrid w:val="0"/>
        <w:spacing w:line="360" w:lineRule="auto"/>
        <w:ind w:firstLine="523" w:firstLineChars="218"/>
        <w:rPr>
          <w:rFonts w:hint="eastAsia" w:ascii="宋体" w:hAnsi="宋体"/>
          <w:sz w:val="24"/>
        </w:rPr>
      </w:pPr>
      <w:r>
        <w:rPr>
          <w:rFonts w:hint="eastAsia" w:ascii="宋体" w:hAnsi="宋体"/>
          <w:sz w:val="24"/>
        </w:rPr>
        <w:t>2、为本项目提供过整体设计、规范编制或者项目管理、监理、检测等服务的供应商，不得再参加该采购项目的其他采购活动（不包括为该项目提供整体设计、规范编制或者项目管理、监理、检测等服务）。</w:t>
      </w:r>
    </w:p>
    <w:p>
      <w:pPr>
        <w:adjustRightInd w:val="0"/>
        <w:snapToGrid w:val="0"/>
        <w:spacing w:line="360" w:lineRule="auto"/>
        <w:ind w:firstLine="523" w:firstLineChars="218"/>
        <w:rPr>
          <w:rFonts w:hint="eastAsia" w:ascii="宋体" w:hAnsi="宋体"/>
          <w:sz w:val="24"/>
        </w:rPr>
      </w:pPr>
      <w:r>
        <w:rPr>
          <w:rFonts w:hint="eastAsia" w:ascii="宋体" w:hAnsi="宋体"/>
          <w:sz w:val="24"/>
        </w:rPr>
        <w:t>3、以联合体形式参加政府采购活动的，联合体各方不得再单独参加或者与其他供应商另外组成联合体参加同一合同项下的政府采购活动。</w:t>
      </w:r>
    </w:p>
    <w:p>
      <w:pPr>
        <w:spacing w:line="360" w:lineRule="auto"/>
        <w:ind w:firstLine="480" w:firstLineChars="200"/>
        <w:rPr>
          <w:rFonts w:hint="eastAsia" w:ascii="宋体" w:hAnsi="宋体"/>
          <w:sz w:val="24"/>
          <w:szCs w:val="24"/>
        </w:rPr>
      </w:pPr>
      <w:r>
        <w:rPr>
          <w:rFonts w:hint="eastAsia" w:ascii="宋体" w:hAnsi="宋体"/>
          <w:sz w:val="24"/>
          <w:szCs w:val="24"/>
        </w:rPr>
        <w:t>4、为证明投标人拥有的业绩、荣誉、知识产权、项目案例等而在投标文件中提供的证明材料必须为投标人自身所有。不同法人、其他组织的资料与投标人无关。</w:t>
      </w:r>
    </w:p>
    <w:p>
      <w:pPr>
        <w:spacing w:line="360" w:lineRule="auto"/>
        <w:ind w:firstLine="480" w:firstLineChars="200"/>
        <w:rPr>
          <w:rFonts w:hint="eastAsia" w:ascii="宋体" w:hAnsi="宋体"/>
          <w:sz w:val="24"/>
          <w:szCs w:val="24"/>
        </w:rPr>
      </w:pPr>
      <w:r>
        <w:rPr>
          <w:rFonts w:hint="eastAsia" w:ascii="宋体" w:hAnsi="宋体"/>
          <w:sz w:val="24"/>
          <w:szCs w:val="24"/>
        </w:rPr>
        <w:t>5、供应商之间的利害关系：</w:t>
      </w:r>
    </w:p>
    <w:p>
      <w:pPr>
        <w:spacing w:line="360" w:lineRule="auto"/>
        <w:ind w:firstLine="480" w:firstLineChars="200"/>
        <w:rPr>
          <w:rFonts w:hint="eastAsia" w:ascii="宋体" w:hAnsi="宋体"/>
          <w:sz w:val="24"/>
          <w:szCs w:val="24"/>
        </w:rPr>
      </w:pPr>
      <w:r>
        <w:rPr>
          <w:rFonts w:hint="eastAsia" w:ascii="宋体" w:hAnsi="宋体"/>
          <w:sz w:val="24"/>
          <w:szCs w:val="24"/>
        </w:rPr>
        <w:t xml:space="preserve">（1）法定代表人或负责人或实际控制人是夫妻关系； </w:t>
      </w:r>
    </w:p>
    <w:p>
      <w:pPr>
        <w:spacing w:line="360" w:lineRule="auto"/>
        <w:ind w:firstLine="480" w:firstLineChars="200"/>
        <w:rPr>
          <w:rFonts w:hint="eastAsia" w:ascii="宋体" w:hAnsi="宋体"/>
          <w:sz w:val="24"/>
          <w:szCs w:val="24"/>
        </w:rPr>
      </w:pPr>
      <w:r>
        <w:rPr>
          <w:rFonts w:hint="eastAsia" w:ascii="宋体" w:hAnsi="宋体"/>
          <w:sz w:val="24"/>
          <w:szCs w:val="24"/>
        </w:rPr>
        <w:t xml:space="preserve">（2）法定代表人或负责人或实际控制人是直系血亲关系； </w:t>
      </w:r>
    </w:p>
    <w:p>
      <w:pPr>
        <w:spacing w:line="360" w:lineRule="auto"/>
        <w:ind w:firstLine="480" w:firstLineChars="200"/>
        <w:rPr>
          <w:rFonts w:hint="eastAsia" w:ascii="宋体" w:hAnsi="宋体"/>
          <w:sz w:val="24"/>
          <w:szCs w:val="24"/>
        </w:rPr>
      </w:pPr>
      <w:r>
        <w:rPr>
          <w:rFonts w:hint="eastAsia" w:ascii="宋体" w:hAnsi="宋体"/>
          <w:sz w:val="24"/>
          <w:szCs w:val="24"/>
        </w:rPr>
        <w:t xml:space="preserve">（3）法定代表人或负责人或实际控制人存在三代以内旁系血亲关系； </w:t>
      </w:r>
    </w:p>
    <w:p>
      <w:pPr>
        <w:spacing w:line="360" w:lineRule="auto"/>
        <w:ind w:firstLine="480" w:firstLineChars="200"/>
        <w:rPr>
          <w:rFonts w:hint="eastAsia" w:ascii="宋体" w:hAnsi="宋体"/>
          <w:sz w:val="24"/>
          <w:szCs w:val="24"/>
        </w:rPr>
      </w:pPr>
      <w:r>
        <w:rPr>
          <w:rFonts w:hint="eastAsia" w:ascii="宋体" w:hAnsi="宋体"/>
          <w:sz w:val="24"/>
          <w:szCs w:val="24"/>
        </w:rPr>
        <w:t xml:space="preserve">（4）法定代表人或负责人或实际控制人存在近姻亲关系； </w:t>
      </w:r>
    </w:p>
    <w:p>
      <w:pPr>
        <w:spacing w:line="360" w:lineRule="auto"/>
        <w:ind w:firstLine="480" w:firstLineChars="200"/>
        <w:rPr>
          <w:rFonts w:hint="eastAsia" w:ascii="宋体" w:hAnsi="宋体"/>
          <w:sz w:val="24"/>
          <w:szCs w:val="24"/>
        </w:rPr>
      </w:pPr>
      <w:r>
        <w:rPr>
          <w:rFonts w:hint="eastAsia" w:ascii="宋体" w:hAnsi="宋体"/>
          <w:sz w:val="24"/>
          <w:szCs w:val="24"/>
        </w:rPr>
        <w:t xml:space="preserve">（5）法定代表人或负责人或实际控制人存在股份控制或实际控制关系； </w:t>
      </w:r>
    </w:p>
    <w:p>
      <w:pPr>
        <w:spacing w:line="360" w:lineRule="auto"/>
        <w:ind w:firstLine="480" w:firstLineChars="200"/>
        <w:rPr>
          <w:rFonts w:hint="eastAsia" w:ascii="宋体" w:hAnsi="宋体"/>
          <w:sz w:val="24"/>
          <w:szCs w:val="24"/>
        </w:rPr>
      </w:pPr>
      <w:r>
        <w:rPr>
          <w:rFonts w:hint="eastAsia" w:ascii="宋体" w:hAnsi="宋体"/>
          <w:sz w:val="24"/>
          <w:szCs w:val="24"/>
        </w:rPr>
        <w:t xml:space="preserve">（6）存在共同直接或间接投资设立子公司、联营企业和合营企业情况； </w:t>
      </w:r>
    </w:p>
    <w:p>
      <w:pPr>
        <w:spacing w:line="360" w:lineRule="auto"/>
        <w:ind w:firstLine="480" w:firstLineChars="200"/>
        <w:rPr>
          <w:rFonts w:hint="eastAsia" w:ascii="宋体" w:hAnsi="宋体"/>
          <w:sz w:val="24"/>
          <w:szCs w:val="24"/>
        </w:rPr>
      </w:pPr>
      <w:r>
        <w:rPr>
          <w:rFonts w:hint="eastAsia" w:ascii="宋体" w:hAnsi="宋体"/>
          <w:sz w:val="24"/>
          <w:szCs w:val="24"/>
        </w:rPr>
        <w:t xml:space="preserve">（7）存在分级代理或代销关系、同一生产制造商关系、管理关系、重要业务（占主营业务收入 50%以 上）或重要财务往来关系（如融资）等其他实质性控制关系； 如供应商之间存在以上利害关系并且存在影响政府采购公平竞争的行为的相关供应商的投标均无效。 </w:t>
      </w:r>
    </w:p>
    <w:p>
      <w:pPr>
        <w:spacing w:line="360" w:lineRule="auto"/>
        <w:ind w:firstLine="480" w:firstLineChars="200"/>
        <w:rPr>
          <w:rFonts w:hint="eastAsia" w:ascii="宋体" w:hAnsi="宋体"/>
          <w:sz w:val="24"/>
          <w:szCs w:val="24"/>
        </w:rPr>
      </w:pPr>
      <w:r>
        <w:rPr>
          <w:rFonts w:hint="eastAsia" w:ascii="宋体" w:hAnsi="宋体"/>
          <w:sz w:val="24"/>
          <w:szCs w:val="24"/>
        </w:rPr>
        <w:t>6、招标人将根据采购项目实际需求确定核心产品，并在采购文件第三部分“项目技术及服务要求” 中明确标注（货物项目）。</w:t>
      </w:r>
    </w:p>
    <w:p>
      <w:pPr>
        <w:spacing w:line="360" w:lineRule="auto"/>
        <w:ind w:firstLine="480" w:firstLineChars="200"/>
        <w:rPr>
          <w:rFonts w:hint="eastAsia" w:ascii="宋体" w:hAnsi="宋体"/>
          <w:sz w:val="24"/>
          <w:szCs w:val="24"/>
        </w:rPr>
      </w:pPr>
      <w:r>
        <w:rPr>
          <w:rFonts w:hint="eastAsia" w:ascii="宋体" w:hAnsi="宋体"/>
          <w:sz w:val="24"/>
          <w:szCs w:val="24"/>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spacing w:line="360" w:lineRule="auto"/>
        <w:ind w:firstLine="480" w:firstLineChars="200"/>
        <w:rPr>
          <w:rFonts w:hint="eastAsia" w:ascii="宋体" w:hAnsi="宋体"/>
          <w:sz w:val="24"/>
          <w:szCs w:val="24"/>
        </w:rPr>
      </w:pPr>
      <w:r>
        <w:rPr>
          <w:rFonts w:hint="eastAsia" w:ascii="宋体" w:hAnsi="宋体"/>
          <w:sz w:val="24"/>
          <w:szCs w:val="24"/>
        </w:rPr>
        <w:t>（2）使用综合评分法的采购项目，提供相同品牌产品（含核心产品）且通过资格审查、符合性审查的不同投标人参加同一合同项下投标的，按一家投标人计算，评审后最终得分最高的同品牌（含核心产品） 投标人获得中标人推荐资格；</w:t>
      </w:r>
      <w:r>
        <w:rPr>
          <w:rFonts w:ascii="宋体" w:hAnsi="宋体"/>
          <w:sz w:val="24"/>
          <w:szCs w:val="24"/>
        </w:rPr>
        <w:t>评审得分相同的，商务、技术部分得分最高的投标人获得中标候选人推荐资格，其他同品牌投标人不作为中标候选人。</w:t>
      </w:r>
    </w:p>
    <w:p>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非单一产品采购项目，招标人</w:t>
      </w:r>
      <w:r>
        <w:rPr>
          <w:rFonts w:hint="eastAsia" w:ascii="宋体" w:hAnsi="宋体"/>
          <w:sz w:val="24"/>
        </w:rPr>
        <w:t>已在招标文件中</w:t>
      </w:r>
      <w:r>
        <w:rPr>
          <w:rFonts w:ascii="宋体" w:hAnsi="宋体"/>
          <w:sz w:val="24"/>
        </w:rPr>
        <w:t>确定</w:t>
      </w:r>
      <w:r>
        <w:rPr>
          <w:rFonts w:hint="eastAsia" w:ascii="宋体" w:hAnsi="宋体"/>
          <w:sz w:val="24"/>
        </w:rPr>
        <w:t>了</w:t>
      </w:r>
      <w:r>
        <w:rPr>
          <w:rFonts w:ascii="宋体" w:hAnsi="宋体"/>
          <w:sz w:val="24"/>
        </w:rPr>
        <w:t>核心产品。多家投标人提供的核心产品品牌相同的，按前两款规定处理。</w:t>
      </w:r>
    </w:p>
    <w:p>
      <w:pPr>
        <w:adjustRightInd w:val="0"/>
        <w:snapToGrid w:val="0"/>
        <w:spacing w:line="360" w:lineRule="auto"/>
        <w:ind w:firstLine="523" w:firstLineChars="218"/>
        <w:rPr>
          <w:rFonts w:hint="eastAsia" w:ascii="宋体" w:hAnsi="宋体"/>
          <w:sz w:val="24"/>
        </w:rPr>
      </w:pPr>
      <w:r>
        <w:rPr>
          <w:rFonts w:hint="eastAsia" w:ascii="宋体" w:hAnsi="宋体"/>
          <w:sz w:val="24"/>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adjustRightInd w:val="0"/>
        <w:snapToGrid w:val="0"/>
        <w:spacing w:line="360" w:lineRule="auto"/>
        <w:ind w:firstLine="523" w:firstLineChars="218"/>
        <w:rPr>
          <w:rFonts w:hint="eastAsia" w:ascii="宋体" w:hAnsi="宋体"/>
          <w:sz w:val="24"/>
        </w:rPr>
      </w:pPr>
      <w:r>
        <w:rPr>
          <w:rFonts w:hint="eastAsia" w:ascii="宋体" w:hAnsi="宋体"/>
          <w:sz w:val="24"/>
        </w:rPr>
        <w:t>8、招标公告中明确专门面向小微企业采购的项目，只能由小企业或微型企业参加。</w:t>
      </w:r>
    </w:p>
    <w:p>
      <w:pPr>
        <w:pStyle w:val="45"/>
        <w:adjustRightInd w:val="0"/>
        <w:snapToGrid w:val="0"/>
        <w:spacing w:line="360" w:lineRule="auto"/>
        <w:ind w:firstLine="544" w:firstLineChars="227"/>
        <w:rPr>
          <w:rFonts w:hint="eastAsia" w:hAnsi="宋体"/>
          <w:sz w:val="24"/>
          <w:szCs w:val="24"/>
        </w:rPr>
      </w:pPr>
      <w:r>
        <w:rPr>
          <w:rFonts w:hint="eastAsia" w:hAnsi="宋体"/>
          <w:sz w:val="24"/>
        </w:rPr>
        <w:t>9、</w:t>
      </w:r>
      <w:r>
        <w:rPr>
          <w:rFonts w:hint="eastAsia" w:hAnsi="宋体"/>
          <w:sz w:val="24"/>
          <w:szCs w:val="24"/>
          <w:lang w:val="zh-CN"/>
        </w:rPr>
        <w:t>投标截止前被</w:t>
      </w:r>
      <w:r>
        <w:rPr>
          <w:rFonts w:hint="eastAsia" w:hAnsi="宋体"/>
          <w:sz w:val="24"/>
          <w:szCs w:val="24"/>
        </w:rPr>
        <w:t>“</w:t>
      </w:r>
      <w:r>
        <w:rPr>
          <w:rFonts w:hint="eastAsia" w:hAnsi="宋体"/>
          <w:sz w:val="24"/>
          <w:szCs w:val="24"/>
          <w:lang w:val="zh-CN"/>
        </w:rPr>
        <w:t>信用中国</w:t>
      </w:r>
      <w:r>
        <w:rPr>
          <w:rFonts w:hint="eastAsia" w:hAnsi="宋体"/>
          <w:sz w:val="24"/>
          <w:szCs w:val="24"/>
        </w:rPr>
        <w:t>”</w:t>
      </w:r>
      <w:r>
        <w:rPr>
          <w:rFonts w:hint="eastAsia" w:hAnsi="宋体"/>
          <w:sz w:val="24"/>
          <w:szCs w:val="24"/>
          <w:lang w:val="zh-CN"/>
        </w:rPr>
        <w:t>网站</w:t>
      </w:r>
      <w:r>
        <w:rPr>
          <w:rFonts w:hint="eastAsia" w:hAnsi="宋体"/>
          <w:sz w:val="24"/>
          <w:szCs w:val="24"/>
        </w:rPr>
        <w:t>(</w:t>
      </w:r>
      <w:r>
        <w:rPr>
          <w:rFonts w:hint="eastAsia" w:hAnsi="宋体"/>
          <w:sz w:val="24"/>
          <w:szCs w:val="24"/>
          <w:lang w:val="zh-CN"/>
        </w:rPr>
        <w:fldChar w:fldCharType="begin"/>
      </w:r>
      <w:r>
        <w:rPr>
          <w:rFonts w:hint="eastAsia" w:hAnsi="宋体"/>
          <w:sz w:val="24"/>
          <w:szCs w:val="24"/>
        </w:rPr>
        <w:instrText xml:space="preserve"> HYPERLINK "http://www.creditchina.gov.cn" </w:instrText>
      </w:r>
      <w:r>
        <w:rPr>
          <w:rFonts w:hint="eastAsia" w:hAnsi="宋体"/>
          <w:sz w:val="24"/>
          <w:szCs w:val="24"/>
          <w:lang w:val="zh-CN"/>
        </w:rPr>
        <w:fldChar w:fldCharType="separate"/>
      </w:r>
      <w:r>
        <w:rPr>
          <w:rStyle w:val="96"/>
          <w:rFonts w:hint="eastAsia" w:hAnsi="宋体"/>
          <w:color w:val="auto"/>
          <w:sz w:val="24"/>
          <w:szCs w:val="24"/>
        </w:rPr>
        <w:t>www.creditchina.gov.cn</w:t>
      </w:r>
      <w:r>
        <w:rPr>
          <w:rFonts w:hint="eastAsia" w:hAnsi="宋体"/>
          <w:sz w:val="24"/>
          <w:szCs w:val="24"/>
          <w:lang w:val="zh-CN"/>
        </w:rPr>
        <w:fldChar w:fldCharType="end"/>
      </w:r>
      <w:r>
        <w:rPr>
          <w:rFonts w:hint="eastAsia" w:hAnsi="宋体"/>
          <w:sz w:val="24"/>
          <w:szCs w:val="24"/>
        </w:rPr>
        <w:t>)</w:t>
      </w:r>
      <w:r>
        <w:rPr>
          <w:rFonts w:hint="eastAsia" w:hAnsi="宋体"/>
          <w:sz w:val="24"/>
          <w:szCs w:val="24"/>
          <w:lang w:val="zh-CN"/>
        </w:rPr>
        <w:t>列入失信被执行人、重大税收违法案件当事人名单或被</w:t>
      </w:r>
      <w:r>
        <w:rPr>
          <w:rFonts w:hint="eastAsia" w:hAnsi="宋体"/>
          <w:sz w:val="24"/>
          <w:szCs w:val="24"/>
        </w:rPr>
        <w:t>“</w:t>
      </w:r>
      <w:r>
        <w:rPr>
          <w:rFonts w:hint="eastAsia" w:hAnsi="宋体"/>
          <w:sz w:val="24"/>
          <w:szCs w:val="24"/>
          <w:lang w:val="zh-CN"/>
        </w:rPr>
        <w:t>中国政府采购网</w:t>
      </w:r>
      <w:r>
        <w:rPr>
          <w:rFonts w:hint="eastAsia" w:hAnsi="宋体"/>
          <w:sz w:val="24"/>
          <w:szCs w:val="24"/>
        </w:rPr>
        <w:t>”(</w:t>
      </w:r>
      <w:r>
        <w:rPr>
          <w:rFonts w:hint="eastAsia" w:hAnsi="宋体"/>
          <w:sz w:val="24"/>
          <w:szCs w:val="24"/>
          <w:lang w:val="zh-CN"/>
        </w:rPr>
        <w:fldChar w:fldCharType="begin"/>
      </w:r>
      <w:r>
        <w:rPr>
          <w:rFonts w:hint="eastAsia" w:hAnsi="宋体"/>
          <w:sz w:val="24"/>
          <w:szCs w:val="24"/>
        </w:rPr>
        <w:instrText xml:space="preserve"> HYPERLINK "http://www.ccgp.gov.cn" </w:instrText>
      </w:r>
      <w:r>
        <w:rPr>
          <w:rFonts w:hint="eastAsia" w:hAnsi="宋体"/>
          <w:sz w:val="24"/>
          <w:szCs w:val="24"/>
          <w:lang w:val="zh-CN"/>
        </w:rPr>
        <w:fldChar w:fldCharType="separate"/>
      </w:r>
      <w:r>
        <w:rPr>
          <w:rStyle w:val="96"/>
          <w:rFonts w:hint="eastAsia" w:hAnsi="宋体"/>
          <w:color w:val="auto"/>
          <w:sz w:val="24"/>
          <w:szCs w:val="24"/>
        </w:rPr>
        <w:t>www.ccgp.gov.cn</w:t>
      </w:r>
      <w:r>
        <w:rPr>
          <w:rFonts w:hint="eastAsia" w:hAnsi="宋体"/>
          <w:sz w:val="24"/>
          <w:szCs w:val="24"/>
          <w:lang w:val="zh-CN"/>
        </w:rPr>
        <w:fldChar w:fldCharType="end"/>
      </w:r>
      <w:r>
        <w:rPr>
          <w:rFonts w:hint="eastAsia" w:hAnsi="宋体"/>
          <w:sz w:val="24"/>
          <w:szCs w:val="24"/>
        </w:rPr>
        <w:t>)</w:t>
      </w:r>
      <w:r>
        <w:rPr>
          <w:rFonts w:hint="eastAsia" w:hAnsi="宋体"/>
          <w:sz w:val="24"/>
          <w:szCs w:val="24"/>
          <w:lang w:val="zh-CN"/>
        </w:rPr>
        <w:t>列入政府采购严重违法失信行为记录名单等存在不良信用记录的供应商将被拒绝参加本项目采购活动。具体以投标截止当日招标代理机构在上述两个网站上查询到的信息为准。</w:t>
      </w:r>
    </w:p>
    <w:p>
      <w:pPr>
        <w:pStyle w:val="45"/>
        <w:adjustRightInd w:val="0"/>
        <w:snapToGrid w:val="0"/>
        <w:spacing w:line="360" w:lineRule="auto"/>
        <w:ind w:firstLine="544" w:firstLineChars="227"/>
        <w:rPr>
          <w:rFonts w:hint="eastAsia" w:hAnsi="宋体"/>
          <w:sz w:val="24"/>
        </w:rPr>
      </w:pPr>
      <w:r>
        <w:rPr>
          <w:rFonts w:hint="eastAsia" w:hAnsi="宋体"/>
          <w:sz w:val="24"/>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360" w:lineRule="auto"/>
        <w:rPr>
          <w:rFonts w:hint="eastAsia" w:ascii="宋体" w:hAnsi="宋体"/>
          <w:b/>
          <w:sz w:val="24"/>
        </w:rPr>
      </w:pPr>
      <w:r>
        <w:rPr>
          <w:rFonts w:hint="eastAsia" w:ascii="宋体" w:hAnsi="宋体"/>
          <w:b/>
          <w:sz w:val="24"/>
        </w:rPr>
        <w:t>（十二）质疑与投诉</w:t>
      </w:r>
    </w:p>
    <w:p>
      <w:pPr>
        <w:pStyle w:val="45"/>
        <w:adjustRightInd w:val="0"/>
        <w:snapToGrid w:val="0"/>
        <w:spacing w:line="360" w:lineRule="auto"/>
        <w:ind w:firstLine="544" w:firstLineChars="227"/>
        <w:rPr>
          <w:rFonts w:hint="eastAsia" w:hAnsi="宋体"/>
          <w:sz w:val="24"/>
        </w:rPr>
      </w:pPr>
      <w:r>
        <w:rPr>
          <w:rFonts w:hint="eastAsia" w:hAnsi="宋体"/>
          <w:sz w:val="24"/>
        </w:rPr>
        <w:t>1、供应商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pStyle w:val="45"/>
        <w:adjustRightInd w:val="0"/>
        <w:snapToGrid w:val="0"/>
        <w:spacing w:line="360" w:lineRule="auto"/>
        <w:ind w:firstLine="544" w:firstLineChars="227"/>
        <w:rPr>
          <w:rFonts w:hint="eastAsia" w:hAnsi="宋体"/>
          <w:sz w:val="24"/>
        </w:rPr>
      </w:pPr>
      <w:r>
        <w:rPr>
          <w:rFonts w:hint="eastAsia" w:hAnsi="宋体"/>
          <w:sz w:val="24"/>
        </w:rPr>
        <w:t>（1）对招标文件提出质疑的，为自获取招标文件之日或者招标文件公告期限届满之日（在招标文件公告期限届满后获取招标文件的，以招标文件公告期限届满之日为准）起；</w:t>
      </w:r>
    </w:p>
    <w:p>
      <w:pPr>
        <w:pStyle w:val="45"/>
        <w:adjustRightInd w:val="0"/>
        <w:snapToGrid w:val="0"/>
        <w:spacing w:line="360" w:lineRule="auto"/>
        <w:ind w:firstLine="544" w:firstLineChars="227"/>
        <w:rPr>
          <w:rFonts w:hint="eastAsia" w:hAnsi="宋体"/>
          <w:sz w:val="24"/>
        </w:rPr>
      </w:pPr>
      <w:r>
        <w:rPr>
          <w:rFonts w:hint="eastAsia" w:hAnsi="宋体"/>
          <w:sz w:val="24"/>
        </w:rPr>
        <w:t>（2）对采购过程提出质疑的，为各招标程序环节结束之日；</w:t>
      </w:r>
    </w:p>
    <w:p>
      <w:pPr>
        <w:pStyle w:val="45"/>
        <w:adjustRightInd w:val="0"/>
        <w:snapToGrid w:val="0"/>
        <w:spacing w:line="360" w:lineRule="auto"/>
        <w:ind w:firstLine="544" w:firstLineChars="227"/>
        <w:rPr>
          <w:rFonts w:hint="eastAsia" w:hAnsi="宋体"/>
          <w:sz w:val="24"/>
        </w:rPr>
      </w:pPr>
      <w:r>
        <w:rPr>
          <w:rFonts w:hint="eastAsia" w:hAnsi="宋体"/>
          <w:sz w:val="24"/>
        </w:rPr>
        <w:t>（3）对评标结果提出质疑的，为中标结果公告期限届满之日（公告期限为公告发布后1个工作日，不含发布当日）。</w:t>
      </w:r>
    </w:p>
    <w:p>
      <w:pPr>
        <w:adjustRightInd w:val="0"/>
        <w:snapToGrid w:val="0"/>
        <w:spacing w:line="360" w:lineRule="auto"/>
        <w:ind w:firstLine="480" w:firstLineChars="200"/>
        <w:rPr>
          <w:rFonts w:hint="eastAsia" w:ascii="宋体" w:hAnsi="宋体"/>
          <w:sz w:val="24"/>
        </w:rPr>
      </w:pPr>
      <w:r>
        <w:rPr>
          <w:rFonts w:hint="eastAsia" w:ascii="宋体" w:hAnsi="宋体"/>
          <w:sz w:val="24"/>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adjustRightInd w:val="0"/>
        <w:snapToGrid w:val="0"/>
        <w:spacing w:line="360" w:lineRule="auto"/>
        <w:ind w:firstLine="480" w:firstLineChars="200"/>
        <w:rPr>
          <w:rFonts w:hint="eastAsia" w:ascii="宋体" w:hAnsi="宋体"/>
          <w:sz w:val="24"/>
        </w:rPr>
      </w:pPr>
      <w:r>
        <w:rPr>
          <w:rFonts w:hint="eastAsia" w:ascii="宋体" w:hAnsi="宋体"/>
          <w:sz w:val="24"/>
        </w:rPr>
        <w:t>3、质疑（投诉）函应载明质疑（投诉）人全称、地址、邮编、传真、联系人、联系电话，电子邮箱；联系人必须为投标人的在职职工，须提供法定代表人授权文件、法定代表人及联系人的身份证复制件、以及投标人为该联系人缴纳的社保凭证，联系人为法定代表人的须提供法定代表人资格证明及身份证复制件；质疑（投诉）函必须有联系人署名且加盖公章，否则不予受理（一式三份）。</w:t>
      </w:r>
    </w:p>
    <w:p>
      <w:pPr>
        <w:adjustRightInd w:val="0"/>
        <w:snapToGrid w:val="0"/>
        <w:spacing w:line="360" w:lineRule="auto"/>
        <w:ind w:firstLine="480" w:firstLineChars="200"/>
        <w:rPr>
          <w:rFonts w:hint="eastAsia" w:ascii="宋体" w:hAnsi="宋体"/>
          <w:sz w:val="24"/>
        </w:rPr>
      </w:pPr>
      <w:r>
        <w:rPr>
          <w:rFonts w:hint="eastAsia" w:ascii="宋体" w:hAnsi="宋体"/>
          <w:sz w:val="24"/>
        </w:rPr>
        <w:t>4、质疑、投诉函以电子邮件或传真形式提交的，还须在提交后以邮寄的方式提交质疑书纸质原件，以实际收到原件之日作为收到质疑之日。</w:t>
      </w:r>
    </w:p>
    <w:p>
      <w:pPr>
        <w:adjustRightInd w:val="0"/>
        <w:snapToGrid w:val="0"/>
        <w:spacing w:line="360" w:lineRule="auto"/>
        <w:ind w:firstLine="480" w:firstLineChars="200"/>
        <w:rPr>
          <w:rFonts w:hint="eastAsia" w:ascii="宋体" w:hAnsi="宋体"/>
          <w:sz w:val="24"/>
        </w:rPr>
      </w:pPr>
      <w:r>
        <w:rPr>
          <w:rFonts w:hint="eastAsia" w:ascii="宋体" w:hAnsi="宋体"/>
          <w:sz w:val="24"/>
        </w:rPr>
        <w:t>5、未按上述要求提供的质疑（投诉）函，招标组织机构有权不予受理。</w:t>
      </w:r>
    </w:p>
    <w:p>
      <w:pPr>
        <w:adjustRightInd w:val="0"/>
        <w:snapToGrid w:val="0"/>
        <w:spacing w:line="360" w:lineRule="auto"/>
        <w:ind w:firstLine="480" w:firstLineChars="200"/>
        <w:rPr>
          <w:rFonts w:hint="eastAsia" w:ascii="宋体" w:hAnsi="宋体"/>
          <w:sz w:val="24"/>
        </w:rPr>
      </w:pPr>
      <w:r>
        <w:rPr>
          <w:rFonts w:hint="eastAsia" w:ascii="宋体" w:hAnsi="宋体"/>
          <w:sz w:val="24"/>
        </w:rPr>
        <w:t>6、质疑供应商对招标人、招标代理机构的答复不满意或者招标人、招标代理机构未在规定时间内作出答复的，可以在答复期满后十五个工作日内向同级采购监管部门投诉。</w:t>
      </w:r>
    </w:p>
    <w:p>
      <w:pPr>
        <w:adjustRightInd w:val="0"/>
        <w:snapToGrid w:val="0"/>
        <w:spacing w:line="360" w:lineRule="auto"/>
        <w:rPr>
          <w:rFonts w:hint="eastAsia" w:ascii="宋体" w:hAnsi="宋体"/>
          <w:sz w:val="24"/>
        </w:rPr>
      </w:pPr>
      <w:r>
        <w:rPr>
          <w:rFonts w:hint="eastAsia" w:ascii="宋体" w:hAnsi="宋体"/>
          <w:b/>
          <w:sz w:val="24"/>
        </w:rPr>
        <w:t>（十三）其他注意事项</w:t>
      </w:r>
    </w:p>
    <w:p>
      <w:pPr>
        <w:adjustRightInd w:val="0"/>
        <w:snapToGrid w:val="0"/>
        <w:spacing w:line="360" w:lineRule="auto"/>
        <w:ind w:firstLine="523" w:firstLineChars="218"/>
        <w:rPr>
          <w:rFonts w:hint="eastAsia" w:ascii="宋体" w:hAnsi="宋体"/>
          <w:sz w:val="24"/>
        </w:rPr>
      </w:pPr>
      <w:r>
        <w:rPr>
          <w:rFonts w:hint="eastAsia" w:ascii="宋体" w:hAnsi="宋体"/>
          <w:sz w:val="24"/>
        </w:rPr>
        <w:t>见本须知“前附表”，同时还需注意以下事项：</w:t>
      </w:r>
    </w:p>
    <w:p>
      <w:pPr>
        <w:adjustRightInd w:val="0"/>
        <w:snapToGrid w:val="0"/>
        <w:spacing w:line="360" w:lineRule="auto"/>
        <w:ind w:firstLine="523" w:firstLineChars="218"/>
        <w:rPr>
          <w:rFonts w:hint="eastAsia" w:ascii="宋体" w:hAnsi="宋体"/>
          <w:sz w:val="24"/>
        </w:rPr>
      </w:pPr>
      <w:r>
        <w:rPr>
          <w:rFonts w:hint="eastAsia" w:ascii="宋体" w:hAnsi="宋体"/>
          <w:sz w:val="24"/>
        </w:rPr>
        <w:t>1、▲法定代表人授权代表须为投标人</w:t>
      </w:r>
      <w:r>
        <w:rPr>
          <w:rFonts w:hint="eastAsia" w:ascii="宋体" w:hAnsi="宋体"/>
          <w:b/>
          <w:sz w:val="24"/>
        </w:rPr>
        <w:t>在职职工</w:t>
      </w:r>
      <w:r>
        <w:rPr>
          <w:rFonts w:hint="eastAsia" w:ascii="宋体" w:hAnsi="宋体"/>
          <w:sz w:val="24"/>
        </w:rPr>
        <w:t>，投标人须在投标文件中提供附有该授权代表为投标人</w:t>
      </w:r>
      <w:r>
        <w:rPr>
          <w:rFonts w:hint="eastAsia" w:ascii="宋体" w:hAnsi="宋体"/>
          <w:b/>
          <w:sz w:val="24"/>
        </w:rPr>
        <w:t>在职员工相关证明文件（如投标人为该员工缴纳的社保记录或劳务合同等）</w:t>
      </w:r>
      <w:r>
        <w:rPr>
          <w:rFonts w:hint="eastAsia" w:ascii="宋体" w:hAnsi="宋体"/>
          <w:sz w:val="24"/>
        </w:rPr>
        <w:t>。</w:t>
      </w:r>
    </w:p>
    <w:p>
      <w:pPr>
        <w:adjustRightInd w:val="0"/>
        <w:snapToGrid w:val="0"/>
        <w:spacing w:line="360" w:lineRule="auto"/>
        <w:ind w:firstLine="523" w:firstLineChars="218"/>
        <w:rPr>
          <w:rFonts w:hint="eastAsia" w:ascii="宋体" w:hAnsi="宋体"/>
          <w:sz w:val="24"/>
        </w:rPr>
      </w:pPr>
      <w:r>
        <w:rPr>
          <w:rFonts w:hint="eastAsia" w:ascii="宋体" w:hAnsi="宋体"/>
          <w:sz w:val="24"/>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adjustRightInd w:val="0"/>
        <w:snapToGrid w:val="0"/>
        <w:spacing w:line="360" w:lineRule="auto"/>
        <w:ind w:firstLine="523" w:firstLineChars="218"/>
        <w:rPr>
          <w:rFonts w:hint="eastAsia" w:ascii="宋体" w:hAnsi="宋体"/>
          <w:sz w:val="24"/>
        </w:rPr>
      </w:pPr>
      <w:r>
        <w:rPr>
          <w:rFonts w:hint="eastAsia" w:ascii="宋体" w:hAnsi="宋体"/>
          <w:sz w:val="24"/>
        </w:rPr>
        <w:t>3、▲投标人对所投标项内的采购内容必须全部进行投标。</w:t>
      </w:r>
    </w:p>
    <w:p>
      <w:pPr>
        <w:adjustRightInd w:val="0"/>
        <w:snapToGrid w:val="0"/>
        <w:spacing w:line="360" w:lineRule="auto"/>
        <w:ind w:firstLine="523" w:firstLineChars="218"/>
        <w:rPr>
          <w:rFonts w:hint="eastAsia" w:ascii="宋体" w:hAnsi="宋体"/>
          <w:sz w:val="24"/>
        </w:rPr>
      </w:pPr>
      <w:r>
        <w:rPr>
          <w:rFonts w:hint="eastAsia" w:ascii="宋体" w:hAnsi="宋体"/>
          <w:sz w:val="24"/>
        </w:rPr>
        <w:t>4、不论招标人、招标代理机构向供应商发送的资料文件，还是供应商提出的问题，均采用书面形式，任何口头提问及答复一律无效。</w:t>
      </w:r>
    </w:p>
    <w:p>
      <w:pPr>
        <w:adjustRightInd w:val="0"/>
        <w:snapToGrid w:val="0"/>
        <w:spacing w:line="360" w:lineRule="auto"/>
        <w:ind w:firstLine="523" w:firstLineChars="218"/>
        <w:rPr>
          <w:rFonts w:hint="eastAsia" w:ascii="宋体" w:hAnsi="宋体"/>
          <w:sz w:val="24"/>
        </w:rPr>
      </w:pPr>
      <w:r>
        <w:rPr>
          <w:rFonts w:hint="eastAsia" w:ascii="宋体" w:hAnsi="宋体"/>
          <w:sz w:val="24"/>
        </w:rPr>
        <w:t>5、本须知“前附表”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adjustRightInd w:val="0"/>
        <w:snapToGrid w:val="0"/>
        <w:spacing w:line="360" w:lineRule="auto"/>
        <w:ind w:firstLine="525" w:firstLineChars="218"/>
        <w:rPr>
          <w:rFonts w:hint="eastAsia" w:ascii="宋体" w:hAnsi="宋体"/>
          <w:b/>
          <w:sz w:val="24"/>
        </w:rPr>
      </w:pPr>
      <w:r>
        <w:rPr>
          <w:rFonts w:hint="eastAsia" w:ascii="宋体" w:hAnsi="宋体"/>
          <w:b/>
          <w:sz w:val="24"/>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货物项目）。</w:t>
      </w:r>
    </w:p>
    <w:p>
      <w:pPr>
        <w:adjustRightInd w:val="0"/>
        <w:snapToGrid w:val="0"/>
        <w:spacing w:line="360" w:lineRule="auto"/>
        <w:ind w:firstLine="523" w:firstLineChars="218"/>
        <w:rPr>
          <w:rFonts w:hint="eastAsia" w:ascii="宋体" w:hAnsi="宋体"/>
          <w:sz w:val="24"/>
        </w:rPr>
      </w:pPr>
      <w:r>
        <w:rPr>
          <w:rFonts w:hint="eastAsia" w:ascii="宋体" w:hAnsi="宋体"/>
          <w:sz w:val="24"/>
        </w:rPr>
        <w:t>7、▲投标人应保证所投产品整体或其任一部分，均免受第三方提出的侵犯其专利权、商标权、著作权或其他知识产权的起诉。投标人应承担由此可能产生的一切法律责任和费用。</w:t>
      </w:r>
    </w:p>
    <w:p>
      <w:pPr>
        <w:adjustRightInd w:val="0"/>
        <w:snapToGrid w:val="0"/>
        <w:spacing w:line="360" w:lineRule="auto"/>
        <w:ind w:firstLine="523" w:firstLineChars="218"/>
        <w:rPr>
          <w:rFonts w:hint="eastAsia" w:ascii="宋体" w:hAnsi="宋体"/>
          <w:sz w:val="24"/>
        </w:rPr>
      </w:pPr>
      <w:r>
        <w:rPr>
          <w:rFonts w:hint="eastAsia" w:ascii="宋体" w:hAnsi="宋体"/>
          <w:sz w:val="24"/>
        </w:rPr>
        <w:t>8、若本须知“前附表”规定允许进口产品投标且该货物需从中华人民共和国境外提供的，货物的最终用户须为招标人，并承担因此产生的所有费用（货物项目）。</w:t>
      </w:r>
    </w:p>
    <w:p>
      <w:pPr>
        <w:adjustRightInd w:val="0"/>
        <w:snapToGrid w:val="0"/>
        <w:spacing w:line="360" w:lineRule="auto"/>
        <w:rPr>
          <w:rFonts w:hint="eastAsia" w:ascii="宋体" w:hAnsi="宋体"/>
          <w:b/>
          <w:sz w:val="24"/>
        </w:rPr>
      </w:pPr>
      <w:r>
        <w:rPr>
          <w:rFonts w:hint="eastAsia" w:ascii="宋体" w:hAnsi="宋体"/>
          <w:b/>
          <w:sz w:val="24"/>
        </w:rPr>
        <w:t>（十四）保密</w:t>
      </w:r>
    </w:p>
    <w:p>
      <w:pPr>
        <w:adjustRightInd w:val="0"/>
        <w:snapToGrid w:val="0"/>
        <w:spacing w:line="360" w:lineRule="auto"/>
        <w:ind w:firstLine="480" w:firstLineChars="200"/>
        <w:rPr>
          <w:rFonts w:hint="eastAsia" w:ascii="宋体" w:hAnsi="宋体"/>
          <w:sz w:val="24"/>
        </w:rPr>
      </w:pPr>
      <w:r>
        <w:rPr>
          <w:rFonts w:hint="eastAsia" w:ascii="宋体" w:hAnsi="宋体"/>
          <w:sz w:val="24"/>
        </w:rPr>
        <w:t>参与招标投标活动的各方应对招标文件和投标文件中的商业和技术等秘密保密，违者应对此造成的后果承担法律责任。</w:t>
      </w:r>
    </w:p>
    <w:p>
      <w:pPr>
        <w:adjustRightInd w:val="0"/>
        <w:snapToGrid w:val="0"/>
        <w:spacing w:line="360" w:lineRule="auto"/>
        <w:ind w:firstLine="480" w:firstLineChars="200"/>
        <w:rPr>
          <w:rFonts w:hint="eastAsia" w:ascii="宋体" w:hAnsi="宋体"/>
          <w:sz w:val="24"/>
        </w:rPr>
      </w:pPr>
    </w:p>
    <w:bookmarkEnd w:id="57"/>
    <w:p>
      <w:pPr>
        <w:adjustRightInd w:val="0"/>
        <w:snapToGrid w:val="0"/>
        <w:spacing w:line="360" w:lineRule="auto"/>
        <w:jc w:val="center"/>
        <w:outlineLvl w:val="1"/>
        <w:rPr>
          <w:rFonts w:hint="eastAsia" w:ascii="宋体" w:hAnsi="宋体"/>
          <w:b/>
          <w:sz w:val="32"/>
        </w:rPr>
      </w:pPr>
      <w:bookmarkStart w:id="58" w:name="_Toc233618973"/>
      <w:bookmarkStart w:id="59" w:name="_Toc83910189"/>
      <w:r>
        <w:rPr>
          <w:rFonts w:hint="eastAsia" w:ascii="宋体" w:hAnsi="宋体"/>
          <w:b/>
          <w:sz w:val="32"/>
        </w:rPr>
        <w:t>二、招标文件</w:t>
      </w:r>
      <w:bookmarkEnd w:id="58"/>
      <w:bookmarkEnd w:id="59"/>
    </w:p>
    <w:p>
      <w:pPr>
        <w:pStyle w:val="45"/>
        <w:adjustRightInd w:val="0"/>
        <w:snapToGrid w:val="0"/>
        <w:spacing w:line="360" w:lineRule="auto"/>
        <w:rPr>
          <w:rFonts w:hint="eastAsia" w:hAnsi="宋体"/>
          <w:b/>
          <w:sz w:val="24"/>
        </w:rPr>
      </w:pPr>
      <w:bookmarkStart w:id="60" w:name="_Toc91899880"/>
      <w:bookmarkStart w:id="61" w:name="_Hlt74730307"/>
      <w:r>
        <w:rPr>
          <w:rFonts w:hint="eastAsia" w:hAnsi="宋体"/>
          <w:b/>
          <w:sz w:val="24"/>
        </w:rPr>
        <w:t>（一）招标文件的</w:t>
      </w:r>
      <w:bookmarkEnd w:id="60"/>
      <w:r>
        <w:rPr>
          <w:rFonts w:hint="eastAsia" w:hAnsi="宋体"/>
          <w:b/>
          <w:sz w:val="24"/>
        </w:rPr>
        <w:t>组成</w:t>
      </w:r>
    </w:p>
    <w:bookmarkEnd w:id="61"/>
    <w:p>
      <w:pPr>
        <w:pStyle w:val="45"/>
        <w:adjustRightInd w:val="0"/>
        <w:snapToGrid w:val="0"/>
        <w:spacing w:line="360" w:lineRule="auto"/>
        <w:ind w:firstLine="480" w:firstLineChars="200"/>
        <w:rPr>
          <w:rFonts w:hint="eastAsia" w:hAnsi="宋体"/>
          <w:sz w:val="24"/>
        </w:rPr>
      </w:pPr>
      <w:r>
        <w:rPr>
          <w:rFonts w:hint="eastAsia" w:hAnsi="宋体"/>
          <w:sz w:val="24"/>
        </w:rPr>
        <w:t>1、 招标文件包括下列文件及附件</w:t>
      </w:r>
    </w:p>
    <w:p>
      <w:pPr>
        <w:pStyle w:val="45"/>
        <w:numPr>
          <w:ilvl w:val="0"/>
          <w:numId w:val="1"/>
        </w:numPr>
        <w:adjustRightInd w:val="0"/>
        <w:snapToGrid w:val="0"/>
        <w:spacing w:line="360" w:lineRule="auto"/>
        <w:rPr>
          <w:rFonts w:hint="eastAsia" w:hAnsi="宋体"/>
          <w:sz w:val="24"/>
        </w:rPr>
      </w:pPr>
      <w:r>
        <w:rPr>
          <w:rFonts w:hint="eastAsia" w:hAnsi="宋体"/>
          <w:sz w:val="24"/>
        </w:rPr>
        <w:t>第一部分  招标公告</w:t>
      </w:r>
    </w:p>
    <w:p>
      <w:pPr>
        <w:pStyle w:val="45"/>
        <w:numPr>
          <w:ilvl w:val="0"/>
          <w:numId w:val="1"/>
        </w:numPr>
        <w:adjustRightInd w:val="0"/>
        <w:snapToGrid w:val="0"/>
        <w:spacing w:line="360" w:lineRule="auto"/>
        <w:rPr>
          <w:rFonts w:hint="eastAsia" w:hAnsi="宋体"/>
          <w:sz w:val="24"/>
        </w:rPr>
      </w:pPr>
      <w:r>
        <w:rPr>
          <w:rFonts w:hint="eastAsia" w:hAnsi="宋体"/>
          <w:sz w:val="24"/>
        </w:rPr>
        <w:t>第二部分  投标人须知</w:t>
      </w:r>
    </w:p>
    <w:p>
      <w:pPr>
        <w:pStyle w:val="45"/>
        <w:numPr>
          <w:ilvl w:val="0"/>
          <w:numId w:val="1"/>
        </w:numPr>
        <w:adjustRightInd w:val="0"/>
        <w:snapToGrid w:val="0"/>
        <w:spacing w:line="360" w:lineRule="auto"/>
        <w:rPr>
          <w:rFonts w:hint="eastAsia" w:hAnsi="宋体"/>
          <w:sz w:val="24"/>
        </w:rPr>
      </w:pPr>
      <w:r>
        <w:rPr>
          <w:rFonts w:hint="eastAsia" w:hAnsi="宋体"/>
          <w:sz w:val="24"/>
        </w:rPr>
        <w:t>第三部分  项目技术及服务要求</w:t>
      </w:r>
    </w:p>
    <w:p>
      <w:pPr>
        <w:pStyle w:val="45"/>
        <w:numPr>
          <w:ilvl w:val="0"/>
          <w:numId w:val="1"/>
        </w:numPr>
        <w:adjustRightInd w:val="0"/>
        <w:snapToGrid w:val="0"/>
        <w:spacing w:line="360" w:lineRule="auto"/>
        <w:rPr>
          <w:rFonts w:hint="eastAsia" w:hAnsi="宋体"/>
          <w:sz w:val="24"/>
        </w:rPr>
      </w:pPr>
      <w:r>
        <w:rPr>
          <w:rFonts w:hint="eastAsia" w:hAnsi="宋体"/>
          <w:sz w:val="24"/>
        </w:rPr>
        <w:t>第四部分  合同文本</w:t>
      </w:r>
    </w:p>
    <w:p>
      <w:pPr>
        <w:pStyle w:val="45"/>
        <w:numPr>
          <w:ilvl w:val="0"/>
          <w:numId w:val="1"/>
        </w:numPr>
        <w:adjustRightInd w:val="0"/>
        <w:snapToGrid w:val="0"/>
        <w:spacing w:line="360" w:lineRule="auto"/>
        <w:rPr>
          <w:rFonts w:hint="eastAsia" w:hAnsi="宋体"/>
          <w:sz w:val="24"/>
        </w:rPr>
      </w:pPr>
      <w:r>
        <w:rPr>
          <w:rFonts w:hint="eastAsia" w:hAnsi="宋体"/>
          <w:sz w:val="24"/>
        </w:rPr>
        <w:t>第五部分  投标文件部分格式文件</w:t>
      </w:r>
    </w:p>
    <w:p>
      <w:pPr>
        <w:pStyle w:val="45"/>
        <w:numPr>
          <w:ilvl w:val="0"/>
          <w:numId w:val="1"/>
        </w:numPr>
        <w:adjustRightInd w:val="0"/>
        <w:snapToGrid w:val="0"/>
        <w:spacing w:line="360" w:lineRule="auto"/>
        <w:rPr>
          <w:rFonts w:hint="eastAsia" w:hAnsi="宋体"/>
          <w:sz w:val="24"/>
        </w:rPr>
      </w:pPr>
      <w:r>
        <w:rPr>
          <w:rFonts w:hint="eastAsia" w:hAnsi="宋体"/>
          <w:sz w:val="24"/>
        </w:rPr>
        <w:t>第六部分  评分办法</w:t>
      </w:r>
    </w:p>
    <w:p>
      <w:pPr>
        <w:pStyle w:val="45"/>
        <w:numPr>
          <w:ilvl w:val="0"/>
          <w:numId w:val="1"/>
        </w:numPr>
        <w:adjustRightInd w:val="0"/>
        <w:snapToGrid w:val="0"/>
        <w:spacing w:line="360" w:lineRule="auto"/>
        <w:rPr>
          <w:rFonts w:hint="eastAsia" w:hAnsi="宋体"/>
          <w:sz w:val="24"/>
        </w:rPr>
      </w:pPr>
      <w:r>
        <w:rPr>
          <w:rFonts w:hint="eastAsia" w:hAnsi="宋体"/>
          <w:sz w:val="24"/>
        </w:rPr>
        <w:t>补充文件（如果有，包括相关的补充、更正、澄清公告和文件）</w:t>
      </w:r>
    </w:p>
    <w:p>
      <w:pPr>
        <w:pStyle w:val="45"/>
        <w:numPr>
          <w:ilvl w:val="0"/>
          <w:numId w:val="1"/>
        </w:numPr>
        <w:adjustRightInd w:val="0"/>
        <w:snapToGrid w:val="0"/>
        <w:spacing w:line="360" w:lineRule="auto"/>
        <w:rPr>
          <w:rFonts w:hint="eastAsia" w:hAnsi="宋体"/>
          <w:sz w:val="24"/>
        </w:rPr>
      </w:pPr>
      <w:r>
        <w:rPr>
          <w:rFonts w:hint="eastAsia" w:hAnsi="宋体"/>
          <w:sz w:val="24"/>
        </w:rPr>
        <w:t>其他附件（如果有，如图纸等）</w:t>
      </w:r>
    </w:p>
    <w:p>
      <w:pPr>
        <w:pStyle w:val="45"/>
        <w:adjustRightInd w:val="0"/>
        <w:snapToGrid w:val="0"/>
        <w:spacing w:line="360" w:lineRule="auto"/>
        <w:ind w:firstLine="480" w:firstLineChars="200"/>
        <w:rPr>
          <w:rFonts w:hint="eastAsia" w:hAnsi="宋体"/>
          <w:sz w:val="24"/>
        </w:rPr>
      </w:pPr>
      <w:r>
        <w:rPr>
          <w:rFonts w:hint="eastAsia" w:hAnsi="宋体"/>
          <w:sz w:val="24"/>
        </w:rPr>
        <w:t>2、供应商应认真审阅上述招标文件组成中所有的内容。如果供应商编制的投标文件没有从实质上响应招标文件的要求，其投标文件将被拒绝。</w:t>
      </w:r>
    </w:p>
    <w:p>
      <w:pPr>
        <w:pStyle w:val="45"/>
        <w:adjustRightInd w:val="0"/>
        <w:snapToGrid w:val="0"/>
        <w:spacing w:line="360" w:lineRule="auto"/>
        <w:rPr>
          <w:rFonts w:hint="eastAsia" w:hAnsi="宋体"/>
          <w:b/>
          <w:sz w:val="24"/>
        </w:rPr>
      </w:pPr>
      <w:r>
        <w:rPr>
          <w:rFonts w:hint="eastAsia" w:hAnsi="宋体"/>
          <w:b/>
          <w:sz w:val="24"/>
        </w:rPr>
        <w:t>（二）招标文件的解释</w:t>
      </w:r>
    </w:p>
    <w:p>
      <w:pPr>
        <w:tabs>
          <w:tab w:val="left" w:pos="3780"/>
        </w:tabs>
        <w:spacing w:line="360" w:lineRule="auto"/>
        <w:ind w:firstLine="480" w:firstLineChars="200"/>
        <w:rPr>
          <w:rFonts w:hint="eastAsia" w:ascii="宋体" w:hAnsi="宋体"/>
          <w:sz w:val="24"/>
        </w:rPr>
      </w:pPr>
      <w:r>
        <w:rPr>
          <w:rFonts w:hint="eastAsia" w:ascii="宋体" w:hAnsi="宋体"/>
          <w:sz w:val="24"/>
        </w:rPr>
        <w:t>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w:t>
      </w:r>
    </w:p>
    <w:p>
      <w:pPr>
        <w:tabs>
          <w:tab w:val="left" w:pos="3780"/>
        </w:tabs>
        <w:spacing w:line="360" w:lineRule="auto"/>
        <w:ind w:firstLine="480" w:firstLineChars="200"/>
        <w:rPr>
          <w:rFonts w:hint="eastAsia" w:ascii="宋体" w:hAnsi="宋体"/>
          <w:sz w:val="24"/>
          <w:szCs w:val="21"/>
        </w:rPr>
      </w:pPr>
      <w:r>
        <w:rPr>
          <w:rFonts w:hint="eastAsia" w:ascii="宋体" w:hAnsi="宋体"/>
          <w:sz w:val="24"/>
        </w:rPr>
        <w:t>1、供应商</w:t>
      </w:r>
      <w:r>
        <w:rPr>
          <w:rFonts w:hint="eastAsia" w:ascii="宋体" w:hAnsi="宋体"/>
          <w:sz w:val="24"/>
          <w:szCs w:val="21"/>
        </w:rPr>
        <w:t>一旦参与本次招标活动，即被视为接受了本招标文件的所有内容，如有任何异议，均应在提疑截止时间前提出。</w:t>
      </w:r>
    </w:p>
    <w:p>
      <w:pPr>
        <w:tabs>
          <w:tab w:val="left" w:pos="3780"/>
        </w:tabs>
        <w:spacing w:line="360" w:lineRule="auto"/>
        <w:ind w:firstLine="480" w:firstLineChars="200"/>
        <w:rPr>
          <w:rFonts w:hint="eastAsia" w:ascii="宋体" w:hAnsi="宋体"/>
          <w:sz w:val="24"/>
          <w:szCs w:val="21"/>
        </w:rPr>
      </w:pPr>
      <w:r>
        <w:rPr>
          <w:rFonts w:hint="eastAsia" w:ascii="宋体" w:hAnsi="宋体"/>
          <w:sz w:val="24"/>
          <w:szCs w:val="21"/>
        </w:rPr>
        <w:t>2、 招标组织机构将在收到供应商递交的《询问函》后三个工作日内以书面形式答复投标供应商提出的问题，并将不包含问题来源的答复通知所有已获取招标文件的供应商。</w:t>
      </w:r>
    </w:p>
    <w:p>
      <w:pPr>
        <w:tabs>
          <w:tab w:val="left" w:pos="3780"/>
        </w:tabs>
        <w:spacing w:line="360" w:lineRule="auto"/>
        <w:ind w:firstLine="480" w:firstLineChars="200"/>
        <w:rPr>
          <w:rFonts w:hint="eastAsia" w:ascii="宋体" w:hAnsi="宋体"/>
          <w:sz w:val="24"/>
          <w:szCs w:val="24"/>
        </w:rPr>
      </w:pPr>
      <w:r>
        <w:rPr>
          <w:rFonts w:hint="eastAsia" w:ascii="宋体" w:hAnsi="宋体"/>
          <w:sz w:val="24"/>
          <w:szCs w:val="24"/>
        </w:rPr>
        <w:t>3、招标文件澄清、答复、修改、补充等书面内容均作为招标文件的补充文件，是招标文件的组成部分，将以传真、网上公告、电子邮件等形式书面告知所有获取招标文件的供应商，并对所有投标人均有约束力。当招标文件与补充文件就同一内容的表述不一致时，以最后发出的文件为准。</w:t>
      </w:r>
    </w:p>
    <w:p>
      <w:pPr>
        <w:tabs>
          <w:tab w:val="left" w:pos="3780"/>
        </w:tabs>
        <w:spacing w:line="360" w:lineRule="auto"/>
        <w:ind w:firstLine="480" w:firstLineChars="200"/>
        <w:rPr>
          <w:rFonts w:hint="eastAsia" w:ascii="宋体" w:hAnsi="宋体"/>
          <w:sz w:val="24"/>
          <w:szCs w:val="21"/>
        </w:rPr>
      </w:pPr>
      <w:r>
        <w:rPr>
          <w:rFonts w:hint="eastAsia" w:ascii="宋体" w:hAnsi="宋体"/>
          <w:sz w:val="24"/>
          <w:szCs w:val="21"/>
        </w:rPr>
        <w:t>4、招标文件的解释权归招标人、招标代理机构所有。</w:t>
      </w:r>
    </w:p>
    <w:p>
      <w:pPr>
        <w:tabs>
          <w:tab w:val="left" w:pos="3780"/>
        </w:tabs>
        <w:spacing w:line="360" w:lineRule="auto"/>
        <w:rPr>
          <w:rFonts w:hint="eastAsia" w:ascii="宋体" w:hAnsi="宋体"/>
          <w:b/>
          <w:sz w:val="24"/>
          <w:szCs w:val="21"/>
        </w:rPr>
      </w:pPr>
      <w:r>
        <w:rPr>
          <w:rFonts w:hint="eastAsia" w:ascii="宋体" w:hAnsi="宋体"/>
          <w:b/>
          <w:sz w:val="24"/>
          <w:szCs w:val="21"/>
        </w:rPr>
        <w:t>（三）招标文件的澄清</w:t>
      </w:r>
    </w:p>
    <w:p>
      <w:pPr>
        <w:tabs>
          <w:tab w:val="left" w:pos="3780"/>
        </w:tabs>
        <w:spacing w:line="360" w:lineRule="auto"/>
        <w:ind w:firstLine="480" w:firstLineChars="200"/>
        <w:rPr>
          <w:rFonts w:hint="eastAsia" w:ascii="宋体" w:hAnsi="宋体"/>
          <w:sz w:val="24"/>
          <w:szCs w:val="21"/>
        </w:rPr>
      </w:pPr>
      <w:r>
        <w:rPr>
          <w:rFonts w:hint="eastAsia" w:ascii="宋体" w:hAnsi="宋体"/>
          <w:sz w:val="24"/>
          <w:szCs w:val="21"/>
        </w:rPr>
        <w:t>1、供应商对招标文件如有疑问要求澄清，或认为有必要与招标人、招标代理机构进行技术交流的，供应商需将书面资料（</w:t>
      </w:r>
      <w:r>
        <w:rPr>
          <w:rFonts w:hint="eastAsia" w:ascii="宋体" w:hAnsi="宋体"/>
          <w:bCs/>
          <w:kern w:val="0"/>
          <w:sz w:val="24"/>
          <w:szCs w:val="24"/>
        </w:rPr>
        <w:t>《（项目名称）询问函》</w:t>
      </w:r>
      <w:r>
        <w:rPr>
          <w:rFonts w:hint="eastAsia" w:ascii="宋体" w:hAnsi="宋体"/>
          <w:sz w:val="24"/>
          <w:szCs w:val="21"/>
        </w:rPr>
        <w:t>）在招标公告规定的提疑截止时间前（对补充文件如有疑问要求澄清的，应在 24 小时内）以书面形式送达至招标代理机构，并与招标代理机构进行确认。招标代理机构有权对逾期收到疑问将不予受理、答复。</w:t>
      </w:r>
    </w:p>
    <w:p>
      <w:pPr>
        <w:tabs>
          <w:tab w:val="left" w:pos="3780"/>
        </w:tabs>
        <w:spacing w:line="360" w:lineRule="auto"/>
        <w:ind w:firstLine="480" w:firstLineChars="200"/>
        <w:rPr>
          <w:rFonts w:hint="eastAsia" w:ascii="宋体" w:hAnsi="宋体"/>
          <w:sz w:val="24"/>
        </w:rPr>
      </w:pPr>
      <w:r>
        <w:rPr>
          <w:rFonts w:hint="eastAsia" w:ascii="宋体" w:hAnsi="宋体"/>
          <w:sz w:val="24"/>
          <w:szCs w:val="21"/>
        </w:rPr>
        <w:t>2、供应商要求澄清的资料应写明供应商</w:t>
      </w:r>
      <w:r>
        <w:rPr>
          <w:rFonts w:hint="eastAsia" w:ascii="宋体" w:hAnsi="宋体"/>
          <w:sz w:val="24"/>
        </w:rPr>
        <w:t>全称、地址、邮编、传真、联系人、联系电话、电子邮箱、提疑日期并加盖供应商公章。</w:t>
      </w:r>
    </w:p>
    <w:p>
      <w:pPr>
        <w:tabs>
          <w:tab w:val="left" w:pos="3780"/>
        </w:tabs>
        <w:spacing w:line="360" w:lineRule="auto"/>
        <w:ind w:firstLine="480" w:firstLineChars="200"/>
        <w:rPr>
          <w:rFonts w:hint="eastAsia" w:ascii="宋体" w:hAnsi="宋体"/>
          <w:sz w:val="24"/>
          <w:szCs w:val="21"/>
        </w:rPr>
      </w:pPr>
      <w:r>
        <w:rPr>
          <w:rFonts w:hint="eastAsia" w:ascii="宋体" w:hAnsi="宋体"/>
          <w:sz w:val="24"/>
          <w:szCs w:val="21"/>
        </w:rPr>
        <w:t>3、 如有必要，招标人和招标代理机构对供应商所有要求澄清的问题都予以书面解答，澄清答复的文件为招标补充文件，作为招标文件的组成部分。</w:t>
      </w:r>
    </w:p>
    <w:p>
      <w:pPr>
        <w:tabs>
          <w:tab w:val="left" w:pos="3780"/>
        </w:tabs>
        <w:spacing w:line="360" w:lineRule="auto"/>
        <w:ind w:firstLine="480" w:firstLineChars="200"/>
        <w:rPr>
          <w:rFonts w:hint="eastAsia" w:ascii="宋体" w:hAnsi="宋体"/>
          <w:sz w:val="24"/>
          <w:szCs w:val="21"/>
        </w:rPr>
      </w:pPr>
      <w:r>
        <w:rPr>
          <w:rFonts w:hint="eastAsia" w:ascii="宋体" w:hAnsi="宋体"/>
          <w:sz w:val="24"/>
          <w:szCs w:val="21"/>
        </w:rPr>
        <w:t>4、 投标人在招标文件规定的提疑截止时间前内未对招标文件提出疑问的，招标代理机构将视其对招标文件无异议。</w:t>
      </w:r>
    </w:p>
    <w:p>
      <w:pPr>
        <w:pStyle w:val="45"/>
        <w:adjustRightInd w:val="0"/>
        <w:snapToGrid w:val="0"/>
        <w:spacing w:line="360" w:lineRule="auto"/>
        <w:rPr>
          <w:rFonts w:hint="eastAsia" w:hAnsi="宋体"/>
          <w:b/>
          <w:sz w:val="24"/>
        </w:rPr>
      </w:pPr>
      <w:r>
        <w:rPr>
          <w:rFonts w:hint="eastAsia" w:hAnsi="宋体"/>
          <w:b/>
          <w:sz w:val="24"/>
        </w:rPr>
        <w:t>（四）招标文件的修改</w:t>
      </w:r>
    </w:p>
    <w:p>
      <w:pPr>
        <w:adjustRightInd w:val="0"/>
        <w:snapToGrid w:val="0"/>
        <w:spacing w:line="360" w:lineRule="auto"/>
        <w:ind w:firstLine="480" w:firstLineChars="200"/>
        <w:rPr>
          <w:rFonts w:hint="eastAsia" w:ascii="宋体" w:hAnsi="宋体"/>
          <w:sz w:val="24"/>
        </w:rPr>
      </w:pPr>
      <w:r>
        <w:rPr>
          <w:rFonts w:hint="eastAsia" w:ascii="宋体" w:hAnsi="宋体"/>
          <w:sz w:val="24"/>
        </w:rPr>
        <w:t>1、由于各种原因招标人可能在投标截止时间前以</w:t>
      </w:r>
      <w:r>
        <w:rPr>
          <w:rFonts w:hint="eastAsia" w:ascii="宋体" w:hAnsi="宋体"/>
          <w:sz w:val="24"/>
          <w:szCs w:val="24"/>
        </w:rPr>
        <w:t>澄清、答复、修改、补充</w:t>
      </w:r>
      <w:r>
        <w:rPr>
          <w:rFonts w:hint="eastAsia" w:ascii="宋体" w:hAnsi="宋体"/>
          <w:sz w:val="24"/>
        </w:rPr>
        <w:t>文件的形式修改完善招标文件。</w:t>
      </w:r>
    </w:p>
    <w:p>
      <w:pPr>
        <w:tabs>
          <w:tab w:val="left" w:pos="3780"/>
        </w:tabs>
        <w:spacing w:line="360" w:lineRule="auto"/>
        <w:ind w:firstLine="480" w:firstLineChars="200"/>
        <w:rPr>
          <w:rFonts w:hint="eastAsia" w:ascii="宋体" w:hAnsi="宋体"/>
          <w:sz w:val="24"/>
          <w:szCs w:val="21"/>
        </w:rPr>
      </w:pPr>
      <w:r>
        <w:rPr>
          <w:rFonts w:hint="eastAsia" w:ascii="宋体" w:hAnsi="宋体"/>
          <w:sz w:val="24"/>
          <w:szCs w:val="21"/>
        </w:rPr>
        <w:t>2、</w:t>
      </w:r>
      <w:r>
        <w:rPr>
          <w:rFonts w:hint="eastAsia" w:ascii="宋体" w:hAnsi="宋体"/>
          <w:sz w:val="24"/>
          <w:szCs w:val="24"/>
        </w:rPr>
        <w:t>澄清、答复、修改、补充</w:t>
      </w:r>
      <w:r>
        <w:rPr>
          <w:rFonts w:hint="eastAsia" w:ascii="宋体" w:hAnsi="宋体"/>
          <w:sz w:val="24"/>
          <w:szCs w:val="21"/>
        </w:rPr>
        <w:t>文件发出后，原则上不改变招标文件规定的投标截止时间及开标时间。供应商如认为</w:t>
      </w:r>
      <w:r>
        <w:rPr>
          <w:rFonts w:hint="eastAsia" w:ascii="宋体" w:hAnsi="宋体"/>
          <w:sz w:val="24"/>
          <w:szCs w:val="24"/>
        </w:rPr>
        <w:t>澄清、答复、修改、补充</w:t>
      </w:r>
      <w:r>
        <w:rPr>
          <w:rFonts w:hint="eastAsia" w:ascii="宋体" w:hAnsi="宋体"/>
          <w:sz w:val="24"/>
          <w:szCs w:val="21"/>
        </w:rPr>
        <w:t>文件内容影响投标文件编制，须延长投标截止时间的，必须在收到</w:t>
      </w:r>
      <w:r>
        <w:rPr>
          <w:rFonts w:hint="eastAsia" w:ascii="宋体" w:hAnsi="宋体"/>
          <w:sz w:val="24"/>
          <w:szCs w:val="24"/>
        </w:rPr>
        <w:t>澄清、答复、修改、补充</w:t>
      </w:r>
      <w:r>
        <w:rPr>
          <w:rFonts w:hint="eastAsia" w:ascii="宋体" w:hAnsi="宋体"/>
          <w:sz w:val="24"/>
          <w:szCs w:val="21"/>
        </w:rPr>
        <w:t>文件后 24 小时内将意见和理由以书面形式向招标代理机构提出，否则，招标代理机构视供应商完全接受并有足够的时间编制投标文件且按规定时间进行投标。</w:t>
      </w:r>
    </w:p>
    <w:p>
      <w:pPr>
        <w:adjustRightInd w:val="0"/>
        <w:snapToGrid w:val="0"/>
        <w:spacing w:line="360" w:lineRule="auto"/>
        <w:ind w:firstLine="480" w:firstLineChars="200"/>
        <w:rPr>
          <w:rFonts w:hint="eastAsia" w:ascii="宋体" w:hAnsi="宋体"/>
          <w:sz w:val="24"/>
        </w:rPr>
      </w:pPr>
      <w:r>
        <w:rPr>
          <w:rFonts w:hint="eastAsia" w:ascii="宋体" w:hAnsi="宋体"/>
          <w:sz w:val="24"/>
          <w:szCs w:val="21"/>
        </w:rPr>
        <w:t>3、供应商在收到</w:t>
      </w:r>
      <w:r>
        <w:rPr>
          <w:rFonts w:hint="eastAsia" w:ascii="宋体" w:hAnsi="宋体"/>
          <w:sz w:val="24"/>
          <w:szCs w:val="24"/>
        </w:rPr>
        <w:t>澄清、答复、修改、补充</w:t>
      </w:r>
      <w:r>
        <w:rPr>
          <w:rFonts w:hint="eastAsia" w:ascii="宋体" w:hAnsi="宋体"/>
          <w:sz w:val="24"/>
          <w:szCs w:val="21"/>
        </w:rPr>
        <w:t>文件后，应在 24 小时内以书面形式向招标代理机构确认已收到该</w:t>
      </w:r>
      <w:r>
        <w:rPr>
          <w:rFonts w:hint="eastAsia" w:ascii="宋体" w:hAnsi="宋体"/>
          <w:sz w:val="24"/>
          <w:szCs w:val="24"/>
        </w:rPr>
        <w:t>澄清、答复、修改、补充</w:t>
      </w:r>
      <w:r>
        <w:rPr>
          <w:rFonts w:hint="eastAsia" w:ascii="宋体" w:hAnsi="宋体"/>
          <w:sz w:val="24"/>
          <w:szCs w:val="21"/>
        </w:rPr>
        <w:t>文件，逾期未确认的招标代理机构有权视其已收到。对</w:t>
      </w:r>
      <w:r>
        <w:rPr>
          <w:rFonts w:hint="eastAsia" w:ascii="宋体" w:hAnsi="宋体"/>
          <w:sz w:val="24"/>
          <w:szCs w:val="24"/>
        </w:rPr>
        <w:t>澄清、答复、修改、补充</w:t>
      </w:r>
      <w:r>
        <w:rPr>
          <w:rFonts w:hint="eastAsia" w:ascii="宋体" w:hAnsi="宋体"/>
          <w:sz w:val="24"/>
          <w:szCs w:val="21"/>
        </w:rPr>
        <w:t>文件如有疑问要求澄清，应在 24 小时内将书面送达招标代理机构，并与招标代理机构进行确认，逾期提出的，招标代理机构可不予受理。如有必要，招标代理机构将以书面形式回复提疑人。</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jc w:val="center"/>
        <w:outlineLvl w:val="1"/>
        <w:rPr>
          <w:rFonts w:hint="eastAsia" w:ascii="宋体" w:hAnsi="宋体"/>
          <w:b/>
          <w:sz w:val="32"/>
        </w:rPr>
      </w:pPr>
      <w:bookmarkStart w:id="62" w:name="_Toc233618974"/>
      <w:bookmarkStart w:id="63" w:name="_Toc83910190"/>
      <w:bookmarkStart w:id="64" w:name="_Toc91899884"/>
      <w:r>
        <w:rPr>
          <w:rFonts w:hint="eastAsia" w:ascii="宋体" w:hAnsi="宋体"/>
          <w:b/>
          <w:sz w:val="32"/>
        </w:rPr>
        <w:t>三、投标文件</w:t>
      </w:r>
      <w:bookmarkEnd w:id="62"/>
      <w:bookmarkEnd w:id="63"/>
      <w:bookmarkEnd w:id="64"/>
    </w:p>
    <w:p>
      <w:pPr>
        <w:pStyle w:val="202"/>
        <w:adjustRightInd w:val="0"/>
        <w:snapToGrid w:val="0"/>
        <w:spacing w:before="0"/>
        <w:ind w:firstLine="0" w:firstLineChars="0"/>
        <w:rPr>
          <w:rFonts w:hint="eastAsia" w:ascii="宋体" w:hAnsi="宋体"/>
          <w:b/>
        </w:rPr>
      </w:pPr>
      <w:r>
        <w:rPr>
          <w:rFonts w:hint="eastAsia" w:ascii="宋体" w:hAnsi="宋体"/>
          <w:b/>
        </w:rPr>
        <w:t>（一）投标文件组成</w:t>
      </w:r>
    </w:p>
    <w:p>
      <w:pPr>
        <w:pStyle w:val="202"/>
        <w:adjustRightInd w:val="0"/>
        <w:snapToGrid w:val="0"/>
        <w:spacing w:before="0"/>
        <w:ind w:firstLine="482"/>
        <w:rPr>
          <w:rFonts w:hint="eastAsia" w:ascii="宋体" w:hAnsi="宋体"/>
          <w:b/>
          <w:kern w:val="0"/>
        </w:rPr>
      </w:pPr>
      <w:r>
        <w:rPr>
          <w:rFonts w:hint="eastAsia" w:ascii="宋体" w:hAnsi="宋体"/>
          <w:b/>
          <w:kern w:val="0"/>
        </w:rPr>
        <w:t>1、资格文件</w:t>
      </w:r>
      <w:r>
        <w:rPr>
          <w:rFonts w:hint="eastAsia" w:ascii="宋体" w:hAnsi="宋体" w:cs="宋体"/>
          <w:b/>
          <w:kern w:val="0"/>
        </w:rPr>
        <w:t>（单独制作）</w:t>
      </w:r>
    </w:p>
    <w:p>
      <w:pPr>
        <w:pStyle w:val="202"/>
        <w:adjustRightInd w:val="0"/>
        <w:snapToGrid w:val="0"/>
        <w:spacing w:before="0"/>
        <w:ind w:firstLine="480"/>
        <w:rPr>
          <w:rFonts w:hint="eastAsia" w:ascii="宋体" w:hAnsi="宋体"/>
          <w:kern w:val="0"/>
        </w:rPr>
      </w:pPr>
      <w:r>
        <w:rPr>
          <w:rFonts w:hint="eastAsia" w:ascii="宋体" w:hAnsi="宋体"/>
          <w:kern w:val="0"/>
        </w:rPr>
        <w:t>（1）资格审查材料（按第五部分格式一要求提供）。</w:t>
      </w:r>
    </w:p>
    <w:p>
      <w:pPr>
        <w:pStyle w:val="202"/>
        <w:adjustRightInd w:val="0"/>
        <w:snapToGrid w:val="0"/>
        <w:spacing w:before="0"/>
        <w:ind w:firstLine="482"/>
        <w:rPr>
          <w:rFonts w:hint="eastAsia" w:ascii="宋体" w:hAnsi="宋体"/>
          <w:b/>
          <w:kern w:val="0"/>
        </w:rPr>
      </w:pPr>
      <w:r>
        <w:rPr>
          <w:rFonts w:hint="eastAsia" w:ascii="宋体" w:hAnsi="宋体"/>
          <w:b/>
          <w:kern w:val="0"/>
        </w:rPr>
        <w:t>2、商务、技术文件</w:t>
      </w:r>
      <w:r>
        <w:rPr>
          <w:rFonts w:hint="eastAsia" w:ascii="宋体" w:hAnsi="宋体" w:cs="宋体"/>
          <w:b/>
          <w:kern w:val="0"/>
        </w:rPr>
        <w:t>（单独制作）</w:t>
      </w:r>
    </w:p>
    <w:p>
      <w:pPr>
        <w:pStyle w:val="202"/>
        <w:adjustRightInd w:val="0"/>
        <w:snapToGrid w:val="0"/>
        <w:spacing w:before="0"/>
        <w:ind w:firstLine="482"/>
        <w:rPr>
          <w:rFonts w:hint="eastAsia" w:ascii="宋体" w:hAnsi="宋体"/>
          <w:kern w:val="0"/>
        </w:rPr>
      </w:pPr>
      <w:r>
        <w:rPr>
          <w:rFonts w:hint="eastAsia" w:ascii="宋体" w:hAnsi="宋体"/>
          <w:b/>
          <w:kern w:val="0"/>
        </w:rPr>
        <w:t>2-1商务文件</w:t>
      </w:r>
    </w:p>
    <w:p>
      <w:pPr>
        <w:pStyle w:val="202"/>
        <w:adjustRightInd w:val="0"/>
        <w:snapToGrid w:val="0"/>
        <w:spacing w:before="0"/>
        <w:ind w:firstLine="480"/>
        <w:rPr>
          <w:rFonts w:hint="eastAsia" w:ascii="宋体" w:hAnsi="宋体"/>
          <w:kern w:val="0"/>
        </w:rPr>
      </w:pPr>
      <w:r>
        <w:rPr>
          <w:rFonts w:hint="eastAsia" w:ascii="宋体" w:hAnsi="宋体"/>
          <w:kern w:val="0"/>
        </w:rPr>
        <w:t>（1）投标声明函（格式见第五部分格式二）。</w:t>
      </w:r>
    </w:p>
    <w:p>
      <w:pPr>
        <w:pStyle w:val="202"/>
        <w:adjustRightInd w:val="0"/>
        <w:snapToGrid w:val="0"/>
        <w:spacing w:before="0"/>
        <w:ind w:firstLine="480"/>
        <w:rPr>
          <w:rFonts w:hint="eastAsia" w:ascii="宋体" w:hAnsi="宋体"/>
          <w:kern w:val="0"/>
        </w:rPr>
      </w:pPr>
      <w:r>
        <w:rPr>
          <w:rFonts w:hint="eastAsia" w:ascii="宋体" w:hAnsi="宋体"/>
          <w:kern w:val="0"/>
        </w:rPr>
        <w:t>（2）法定代表人身份证明或附有法定代表人身份证明及授权代表为投标人在职员工的证明文件（投标人为其缴纳的社保记录或劳务合同等）的授权委托书（格式见第五部分格式三）。</w:t>
      </w:r>
    </w:p>
    <w:p>
      <w:pPr>
        <w:pStyle w:val="202"/>
        <w:adjustRightInd w:val="0"/>
        <w:snapToGrid w:val="0"/>
        <w:spacing w:before="0"/>
        <w:ind w:firstLine="480"/>
        <w:rPr>
          <w:rFonts w:hint="eastAsia" w:ascii="宋体" w:hAnsi="宋体"/>
          <w:kern w:val="0"/>
        </w:rPr>
      </w:pPr>
      <w:r>
        <w:rPr>
          <w:rFonts w:hint="eastAsia" w:ascii="宋体" w:hAnsi="宋体"/>
          <w:kern w:val="0"/>
        </w:rPr>
        <w:t>（3）商务评分中所需的材料（如有，详见评标办法需要的内容）。</w:t>
      </w:r>
    </w:p>
    <w:p>
      <w:pPr>
        <w:pStyle w:val="202"/>
        <w:adjustRightInd w:val="0"/>
        <w:snapToGrid w:val="0"/>
        <w:spacing w:before="0"/>
        <w:ind w:firstLine="480"/>
        <w:rPr>
          <w:rFonts w:hint="eastAsia" w:ascii="宋体" w:hAnsi="宋体"/>
          <w:kern w:val="0"/>
        </w:rPr>
      </w:pPr>
      <w:r>
        <w:rPr>
          <w:rFonts w:hint="eastAsia" w:ascii="宋体" w:hAnsi="宋体"/>
          <w:kern w:val="0"/>
        </w:rPr>
        <w:t>（4）以往业绩情况（如有，具体要求见评标办法，并按第五部分格式四要求编排）。</w:t>
      </w:r>
    </w:p>
    <w:p>
      <w:pPr>
        <w:pStyle w:val="202"/>
        <w:adjustRightInd w:val="0"/>
        <w:snapToGrid w:val="0"/>
        <w:spacing w:before="0"/>
        <w:ind w:firstLine="480"/>
        <w:rPr>
          <w:rFonts w:hint="eastAsia" w:ascii="宋体" w:hAnsi="宋体"/>
          <w:kern w:val="0"/>
        </w:rPr>
      </w:pPr>
      <w:r>
        <w:rPr>
          <w:rFonts w:hint="eastAsia" w:ascii="宋体" w:hAnsi="宋体"/>
          <w:kern w:val="0"/>
        </w:rPr>
        <w:t>（5）其他商务文件或说明（如有，如联合体协议、拟分包情况等其他需要说明的商务响应文件）。</w:t>
      </w:r>
    </w:p>
    <w:p>
      <w:pPr>
        <w:pStyle w:val="202"/>
        <w:adjustRightInd w:val="0"/>
        <w:snapToGrid w:val="0"/>
        <w:spacing w:before="0"/>
        <w:ind w:firstLine="480"/>
        <w:rPr>
          <w:rFonts w:hint="eastAsia" w:ascii="宋体" w:hAnsi="宋体"/>
          <w:kern w:val="0"/>
        </w:rPr>
      </w:pPr>
      <w:r>
        <w:rPr>
          <w:rFonts w:hint="eastAsia" w:ascii="宋体" w:hAnsi="宋体"/>
          <w:kern w:val="0"/>
        </w:rPr>
        <w:t>（6）商务偏离表（“商务偏离”是指对“第四部分 合同文本”中条款的偏离。格式见第五部分格式五）。</w:t>
      </w:r>
    </w:p>
    <w:p>
      <w:pPr>
        <w:pStyle w:val="202"/>
        <w:adjustRightInd w:val="0"/>
        <w:snapToGrid w:val="0"/>
        <w:spacing w:before="0"/>
        <w:ind w:firstLine="482"/>
        <w:rPr>
          <w:rFonts w:hint="eastAsia" w:ascii="宋体" w:hAnsi="宋体"/>
          <w:kern w:val="0"/>
        </w:rPr>
      </w:pPr>
      <w:r>
        <w:rPr>
          <w:rFonts w:hint="eastAsia" w:ascii="宋体" w:hAnsi="宋体"/>
          <w:b/>
          <w:kern w:val="0"/>
        </w:rPr>
        <w:t>2-2技术文件</w:t>
      </w:r>
    </w:p>
    <w:p>
      <w:pPr>
        <w:pStyle w:val="202"/>
        <w:adjustRightInd w:val="0"/>
        <w:snapToGrid w:val="0"/>
        <w:spacing w:before="0"/>
        <w:ind w:firstLine="480"/>
        <w:rPr>
          <w:rFonts w:hint="eastAsia" w:ascii="宋体" w:hAnsi="宋体"/>
          <w:kern w:val="0"/>
        </w:rPr>
      </w:pPr>
      <w:r>
        <w:rPr>
          <w:rFonts w:hint="eastAsia" w:ascii="宋体" w:hAnsi="宋体"/>
          <w:kern w:val="0"/>
        </w:rPr>
        <w:t>（1）投标人应提供针对项目的完整技术和服务解决方案（包括针对本项目的详细实施计划及工作程序和步骤、管理方案、关键步骤的思路和要点等）。</w:t>
      </w:r>
    </w:p>
    <w:p>
      <w:pPr>
        <w:pStyle w:val="202"/>
        <w:adjustRightInd w:val="0"/>
        <w:snapToGrid w:val="0"/>
        <w:spacing w:before="0"/>
        <w:ind w:firstLine="480"/>
        <w:rPr>
          <w:rFonts w:hint="eastAsia" w:ascii="宋体" w:hAnsi="宋体"/>
          <w:kern w:val="0"/>
        </w:rPr>
      </w:pPr>
      <w:r>
        <w:rPr>
          <w:rFonts w:hint="eastAsia" w:ascii="宋体" w:hAnsi="宋体"/>
          <w:kern w:val="0"/>
        </w:rPr>
        <w:t>（2）投标人为完成本项目组建的服务团队人员名单，每个参加项目人员的履历表应随投标文件一并提交，主要内容包括学历、资质证书、工作特长、经验与业绩（包括从事同类项目的经验，对每一个项目有一个简要的描述，该人员参与的时间以及在项目中的责任）（如其中有服务团队人员要求的，须按第五部分格式七格式编写）。</w:t>
      </w:r>
    </w:p>
    <w:p>
      <w:pPr>
        <w:pStyle w:val="202"/>
        <w:adjustRightInd w:val="0"/>
        <w:snapToGrid w:val="0"/>
        <w:spacing w:before="0"/>
        <w:ind w:firstLine="480"/>
        <w:rPr>
          <w:rFonts w:ascii="宋体" w:hAnsi="宋体"/>
          <w:kern w:val="0"/>
        </w:rPr>
      </w:pPr>
      <w:r>
        <w:rPr>
          <w:rFonts w:hint="eastAsia" w:ascii="宋体" w:hAnsi="宋体"/>
          <w:kern w:val="0"/>
        </w:rPr>
        <w:t>（3）项目进度表。</w:t>
      </w:r>
    </w:p>
    <w:p>
      <w:pPr>
        <w:pStyle w:val="202"/>
        <w:adjustRightInd w:val="0"/>
        <w:snapToGrid w:val="0"/>
        <w:spacing w:before="0"/>
        <w:ind w:firstLine="480"/>
        <w:rPr>
          <w:rFonts w:ascii="宋体" w:hAnsi="宋体"/>
          <w:kern w:val="0"/>
        </w:rPr>
      </w:pPr>
      <w:r>
        <w:rPr>
          <w:rFonts w:hint="eastAsia" w:ascii="宋体" w:hAnsi="宋体"/>
          <w:kern w:val="0"/>
        </w:rPr>
        <w:t>（4）其他技术文件或说明（如有）。</w:t>
      </w:r>
    </w:p>
    <w:p>
      <w:pPr>
        <w:pStyle w:val="202"/>
        <w:adjustRightInd w:val="0"/>
        <w:snapToGrid w:val="0"/>
        <w:spacing w:before="0"/>
        <w:ind w:firstLine="480"/>
        <w:rPr>
          <w:rFonts w:ascii="宋体" w:hAnsi="宋体"/>
          <w:kern w:val="0"/>
        </w:rPr>
      </w:pPr>
      <w:r>
        <w:rPr>
          <w:rFonts w:hint="eastAsia" w:ascii="宋体" w:hAnsi="宋体"/>
          <w:kern w:val="0"/>
        </w:rPr>
        <w:t>（5）技术偏离表（“技术偏离”是指对“第三部分  项目技术及服务要求”中条款的偏离。格式见第五部分格式五）。</w:t>
      </w:r>
    </w:p>
    <w:p>
      <w:pPr>
        <w:pStyle w:val="202"/>
        <w:adjustRightInd w:val="0"/>
        <w:snapToGrid w:val="0"/>
        <w:spacing w:before="0"/>
        <w:ind w:firstLine="482"/>
        <w:rPr>
          <w:rFonts w:hint="eastAsia" w:ascii="宋体" w:hAnsi="宋体"/>
          <w:kern w:val="0"/>
        </w:rPr>
      </w:pPr>
      <w:r>
        <w:rPr>
          <w:rFonts w:hint="eastAsia" w:ascii="宋体" w:hAnsi="宋体"/>
          <w:b/>
          <w:kern w:val="0"/>
        </w:rPr>
        <w:t>3、报价文件</w:t>
      </w:r>
      <w:r>
        <w:rPr>
          <w:rFonts w:hint="eastAsia" w:ascii="宋体" w:hAnsi="宋体" w:cs="宋体"/>
          <w:b/>
          <w:kern w:val="0"/>
        </w:rPr>
        <w:t>（单独制作）</w:t>
      </w:r>
    </w:p>
    <w:p>
      <w:pPr>
        <w:pStyle w:val="202"/>
        <w:adjustRightInd w:val="0"/>
        <w:snapToGrid w:val="0"/>
        <w:spacing w:before="0"/>
        <w:ind w:firstLine="480"/>
        <w:rPr>
          <w:rFonts w:hint="eastAsia" w:ascii="宋体" w:hAnsi="宋体"/>
          <w:kern w:val="0"/>
        </w:rPr>
      </w:pPr>
      <w:r>
        <w:rPr>
          <w:rFonts w:hint="eastAsia" w:ascii="宋体" w:hAnsi="宋体"/>
          <w:kern w:val="0"/>
        </w:rPr>
        <w:t>（1）开标一览表（格式见第五部分格式八）。</w:t>
      </w:r>
    </w:p>
    <w:p>
      <w:pPr>
        <w:pStyle w:val="202"/>
        <w:adjustRightInd w:val="0"/>
        <w:snapToGrid w:val="0"/>
        <w:spacing w:before="0"/>
        <w:ind w:firstLine="480"/>
        <w:rPr>
          <w:rFonts w:hint="eastAsia" w:ascii="宋体" w:hAnsi="宋体"/>
          <w:kern w:val="0"/>
        </w:rPr>
      </w:pPr>
      <w:r>
        <w:rPr>
          <w:rFonts w:hint="eastAsia" w:ascii="宋体" w:hAnsi="宋体"/>
          <w:kern w:val="0"/>
        </w:rPr>
        <w:t>（2）报价明细表（格式见第五部分格式九）。</w:t>
      </w:r>
    </w:p>
    <w:p>
      <w:pPr>
        <w:pStyle w:val="202"/>
        <w:adjustRightInd w:val="0"/>
        <w:snapToGrid w:val="0"/>
        <w:spacing w:before="0"/>
        <w:ind w:firstLine="480"/>
        <w:rPr>
          <w:rFonts w:hint="eastAsia" w:ascii="宋体" w:hAnsi="宋体"/>
          <w:kern w:val="0"/>
        </w:rPr>
      </w:pPr>
      <w:r>
        <w:rPr>
          <w:rFonts w:hint="eastAsia" w:ascii="宋体" w:hAnsi="宋体"/>
          <w:kern w:val="0"/>
        </w:rPr>
        <w:t>（3）中小企业/监狱企业/残疾人福利性单位声明函（如为小微（监狱）企业且提供的是本企业或其他小微（监狱）企业制造的货物的投标人填写，格式见第五部分格式十）。</w:t>
      </w:r>
    </w:p>
    <w:p>
      <w:pPr>
        <w:pStyle w:val="202"/>
        <w:adjustRightInd w:val="0"/>
        <w:snapToGrid w:val="0"/>
        <w:spacing w:before="0"/>
        <w:ind w:firstLine="480"/>
        <w:rPr>
          <w:rFonts w:hint="eastAsia" w:ascii="宋体" w:hAnsi="宋体"/>
          <w:bCs/>
          <w:u w:val="single"/>
        </w:rPr>
      </w:pPr>
      <w:r>
        <w:rPr>
          <w:rFonts w:hint="eastAsia" w:ascii="宋体" w:hAnsi="宋体" w:cs="仿宋_GB2312"/>
          <w:u w:val="single"/>
          <w:lang w:val="zh-CN"/>
        </w:rPr>
        <w:t>投标人的</w:t>
      </w:r>
      <w:r>
        <w:rPr>
          <w:rFonts w:hint="eastAsia" w:ascii="宋体" w:hAnsi="宋体"/>
          <w:u w:val="single"/>
        </w:rPr>
        <w:t>投标文件必须按照招标文件要求制作，</w:t>
      </w:r>
      <w:r>
        <w:rPr>
          <w:rFonts w:hint="eastAsia" w:ascii="宋体" w:hAnsi="宋体"/>
          <w:bCs/>
          <w:u w:val="single"/>
        </w:rPr>
        <w:t>并按顺序装订。</w:t>
      </w:r>
      <w:r>
        <w:rPr>
          <w:rFonts w:hint="eastAsia" w:ascii="宋体" w:hAnsi="宋体"/>
          <w:u w:val="single"/>
        </w:rPr>
        <w:t>有“格式见第五部分格式X”的须按照格式填写</w:t>
      </w:r>
      <w:r>
        <w:rPr>
          <w:rFonts w:hint="eastAsia" w:ascii="宋体" w:hAnsi="宋体"/>
          <w:bCs/>
          <w:u w:val="single"/>
        </w:rPr>
        <w:t>。混乱的编排导致投标文件被误读或评标委员会查找不到有效文件是投标人的风险。</w:t>
      </w:r>
    </w:p>
    <w:p>
      <w:pPr>
        <w:pStyle w:val="202"/>
        <w:adjustRightInd w:val="0"/>
        <w:snapToGrid w:val="0"/>
        <w:spacing w:before="0"/>
        <w:ind w:firstLine="480"/>
        <w:rPr>
          <w:rFonts w:hint="eastAsia" w:ascii="宋体" w:hAnsi="宋体"/>
          <w:bCs/>
          <w:u w:val="single"/>
        </w:rPr>
      </w:pPr>
      <w:r>
        <w:rPr>
          <w:rFonts w:hint="eastAsia" w:ascii="宋体" w:hAnsi="宋体"/>
          <w:bCs/>
          <w:u w:val="single"/>
        </w:rPr>
        <w:t>投标人可根据第六部分评分办法中的评标细则内容编制《投标文件自评表》附于投标文件首页，并详细注明对应材料页码。</w:t>
      </w:r>
    </w:p>
    <w:p>
      <w:pPr>
        <w:pStyle w:val="202"/>
        <w:adjustRightInd w:val="0"/>
        <w:snapToGrid w:val="0"/>
        <w:spacing w:before="0"/>
        <w:ind w:firstLine="0" w:firstLineChars="0"/>
        <w:rPr>
          <w:rFonts w:ascii="宋体" w:hAnsi="宋体"/>
          <w:b/>
        </w:rPr>
      </w:pPr>
      <w:r>
        <w:rPr>
          <w:rFonts w:hint="eastAsia" w:ascii="宋体" w:hAnsi="宋体"/>
          <w:b/>
        </w:rPr>
        <w:t>（二）投标文件编制</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1、本项目通过“政府采购云平台（</w:t>
      </w:r>
      <w:r>
        <w:rPr>
          <w:rFonts w:ascii="宋体" w:hAnsi="宋体" w:cs="Arial"/>
          <w:b/>
          <w:kern w:val="0"/>
          <w:sz w:val="24"/>
        </w:rPr>
        <w:t>www.</w:t>
      </w:r>
      <w:r>
        <w:rPr>
          <w:rFonts w:hint="eastAsia" w:ascii="宋体" w:hAnsi="宋体" w:cs="Arial"/>
          <w:b/>
          <w:kern w:val="0"/>
          <w:sz w:val="24"/>
        </w:rPr>
        <w:t>zcy</w:t>
      </w:r>
      <w:r>
        <w:rPr>
          <w:rFonts w:ascii="宋体" w:hAnsi="宋体" w:cs="Arial"/>
          <w:b/>
          <w:kern w:val="0"/>
          <w:sz w:val="24"/>
        </w:rPr>
        <w:t>gov.cn</w:t>
      </w:r>
      <w:r>
        <w:rPr>
          <w:rFonts w:hint="eastAsia" w:ascii="宋体" w:hAnsi="宋体" w:cs="Arial"/>
          <w:b/>
          <w:kern w:val="0"/>
          <w:sz w:val="24"/>
        </w:rPr>
        <w:t>）”实行在线投标响应（电子投标）。供应商应通过“政采云电子交易客户端”，并按照本招标文件和“政府采购云平台”的要求编制并加密投标文件。</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2、投标供应商应当按照“第二部分 三、投标文件”中“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3、本文件《第五部分  投标文件部分格式文件》中有</w:t>
      </w:r>
      <w:r>
        <w:rPr>
          <w:rFonts w:ascii="宋体" w:hAnsi="宋体" w:cs="Arial"/>
          <w:b/>
          <w:kern w:val="0"/>
          <w:sz w:val="24"/>
        </w:rPr>
        <w:t>提供格式的，投标</w:t>
      </w:r>
      <w:r>
        <w:rPr>
          <w:rFonts w:hint="eastAsia" w:ascii="宋体" w:hAnsi="宋体" w:cs="Arial"/>
          <w:b/>
          <w:kern w:val="0"/>
          <w:sz w:val="24"/>
        </w:rPr>
        <w:t>供应商须参</w:t>
      </w:r>
      <w:r>
        <w:rPr>
          <w:rFonts w:ascii="宋体" w:hAnsi="宋体" w:cs="Arial"/>
          <w:b/>
          <w:kern w:val="0"/>
          <w:sz w:val="24"/>
        </w:rPr>
        <w:t>照格式</w:t>
      </w:r>
      <w:r>
        <w:rPr>
          <w:rFonts w:hint="eastAsia" w:ascii="宋体" w:hAnsi="宋体" w:cs="Arial"/>
          <w:b/>
          <w:kern w:val="0"/>
          <w:sz w:val="24"/>
        </w:rPr>
        <w:t>进行编制（格式中要求提供相关证明材料的还需后附相关证明材料），并按格式要求在指定位置根据要求进行签章，否则视为未提供；本文件《第五部分  投标文件部分格式文件》</w:t>
      </w:r>
      <w:r>
        <w:rPr>
          <w:rFonts w:ascii="宋体" w:hAnsi="宋体" w:cs="Arial"/>
          <w:b/>
          <w:kern w:val="0"/>
          <w:sz w:val="24"/>
        </w:rPr>
        <w:t>未提供格式的，请各投标单位自行拟定格式</w:t>
      </w:r>
      <w:r>
        <w:rPr>
          <w:rFonts w:hint="eastAsia" w:ascii="宋体" w:hAnsi="宋体" w:cs="Arial"/>
          <w:b/>
          <w:kern w:val="0"/>
          <w:sz w:val="24"/>
        </w:rPr>
        <w:t>。</w:t>
      </w:r>
    </w:p>
    <w:p>
      <w:pPr>
        <w:spacing w:line="360" w:lineRule="auto"/>
        <w:ind w:firstLine="542" w:firstLineChars="225"/>
        <w:rPr>
          <w:rFonts w:ascii="宋体" w:hAnsi="宋体" w:cs="Arial"/>
          <w:b/>
          <w:kern w:val="0"/>
          <w:sz w:val="24"/>
        </w:rPr>
      </w:pPr>
      <w:r>
        <w:rPr>
          <w:rFonts w:hint="eastAsia" w:ascii="宋体" w:hAnsi="宋体" w:cs="Arial"/>
          <w:b/>
          <w:kern w:val="0"/>
          <w:sz w:val="24"/>
        </w:rPr>
        <w:t>4、格式要求</w:t>
      </w:r>
    </w:p>
    <w:p>
      <w:pPr>
        <w:spacing w:line="360" w:lineRule="auto"/>
        <w:ind w:firstLine="542" w:firstLineChars="225"/>
        <w:rPr>
          <w:rFonts w:ascii="宋体" w:hAnsi="宋体" w:cs="Arial"/>
          <w:b/>
          <w:kern w:val="0"/>
          <w:sz w:val="24"/>
        </w:rPr>
      </w:pPr>
      <w:r>
        <w:rPr>
          <w:rFonts w:hint="eastAsia" w:ascii="宋体" w:hAnsi="宋体" w:cs="Arial"/>
          <w:b/>
          <w:kern w:val="0"/>
          <w:sz w:val="24"/>
        </w:rPr>
        <w:t>（</w:t>
      </w:r>
      <w:r>
        <w:rPr>
          <w:rFonts w:ascii="宋体" w:hAnsi="宋体" w:cs="Arial"/>
          <w:b/>
          <w:kern w:val="0"/>
          <w:sz w:val="24"/>
        </w:rPr>
        <w:t>1</w:t>
      </w:r>
      <w:r>
        <w:rPr>
          <w:rFonts w:hint="eastAsia" w:ascii="宋体" w:hAnsi="宋体" w:cs="Arial"/>
          <w:b/>
          <w:kern w:val="0"/>
          <w:sz w:val="24"/>
        </w:rPr>
        <w:t>）投标文件应编制目录。</w:t>
      </w:r>
    </w:p>
    <w:p>
      <w:pPr>
        <w:spacing w:line="360" w:lineRule="auto"/>
        <w:ind w:firstLine="542" w:firstLineChars="225"/>
        <w:rPr>
          <w:rFonts w:ascii="宋体" w:hAnsi="宋体" w:cs="Arial"/>
          <w:b/>
          <w:kern w:val="0"/>
          <w:sz w:val="24"/>
        </w:rPr>
      </w:pPr>
      <w:r>
        <w:rPr>
          <w:rFonts w:hint="eastAsia" w:ascii="宋体" w:hAnsi="宋体" w:cs="Arial"/>
          <w:b/>
          <w:kern w:val="0"/>
          <w:sz w:val="24"/>
        </w:rPr>
        <w:t>（</w:t>
      </w:r>
      <w:r>
        <w:rPr>
          <w:rFonts w:ascii="宋体" w:hAnsi="宋体" w:cs="Arial"/>
          <w:b/>
          <w:kern w:val="0"/>
          <w:sz w:val="24"/>
        </w:rPr>
        <w:t>2</w:t>
      </w:r>
      <w:r>
        <w:rPr>
          <w:rFonts w:hint="eastAsia" w:ascii="宋体" w:hAnsi="宋体" w:cs="Arial"/>
          <w:b/>
          <w:kern w:val="0"/>
          <w:sz w:val="24"/>
        </w:rPr>
        <w:t>）投标文件应按“第二部分 投标人须知  前附表”要求盖章。</w:t>
      </w:r>
    </w:p>
    <w:p>
      <w:pPr>
        <w:spacing w:line="360" w:lineRule="auto"/>
        <w:ind w:firstLine="542" w:firstLineChars="225"/>
        <w:rPr>
          <w:rFonts w:ascii="宋体" w:hAnsi="宋体" w:cs="Arial"/>
          <w:b/>
          <w:kern w:val="0"/>
          <w:sz w:val="24"/>
        </w:rPr>
      </w:pPr>
      <w:r>
        <w:rPr>
          <w:rFonts w:hint="eastAsia" w:ascii="宋体" w:hAnsi="宋体" w:cs="Arial"/>
          <w:b/>
          <w:kern w:val="0"/>
          <w:sz w:val="24"/>
        </w:rPr>
        <w:t>（3）投标文件格式为</w:t>
      </w:r>
      <w:r>
        <w:rPr>
          <w:rFonts w:ascii="宋体" w:hAnsi="宋体" w:cs="Arial"/>
          <w:b/>
          <w:kern w:val="0"/>
          <w:sz w:val="24"/>
        </w:rPr>
        <w:t xml:space="preserve"> PDF</w:t>
      </w:r>
      <w:r>
        <w:rPr>
          <w:rFonts w:hint="eastAsia" w:ascii="宋体" w:hAnsi="宋体" w:cs="Arial"/>
          <w:b/>
          <w:kern w:val="0"/>
          <w:sz w:val="24"/>
        </w:rPr>
        <w:t>。</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（4）单个文件上传大小上限为</w:t>
      </w:r>
      <w:r>
        <w:rPr>
          <w:rFonts w:ascii="宋体" w:hAnsi="宋体" w:cs="Arial"/>
          <w:b/>
          <w:kern w:val="0"/>
          <w:sz w:val="24"/>
        </w:rPr>
        <w:t xml:space="preserve"> 300M</w:t>
      </w:r>
      <w:r>
        <w:rPr>
          <w:rFonts w:hint="eastAsia" w:ascii="宋体" w:hAnsi="宋体" w:cs="Arial"/>
          <w:b/>
          <w:kern w:val="0"/>
          <w:sz w:val="24"/>
        </w:rPr>
        <w:t>。</w:t>
      </w:r>
    </w:p>
    <w:p>
      <w:pPr>
        <w:spacing w:line="360" w:lineRule="auto"/>
        <w:ind w:firstLine="540" w:firstLineChars="225"/>
        <w:rPr>
          <w:rFonts w:hint="eastAsia" w:ascii="宋体" w:hAnsi="宋体" w:cs="Arial"/>
          <w:kern w:val="0"/>
          <w:sz w:val="24"/>
        </w:rPr>
      </w:pPr>
      <w:r>
        <w:rPr>
          <w:rFonts w:hint="eastAsia" w:ascii="宋体" w:hAnsi="宋体" w:cs="Arial"/>
          <w:kern w:val="0"/>
          <w:sz w:val="24"/>
        </w:rPr>
        <w:t>5、</w:t>
      </w:r>
      <w:r>
        <w:rPr>
          <w:rFonts w:ascii="宋体" w:hAnsi="宋体" w:cs="Arial"/>
          <w:kern w:val="0"/>
          <w:sz w:val="24"/>
        </w:rPr>
        <w:t>《投标文件》内容不完整、编排混乱导致《投标文件》被误读、漏读或者查找不到相关内容的，是投标供应商的责任。</w:t>
      </w:r>
    </w:p>
    <w:p>
      <w:pPr>
        <w:spacing w:line="360" w:lineRule="auto"/>
        <w:ind w:firstLine="540" w:firstLineChars="225"/>
        <w:rPr>
          <w:rFonts w:hint="eastAsia" w:ascii="宋体" w:hAnsi="宋体" w:cs="Arial"/>
          <w:kern w:val="0"/>
          <w:sz w:val="24"/>
        </w:rPr>
      </w:pPr>
      <w:r>
        <w:rPr>
          <w:rFonts w:hint="eastAsia" w:ascii="宋体" w:hAnsi="宋体" w:cs="Arial"/>
          <w:kern w:val="0"/>
          <w:sz w:val="24"/>
        </w:rPr>
        <w:t>6、《</w:t>
      </w:r>
      <w:r>
        <w:rPr>
          <w:rFonts w:ascii="宋体" w:hAnsi="宋体" w:cs="Arial"/>
          <w:kern w:val="0"/>
          <w:sz w:val="24"/>
        </w:rPr>
        <w:t>投标文件</w:t>
      </w:r>
      <w:r>
        <w:rPr>
          <w:rFonts w:hint="eastAsia" w:ascii="宋体" w:hAnsi="宋体" w:cs="Arial"/>
          <w:kern w:val="0"/>
          <w:sz w:val="24"/>
        </w:rPr>
        <w:t>》</w:t>
      </w:r>
      <w:r>
        <w:rPr>
          <w:rFonts w:ascii="宋体" w:hAnsi="宋体" w:cs="Arial"/>
          <w:kern w:val="0"/>
          <w:sz w:val="24"/>
        </w:rPr>
        <w:t>因字迹潦草或表达不清所引起的后果由投标供应商负责。</w:t>
      </w:r>
    </w:p>
    <w:p>
      <w:pPr>
        <w:spacing w:line="360" w:lineRule="auto"/>
        <w:ind w:firstLine="540" w:firstLineChars="225"/>
        <w:rPr>
          <w:rFonts w:hint="eastAsia" w:ascii="宋体" w:hAnsi="宋体" w:cs="Arial"/>
          <w:kern w:val="0"/>
          <w:sz w:val="24"/>
        </w:rPr>
      </w:pPr>
      <w:r>
        <w:rPr>
          <w:rFonts w:hint="eastAsia" w:ascii="宋体" w:hAnsi="宋体" w:cs="Arial"/>
          <w:kern w:val="0"/>
          <w:sz w:val="24"/>
        </w:rPr>
        <w:t>7、</w:t>
      </w:r>
      <w:r>
        <w:rPr>
          <w:rFonts w:ascii="宋体" w:hAnsi="宋体" w:cs="Arial"/>
          <w:kern w:val="0"/>
          <w:sz w:val="24"/>
        </w:rPr>
        <w:t>投标</w:t>
      </w:r>
      <w:r>
        <w:rPr>
          <w:rFonts w:hint="eastAsia" w:ascii="宋体" w:hAnsi="宋体" w:cs="Arial"/>
          <w:kern w:val="0"/>
          <w:sz w:val="24"/>
        </w:rPr>
        <w:t>供应商应仔细阅读招标文件规定的所有内容，以保证能全面准确理解招标文件，并按照招标文件要求，详细编制投标文件，投标文件内容必须针对本次招标要求进行响应。投标</w:t>
      </w:r>
      <w:r>
        <w:rPr>
          <w:rFonts w:ascii="宋体" w:hAnsi="宋体" w:cs="Arial"/>
          <w:kern w:val="0"/>
          <w:sz w:val="24"/>
        </w:rPr>
        <w:t>供应商</w:t>
      </w:r>
      <w:r>
        <w:rPr>
          <w:rFonts w:hint="eastAsia" w:ascii="宋体" w:hAnsi="宋体" w:cs="Arial"/>
          <w:kern w:val="0"/>
          <w:sz w:val="24"/>
        </w:rPr>
        <w:t>若没有</w:t>
      </w:r>
      <w:r>
        <w:rPr>
          <w:rFonts w:ascii="宋体" w:hAnsi="宋体" w:cs="Arial"/>
          <w:kern w:val="0"/>
          <w:sz w:val="24"/>
        </w:rPr>
        <w:t>对招标文件在各方面的要求作出实质性响应是投标供应商的风险</w:t>
      </w:r>
      <w:r>
        <w:rPr>
          <w:rFonts w:hint="eastAsia" w:ascii="宋体" w:hAnsi="宋体" w:cs="Arial"/>
          <w:kern w:val="0"/>
          <w:sz w:val="24"/>
        </w:rPr>
        <w:t>，由此造成的一切后果由投标供应商自行承担。</w:t>
      </w:r>
    </w:p>
    <w:p>
      <w:pPr>
        <w:spacing w:line="360" w:lineRule="auto"/>
        <w:ind w:firstLine="540" w:firstLineChars="225"/>
        <w:rPr>
          <w:rFonts w:hint="eastAsia" w:ascii="宋体" w:hAnsi="宋体" w:cs="Arial"/>
          <w:kern w:val="0"/>
          <w:sz w:val="24"/>
        </w:rPr>
      </w:pPr>
      <w:r>
        <w:rPr>
          <w:rFonts w:hint="eastAsia" w:ascii="宋体" w:hAnsi="宋体" w:cs="Arial"/>
          <w:kern w:val="0"/>
          <w:sz w:val="24"/>
        </w:rPr>
        <w:t>8、投标人必须按招标文件的要求提供相关资料，并对招标文件中提出的所有内容要求给予实质性响应，须保证投标文件的准确、真实、明确。投标文件响应内容对招标文件要求如有偏离均应填写偏离表，如不填写，招标人有权视作投标文件完全响应招标文件要求，但未提供技术参数中明确要求的证明材料，则按评分细则中技术响应程度进行扣分。</w:t>
      </w:r>
    </w:p>
    <w:p>
      <w:pPr>
        <w:spacing w:line="360" w:lineRule="auto"/>
        <w:ind w:firstLine="540" w:firstLineChars="225"/>
        <w:rPr>
          <w:rFonts w:hint="eastAsia" w:ascii="宋体" w:hAnsi="宋体" w:cs="Arial"/>
          <w:kern w:val="0"/>
          <w:sz w:val="24"/>
        </w:rPr>
      </w:pPr>
      <w:r>
        <w:rPr>
          <w:rFonts w:hint="eastAsia" w:ascii="宋体" w:hAnsi="宋体" w:cs="Arial"/>
          <w:kern w:val="0"/>
          <w:sz w:val="24"/>
        </w:rPr>
        <w:t>9、投标人根据招标文件载明的标的采购项目实际情况,拟在中标后将中标项目的非主体、非关键性工作交由他人完成的，应当在投标文件中载明。</w:t>
      </w:r>
    </w:p>
    <w:p>
      <w:pPr>
        <w:spacing w:line="360" w:lineRule="auto"/>
        <w:ind w:firstLine="540" w:firstLineChars="225"/>
        <w:rPr>
          <w:rFonts w:hint="eastAsia" w:ascii="宋体" w:hAnsi="宋体" w:cs="Arial"/>
          <w:kern w:val="0"/>
          <w:sz w:val="24"/>
        </w:rPr>
      </w:pPr>
      <w:r>
        <w:rPr>
          <w:rFonts w:hint="eastAsia" w:ascii="宋体" w:hAnsi="宋体" w:cs="Arial"/>
          <w:kern w:val="0"/>
          <w:sz w:val="24"/>
        </w:rPr>
        <w:t>10、编制投标文件时建议选用“谷歌浏览器”。</w:t>
      </w:r>
    </w:p>
    <w:p>
      <w:pPr>
        <w:pStyle w:val="202"/>
        <w:adjustRightInd w:val="0"/>
        <w:snapToGrid w:val="0"/>
        <w:spacing w:before="0"/>
        <w:ind w:firstLine="0" w:firstLineChars="0"/>
        <w:rPr>
          <w:rFonts w:hint="eastAsia" w:ascii="宋体" w:hAnsi="宋体"/>
          <w:b/>
        </w:rPr>
      </w:pPr>
      <w:r>
        <w:rPr>
          <w:rFonts w:hint="eastAsia" w:ascii="宋体" w:hAnsi="宋体"/>
          <w:b/>
        </w:rPr>
        <w:t>（三）投标文件签章</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1、《</w:t>
      </w:r>
      <w:r>
        <w:rPr>
          <w:rFonts w:ascii="宋体" w:hAnsi="宋体" w:cs="Arial"/>
          <w:b/>
          <w:kern w:val="0"/>
          <w:sz w:val="24"/>
        </w:rPr>
        <w:t>投标文件</w:t>
      </w:r>
      <w:r>
        <w:rPr>
          <w:rFonts w:hint="eastAsia" w:ascii="宋体" w:hAnsi="宋体" w:cs="Arial"/>
          <w:b/>
          <w:kern w:val="0"/>
          <w:sz w:val="24"/>
        </w:rPr>
        <w:t>》的签章：见《前附表》。</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2、《</w:t>
      </w:r>
      <w:r>
        <w:rPr>
          <w:rFonts w:ascii="宋体" w:hAnsi="宋体" w:cs="Arial"/>
          <w:b/>
          <w:kern w:val="0"/>
          <w:sz w:val="24"/>
        </w:rPr>
        <w:t>投标文件</w:t>
      </w:r>
      <w:r>
        <w:rPr>
          <w:rFonts w:hint="eastAsia" w:ascii="宋体" w:hAnsi="宋体" w:cs="Arial"/>
          <w:b/>
          <w:kern w:val="0"/>
          <w:sz w:val="24"/>
        </w:rPr>
        <w:t>》应由投标供应商加盖公章（</w:t>
      </w:r>
      <w:r>
        <w:rPr>
          <w:rFonts w:hint="eastAsia" w:ascii="宋体" w:hAnsi="宋体" w:cs="宋体"/>
          <w:b/>
          <w:sz w:val="24"/>
          <w:lang w:bidi="ar"/>
        </w:rPr>
        <w:t>采用单位CA章或单位公章</w:t>
      </w:r>
      <w:r>
        <w:rPr>
          <w:rFonts w:hint="eastAsia" w:ascii="宋体" w:hAnsi="宋体" w:cs="Arial"/>
          <w:b/>
          <w:kern w:val="0"/>
          <w:sz w:val="24"/>
        </w:rPr>
        <w:t>）。</w:t>
      </w:r>
    </w:p>
    <w:p>
      <w:pPr>
        <w:spacing w:line="360" w:lineRule="auto"/>
        <w:ind w:firstLine="542" w:firstLineChars="225"/>
        <w:rPr>
          <w:rFonts w:ascii="宋体" w:hAnsi="宋体" w:cs="Arial"/>
          <w:b/>
          <w:kern w:val="0"/>
          <w:sz w:val="24"/>
        </w:rPr>
      </w:pPr>
      <w:r>
        <w:rPr>
          <w:rFonts w:hint="eastAsia" w:ascii="宋体" w:hAnsi="宋体" w:cs="Arial"/>
          <w:b/>
          <w:kern w:val="0"/>
          <w:sz w:val="24"/>
        </w:rPr>
        <w:t>3、电子签章操作指南详见：登录政采云（www.zcygov.cn），从首页- 服务中心-帮助文档-项目采购-电子招投标，查看文档和视频。</w:t>
      </w:r>
    </w:p>
    <w:p>
      <w:pPr>
        <w:pStyle w:val="202"/>
        <w:adjustRightInd w:val="0"/>
        <w:snapToGrid w:val="0"/>
        <w:spacing w:before="0"/>
        <w:ind w:firstLine="0" w:firstLineChars="0"/>
        <w:rPr>
          <w:rFonts w:hint="eastAsia" w:ascii="宋体" w:hAnsi="宋体"/>
          <w:b/>
        </w:rPr>
      </w:pPr>
      <w:r>
        <w:rPr>
          <w:rFonts w:hint="eastAsia" w:ascii="宋体" w:hAnsi="宋体"/>
          <w:b/>
        </w:rPr>
        <w:t>（四）投标文件形式</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1、投标文件的形式：见《前附表》。</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2、“电子加密投标文件”：见《前附表》。</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3、“备份投标文件”：见《前附表》。</w:t>
      </w:r>
    </w:p>
    <w:p>
      <w:pPr>
        <w:pStyle w:val="202"/>
        <w:adjustRightInd w:val="0"/>
        <w:snapToGrid w:val="0"/>
        <w:spacing w:before="0"/>
        <w:ind w:firstLine="0" w:firstLineChars="0"/>
        <w:rPr>
          <w:rFonts w:hint="eastAsia" w:ascii="宋体" w:hAnsi="宋体"/>
          <w:b/>
        </w:rPr>
      </w:pPr>
      <w:r>
        <w:rPr>
          <w:rFonts w:hint="eastAsia" w:ascii="宋体" w:hAnsi="宋体"/>
          <w:b/>
        </w:rPr>
        <w:t>（五）投标文件份数</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1、投标文件的份数：见《前附表》。</w:t>
      </w:r>
    </w:p>
    <w:p>
      <w:pPr>
        <w:pStyle w:val="202"/>
        <w:adjustRightInd w:val="0"/>
        <w:snapToGrid w:val="0"/>
        <w:spacing w:before="0"/>
        <w:ind w:firstLine="0" w:firstLineChars="0"/>
        <w:rPr>
          <w:rFonts w:hint="eastAsia" w:ascii="宋体" w:hAnsi="宋体"/>
          <w:b/>
        </w:rPr>
      </w:pPr>
      <w:r>
        <w:rPr>
          <w:rFonts w:hint="eastAsia" w:ascii="宋体" w:hAnsi="宋体"/>
          <w:b/>
        </w:rPr>
        <w:t>（六）投标报价</w:t>
      </w:r>
    </w:p>
    <w:p>
      <w:pPr>
        <w:pStyle w:val="202"/>
        <w:adjustRightInd w:val="0"/>
        <w:snapToGrid w:val="0"/>
        <w:spacing w:before="0"/>
        <w:ind w:firstLine="480"/>
        <w:rPr>
          <w:rFonts w:hint="eastAsia" w:ascii="宋体" w:hAnsi="宋体"/>
        </w:rPr>
      </w:pPr>
      <w:r>
        <w:rPr>
          <w:rFonts w:hint="eastAsia" w:ascii="宋体" w:hAnsi="宋体"/>
        </w:rPr>
        <w:t>1、报价组成</w:t>
      </w:r>
    </w:p>
    <w:p>
      <w:pPr>
        <w:pStyle w:val="202"/>
        <w:adjustRightInd w:val="0"/>
        <w:snapToGrid w:val="0"/>
        <w:spacing w:before="0"/>
        <w:ind w:firstLine="480"/>
        <w:rPr>
          <w:rFonts w:hint="eastAsia" w:ascii="宋体" w:hAnsi="宋体"/>
        </w:rPr>
      </w:pPr>
      <w:r>
        <w:rPr>
          <w:rFonts w:hint="eastAsia" w:ascii="宋体" w:hAnsi="宋体"/>
        </w:rPr>
        <w:t>投标报价是履行合同的最终价格，包括完成本项目所需的全部费用，具体包括人员工资、货款、标准附件、备品备件、专用工具、包装、运输、装卸、保险、税金、货到就位、安装、调试、培训、保修等招标文件及合同明示或者暗示的所有责任、义务和风险。其中人员工资不得低于服务所在地的最低工资标准。</w:t>
      </w:r>
    </w:p>
    <w:p>
      <w:pPr>
        <w:pStyle w:val="202"/>
        <w:adjustRightInd w:val="0"/>
        <w:snapToGrid w:val="0"/>
        <w:spacing w:before="0"/>
        <w:ind w:firstLine="480"/>
        <w:rPr>
          <w:rFonts w:hint="eastAsia" w:ascii="宋体" w:hAnsi="宋体"/>
        </w:rPr>
      </w:pPr>
      <w:r>
        <w:rPr>
          <w:rFonts w:hint="eastAsia" w:ascii="宋体" w:hAnsi="宋体"/>
        </w:rPr>
        <w:t>若本须知“前附表”规定允许进口产品投标的</w:t>
      </w:r>
      <w:r>
        <w:rPr>
          <w:rFonts w:hint="eastAsia" w:ascii="宋体" w:hAnsi="宋体" w:cs="宋体"/>
        </w:rPr>
        <w:t>（若为货物项目）</w:t>
      </w:r>
      <w:r>
        <w:rPr>
          <w:rFonts w:hint="eastAsia" w:ascii="宋体" w:hAnsi="宋体"/>
        </w:rPr>
        <w:t>，投标报价还应包括：</w:t>
      </w:r>
    </w:p>
    <w:p>
      <w:pPr>
        <w:pStyle w:val="202"/>
        <w:adjustRightInd w:val="0"/>
        <w:snapToGrid w:val="0"/>
        <w:spacing w:before="0"/>
        <w:ind w:firstLine="480"/>
        <w:rPr>
          <w:rFonts w:hint="eastAsia" w:ascii="宋体" w:hAnsi="宋体" w:cs="宋体"/>
          <w:kern w:val="0"/>
          <w:szCs w:val="24"/>
        </w:rPr>
      </w:pPr>
      <w:r>
        <w:rPr>
          <w:rFonts w:hint="eastAsia" w:ascii="宋体" w:hAnsi="宋体"/>
        </w:rPr>
        <w:t>（1）</w:t>
      </w:r>
      <w:r>
        <w:rPr>
          <w:rFonts w:hint="eastAsia" w:ascii="宋体" w:hAnsi="宋体" w:cs="宋体"/>
          <w:kern w:val="0"/>
          <w:szCs w:val="24"/>
        </w:rPr>
        <w:t>投标截止时间前已经进口的货物：货物在从关境外进口时已交纳或应交纳的全部关税、增值税和其它税；</w:t>
      </w:r>
    </w:p>
    <w:p>
      <w:pPr>
        <w:pStyle w:val="202"/>
        <w:adjustRightInd w:val="0"/>
        <w:snapToGrid w:val="0"/>
        <w:spacing w:before="0"/>
        <w:ind w:firstLine="480"/>
        <w:rPr>
          <w:rFonts w:hint="eastAsia" w:ascii="宋体" w:hAnsi="宋体" w:cs="宋体"/>
          <w:kern w:val="0"/>
          <w:szCs w:val="24"/>
        </w:rPr>
      </w:pPr>
      <w:r>
        <w:rPr>
          <w:rFonts w:hint="eastAsia" w:ascii="宋体" w:hAnsi="宋体"/>
        </w:rPr>
        <w:t>（2）需从中华人民共和国境外提供的货物：</w:t>
      </w:r>
      <w:r>
        <w:rPr>
          <w:rFonts w:hint="eastAsia" w:ascii="宋体" w:hAnsi="宋体" w:cs="宋体"/>
          <w:kern w:val="0"/>
          <w:szCs w:val="24"/>
        </w:rPr>
        <w:t>货物在从关境外进口时已交纳或应交纳的全部关税、增值税和其它税（</w:t>
      </w:r>
      <w:r>
        <w:rPr>
          <w:rFonts w:hint="eastAsia" w:ascii="宋体" w:hAnsi="宋体"/>
        </w:rPr>
        <w:t>本须知“前附表”规定可办理免税的除外</w:t>
      </w:r>
      <w:r>
        <w:rPr>
          <w:rFonts w:hint="eastAsia" w:ascii="宋体" w:hAnsi="宋体" w:cs="宋体"/>
          <w:kern w:val="0"/>
          <w:szCs w:val="24"/>
        </w:rPr>
        <w:t>）以及办理进口事宜所需的所有费用；</w:t>
      </w:r>
    </w:p>
    <w:p>
      <w:pPr>
        <w:pStyle w:val="202"/>
        <w:adjustRightInd w:val="0"/>
        <w:snapToGrid w:val="0"/>
        <w:spacing w:before="0"/>
        <w:ind w:firstLine="480"/>
        <w:rPr>
          <w:rFonts w:hint="eastAsia" w:ascii="宋体" w:hAnsi="宋体" w:cs="宋体"/>
          <w:kern w:val="0"/>
          <w:szCs w:val="24"/>
        </w:rPr>
      </w:pPr>
      <w:r>
        <w:rPr>
          <w:rFonts w:hint="eastAsia" w:ascii="宋体" w:hAnsi="宋体" w:cs="宋体"/>
          <w:kern w:val="0"/>
          <w:szCs w:val="24"/>
        </w:rPr>
        <w:t>（3）</w:t>
      </w:r>
      <w:r>
        <w:rPr>
          <w:rFonts w:hint="eastAsia" w:ascii="宋体" w:hAnsi="宋体"/>
        </w:rPr>
        <w:t>本须知“前附表”即使明确可免关税，如因国家（海关）政策等原因导致无法免关税的，关税由招标人承担；如因供应商原因导致无法办理的，合同价不予调整，关税由供应商承担，报价范围按前款（1）条执行；</w:t>
      </w:r>
    </w:p>
    <w:p>
      <w:pPr>
        <w:pStyle w:val="202"/>
        <w:adjustRightInd w:val="0"/>
        <w:snapToGrid w:val="0"/>
        <w:spacing w:before="0"/>
        <w:ind w:firstLine="480"/>
        <w:rPr>
          <w:rFonts w:hint="eastAsia" w:ascii="宋体" w:hAnsi="宋体" w:cs="Arial"/>
        </w:rPr>
      </w:pPr>
      <w:r>
        <w:rPr>
          <w:rFonts w:hint="eastAsia" w:ascii="宋体" w:hAnsi="宋体" w:cs="Arial"/>
        </w:rPr>
        <w:t>产品及服务须达到招标文件规定的质量标准及使用要求。</w:t>
      </w:r>
    </w:p>
    <w:p>
      <w:pPr>
        <w:pStyle w:val="202"/>
        <w:adjustRightInd w:val="0"/>
        <w:snapToGrid w:val="0"/>
        <w:spacing w:before="0"/>
        <w:ind w:firstLine="480"/>
        <w:rPr>
          <w:rFonts w:hint="eastAsia" w:ascii="宋体" w:hAnsi="宋体"/>
        </w:rPr>
      </w:pPr>
      <w:r>
        <w:rPr>
          <w:rFonts w:hint="eastAsia" w:ascii="宋体" w:hAnsi="宋体"/>
        </w:rPr>
        <w:t>2、其它费用处理</w:t>
      </w:r>
    </w:p>
    <w:p>
      <w:pPr>
        <w:pStyle w:val="202"/>
        <w:adjustRightInd w:val="0"/>
        <w:snapToGrid w:val="0"/>
        <w:spacing w:before="0"/>
        <w:ind w:firstLine="480"/>
        <w:rPr>
          <w:rFonts w:hint="eastAsia" w:ascii="宋体" w:hAnsi="宋体"/>
        </w:rPr>
      </w:pPr>
      <w:r>
        <w:rPr>
          <w:rFonts w:hint="eastAsia" w:ascii="宋体" w:hAnsi="宋体"/>
        </w:rPr>
        <w:t>招标文件未列明，而投标人认为必需的费用也需列入报价。投标人在投标报价中应充分考虑所有可能发生的费用，否则招标人将视投标总价中已包括所有费用。</w:t>
      </w:r>
    </w:p>
    <w:p>
      <w:pPr>
        <w:pStyle w:val="202"/>
        <w:adjustRightInd w:val="0"/>
        <w:snapToGrid w:val="0"/>
        <w:spacing w:before="0"/>
        <w:ind w:firstLine="480"/>
        <w:rPr>
          <w:rFonts w:hint="eastAsia" w:ascii="宋体" w:hAnsi="宋体"/>
        </w:rPr>
      </w:pPr>
      <w:r>
        <w:rPr>
          <w:rFonts w:hint="eastAsia" w:ascii="宋体" w:hAnsi="宋体"/>
        </w:rPr>
        <w:t>3、投标货币</w:t>
      </w:r>
    </w:p>
    <w:p>
      <w:pPr>
        <w:pStyle w:val="34"/>
        <w:snapToGrid w:val="0"/>
        <w:spacing w:line="360" w:lineRule="auto"/>
        <w:ind w:firstLine="480" w:firstLineChars="200"/>
        <w:rPr>
          <w:rFonts w:hint="eastAsia" w:ascii="宋体" w:hAnsi="宋体"/>
        </w:rPr>
      </w:pPr>
      <w:r>
        <w:rPr>
          <w:rFonts w:hint="eastAsia" w:ascii="宋体" w:hAnsi="宋体"/>
        </w:rPr>
        <w:t>投标文件中价格全部采用人民币报价。</w:t>
      </w:r>
    </w:p>
    <w:p>
      <w:pPr>
        <w:pStyle w:val="34"/>
        <w:snapToGrid w:val="0"/>
        <w:spacing w:line="360" w:lineRule="auto"/>
        <w:ind w:firstLine="480" w:firstLineChars="200"/>
        <w:rPr>
          <w:rFonts w:hint="eastAsia" w:ascii="宋体" w:hAnsi="宋体"/>
        </w:rPr>
      </w:pPr>
      <w:r>
        <w:rPr>
          <w:rFonts w:hint="eastAsia" w:ascii="宋体" w:hAnsi="宋体"/>
        </w:rPr>
        <w:t>若本须知“前附表”规定允许进口产品投标的，投标人应将外币金额折算为人民币金额，并由投标人承担汇率变动风险。</w:t>
      </w:r>
    </w:p>
    <w:p>
      <w:pPr>
        <w:pStyle w:val="34"/>
        <w:snapToGrid w:val="0"/>
        <w:spacing w:line="360" w:lineRule="auto"/>
        <w:ind w:firstLine="480" w:firstLineChars="200"/>
        <w:rPr>
          <w:rFonts w:hint="eastAsia" w:ascii="宋体" w:hAnsi="宋体"/>
        </w:rPr>
      </w:pPr>
      <w:r>
        <w:rPr>
          <w:rFonts w:hint="eastAsia" w:ascii="宋体" w:hAnsi="宋体"/>
        </w:rPr>
        <w:t>报价应是唯一的，不接受有选择的报价。</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4、投标人对在合同执行中，除上述费用及招标文件规定的由中标人负责的工作范围以外需要招标人协调或提供便利的工作应当在投标文件中说明。</w:t>
      </w:r>
      <w:bookmarkStart w:id="65" w:name="_Hlt75236011"/>
      <w:bookmarkEnd w:id="65"/>
    </w:p>
    <w:p>
      <w:pPr>
        <w:adjustRightInd w:val="0"/>
        <w:snapToGrid w:val="0"/>
        <w:spacing w:line="360" w:lineRule="auto"/>
        <w:ind w:firstLine="480" w:firstLineChars="200"/>
        <w:rPr>
          <w:rFonts w:hint="eastAsia" w:ascii="宋体" w:hAnsi="宋体"/>
          <w:b/>
          <w:sz w:val="24"/>
          <w:szCs w:val="24"/>
        </w:rPr>
      </w:pPr>
      <w:r>
        <w:rPr>
          <w:rFonts w:hint="eastAsia" w:ascii="宋体" w:hAnsi="宋体"/>
          <w:sz w:val="24"/>
        </w:rPr>
        <w:t>5、</w:t>
      </w:r>
      <w:r>
        <w:rPr>
          <w:rFonts w:hint="eastAsia" w:ascii="宋体" w:hAnsi="宋体"/>
          <w:sz w:val="24"/>
          <w:szCs w:val="24"/>
          <w:u w:val="single"/>
        </w:rPr>
        <w:t>报价是中标的一个重要因素，但最低报价不是中标的唯一依据。</w:t>
      </w:r>
    </w:p>
    <w:p>
      <w:pPr>
        <w:pStyle w:val="202"/>
        <w:adjustRightInd w:val="0"/>
        <w:snapToGrid w:val="0"/>
        <w:spacing w:before="0"/>
        <w:ind w:firstLine="0" w:firstLineChars="0"/>
        <w:rPr>
          <w:rFonts w:hint="eastAsia" w:ascii="宋体" w:hAnsi="宋体"/>
          <w:b/>
        </w:rPr>
      </w:pPr>
      <w:bookmarkStart w:id="66" w:name="_Toc91899887"/>
      <w:r>
        <w:rPr>
          <w:rFonts w:hint="eastAsia" w:ascii="宋体" w:hAnsi="宋体"/>
          <w:b/>
        </w:rPr>
        <w:t>（七）投标有效期</w:t>
      </w:r>
    </w:p>
    <w:p>
      <w:pPr>
        <w:pStyle w:val="202"/>
        <w:adjustRightInd w:val="0"/>
        <w:snapToGrid w:val="0"/>
        <w:spacing w:before="0"/>
        <w:ind w:firstLine="480"/>
        <w:rPr>
          <w:rFonts w:hint="eastAsia" w:ascii="宋体" w:hAnsi="宋体"/>
        </w:rPr>
      </w:pPr>
      <w:r>
        <w:rPr>
          <w:rFonts w:hint="eastAsia" w:ascii="宋体" w:hAnsi="宋体"/>
        </w:rPr>
        <w:t>1、投标文件合格投递后，自投标截止日期起，至前附表规定的日期内有效。合同签订后，投标文件作为合同附件，投标文件有效期同合同有效期。</w:t>
      </w:r>
    </w:p>
    <w:p>
      <w:pPr>
        <w:pStyle w:val="202"/>
        <w:adjustRightInd w:val="0"/>
        <w:snapToGrid w:val="0"/>
        <w:spacing w:before="0"/>
        <w:ind w:firstLine="480"/>
        <w:rPr>
          <w:rFonts w:hint="eastAsia" w:ascii="宋体" w:hAnsi="宋体"/>
        </w:rPr>
      </w:pPr>
      <w:r>
        <w:rPr>
          <w:rFonts w:hint="eastAsia" w:ascii="宋体" w:hAnsi="宋体"/>
        </w:rPr>
        <w:t>2、 招标人如因故推迟投标截止时间，将以书面形式通知所有投标人。在这种情况下，招标人与投标人以前在投标截止期方面的全部权利、责任和义务，将适用于延长至新的投标截止期。</w:t>
      </w:r>
    </w:p>
    <w:p>
      <w:pPr>
        <w:pStyle w:val="202"/>
        <w:adjustRightInd w:val="0"/>
        <w:snapToGrid w:val="0"/>
        <w:spacing w:before="0"/>
        <w:ind w:firstLine="480"/>
        <w:rPr>
          <w:rFonts w:ascii="宋体" w:hAnsi="宋体"/>
        </w:rPr>
      </w:pPr>
      <w:r>
        <w:rPr>
          <w:rFonts w:hint="eastAsia" w:ascii="宋体" w:hAnsi="宋体"/>
        </w:rPr>
        <w:t>3、投标人可拒绝接受延期要求。同意延长有效期的投标人不能修改投标文件。</w:t>
      </w:r>
    </w:p>
    <w:p>
      <w:pPr>
        <w:adjustRightInd w:val="0"/>
        <w:snapToGrid w:val="0"/>
        <w:spacing w:line="360" w:lineRule="auto"/>
        <w:ind w:firstLine="480" w:firstLineChars="200"/>
        <w:rPr>
          <w:rFonts w:hint="eastAsia" w:ascii="宋体" w:hAnsi="宋体"/>
          <w:sz w:val="24"/>
        </w:rPr>
      </w:pPr>
    </w:p>
    <w:bookmarkEnd w:id="66"/>
    <w:p>
      <w:pPr>
        <w:adjustRightInd w:val="0"/>
        <w:snapToGrid w:val="0"/>
        <w:spacing w:line="360" w:lineRule="auto"/>
        <w:jc w:val="center"/>
        <w:outlineLvl w:val="1"/>
        <w:rPr>
          <w:rFonts w:hint="eastAsia" w:ascii="宋体" w:hAnsi="宋体"/>
          <w:b/>
          <w:sz w:val="32"/>
        </w:rPr>
      </w:pPr>
      <w:bookmarkStart w:id="67" w:name="_Toc83910191"/>
      <w:bookmarkStart w:id="68" w:name="_Toc91899892"/>
      <w:r>
        <w:rPr>
          <w:rFonts w:hint="eastAsia" w:ascii="宋体" w:hAnsi="宋体"/>
          <w:b/>
          <w:sz w:val="32"/>
        </w:rPr>
        <w:t>四、投 标</w:t>
      </w:r>
      <w:bookmarkEnd w:id="67"/>
    </w:p>
    <w:p>
      <w:pPr>
        <w:pStyle w:val="202"/>
        <w:adjustRightInd w:val="0"/>
        <w:snapToGrid w:val="0"/>
        <w:spacing w:before="0"/>
        <w:ind w:firstLine="0" w:firstLineChars="0"/>
        <w:rPr>
          <w:rFonts w:hint="eastAsia" w:ascii="宋体" w:hAnsi="宋体"/>
          <w:b/>
        </w:rPr>
      </w:pPr>
      <w:r>
        <w:rPr>
          <w:rFonts w:hint="eastAsia" w:ascii="宋体" w:hAnsi="宋体"/>
          <w:b/>
        </w:rPr>
        <w:t>（一）投标文件的上传和递交</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1、“投标文件”的上传、递交：见《前附表》。</w:t>
      </w:r>
    </w:p>
    <w:p>
      <w:pPr>
        <w:pStyle w:val="202"/>
        <w:adjustRightInd w:val="0"/>
        <w:snapToGrid w:val="0"/>
        <w:spacing w:before="0"/>
        <w:ind w:firstLine="0" w:firstLineChars="0"/>
        <w:rPr>
          <w:rFonts w:hint="eastAsia" w:ascii="宋体" w:hAnsi="宋体"/>
          <w:b/>
        </w:rPr>
      </w:pPr>
      <w:r>
        <w:rPr>
          <w:rFonts w:hint="eastAsia" w:ascii="宋体" w:hAnsi="宋体"/>
          <w:b/>
        </w:rPr>
        <w:t>（二）“电子加密投标文件”解密和异常情况处理</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1、“电子加密投标文件”解密和异常情况处理：见《前附表》。</w:t>
      </w:r>
    </w:p>
    <w:p>
      <w:pPr>
        <w:pStyle w:val="202"/>
        <w:adjustRightInd w:val="0"/>
        <w:snapToGrid w:val="0"/>
        <w:spacing w:before="0"/>
        <w:ind w:firstLine="0" w:firstLineChars="0"/>
        <w:rPr>
          <w:rFonts w:hint="eastAsia" w:ascii="宋体" w:hAnsi="宋体"/>
          <w:b/>
        </w:rPr>
      </w:pPr>
      <w:r>
        <w:rPr>
          <w:rFonts w:hint="eastAsia" w:ascii="宋体" w:hAnsi="宋体"/>
          <w:b/>
        </w:rPr>
        <w:t>（三）投标文件的补充、修改或撤回</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1、</w:t>
      </w:r>
      <w:r>
        <w:rPr>
          <w:rFonts w:hint="eastAsia" w:ascii="宋体" w:hAnsi="宋体"/>
          <w:b/>
          <w:sz w:val="24"/>
        </w:rPr>
        <w:t>投标文件的补充、修改或撤回</w:t>
      </w:r>
      <w:r>
        <w:rPr>
          <w:rFonts w:hint="eastAsia" w:ascii="宋体" w:hAnsi="宋体" w:cs="Arial"/>
          <w:b/>
          <w:kern w:val="0"/>
          <w:sz w:val="24"/>
        </w:rPr>
        <w:t>：见《前附表》。</w:t>
      </w:r>
    </w:p>
    <w:p>
      <w:pPr>
        <w:pStyle w:val="202"/>
        <w:adjustRightInd w:val="0"/>
        <w:snapToGrid w:val="0"/>
        <w:spacing w:before="0"/>
        <w:ind w:firstLine="0" w:firstLineChars="0"/>
        <w:rPr>
          <w:rFonts w:hint="eastAsia" w:ascii="宋体" w:hAnsi="宋体"/>
          <w:b/>
        </w:rPr>
      </w:pPr>
      <w:r>
        <w:rPr>
          <w:rFonts w:hint="eastAsia" w:ascii="宋体" w:hAnsi="宋体"/>
          <w:b/>
        </w:rPr>
        <w:t>（四）投标文件的备选方案</w:t>
      </w:r>
    </w:p>
    <w:p>
      <w:pPr>
        <w:spacing w:line="360" w:lineRule="auto"/>
        <w:ind w:firstLine="542" w:firstLineChars="225"/>
        <w:rPr>
          <w:rFonts w:hint="eastAsia" w:ascii="宋体" w:hAnsi="宋体" w:cs="Arial"/>
          <w:b/>
          <w:kern w:val="0"/>
          <w:sz w:val="24"/>
        </w:rPr>
      </w:pPr>
      <w:r>
        <w:rPr>
          <w:rFonts w:hint="eastAsia" w:ascii="宋体" w:hAnsi="宋体" w:cs="Arial"/>
          <w:b/>
          <w:kern w:val="0"/>
          <w:sz w:val="24"/>
        </w:rPr>
        <w:t>1、</w:t>
      </w:r>
      <w:r>
        <w:rPr>
          <w:rFonts w:hint="eastAsia" w:ascii="宋体" w:hAnsi="宋体"/>
          <w:b/>
          <w:sz w:val="24"/>
        </w:rPr>
        <w:t>投标文件的备选方案</w:t>
      </w:r>
      <w:r>
        <w:rPr>
          <w:rFonts w:hint="eastAsia" w:ascii="宋体" w:hAnsi="宋体" w:cs="Arial"/>
          <w:b/>
          <w:kern w:val="0"/>
          <w:sz w:val="24"/>
        </w:rPr>
        <w:t>：见《前附表》。</w:t>
      </w:r>
    </w:p>
    <w:p>
      <w:pPr>
        <w:pStyle w:val="202"/>
        <w:adjustRightInd w:val="0"/>
        <w:snapToGrid w:val="0"/>
        <w:spacing w:before="0"/>
        <w:ind w:firstLine="0" w:firstLineChars="0"/>
        <w:rPr>
          <w:rFonts w:hint="eastAsia" w:ascii="宋体" w:hAnsi="宋体"/>
          <w:b/>
        </w:rPr>
      </w:pPr>
      <w:r>
        <w:rPr>
          <w:rFonts w:hint="eastAsia" w:ascii="宋体" w:hAnsi="宋体"/>
          <w:b/>
        </w:rPr>
        <w:t>（五）</w:t>
      </w:r>
      <w:r>
        <w:rPr>
          <w:rFonts w:hint="eastAsia" w:ascii="宋体" w:hAnsi="宋体"/>
          <w:b/>
          <w:szCs w:val="24"/>
        </w:rPr>
        <w:t>在线投标响应（电子投标）说明</w:t>
      </w:r>
    </w:p>
    <w:p>
      <w:pPr>
        <w:spacing w:line="360" w:lineRule="auto"/>
        <w:ind w:firstLine="542" w:firstLineChars="225"/>
        <w:rPr>
          <w:rFonts w:hint="eastAsia" w:ascii="宋体" w:hAnsi="宋体"/>
          <w:b/>
          <w:sz w:val="24"/>
        </w:rPr>
      </w:pPr>
      <w:r>
        <w:rPr>
          <w:rFonts w:hint="eastAsia" w:ascii="宋体" w:hAnsi="宋体" w:cs="Arial"/>
          <w:b/>
          <w:kern w:val="0"/>
          <w:sz w:val="24"/>
        </w:rPr>
        <w:t>1、在线</w:t>
      </w:r>
      <w:r>
        <w:rPr>
          <w:rFonts w:hint="eastAsia" w:ascii="宋体" w:hAnsi="宋体"/>
          <w:b/>
          <w:sz w:val="24"/>
          <w:szCs w:val="24"/>
        </w:rPr>
        <w:t>投标响应（电子投标）说明</w:t>
      </w:r>
      <w:r>
        <w:rPr>
          <w:rFonts w:hint="eastAsia" w:ascii="宋体" w:hAnsi="宋体"/>
          <w:b/>
          <w:szCs w:val="24"/>
        </w:rPr>
        <w:t>：见</w:t>
      </w:r>
      <w:r>
        <w:rPr>
          <w:rFonts w:hint="eastAsia" w:ascii="宋体" w:hAnsi="宋体" w:cs="Arial"/>
          <w:b/>
          <w:kern w:val="0"/>
          <w:sz w:val="24"/>
        </w:rPr>
        <w:t>《前附表》。</w:t>
      </w:r>
    </w:p>
    <w:bookmarkEnd w:id="68"/>
    <w:p>
      <w:pPr>
        <w:pStyle w:val="202"/>
        <w:adjustRightInd w:val="0"/>
        <w:snapToGrid w:val="0"/>
        <w:spacing w:before="0"/>
        <w:ind w:firstLine="0" w:firstLineChars="0"/>
        <w:rPr>
          <w:rFonts w:hint="eastAsia" w:ascii="宋体" w:hAnsi="宋体"/>
          <w:b/>
        </w:rPr>
      </w:pPr>
      <w:r>
        <w:rPr>
          <w:rFonts w:hint="eastAsia" w:ascii="宋体" w:hAnsi="宋体"/>
          <w:b/>
        </w:rPr>
        <w:t>（六）投标样品的递交与退还（货物项目）</w:t>
      </w:r>
    </w:p>
    <w:p>
      <w:pPr>
        <w:pStyle w:val="202"/>
        <w:adjustRightInd w:val="0"/>
        <w:snapToGrid w:val="0"/>
        <w:spacing w:before="0"/>
        <w:ind w:firstLine="480"/>
        <w:rPr>
          <w:rFonts w:hint="eastAsia" w:ascii="宋体" w:hAnsi="宋体"/>
        </w:rPr>
      </w:pPr>
      <w:r>
        <w:rPr>
          <w:rFonts w:hint="eastAsia" w:ascii="宋体" w:hAnsi="宋体"/>
        </w:rPr>
        <w:t>1、投标人应按本须知“前附表”及“第三部分 项目技术及服务要求”的要求提供样品。</w:t>
      </w:r>
    </w:p>
    <w:p>
      <w:pPr>
        <w:pStyle w:val="202"/>
        <w:adjustRightInd w:val="0"/>
        <w:snapToGrid w:val="0"/>
        <w:spacing w:before="0"/>
        <w:ind w:firstLine="480"/>
        <w:rPr>
          <w:rFonts w:hint="eastAsia" w:ascii="宋体" w:hAnsi="宋体"/>
        </w:rPr>
      </w:pPr>
      <w:r>
        <w:rPr>
          <w:rFonts w:hint="eastAsia" w:ascii="宋体" w:hAnsi="宋体"/>
        </w:rPr>
        <w:t>2、样品为投标文件的补充，仅作辅助评标用，但其应能真实反应投标货物的参数性能指标，所提供样品与投标文件不符以投标文件为准。</w:t>
      </w:r>
    </w:p>
    <w:p>
      <w:pPr>
        <w:pStyle w:val="202"/>
        <w:adjustRightInd w:val="0"/>
        <w:snapToGrid w:val="0"/>
        <w:spacing w:before="0"/>
        <w:ind w:firstLine="480"/>
        <w:rPr>
          <w:rFonts w:hint="eastAsia" w:ascii="宋体" w:hAnsi="宋体"/>
        </w:rPr>
      </w:pPr>
      <w:r>
        <w:rPr>
          <w:rFonts w:hint="eastAsia" w:ascii="宋体" w:hAnsi="宋体"/>
        </w:rPr>
        <w:t>3、本须知“前附表”规定样品标识为“明标”的，投标人须在样品本体明显位置标注“项目（标项）；投标人全称；样品总件数-第几件”（A项目，标项B，XX公司 16-1）。</w:t>
      </w:r>
    </w:p>
    <w:p>
      <w:pPr>
        <w:pStyle w:val="202"/>
        <w:adjustRightInd w:val="0"/>
        <w:snapToGrid w:val="0"/>
        <w:spacing w:before="0"/>
        <w:ind w:firstLine="480"/>
        <w:rPr>
          <w:rFonts w:hint="eastAsia" w:ascii="宋体" w:hAnsi="宋体"/>
        </w:rPr>
      </w:pPr>
      <w:r>
        <w:rPr>
          <w:rFonts w:hint="eastAsia" w:ascii="宋体" w:hAnsi="宋体"/>
        </w:rPr>
        <w:t>4、本须知“前附表”规定样品标识为“暗标”的，投标人样品任何地方均不得出现投标人信息，否则视同未提交样品。</w:t>
      </w:r>
    </w:p>
    <w:p>
      <w:pPr>
        <w:pStyle w:val="202"/>
        <w:adjustRightInd w:val="0"/>
        <w:snapToGrid w:val="0"/>
        <w:spacing w:before="0"/>
        <w:ind w:firstLine="480"/>
        <w:rPr>
          <w:rFonts w:hint="eastAsia" w:ascii="宋体" w:hAnsi="宋体"/>
        </w:rPr>
      </w:pPr>
      <w:r>
        <w:rPr>
          <w:rFonts w:hint="eastAsia" w:ascii="宋体" w:hAnsi="宋体"/>
        </w:rPr>
        <w:t>5、投标人样品应于开标结束前到达本须知“前附表”规定的地点，否则视为未提交样品。</w:t>
      </w:r>
    </w:p>
    <w:p>
      <w:pPr>
        <w:pStyle w:val="202"/>
        <w:adjustRightInd w:val="0"/>
        <w:snapToGrid w:val="0"/>
        <w:spacing w:before="0"/>
        <w:ind w:firstLine="480"/>
        <w:rPr>
          <w:rFonts w:hint="eastAsia" w:ascii="宋体" w:hAnsi="宋体"/>
        </w:rPr>
      </w:pPr>
      <w:r>
        <w:rPr>
          <w:rFonts w:hint="eastAsia" w:ascii="宋体" w:hAnsi="宋体"/>
        </w:rPr>
        <w:t>6、投标人样品应于本须知“前附表”规定的时间起5个工作日取回。</w:t>
      </w:r>
    </w:p>
    <w:p>
      <w:pPr>
        <w:pStyle w:val="202"/>
        <w:adjustRightInd w:val="0"/>
        <w:snapToGrid w:val="0"/>
        <w:spacing w:before="0"/>
        <w:ind w:firstLine="480"/>
        <w:rPr>
          <w:rFonts w:hint="eastAsia" w:ascii="宋体" w:hAnsi="宋体"/>
        </w:rPr>
      </w:pPr>
      <w:r>
        <w:rPr>
          <w:rFonts w:hint="eastAsia" w:ascii="宋体" w:hAnsi="宋体"/>
        </w:rPr>
        <w:t>7、本须知“前附表”规定中标样品“封存至验收”或“抵扣采购数量”的，中标人应将样品运送至招标人指定地点，期间应保证到达目的地的样品与评标样品完全一致。</w:t>
      </w:r>
    </w:p>
    <w:p>
      <w:pPr>
        <w:pStyle w:val="202"/>
        <w:adjustRightInd w:val="0"/>
        <w:snapToGrid w:val="0"/>
        <w:spacing w:before="0"/>
        <w:ind w:firstLine="480"/>
        <w:rPr>
          <w:rFonts w:hint="eastAsia" w:ascii="宋体" w:hAnsi="宋体"/>
        </w:rPr>
      </w:pPr>
      <w:r>
        <w:rPr>
          <w:rFonts w:hint="eastAsia" w:ascii="宋体" w:hAnsi="宋体"/>
        </w:rPr>
        <w:t>8、样品制作、安装、运输、拆除等递交、退还样品所需要费用由投标人自行承担。</w:t>
      </w:r>
    </w:p>
    <w:p>
      <w:pPr>
        <w:pStyle w:val="202"/>
        <w:adjustRightInd w:val="0"/>
        <w:snapToGrid w:val="0"/>
        <w:spacing w:before="0"/>
        <w:ind w:firstLine="480"/>
        <w:rPr>
          <w:rFonts w:hint="eastAsia" w:ascii="宋体" w:hAnsi="宋体"/>
        </w:rPr>
      </w:pPr>
      <w:r>
        <w:rPr>
          <w:rFonts w:hint="eastAsia" w:ascii="宋体" w:hAnsi="宋体"/>
        </w:rPr>
        <w:t>9、样品的包装应方便样品运输、保存并二次包装，否则投标人取回样品时需自行携带包装。</w:t>
      </w:r>
    </w:p>
    <w:p>
      <w:pPr>
        <w:adjustRightInd w:val="0"/>
        <w:snapToGrid w:val="0"/>
        <w:spacing w:line="360" w:lineRule="auto"/>
        <w:ind w:firstLine="480" w:firstLineChars="200"/>
        <w:rPr>
          <w:rFonts w:hint="eastAsia" w:ascii="宋体" w:hAnsi="宋体"/>
          <w:sz w:val="24"/>
        </w:rPr>
      </w:pPr>
      <w:bookmarkStart w:id="69" w:name="_Toc91899897"/>
      <w:bookmarkStart w:id="70" w:name="_Toc233618976"/>
    </w:p>
    <w:p>
      <w:pPr>
        <w:adjustRightInd w:val="0"/>
        <w:snapToGrid w:val="0"/>
        <w:spacing w:line="360" w:lineRule="auto"/>
        <w:jc w:val="center"/>
        <w:outlineLvl w:val="1"/>
        <w:rPr>
          <w:rFonts w:hint="eastAsia" w:ascii="宋体" w:hAnsi="宋体"/>
          <w:b/>
          <w:sz w:val="32"/>
        </w:rPr>
      </w:pPr>
      <w:bookmarkStart w:id="71" w:name="_Toc83910192"/>
      <w:r>
        <w:rPr>
          <w:rFonts w:hint="eastAsia" w:ascii="宋体" w:hAnsi="宋体"/>
          <w:b/>
          <w:sz w:val="32"/>
        </w:rPr>
        <w:t>五、开 标</w:t>
      </w:r>
      <w:bookmarkEnd w:id="69"/>
      <w:bookmarkEnd w:id="70"/>
      <w:bookmarkEnd w:id="71"/>
    </w:p>
    <w:p>
      <w:pPr>
        <w:pStyle w:val="202"/>
        <w:adjustRightInd w:val="0"/>
        <w:snapToGrid w:val="0"/>
        <w:spacing w:before="0"/>
        <w:ind w:firstLine="482"/>
        <w:rPr>
          <w:rFonts w:hint="eastAsia" w:ascii="宋体" w:hAnsi="宋体"/>
          <w:b/>
          <w:szCs w:val="24"/>
        </w:rPr>
      </w:pPr>
      <w:r>
        <w:rPr>
          <w:rFonts w:hint="eastAsia" w:ascii="宋体" w:hAnsi="宋体"/>
          <w:b/>
          <w:szCs w:val="24"/>
        </w:rPr>
        <w:t>（一）开标形式</w:t>
      </w:r>
    </w:p>
    <w:p>
      <w:pPr>
        <w:spacing w:line="360" w:lineRule="auto"/>
        <w:ind w:firstLine="482" w:firstLineChars="200"/>
        <w:jc w:val="left"/>
        <w:rPr>
          <w:rFonts w:hint="eastAsia" w:ascii="宋体" w:hAnsi="宋体" w:cs="Arial"/>
          <w:b/>
          <w:kern w:val="0"/>
          <w:sz w:val="24"/>
        </w:rPr>
      </w:pPr>
      <w:r>
        <w:rPr>
          <w:rFonts w:hint="eastAsia" w:ascii="宋体" w:hAnsi="宋体" w:cs="Arial"/>
          <w:b/>
          <w:kern w:val="0"/>
          <w:sz w:val="24"/>
        </w:rPr>
        <w:t>1、招标组织机构将按照招标文件规定的时间通过“政府采购云平台”组织开标、开启投标文件，所有供应商均应当准时在线参加。</w:t>
      </w:r>
    </w:p>
    <w:p>
      <w:pPr>
        <w:pStyle w:val="202"/>
        <w:adjustRightInd w:val="0"/>
        <w:snapToGrid w:val="0"/>
        <w:spacing w:before="0"/>
        <w:ind w:firstLine="482"/>
        <w:rPr>
          <w:rFonts w:ascii="宋体" w:hAnsi="宋体"/>
          <w:b/>
          <w:szCs w:val="24"/>
        </w:rPr>
      </w:pPr>
      <w:r>
        <w:rPr>
          <w:rFonts w:hint="eastAsia" w:ascii="宋体" w:hAnsi="宋体"/>
          <w:b/>
          <w:szCs w:val="24"/>
        </w:rPr>
        <w:t xml:space="preserve">（二） </w:t>
      </w:r>
      <w:r>
        <w:rPr>
          <w:rFonts w:ascii="宋体" w:hAnsi="宋体"/>
          <w:b/>
          <w:szCs w:val="24"/>
        </w:rPr>
        <w:t>开标准备</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1、开标的准备工作由招标组织机构负责落实；</w:t>
      </w:r>
    </w:p>
    <w:p>
      <w:pPr>
        <w:spacing w:line="360" w:lineRule="auto"/>
        <w:ind w:firstLine="482" w:firstLineChars="200"/>
        <w:jc w:val="left"/>
        <w:rPr>
          <w:rFonts w:hint="eastAsia" w:ascii="宋体" w:hAnsi="宋体" w:cs="Arial"/>
          <w:b/>
          <w:kern w:val="0"/>
          <w:sz w:val="24"/>
        </w:rPr>
      </w:pPr>
      <w:r>
        <w:rPr>
          <w:rFonts w:hint="eastAsia" w:ascii="宋体" w:hAnsi="宋体" w:cs="Arial"/>
          <w:b/>
          <w:kern w:val="0"/>
          <w:sz w:val="24"/>
        </w:rPr>
        <w:t>2、招标组织机构将按照招标文件规定的时间通过“政府采购云平台”组织开标、开启投标文件，所有供应商均应当准时在线参加。投标供应商</w:t>
      </w:r>
      <w:r>
        <w:rPr>
          <w:rFonts w:ascii="宋体" w:hAnsi="宋体" w:cs="Arial"/>
          <w:b/>
          <w:kern w:val="0"/>
          <w:sz w:val="24"/>
        </w:rPr>
        <w:t>如不</w:t>
      </w:r>
      <w:r>
        <w:rPr>
          <w:rFonts w:hint="eastAsia" w:ascii="宋体" w:hAnsi="宋体" w:cs="Arial"/>
          <w:b/>
          <w:kern w:val="0"/>
          <w:sz w:val="24"/>
        </w:rPr>
        <w:t>参加</w:t>
      </w:r>
      <w:r>
        <w:rPr>
          <w:rFonts w:ascii="宋体" w:hAnsi="宋体" w:cs="Arial"/>
          <w:b/>
          <w:kern w:val="0"/>
          <w:sz w:val="24"/>
        </w:rPr>
        <w:t>开标大会的，</w:t>
      </w:r>
      <w:r>
        <w:rPr>
          <w:rFonts w:hint="eastAsia" w:ascii="宋体" w:hAnsi="宋体" w:cs="Arial"/>
          <w:b/>
          <w:kern w:val="0"/>
          <w:sz w:val="24"/>
        </w:rPr>
        <w:t>视同认可开标结果，</w:t>
      </w:r>
      <w:r>
        <w:rPr>
          <w:rFonts w:ascii="宋体" w:hAnsi="宋体" w:cs="Arial"/>
          <w:b/>
          <w:kern w:val="0"/>
          <w:sz w:val="24"/>
        </w:rPr>
        <w:t>事后不得对采购相关人员、开标过程和开标结果提出异议</w:t>
      </w:r>
      <w:r>
        <w:rPr>
          <w:rFonts w:hint="eastAsia" w:ascii="宋体" w:hAnsi="宋体" w:cs="Arial"/>
          <w:b/>
          <w:kern w:val="0"/>
          <w:sz w:val="24"/>
        </w:rPr>
        <w:t>，同时投标供应商因未在线参加开标而导致投标文件无法按时解密等一切后果由供应商自己承担。</w:t>
      </w:r>
    </w:p>
    <w:p>
      <w:pPr>
        <w:pStyle w:val="202"/>
        <w:adjustRightInd w:val="0"/>
        <w:snapToGrid w:val="0"/>
        <w:spacing w:before="0"/>
        <w:ind w:firstLine="482"/>
        <w:rPr>
          <w:rFonts w:hint="eastAsia" w:ascii="宋体" w:hAnsi="宋体"/>
          <w:b/>
          <w:szCs w:val="24"/>
        </w:rPr>
      </w:pPr>
      <w:r>
        <w:rPr>
          <w:rFonts w:hint="eastAsia" w:ascii="宋体" w:hAnsi="宋体"/>
          <w:b/>
          <w:szCs w:val="24"/>
        </w:rPr>
        <w:t>（三）</w:t>
      </w:r>
      <w:r>
        <w:rPr>
          <w:rFonts w:ascii="宋体" w:hAnsi="宋体"/>
          <w:b/>
          <w:szCs w:val="24"/>
        </w:rPr>
        <w:t>开标</w:t>
      </w:r>
      <w:r>
        <w:rPr>
          <w:rFonts w:hint="eastAsia" w:ascii="宋体" w:hAnsi="宋体"/>
          <w:b/>
          <w:szCs w:val="24"/>
        </w:rPr>
        <w:t>流程</w:t>
      </w:r>
    </w:p>
    <w:p>
      <w:pPr>
        <w:pStyle w:val="202"/>
        <w:adjustRightInd w:val="0"/>
        <w:snapToGrid w:val="0"/>
        <w:spacing w:before="0"/>
        <w:ind w:firstLine="482"/>
        <w:rPr>
          <w:rFonts w:ascii="宋体" w:hAnsi="宋体"/>
          <w:b/>
          <w:szCs w:val="24"/>
        </w:rPr>
      </w:pPr>
      <w:r>
        <w:rPr>
          <w:rFonts w:hint="eastAsia" w:ascii="宋体" w:hAnsi="宋体"/>
          <w:b/>
          <w:szCs w:val="24"/>
        </w:rPr>
        <w:t>采取第一步先开启资格文件，第二步开启商务、技术文件；第三步开启报价文件。具体按以下程序进行：</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w:t>
      </w:r>
      <w:r>
        <w:rPr>
          <w:rFonts w:ascii="宋体" w:hAnsi="宋体" w:cs="Arial"/>
          <w:kern w:val="0"/>
          <w:sz w:val="24"/>
        </w:rPr>
        <w:t>1</w:t>
      </w:r>
      <w:r>
        <w:rPr>
          <w:rFonts w:hint="eastAsia" w:ascii="宋体" w:hAnsi="宋体" w:cs="Arial"/>
          <w:kern w:val="0"/>
          <w:sz w:val="24"/>
        </w:rPr>
        <w:t>）至投标截止时间，招标代理机构工作人员主持宣布开标，通过“政府采购云平台”启动在线解密程序，向各投标供应商发出电子加密投标文件【开始解密】通知，投标供应商应在30分钟内登录“政府采购云平台”对已递交的“电子加密投标文件”进行解密。投标供应商在规定的时间内无法完成已递交的“电子加密投标文件”解密的，如已按规定递交了备份投标文件的，将由招标组织机构按“政府采购云平台”操作规范启动异常情况处理，将备份投标文件上传至“政府采购云平台”，上传成功后，“电子加密投标文件”自动失效,反之未按规定递交备份投标文件的，则视为投标供应商放弃投标；</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w:t>
      </w:r>
      <w:r>
        <w:rPr>
          <w:rFonts w:ascii="宋体" w:hAnsi="宋体" w:cs="Arial"/>
          <w:kern w:val="0"/>
          <w:sz w:val="24"/>
        </w:rPr>
        <w:t>2</w:t>
      </w:r>
      <w:r>
        <w:rPr>
          <w:rFonts w:hint="eastAsia" w:ascii="宋体" w:hAnsi="宋体" w:cs="Arial"/>
          <w:kern w:val="0"/>
          <w:sz w:val="24"/>
        </w:rPr>
        <w:t>）投标文件解密结束后，在线公布开标结果给各投标人并通过邮件形式公布组织签署不存在影响公平竞争的《政府采购活动现场确认声明书》及其他资料（如授权代表参加开标大会，可现场进行签署）；</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（3）开启资格文件，招标人或招标代理机构对供应商进行资格审查,资格审查通过的投标供应商进入开启商务、技术文件；资格审查未通过的供应商，将不开启其商务、技术文件及报价文件。</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4）开启有效投标供应商的商务、技术文件，评审专家对供应商进行商务、技术文件的评审（符合性审查和商务、技术评分），商务、技术评审通过的投标供应商进入开启报价文件；商务、技术评审未通过的投标供应商，将不开启报价文件。</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（5）商务、技术评审结束后，在线公布经评审后有效投标供应商的商务、技术平均分情况给各投标人。（如授权代表参加开标大会，可现场公布）；</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6）开启有效投标供应商的报价文件，在线公布报价开标一览表有关内容给各投标人并要求其在报价开标一览表上确认（不予确认的应说明理由，否则视为无异议）；评审委员会对报价的符合性、合理性、准确性等情况进行审查核实，报价评审通过的投标供应商进入最终得分排名名单；报价评审未通过的投标供应商，将不进入最终得分排名名单。</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（7）评审结束后，在线公布</w:t>
      </w:r>
      <w:r>
        <w:rPr>
          <w:rFonts w:hint="eastAsia" w:ascii="宋体" w:hAnsi="宋体" w:cs="Arial"/>
          <w:sz w:val="24"/>
        </w:rPr>
        <w:t>有效投标供应商的评分情况和</w:t>
      </w:r>
      <w:r>
        <w:rPr>
          <w:rFonts w:hint="eastAsia" w:ascii="宋体" w:hAnsi="宋体" w:cs="Arial"/>
          <w:kern w:val="0"/>
          <w:sz w:val="24"/>
        </w:rPr>
        <w:t>中标候选供应商名单给各投标人，同时公布招标人最终确定</w:t>
      </w:r>
      <w:r>
        <w:rPr>
          <w:rFonts w:hint="eastAsia" w:ascii="宋体" w:hAnsi="宋体"/>
          <w:sz w:val="24"/>
        </w:rPr>
        <w:t>中标（成交）</w:t>
      </w:r>
      <w:r>
        <w:rPr>
          <w:rFonts w:hint="eastAsia" w:ascii="宋体" w:hAnsi="宋体" w:cs="Arial"/>
          <w:kern w:val="0"/>
          <w:sz w:val="24"/>
        </w:rPr>
        <w:t>供应商名单的时间和公告方式。（如授权代表参加开标大会，可现场公布）；</w:t>
      </w:r>
    </w:p>
    <w:p>
      <w:pPr>
        <w:spacing w:line="360" w:lineRule="auto"/>
        <w:ind w:firstLine="482" w:firstLineChars="200"/>
        <w:jc w:val="left"/>
        <w:rPr>
          <w:rFonts w:hint="eastAsia" w:ascii="宋体" w:hAnsi="宋体" w:cs="Arial"/>
          <w:b/>
          <w:kern w:val="0"/>
          <w:sz w:val="24"/>
        </w:rPr>
      </w:pPr>
      <w:r>
        <w:rPr>
          <w:rFonts w:hint="eastAsia" w:ascii="宋体" w:hAnsi="宋体" w:cs="Arial"/>
          <w:b/>
          <w:kern w:val="0"/>
          <w:sz w:val="24"/>
        </w:rPr>
        <w:t>备注：</w:t>
      </w:r>
    </w:p>
    <w:p>
      <w:pPr>
        <w:spacing w:line="360" w:lineRule="auto"/>
        <w:ind w:firstLine="482" w:firstLineChars="200"/>
        <w:jc w:val="left"/>
        <w:rPr>
          <w:rFonts w:hint="eastAsia" w:ascii="宋体" w:hAnsi="宋体" w:cs="Arial"/>
          <w:b/>
          <w:kern w:val="0"/>
          <w:sz w:val="24"/>
        </w:rPr>
      </w:pPr>
      <w:r>
        <w:rPr>
          <w:rFonts w:hint="eastAsia" w:ascii="宋体" w:hAnsi="宋体" w:cs="Arial"/>
          <w:b/>
          <w:kern w:val="0"/>
          <w:sz w:val="24"/>
        </w:rPr>
        <w:t>1、开标后，招标人或招标代理机构将对依法对投标供应商的资格进行审查，资格审查结束后进入评审小组的符合性审查和商务、技术的评审工作，具体见“六 评标”章节相关规定。</w:t>
      </w:r>
    </w:p>
    <w:p>
      <w:pPr>
        <w:spacing w:line="360" w:lineRule="auto"/>
        <w:ind w:firstLine="482" w:firstLineChars="200"/>
        <w:jc w:val="left"/>
        <w:rPr>
          <w:rFonts w:hint="eastAsia" w:ascii="宋体" w:hAnsi="宋体" w:cs="Arial"/>
          <w:b/>
          <w:kern w:val="0"/>
          <w:sz w:val="24"/>
        </w:rPr>
      </w:pPr>
      <w:r>
        <w:rPr>
          <w:rFonts w:hint="eastAsia" w:ascii="宋体" w:hAnsi="宋体" w:cs="Arial"/>
          <w:b/>
          <w:kern w:val="0"/>
          <w:sz w:val="24"/>
        </w:rPr>
        <w:t>2、开标结束后，如发现开标结果与投标文件不一致者，除评标委员会认定的特殊情况应另行处理外，其开标结果不予纠正。</w:t>
      </w:r>
    </w:p>
    <w:p>
      <w:pPr>
        <w:spacing w:line="360" w:lineRule="auto"/>
        <w:ind w:firstLine="482" w:firstLineChars="200"/>
        <w:jc w:val="left"/>
        <w:rPr>
          <w:rFonts w:hint="eastAsia" w:ascii="宋体" w:hAnsi="宋体" w:cs="Arial"/>
          <w:b/>
          <w:kern w:val="0"/>
          <w:sz w:val="24"/>
        </w:rPr>
      </w:pPr>
      <w:r>
        <w:rPr>
          <w:rFonts w:hint="eastAsia" w:ascii="宋体" w:hAnsi="宋体" w:cs="Arial"/>
          <w:b/>
          <w:kern w:val="0"/>
          <w:sz w:val="24"/>
        </w:rPr>
        <w:t>3、特别说明：如遇“政府采购云平台”电子化开标或评审程序调整的，按调整后程序执行。</w:t>
      </w:r>
    </w:p>
    <w:p>
      <w:pPr>
        <w:adjustRightInd w:val="0"/>
        <w:snapToGrid w:val="0"/>
        <w:spacing w:line="360" w:lineRule="auto"/>
        <w:rPr>
          <w:rFonts w:hint="eastAsia" w:ascii="宋体" w:hAnsi="宋体"/>
          <w:sz w:val="24"/>
        </w:rPr>
      </w:pPr>
      <w:bookmarkStart w:id="72" w:name="_Hlt75236101"/>
      <w:bookmarkEnd w:id="72"/>
      <w:bookmarkStart w:id="73" w:name="_Toc91899902"/>
      <w:bookmarkStart w:id="74" w:name="_Toc233618977"/>
    </w:p>
    <w:p>
      <w:pPr>
        <w:adjustRightInd w:val="0"/>
        <w:snapToGrid w:val="0"/>
        <w:spacing w:line="360" w:lineRule="auto"/>
        <w:jc w:val="center"/>
        <w:outlineLvl w:val="1"/>
        <w:rPr>
          <w:rFonts w:hint="eastAsia" w:ascii="宋体" w:hAnsi="宋体"/>
          <w:b/>
          <w:sz w:val="32"/>
        </w:rPr>
      </w:pPr>
      <w:bookmarkStart w:id="75" w:name="_Toc83910193"/>
      <w:r>
        <w:rPr>
          <w:rFonts w:hint="eastAsia" w:ascii="宋体" w:hAnsi="宋体"/>
          <w:b/>
          <w:sz w:val="32"/>
        </w:rPr>
        <w:t>六、评 标</w:t>
      </w:r>
      <w:bookmarkEnd w:id="73"/>
      <w:bookmarkEnd w:id="74"/>
      <w:bookmarkEnd w:id="75"/>
    </w:p>
    <w:p>
      <w:pPr>
        <w:pStyle w:val="45"/>
        <w:adjustRightInd w:val="0"/>
        <w:snapToGrid w:val="0"/>
        <w:spacing w:line="360" w:lineRule="auto"/>
        <w:rPr>
          <w:rFonts w:hint="eastAsia" w:hAnsi="宋体"/>
          <w:b/>
          <w:sz w:val="24"/>
        </w:rPr>
      </w:pPr>
      <w:bookmarkStart w:id="76" w:name="_Toc91899903"/>
      <w:r>
        <w:rPr>
          <w:rFonts w:hint="eastAsia" w:hAnsi="宋体"/>
          <w:b/>
          <w:sz w:val="24"/>
        </w:rPr>
        <w:t>（一）评审工作组织及评标委员会组建</w:t>
      </w:r>
    </w:p>
    <w:p>
      <w:pPr>
        <w:pStyle w:val="45"/>
        <w:spacing w:line="360" w:lineRule="auto"/>
        <w:ind w:firstLine="470" w:firstLineChars="196"/>
        <w:rPr>
          <w:rFonts w:hint="eastAsia" w:hAnsi="宋体"/>
          <w:sz w:val="24"/>
        </w:rPr>
      </w:pPr>
      <w:r>
        <w:rPr>
          <w:rFonts w:hint="eastAsia" w:hAnsi="宋体"/>
          <w:sz w:val="24"/>
        </w:rPr>
        <w:t>招标人或招标代理机构负责组织本项目的评审工作，并依据《政府采购货物和服务招标投标管理办法（财政部第87号令）》第四十五条的相关规定履行职责。</w:t>
      </w:r>
    </w:p>
    <w:p>
      <w:pPr>
        <w:pStyle w:val="45"/>
        <w:spacing w:line="360" w:lineRule="auto"/>
        <w:ind w:firstLine="470" w:firstLineChars="196"/>
        <w:rPr>
          <w:rFonts w:hint="eastAsia" w:hAnsi="宋体" w:cs="仿宋_GB2312"/>
          <w:sz w:val="24"/>
          <w:lang w:val="zh-CN"/>
        </w:rPr>
      </w:pPr>
      <w:r>
        <w:rPr>
          <w:rFonts w:hint="eastAsia" w:hAnsi="宋体"/>
          <w:sz w:val="24"/>
        </w:rPr>
        <w:t>本项目评标委员会由5人(含)以上单数的人员组成，负责对投标文件进行审查、质询、评审和比较等。评标委员会</w:t>
      </w:r>
      <w:r>
        <w:rPr>
          <w:rFonts w:hint="eastAsia" w:hAnsi="宋体" w:cs="仿宋_GB2312"/>
          <w:sz w:val="24"/>
          <w:lang w:val="zh-CN"/>
        </w:rPr>
        <w:t>由采购咨询专家和招标人代表组成，其中采购咨询专家人数不少于成员总数的三分之二。</w:t>
      </w:r>
    </w:p>
    <w:p>
      <w:pPr>
        <w:pStyle w:val="45"/>
        <w:spacing w:line="360" w:lineRule="auto"/>
        <w:ind w:firstLine="470" w:firstLineChars="196"/>
        <w:rPr>
          <w:rFonts w:hint="eastAsia" w:hAnsi="宋体"/>
          <w:sz w:val="24"/>
        </w:rPr>
      </w:pPr>
      <w:r>
        <w:rPr>
          <w:rFonts w:hint="eastAsia" w:hAnsi="宋体"/>
          <w:sz w:val="24"/>
        </w:rPr>
        <w:t>评标委员会成员名单在评审结果（采购结果）公告前保密。</w:t>
      </w:r>
    </w:p>
    <w:p>
      <w:pPr>
        <w:adjustRightInd w:val="0"/>
        <w:snapToGrid w:val="0"/>
        <w:spacing w:line="360" w:lineRule="auto"/>
        <w:rPr>
          <w:rFonts w:hint="eastAsia" w:ascii="宋体" w:hAnsi="宋体"/>
          <w:b/>
          <w:sz w:val="24"/>
        </w:rPr>
      </w:pPr>
      <w:r>
        <w:rPr>
          <w:rFonts w:hint="eastAsia" w:ascii="宋体" w:hAnsi="宋体"/>
          <w:b/>
          <w:sz w:val="24"/>
        </w:rPr>
        <w:t>（二）评标原则</w:t>
      </w:r>
    </w:p>
    <w:p>
      <w:pPr>
        <w:pStyle w:val="45"/>
        <w:adjustRightInd w:val="0"/>
        <w:snapToGrid w:val="0"/>
        <w:spacing w:line="360" w:lineRule="auto"/>
        <w:ind w:firstLine="480" w:firstLineChars="200"/>
        <w:rPr>
          <w:rFonts w:hint="eastAsia" w:hAnsi="宋体"/>
          <w:sz w:val="24"/>
        </w:rPr>
      </w:pPr>
      <w:r>
        <w:rPr>
          <w:rFonts w:hint="eastAsia" w:hAnsi="宋体"/>
          <w:sz w:val="24"/>
        </w:rPr>
        <w:t>1、竞争优选；</w:t>
      </w:r>
    </w:p>
    <w:p>
      <w:pPr>
        <w:adjustRightInd w:val="0"/>
        <w:snapToGrid w:val="0"/>
        <w:spacing w:line="360" w:lineRule="auto"/>
        <w:ind w:firstLine="480" w:firstLineChars="200"/>
        <w:rPr>
          <w:rFonts w:hint="eastAsia" w:ascii="宋体" w:hAnsi="宋体"/>
          <w:sz w:val="24"/>
        </w:rPr>
      </w:pPr>
      <w:r>
        <w:rPr>
          <w:rFonts w:hint="eastAsia" w:ascii="宋体" w:hAnsi="宋体"/>
          <w:sz w:val="24"/>
        </w:rPr>
        <w:t>2、公平、公正、科学合理</w:t>
      </w:r>
      <w:r>
        <w:rPr>
          <w:rFonts w:hint="eastAsia" w:ascii="宋体" w:hAnsi="宋体"/>
          <w:sz w:val="24"/>
          <w:lang w:val="zh-CN"/>
        </w:rPr>
        <w:t>；</w:t>
      </w:r>
    </w:p>
    <w:p>
      <w:pPr>
        <w:adjustRightInd w:val="0"/>
        <w:snapToGrid w:val="0"/>
        <w:spacing w:line="360" w:lineRule="auto"/>
        <w:ind w:firstLine="480" w:firstLineChars="200"/>
        <w:rPr>
          <w:rFonts w:hint="eastAsia" w:ascii="宋体" w:hAnsi="宋体"/>
          <w:sz w:val="24"/>
          <w:lang w:val="zh-CN"/>
        </w:rPr>
      </w:pPr>
      <w:r>
        <w:rPr>
          <w:rFonts w:hint="eastAsia" w:ascii="宋体" w:hAnsi="宋体"/>
          <w:sz w:val="24"/>
          <w:lang w:val="zh-CN"/>
        </w:rPr>
        <w:t>3、</w:t>
      </w:r>
      <w:r>
        <w:rPr>
          <w:rFonts w:hint="eastAsia" w:ascii="宋体" w:hAnsi="宋体"/>
          <w:sz w:val="24"/>
        </w:rPr>
        <w:t>价格合理，方案、产品先进可行；</w:t>
      </w:r>
    </w:p>
    <w:p>
      <w:pPr>
        <w:adjustRightInd w:val="0"/>
        <w:snapToGrid w:val="0"/>
        <w:spacing w:line="360" w:lineRule="auto"/>
        <w:ind w:firstLine="480" w:firstLineChars="200"/>
        <w:rPr>
          <w:rFonts w:hint="eastAsia" w:ascii="宋体" w:hAnsi="宋体"/>
          <w:sz w:val="24"/>
          <w:lang w:val="zh-CN"/>
        </w:rPr>
      </w:pPr>
      <w:r>
        <w:rPr>
          <w:rFonts w:hint="eastAsia" w:ascii="宋体" w:hAnsi="宋体"/>
          <w:sz w:val="24"/>
          <w:lang w:val="zh-CN"/>
        </w:rPr>
        <w:t>4、反对不正当竞争。</w:t>
      </w:r>
    </w:p>
    <w:p>
      <w:pPr>
        <w:adjustRightInd w:val="0"/>
        <w:snapToGrid w:val="0"/>
        <w:spacing w:line="360" w:lineRule="auto"/>
        <w:rPr>
          <w:rFonts w:hint="eastAsia" w:ascii="宋体" w:hAnsi="宋体"/>
          <w:b/>
          <w:sz w:val="24"/>
        </w:rPr>
      </w:pPr>
      <w:r>
        <w:rPr>
          <w:rFonts w:hint="eastAsia" w:ascii="宋体" w:hAnsi="宋体"/>
          <w:b/>
          <w:sz w:val="24"/>
        </w:rPr>
        <w:t>（三）评标纪律</w:t>
      </w:r>
    </w:p>
    <w:p>
      <w:pPr>
        <w:adjustRightInd w:val="0"/>
        <w:snapToGrid w:val="0"/>
        <w:spacing w:line="360" w:lineRule="auto"/>
        <w:ind w:firstLine="480" w:firstLineChars="200"/>
        <w:rPr>
          <w:rFonts w:hint="eastAsia" w:ascii="宋体" w:hAnsi="宋体"/>
          <w:sz w:val="24"/>
        </w:rPr>
      </w:pPr>
      <w:r>
        <w:rPr>
          <w:rFonts w:hint="eastAsia" w:ascii="宋体" w:hAnsi="宋体"/>
          <w:sz w:val="24"/>
        </w:rPr>
        <w:t>评标委员会成员要严格遵守评标纪律、保密、回避等相关规定，依法独立履行评标职责，客观、公正、审慎参与评标工作。</w:t>
      </w:r>
    </w:p>
    <w:p>
      <w:pPr>
        <w:adjustRightInd w:val="0"/>
        <w:snapToGrid w:val="0"/>
        <w:spacing w:line="360" w:lineRule="auto"/>
        <w:ind w:firstLine="480" w:firstLineChars="200"/>
        <w:rPr>
          <w:rFonts w:hint="eastAsia" w:ascii="宋体" w:hAnsi="宋体"/>
          <w:sz w:val="24"/>
        </w:rPr>
      </w:pPr>
      <w:r>
        <w:rPr>
          <w:rFonts w:hint="eastAsia" w:ascii="宋体" w:hAnsi="宋体"/>
          <w:sz w:val="24"/>
        </w:rPr>
        <w:t>1、严格遵守评标时间，因突发情况确实不能按时参加评标的，应事先告知招标组织机构。</w:t>
      </w:r>
    </w:p>
    <w:p>
      <w:pPr>
        <w:adjustRightInd w:val="0"/>
        <w:snapToGrid w:val="0"/>
        <w:spacing w:line="360" w:lineRule="auto"/>
        <w:ind w:firstLine="480" w:firstLineChars="200"/>
        <w:rPr>
          <w:rFonts w:hint="eastAsia" w:ascii="宋体" w:hAnsi="宋体"/>
          <w:sz w:val="24"/>
        </w:rPr>
      </w:pPr>
      <w:r>
        <w:rPr>
          <w:rFonts w:hint="eastAsia" w:ascii="宋体" w:hAnsi="宋体"/>
          <w:sz w:val="24"/>
        </w:rPr>
        <w:t>2、服从招标组织机构的现场管理，主动出示身份证明，进入评标区域后应主动寄存移动通讯工具，按要求佩戴工作牌。</w:t>
      </w:r>
    </w:p>
    <w:p>
      <w:pPr>
        <w:adjustRightInd w:val="0"/>
        <w:snapToGrid w:val="0"/>
        <w:spacing w:line="360" w:lineRule="auto"/>
        <w:ind w:firstLine="480" w:firstLineChars="200"/>
        <w:rPr>
          <w:rFonts w:hint="eastAsia" w:ascii="宋体" w:hAnsi="宋体"/>
          <w:sz w:val="24"/>
        </w:rPr>
      </w:pPr>
      <w:r>
        <w:rPr>
          <w:rFonts w:hint="eastAsia" w:ascii="宋体" w:hAnsi="宋体"/>
          <w:sz w:val="24"/>
        </w:rPr>
        <w:t>3、与投标人或评标委员会其他成员存在利害关系的，要主动回避，自觉签订《政府采购评审人员廉洁自律承诺书》。</w:t>
      </w:r>
    </w:p>
    <w:p>
      <w:pPr>
        <w:adjustRightInd w:val="0"/>
        <w:snapToGrid w:val="0"/>
        <w:spacing w:line="360" w:lineRule="auto"/>
        <w:ind w:firstLine="480" w:firstLineChars="200"/>
        <w:rPr>
          <w:rFonts w:hint="eastAsia" w:ascii="宋体" w:hAnsi="宋体"/>
          <w:sz w:val="24"/>
        </w:rPr>
      </w:pPr>
      <w:r>
        <w:rPr>
          <w:rFonts w:hint="eastAsia" w:ascii="宋体" w:hAnsi="宋体"/>
          <w:sz w:val="24"/>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adjustRightInd w:val="0"/>
        <w:snapToGrid w:val="0"/>
        <w:spacing w:line="360" w:lineRule="auto"/>
        <w:ind w:firstLine="480" w:firstLineChars="200"/>
        <w:rPr>
          <w:rFonts w:hint="eastAsia" w:ascii="宋体" w:hAnsi="宋体"/>
          <w:sz w:val="24"/>
        </w:rPr>
      </w:pPr>
      <w:r>
        <w:rPr>
          <w:rFonts w:hint="eastAsia" w:ascii="宋体" w:hAnsi="宋体"/>
          <w:sz w:val="24"/>
        </w:rPr>
        <w:t>5、自觉遵守职业道德，尊重招标人代表和投标人代表，配合招标组织机构回答投标人代表提出的有关异议。</w:t>
      </w:r>
    </w:p>
    <w:p>
      <w:pPr>
        <w:adjustRightInd w:val="0"/>
        <w:snapToGrid w:val="0"/>
        <w:spacing w:line="360" w:lineRule="auto"/>
        <w:ind w:firstLine="480" w:firstLineChars="200"/>
        <w:rPr>
          <w:rFonts w:hint="eastAsia" w:ascii="宋体" w:hAnsi="宋体"/>
          <w:sz w:val="24"/>
        </w:rPr>
      </w:pPr>
      <w:r>
        <w:rPr>
          <w:rFonts w:hint="eastAsia" w:ascii="宋体" w:hAnsi="宋体"/>
          <w:sz w:val="24"/>
        </w:rPr>
        <w:t>6、不得将评标过程、结果和投标人的商业秘密透露给任何单位和个人。未公告评标结果前不准泄露评标结果，不准将评标资料带出会场。</w:t>
      </w:r>
    </w:p>
    <w:p>
      <w:pPr>
        <w:adjustRightInd w:val="0"/>
        <w:snapToGrid w:val="0"/>
        <w:spacing w:line="360" w:lineRule="auto"/>
        <w:ind w:firstLine="480" w:firstLineChars="200"/>
        <w:rPr>
          <w:rFonts w:hint="eastAsia" w:ascii="宋体" w:hAnsi="宋体"/>
          <w:sz w:val="24"/>
        </w:rPr>
      </w:pPr>
      <w:r>
        <w:rPr>
          <w:rFonts w:hint="eastAsia" w:ascii="宋体" w:hAnsi="宋体"/>
          <w:sz w:val="24"/>
        </w:rPr>
        <w:t>7、任何单位和个人不得干扰、影响评标的正常进行，评标委员会成员不得私下与投标供应商接触，不得出现浙江省政府采购活动现场组织管理办法中规定的其他禁止行为。</w:t>
      </w:r>
    </w:p>
    <w:p>
      <w:pPr>
        <w:adjustRightInd w:val="0"/>
        <w:snapToGrid w:val="0"/>
        <w:spacing w:line="360" w:lineRule="auto"/>
        <w:ind w:firstLine="480" w:firstLineChars="200"/>
        <w:rPr>
          <w:rFonts w:hint="eastAsia" w:ascii="宋体" w:hAnsi="宋体"/>
          <w:sz w:val="24"/>
        </w:rPr>
      </w:pPr>
      <w:r>
        <w:rPr>
          <w:rFonts w:hint="eastAsia" w:ascii="宋体" w:hAnsi="宋体"/>
          <w:sz w:val="24"/>
        </w:rPr>
        <w:t>8、评标过程中，涉及到相关法律法规不清楚之处的，由招标人监管部门或请示权威部门作出法定解释，涉及到招标文件的由编制招标文件的机构和部门负责解释。</w:t>
      </w:r>
    </w:p>
    <w:p>
      <w:pPr>
        <w:adjustRightInd w:val="0"/>
        <w:snapToGrid w:val="0"/>
        <w:spacing w:line="360" w:lineRule="auto"/>
        <w:ind w:firstLine="480" w:firstLineChars="200"/>
        <w:rPr>
          <w:rFonts w:hint="eastAsia" w:ascii="宋体" w:hAnsi="宋体"/>
          <w:sz w:val="24"/>
          <w:lang w:val="zh-CN"/>
        </w:rPr>
      </w:pPr>
      <w:r>
        <w:rPr>
          <w:rFonts w:hint="eastAsia" w:ascii="宋体" w:hAnsi="宋体"/>
          <w:sz w:val="24"/>
        </w:rPr>
        <w:t>9、如实行暗标评审的，其投标文件和产品样品的评审编号和编号保管，由监督人员负责；在评标委员评分完成后，再将投标人的投标文件和提供的产品样品编号交评委。</w:t>
      </w:r>
    </w:p>
    <w:p>
      <w:pPr>
        <w:adjustRightInd w:val="0"/>
        <w:snapToGrid w:val="0"/>
        <w:spacing w:line="360" w:lineRule="auto"/>
        <w:rPr>
          <w:rFonts w:hint="eastAsia" w:ascii="宋体" w:hAnsi="宋体"/>
          <w:b/>
          <w:sz w:val="24"/>
        </w:rPr>
      </w:pPr>
      <w:r>
        <w:rPr>
          <w:rFonts w:hint="eastAsia" w:ascii="宋体" w:hAnsi="宋体"/>
          <w:b/>
          <w:sz w:val="24"/>
        </w:rPr>
        <w:t>（四） 评标程序</w:t>
      </w:r>
    </w:p>
    <w:p>
      <w:pPr>
        <w:adjustRightInd w:val="0"/>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资格审查</w:t>
      </w:r>
      <w:r>
        <w:rPr>
          <w:rFonts w:hint="eastAsia" w:ascii="宋体" w:hAnsi="宋体"/>
          <w:sz w:val="24"/>
        </w:rPr>
        <w:t>，经其书面授权的招标人代表或经其书面授权的招标代理机构代表招标人按照招标文件要求对投标人逐一进行资格审查，审查各投标供应商的资格是否满足招标文件的要求，资格审查通过的投标供应商进入商务技术文件的评审。招标人或招标代理机构对投标供应商所提交的资格证明材料仅负审核的责任。如发现投标供应商所提交的资格证明材料不合法或与事实不符，招标人可取消其中标资格并追究投标供应商的法律责任。经招标人或招标代理机构商议认为需要投标人作出必要澄清或说明的，应通知该投标人代表以书面形式作出澄清或说明。</w:t>
      </w:r>
    </w:p>
    <w:p>
      <w:pPr>
        <w:adjustRightInd w:val="0"/>
        <w:snapToGrid w:val="0"/>
        <w:spacing w:line="360" w:lineRule="auto"/>
        <w:ind w:firstLine="480" w:firstLineChars="200"/>
        <w:rPr>
          <w:rFonts w:hint="eastAsia" w:ascii="宋体" w:hAnsi="宋体"/>
          <w:sz w:val="24"/>
        </w:rPr>
      </w:pPr>
      <w:r>
        <w:rPr>
          <w:rFonts w:hint="eastAsia" w:ascii="宋体" w:hAnsi="宋体"/>
          <w:sz w:val="24"/>
        </w:rPr>
        <w:t>投标供应商提交的资格证明材料无法证明其符合招标文件规定的“投标供应商资格要求”的，招标人或招标代理机构将对其作资格审查不通过处理（无效投标），并不再将其投标提交评标委员会进行后续评审。</w:t>
      </w:r>
    </w:p>
    <w:p>
      <w:pPr>
        <w:adjustRightInd w:val="0"/>
        <w:snapToGrid w:val="0"/>
        <w:spacing w:line="360" w:lineRule="auto"/>
        <w:ind w:firstLine="480" w:firstLineChars="200"/>
        <w:rPr>
          <w:rFonts w:hint="eastAsia" w:ascii="宋体" w:hAnsi="宋体"/>
          <w:sz w:val="24"/>
        </w:rPr>
      </w:pPr>
      <w:r>
        <w:rPr>
          <w:rFonts w:hint="eastAsia" w:ascii="宋体" w:hAnsi="宋体"/>
          <w:sz w:val="24"/>
        </w:rPr>
        <w:t>单位负责人为同一人或者存在直接控股、管理关系的不同供应商参加同一合同项下的政府采购活动的，相关投标供应商均作资格无效处理。</w:t>
      </w:r>
    </w:p>
    <w:p>
      <w:pPr>
        <w:adjustRightInd w:val="0"/>
        <w:snapToGrid w:val="0"/>
        <w:spacing w:line="360" w:lineRule="auto"/>
        <w:ind w:firstLine="480" w:firstLineChars="200"/>
        <w:rPr>
          <w:rFonts w:hint="eastAsia" w:ascii="宋体" w:hAnsi="宋体"/>
          <w:sz w:val="24"/>
        </w:rPr>
      </w:pPr>
      <w:r>
        <w:rPr>
          <w:rFonts w:hint="eastAsia" w:ascii="宋体" w:hAnsi="宋体"/>
          <w:sz w:val="24"/>
        </w:rPr>
        <w:t>2、在评标专家中推选评标委员会组长，优先推选资深专家为组长。</w:t>
      </w:r>
    </w:p>
    <w:p>
      <w:pPr>
        <w:adjustRightInd w:val="0"/>
        <w:snapToGrid w:val="0"/>
        <w:spacing w:line="360" w:lineRule="auto"/>
        <w:ind w:firstLine="480" w:firstLineChars="200"/>
        <w:rPr>
          <w:rFonts w:hint="eastAsia" w:ascii="宋体" w:hAnsi="宋体"/>
          <w:sz w:val="24"/>
        </w:rPr>
      </w:pPr>
      <w:r>
        <w:rPr>
          <w:rFonts w:hint="eastAsia" w:ascii="宋体" w:hAnsi="宋体"/>
          <w:sz w:val="24"/>
        </w:rPr>
        <w:t>3、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adjustRightInd w:val="0"/>
        <w:snapToGrid w:val="0"/>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u w:val="single"/>
        </w:rPr>
        <w:t>商务、技术文件的符合性审查</w:t>
      </w:r>
      <w:r>
        <w:rPr>
          <w:rFonts w:hint="eastAsia" w:ascii="宋体" w:hAnsi="宋体"/>
          <w:sz w:val="24"/>
        </w:rPr>
        <w:t>，评标人员对通过资格审查的各投标文件商务、技术部分的有效性、完整性和响应程度等进行审查，确定是否对招标文件作出实质性响应。</w:t>
      </w:r>
    </w:p>
    <w:p>
      <w:pPr>
        <w:adjustRightInd w:val="0"/>
        <w:snapToGri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u w:val="single"/>
        </w:rPr>
        <w:t>商务、技术评分</w:t>
      </w:r>
      <w:r>
        <w:rPr>
          <w:rFonts w:hint="eastAsia" w:ascii="宋体" w:hAnsi="宋体"/>
          <w:sz w:val="24"/>
        </w:rPr>
        <w:t>，评标人员按招标文件规定的评标方法和评标标准，依法独立对投标文件商务、技术部分进行评估、比较，并给予评价或打分，不受任何单位和个人的干预。</w:t>
      </w:r>
    </w:p>
    <w:p>
      <w:pPr>
        <w:adjustRightInd w:val="0"/>
        <w:snapToGrid w:val="0"/>
        <w:spacing w:line="360" w:lineRule="auto"/>
        <w:ind w:firstLine="480" w:firstLineChars="200"/>
        <w:rPr>
          <w:rFonts w:hint="eastAsia" w:ascii="宋体" w:hAnsi="宋体"/>
          <w:sz w:val="24"/>
        </w:rPr>
      </w:pPr>
      <w:r>
        <w:rPr>
          <w:rFonts w:hint="eastAsia" w:ascii="宋体" w:hAnsi="宋体"/>
          <w:sz w:val="24"/>
        </w:rPr>
        <w:t>6、评标人员对各投标文件非实质性内容有疑议或异议，或者审查发现明显的文字或计算错误等，及时向评标委员会组长提出。经评标委员会商议认为需要投标人作出必要澄清或说明的，应通知该投标人代表以书面形式作出澄清或说明。</w:t>
      </w:r>
    </w:p>
    <w:p>
      <w:pPr>
        <w:adjustRightInd w:val="0"/>
        <w:snapToGrid w:val="0"/>
        <w:spacing w:line="360" w:lineRule="auto"/>
        <w:ind w:firstLine="480" w:firstLineChars="200"/>
        <w:rPr>
          <w:rFonts w:hint="eastAsia" w:ascii="宋体" w:hAnsi="宋体"/>
          <w:sz w:val="24"/>
        </w:rPr>
      </w:pPr>
      <w:r>
        <w:rPr>
          <w:rFonts w:hint="eastAsia" w:ascii="宋体" w:hAnsi="宋体"/>
          <w:sz w:val="24"/>
        </w:rPr>
        <w:t>7、评标人员对商务、技术部分评审结果进行确认，现场监督员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360" w:lineRule="auto"/>
        <w:ind w:firstLine="480" w:firstLineChars="200"/>
        <w:rPr>
          <w:rFonts w:hint="eastAsia" w:ascii="宋体" w:hAnsi="宋体"/>
          <w:sz w:val="24"/>
        </w:rPr>
      </w:pPr>
      <w:r>
        <w:rPr>
          <w:rFonts w:hint="eastAsia" w:ascii="宋体" w:hAnsi="宋体"/>
          <w:sz w:val="24"/>
        </w:rPr>
        <w:t>8、</w:t>
      </w:r>
      <w:r>
        <w:rPr>
          <w:rFonts w:hint="eastAsia" w:ascii="宋体" w:hAnsi="宋体"/>
          <w:sz w:val="24"/>
          <w:u w:val="single"/>
        </w:rPr>
        <w:t>报价文件的符合性审查</w:t>
      </w:r>
      <w:r>
        <w:rPr>
          <w:rFonts w:hint="eastAsia" w:ascii="宋体" w:hAnsi="宋体"/>
          <w:sz w:val="24"/>
        </w:rPr>
        <w:t>，对开启的投标文件报价部分的进行有效性、完整性和响应程度等进行审查，确定是否对招标文件作出实质性响应。经评标委员会商议认为需要投标人作出必要澄清或说明的，应通知该投标人代表以书面形式作出澄清或说明。</w:t>
      </w:r>
    </w:p>
    <w:p>
      <w:pPr>
        <w:adjustRightInd w:val="0"/>
        <w:snapToGrid w:val="0"/>
        <w:spacing w:line="360" w:lineRule="auto"/>
        <w:ind w:firstLine="480" w:firstLineChars="200"/>
        <w:rPr>
          <w:rFonts w:hint="eastAsia" w:ascii="宋体" w:hAnsi="宋体"/>
          <w:sz w:val="24"/>
        </w:rPr>
      </w:pPr>
      <w:r>
        <w:rPr>
          <w:rFonts w:hint="eastAsia" w:ascii="宋体" w:hAnsi="宋体"/>
          <w:sz w:val="24"/>
        </w:rPr>
        <w:t>9、</w:t>
      </w:r>
      <w:r>
        <w:rPr>
          <w:rFonts w:hint="eastAsia" w:ascii="宋体" w:hAnsi="宋体"/>
          <w:sz w:val="24"/>
          <w:u w:val="single"/>
        </w:rPr>
        <w:t>价格评分</w:t>
      </w:r>
      <w:r>
        <w:rPr>
          <w:rFonts w:hint="eastAsia" w:ascii="宋体" w:hAnsi="宋体"/>
          <w:sz w:val="24"/>
        </w:rPr>
        <w:t>，评标人员按招标文件规定的评标方法和评标标准，对有效的投标文件的报价部分进行小微企业、监狱企业、残疾人福利性单位等政策功能的评标价格调整并打分。</w:t>
      </w:r>
    </w:p>
    <w:p>
      <w:pPr>
        <w:adjustRightInd w:val="0"/>
        <w:snapToGrid w:val="0"/>
        <w:spacing w:line="360" w:lineRule="auto"/>
        <w:ind w:firstLine="480" w:firstLineChars="200"/>
        <w:rPr>
          <w:rFonts w:hint="eastAsia" w:ascii="宋体" w:hAnsi="宋体"/>
          <w:sz w:val="24"/>
        </w:rPr>
      </w:pPr>
      <w:r>
        <w:rPr>
          <w:rFonts w:hint="eastAsia" w:ascii="宋体" w:hAnsi="宋体"/>
          <w:sz w:val="24"/>
        </w:rPr>
        <w:t>10、评标人员对报价部分评审结果进行确认。</w:t>
      </w:r>
    </w:p>
    <w:p>
      <w:pPr>
        <w:adjustRightInd w:val="0"/>
        <w:snapToGrid w:val="0"/>
        <w:spacing w:line="360" w:lineRule="auto"/>
        <w:ind w:firstLine="480" w:firstLineChars="200"/>
        <w:rPr>
          <w:rFonts w:hint="eastAsia" w:ascii="宋体" w:hAnsi="宋体"/>
          <w:sz w:val="24"/>
        </w:rPr>
      </w:pPr>
      <w:r>
        <w:rPr>
          <w:rFonts w:hint="eastAsia" w:ascii="宋体" w:hAnsi="宋体"/>
          <w:sz w:val="24"/>
        </w:rPr>
        <w:t>11、评标委员会根据评审汇总情况和招标文件规定确定中标（成交）候选供应商排序名单。</w:t>
      </w:r>
    </w:p>
    <w:p>
      <w:pPr>
        <w:adjustRightInd w:val="0"/>
        <w:snapToGrid w:val="0"/>
        <w:spacing w:line="360" w:lineRule="auto"/>
        <w:ind w:firstLine="480" w:firstLineChars="200"/>
        <w:rPr>
          <w:rFonts w:hint="eastAsia" w:ascii="宋体" w:hAnsi="宋体"/>
          <w:sz w:val="24"/>
        </w:rPr>
      </w:pPr>
      <w:r>
        <w:rPr>
          <w:rFonts w:hint="eastAsia" w:ascii="宋体" w:hAnsi="宋体"/>
          <w:sz w:val="24"/>
        </w:rPr>
        <w:t>12、起草评审报告，所有评审人员须在评审报告上签字确认。</w:t>
      </w:r>
    </w:p>
    <w:p>
      <w:pPr>
        <w:adjustRightInd w:val="0"/>
        <w:snapToGrid w:val="0"/>
        <w:spacing w:line="360" w:lineRule="auto"/>
        <w:ind w:firstLine="480" w:firstLineChars="200"/>
        <w:rPr>
          <w:rFonts w:hint="eastAsia" w:ascii="宋体" w:hAnsi="宋体"/>
          <w:sz w:val="24"/>
        </w:rPr>
      </w:pPr>
      <w:r>
        <w:rPr>
          <w:rFonts w:hint="eastAsia" w:ascii="宋体" w:hAnsi="宋体"/>
          <w:sz w:val="24"/>
        </w:rPr>
        <w:t>注：评标委员会成员对需要共同认定的事项存在争议的，按照少数服从多数的原则作出结论。持不同意见的评标委员会成员应当在评审报告上签署不同意见及理由，否则视为同意评审报告。</w:t>
      </w:r>
    </w:p>
    <w:p>
      <w:pPr>
        <w:adjustRightInd w:val="0"/>
        <w:snapToGrid w:val="0"/>
        <w:spacing w:line="360" w:lineRule="auto"/>
        <w:rPr>
          <w:rFonts w:hint="eastAsia" w:ascii="宋体" w:hAnsi="宋体"/>
          <w:b/>
          <w:sz w:val="24"/>
          <w:lang w:val="zh-CN"/>
        </w:rPr>
      </w:pPr>
      <w:r>
        <w:rPr>
          <w:rFonts w:hint="eastAsia" w:ascii="宋体" w:hAnsi="宋体"/>
          <w:b/>
          <w:sz w:val="24"/>
        </w:rPr>
        <w:t>（五）</w:t>
      </w:r>
      <w:r>
        <w:rPr>
          <w:rFonts w:hint="eastAsia" w:ascii="宋体" w:hAnsi="宋体"/>
          <w:b/>
          <w:sz w:val="24"/>
          <w:lang w:val="zh-CN"/>
        </w:rPr>
        <w:t>投标文件的鉴定</w:t>
      </w:r>
    </w:p>
    <w:p>
      <w:pPr>
        <w:adjustRightInd w:val="0"/>
        <w:snapToGrid w:val="0"/>
        <w:spacing w:line="360" w:lineRule="auto"/>
        <w:ind w:firstLine="480" w:firstLineChars="200"/>
        <w:rPr>
          <w:rFonts w:hint="eastAsia" w:ascii="宋体" w:hAnsi="宋体"/>
          <w:sz w:val="24"/>
          <w:lang w:val="zh-CN"/>
        </w:rPr>
      </w:pPr>
      <w:r>
        <w:rPr>
          <w:rFonts w:hint="eastAsia" w:ascii="宋体" w:hAnsi="宋体"/>
          <w:sz w:val="24"/>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adjustRightInd w:val="0"/>
        <w:snapToGrid w:val="0"/>
        <w:spacing w:line="360" w:lineRule="auto"/>
        <w:ind w:firstLine="480" w:firstLineChars="200"/>
        <w:rPr>
          <w:rFonts w:hint="eastAsia" w:ascii="宋体" w:hAnsi="宋体"/>
          <w:sz w:val="24"/>
          <w:lang w:val="zh-CN"/>
        </w:rPr>
      </w:pPr>
      <w:r>
        <w:rPr>
          <w:rFonts w:hint="eastAsia" w:ascii="宋体" w:hAnsi="宋体"/>
          <w:sz w:val="24"/>
        </w:rPr>
        <w:t>2、投标文件以供应商解密的电子版为准，若因无法正常解密，则以供应商递交的“备份投标文件”为准。对不同文字文本投标文件的解释发生异议的，以中文文本为准。</w:t>
      </w:r>
    </w:p>
    <w:p>
      <w:pPr>
        <w:pStyle w:val="45"/>
        <w:adjustRightInd w:val="0"/>
        <w:snapToGrid w:val="0"/>
        <w:spacing w:line="360" w:lineRule="auto"/>
        <w:ind w:firstLine="482" w:firstLineChars="200"/>
        <w:jc w:val="left"/>
        <w:rPr>
          <w:rFonts w:hint="eastAsia" w:hAnsi="宋体"/>
          <w:sz w:val="24"/>
          <w:szCs w:val="24"/>
        </w:rPr>
      </w:pPr>
      <w:r>
        <w:rPr>
          <w:rFonts w:hint="eastAsia" w:hAnsi="宋体"/>
          <w:b/>
          <w:sz w:val="24"/>
          <w:szCs w:val="24"/>
        </w:rPr>
        <w:t>3、无效标情形</w:t>
      </w:r>
      <w:r>
        <w:rPr>
          <w:rFonts w:hint="eastAsia" w:hAnsi="宋体"/>
          <w:sz w:val="24"/>
          <w:szCs w:val="24"/>
        </w:rPr>
        <w:t xml:space="preserve">  </w:t>
      </w:r>
    </w:p>
    <w:p>
      <w:pPr>
        <w:pStyle w:val="45"/>
        <w:adjustRightInd w:val="0"/>
        <w:snapToGrid w:val="0"/>
        <w:spacing w:line="360" w:lineRule="auto"/>
        <w:ind w:firstLine="480" w:firstLineChars="200"/>
        <w:jc w:val="left"/>
        <w:rPr>
          <w:rFonts w:hint="eastAsia" w:hAnsi="宋体"/>
          <w:sz w:val="24"/>
          <w:szCs w:val="24"/>
        </w:rPr>
      </w:pPr>
      <w:r>
        <w:rPr>
          <w:rFonts w:hint="eastAsia" w:hAnsi="宋体"/>
          <w:sz w:val="24"/>
        </w:rPr>
        <w:t>经其书面授权的招标人代表或经其书面授权的招标代理机构代表招标人</w:t>
      </w:r>
      <w:r>
        <w:rPr>
          <w:rFonts w:hint="eastAsia" w:hAnsi="宋体"/>
          <w:sz w:val="24"/>
          <w:szCs w:val="24"/>
        </w:rPr>
        <w:t>依照招标文件的要求和规定对投标人的投标文件进行资格审查，评标委员会依照招标文件的要求和规定对投标人的投标文件进行符合性审查，审查过程中可以要求投标人提交下列审查项所需的有关证明，以便核验。评标委员会按少数服从多数原则认定投标文件存在以下情况之一的，其资格或符合性审查不予通过，作无效标处理，不再进行进一步评审：</w:t>
      </w:r>
    </w:p>
    <w:p>
      <w:pPr>
        <w:pStyle w:val="45"/>
        <w:adjustRightInd w:val="0"/>
        <w:snapToGrid w:val="0"/>
        <w:spacing w:line="360" w:lineRule="auto"/>
        <w:ind w:firstLine="482" w:firstLineChars="200"/>
        <w:jc w:val="left"/>
        <w:rPr>
          <w:rFonts w:hint="eastAsia" w:hAnsi="宋体"/>
          <w:b/>
          <w:sz w:val="24"/>
          <w:szCs w:val="24"/>
          <w:u w:val="single"/>
        </w:rPr>
      </w:pPr>
      <w:r>
        <w:rPr>
          <w:rFonts w:hint="eastAsia" w:hAnsi="宋体"/>
          <w:b/>
          <w:sz w:val="24"/>
          <w:szCs w:val="24"/>
          <w:u w:val="single"/>
        </w:rPr>
        <w:t>（1）资格审查时出现：</w:t>
      </w:r>
    </w:p>
    <w:p>
      <w:pPr>
        <w:adjustRightInd w:val="0"/>
        <w:snapToGrid w:val="0"/>
        <w:spacing w:line="360" w:lineRule="auto"/>
        <w:ind w:firstLine="480" w:firstLineChars="200"/>
        <w:rPr>
          <w:rFonts w:hint="eastAsia" w:ascii="宋体" w:hAnsi="宋体"/>
          <w:sz w:val="24"/>
        </w:rPr>
      </w:pPr>
      <w:r>
        <w:rPr>
          <w:rFonts w:hint="eastAsia" w:ascii="宋体" w:hAnsi="宋体"/>
          <w:sz w:val="24"/>
        </w:rPr>
        <w:t>1）投标人未能提供满足招标文件“第一部分  招标公告”中“二、申请人的资格要求”的资格文件；</w:t>
      </w:r>
    </w:p>
    <w:p>
      <w:pPr>
        <w:adjustRightInd w:val="0"/>
        <w:snapToGrid w:val="0"/>
        <w:spacing w:line="360" w:lineRule="auto"/>
        <w:ind w:firstLine="480" w:firstLineChars="200"/>
        <w:rPr>
          <w:rFonts w:hint="eastAsia" w:ascii="宋体" w:hAnsi="宋体"/>
          <w:sz w:val="24"/>
        </w:rPr>
      </w:pPr>
      <w:r>
        <w:rPr>
          <w:rFonts w:hint="eastAsia" w:ascii="宋体" w:hAnsi="宋体"/>
          <w:sz w:val="24"/>
        </w:rPr>
        <w:t>2）不符合资格审查条件的其他情形。</w:t>
      </w:r>
    </w:p>
    <w:p>
      <w:pPr>
        <w:adjustRightInd w:val="0"/>
        <w:snapToGrid w:val="0"/>
        <w:spacing w:line="360" w:lineRule="auto"/>
        <w:ind w:firstLine="482" w:firstLineChars="200"/>
        <w:rPr>
          <w:rFonts w:hint="eastAsia" w:ascii="宋体" w:hAnsi="宋体"/>
          <w:b/>
          <w:sz w:val="24"/>
          <w:u w:val="single"/>
        </w:rPr>
      </w:pPr>
      <w:r>
        <w:rPr>
          <w:rFonts w:hint="eastAsia" w:ascii="宋体" w:hAnsi="宋体"/>
          <w:b/>
          <w:sz w:val="24"/>
          <w:u w:val="single"/>
        </w:rPr>
        <w:t>（2）商务、技术文件的符合性审查时出现：</w:t>
      </w:r>
    </w:p>
    <w:p>
      <w:pPr>
        <w:adjustRightInd w:val="0"/>
        <w:snapToGrid w:val="0"/>
        <w:spacing w:line="360" w:lineRule="auto"/>
        <w:ind w:firstLine="482" w:firstLineChars="200"/>
        <w:rPr>
          <w:rFonts w:hint="eastAsia" w:ascii="宋体" w:hAnsi="宋体"/>
          <w:b/>
          <w:sz w:val="24"/>
          <w:u w:val="single"/>
        </w:rPr>
      </w:pPr>
      <w:r>
        <w:rPr>
          <w:rFonts w:hint="eastAsia" w:ascii="宋体" w:hAnsi="宋体"/>
          <w:b/>
          <w:sz w:val="24"/>
          <w:u w:val="single"/>
        </w:rPr>
        <w:t>1）投标文件未有效授权，法定代表人授权委托书等填写不完整或有涂改的；</w:t>
      </w:r>
    </w:p>
    <w:p>
      <w:pPr>
        <w:adjustRightInd w:val="0"/>
        <w:snapToGrid w:val="0"/>
        <w:spacing w:line="360" w:lineRule="auto"/>
        <w:ind w:firstLine="480" w:firstLineChars="200"/>
        <w:rPr>
          <w:rFonts w:hint="eastAsia" w:ascii="宋体" w:hAnsi="宋体"/>
          <w:sz w:val="24"/>
        </w:rPr>
      </w:pPr>
      <w:r>
        <w:rPr>
          <w:rFonts w:hint="eastAsia" w:ascii="宋体" w:hAnsi="宋体"/>
          <w:sz w:val="24"/>
        </w:rPr>
        <w:t>2）与招标文件有重大偏离（包括未响应或负偏离或不符合带有“▲”标记的条款的）或缺漏的投标文件或存在招标文件中明确规定的其他无效标情形的；</w:t>
      </w:r>
    </w:p>
    <w:p>
      <w:pPr>
        <w:adjustRightInd w:val="0"/>
        <w:snapToGrid w:val="0"/>
        <w:spacing w:line="360" w:lineRule="auto"/>
        <w:ind w:firstLine="480" w:firstLineChars="200"/>
        <w:rPr>
          <w:rFonts w:hint="eastAsia" w:ascii="宋体" w:hAnsi="宋体"/>
          <w:sz w:val="24"/>
        </w:rPr>
      </w:pPr>
      <w:r>
        <w:rPr>
          <w:rFonts w:hint="eastAsia" w:ascii="宋体" w:hAnsi="宋体"/>
          <w:sz w:val="24"/>
        </w:rPr>
        <w:t>3）投标文件标明的商务、技术响应或偏离与事实不符或虚假投标的；</w:t>
      </w:r>
    </w:p>
    <w:p>
      <w:pPr>
        <w:adjustRightInd w:val="0"/>
        <w:snapToGrid w:val="0"/>
        <w:spacing w:line="360" w:lineRule="auto"/>
        <w:ind w:firstLine="480" w:firstLineChars="200"/>
        <w:rPr>
          <w:rFonts w:hint="eastAsia" w:ascii="宋体" w:hAnsi="宋体"/>
          <w:sz w:val="24"/>
        </w:rPr>
      </w:pPr>
      <w:r>
        <w:rPr>
          <w:rFonts w:hint="eastAsia" w:ascii="宋体" w:hAnsi="宋体"/>
          <w:sz w:val="24"/>
        </w:rPr>
        <w:t>4）技术方案不明确，存在一个或一个以上备选（替代）方案且未申明哪个有效的；</w:t>
      </w:r>
    </w:p>
    <w:p>
      <w:pPr>
        <w:adjustRightInd w:val="0"/>
        <w:snapToGrid w:val="0"/>
        <w:spacing w:line="360" w:lineRule="auto"/>
        <w:ind w:firstLine="480" w:firstLineChars="200"/>
        <w:rPr>
          <w:rFonts w:hint="eastAsia" w:ascii="宋体" w:hAnsi="宋体"/>
          <w:sz w:val="24"/>
        </w:rPr>
      </w:pPr>
      <w:r>
        <w:rPr>
          <w:rFonts w:hint="eastAsia" w:ascii="宋体" w:hAnsi="宋体"/>
          <w:sz w:val="24"/>
        </w:rPr>
        <w:t>5）未提供有效投标声明函的投标文件；</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6）仅提交“备份投标文件”的；</w:t>
      </w:r>
    </w:p>
    <w:p>
      <w:pPr>
        <w:adjustRightInd w:val="0"/>
        <w:snapToGrid w:val="0"/>
        <w:spacing w:line="360" w:lineRule="auto"/>
        <w:ind w:firstLine="480" w:firstLineChars="200"/>
        <w:rPr>
          <w:rFonts w:hint="eastAsia" w:ascii="宋体" w:hAnsi="宋体"/>
          <w:sz w:val="24"/>
        </w:rPr>
      </w:pPr>
      <w:r>
        <w:rPr>
          <w:rFonts w:hint="eastAsia" w:ascii="宋体" w:hAnsi="宋体"/>
          <w:sz w:val="24"/>
        </w:rPr>
        <w:t>7）不响应或擅自改变本招标文件要求或投标文件有招标人不能接受的附加条件的；</w:t>
      </w:r>
    </w:p>
    <w:p>
      <w:pPr>
        <w:adjustRightInd w:val="0"/>
        <w:snapToGrid w:val="0"/>
        <w:spacing w:line="360" w:lineRule="auto"/>
        <w:ind w:firstLine="480" w:firstLineChars="200"/>
        <w:rPr>
          <w:rFonts w:hint="eastAsia" w:ascii="宋体" w:hAnsi="宋体"/>
          <w:sz w:val="24"/>
        </w:rPr>
      </w:pPr>
      <w:r>
        <w:rPr>
          <w:rFonts w:hint="eastAsia" w:ascii="宋体" w:hAnsi="宋体"/>
          <w:sz w:val="24"/>
        </w:rPr>
        <w:t>8）不符合法律、法规和本招标文件规定的其他实质性要求的。</w:t>
      </w:r>
    </w:p>
    <w:p>
      <w:pPr>
        <w:adjustRightInd w:val="0"/>
        <w:snapToGrid w:val="0"/>
        <w:spacing w:line="360" w:lineRule="auto"/>
        <w:ind w:firstLine="482" w:firstLineChars="200"/>
        <w:rPr>
          <w:rFonts w:hint="eastAsia" w:ascii="宋体" w:hAnsi="宋体"/>
          <w:b/>
          <w:sz w:val="24"/>
          <w:u w:val="single"/>
        </w:rPr>
      </w:pPr>
      <w:r>
        <w:rPr>
          <w:rFonts w:hint="eastAsia" w:ascii="宋体" w:hAnsi="宋体"/>
          <w:b/>
          <w:sz w:val="24"/>
          <w:u w:val="single"/>
        </w:rPr>
        <w:t>（3）报价文件的符合性审查时出现：</w:t>
      </w:r>
    </w:p>
    <w:p>
      <w:pPr>
        <w:adjustRightInd w:val="0"/>
        <w:snapToGrid w:val="0"/>
        <w:spacing w:line="360" w:lineRule="auto"/>
        <w:ind w:firstLine="480" w:firstLineChars="200"/>
        <w:rPr>
          <w:rFonts w:hint="eastAsia" w:ascii="宋体" w:hAnsi="宋体"/>
          <w:sz w:val="24"/>
        </w:rPr>
      </w:pPr>
      <w:r>
        <w:rPr>
          <w:rFonts w:hint="eastAsia" w:ascii="宋体" w:hAnsi="宋体"/>
          <w:sz w:val="24"/>
        </w:rPr>
        <w:t>1）与招标文件有重大偏离（包括未响应或负偏离或不符合带有“▲”标记的条款的）或缺漏的或提供了虚假材料的投标文件或存在招标文件中明确规定的其他无效标情形的；</w:t>
      </w:r>
    </w:p>
    <w:p>
      <w:pPr>
        <w:adjustRightInd w:val="0"/>
        <w:snapToGrid w:val="0"/>
        <w:spacing w:line="360" w:lineRule="auto"/>
        <w:ind w:firstLine="480" w:firstLineChars="200"/>
        <w:rPr>
          <w:rFonts w:hint="eastAsia" w:ascii="宋体" w:hAnsi="宋体"/>
          <w:sz w:val="24"/>
        </w:rPr>
      </w:pPr>
      <w:r>
        <w:rPr>
          <w:rFonts w:hint="eastAsia" w:ascii="宋体" w:hAnsi="宋体"/>
          <w:sz w:val="24"/>
        </w:rPr>
        <w:t>2）投标报价不明确，存在一个或一个以上备选（替代）报价且未申明哪个有效的；</w:t>
      </w:r>
    </w:p>
    <w:p>
      <w:pPr>
        <w:adjustRightInd w:val="0"/>
        <w:snapToGrid w:val="0"/>
        <w:spacing w:line="360" w:lineRule="auto"/>
        <w:ind w:firstLine="480" w:firstLineChars="200"/>
        <w:rPr>
          <w:rFonts w:hint="eastAsia" w:ascii="宋体" w:hAnsi="宋体"/>
          <w:sz w:val="24"/>
        </w:rPr>
      </w:pPr>
      <w:r>
        <w:rPr>
          <w:rFonts w:hint="eastAsia" w:ascii="宋体" w:hAnsi="宋体"/>
          <w:sz w:val="24"/>
        </w:rPr>
        <w:t>3）投标报价超预算的</w:t>
      </w:r>
      <w:r>
        <w:rPr>
          <w:rFonts w:hint="eastAsia" w:ascii="宋体" w:hAnsi="宋体"/>
          <w:b/>
          <w:sz w:val="24"/>
        </w:rPr>
        <w:t>(含分项预算)</w:t>
      </w:r>
      <w:r>
        <w:rPr>
          <w:rFonts w:hint="eastAsia" w:ascii="宋体" w:hAnsi="宋体"/>
        </w:rPr>
        <w:t xml:space="preserve"> </w:t>
      </w:r>
      <w:r>
        <w:rPr>
          <w:rFonts w:hint="eastAsia" w:ascii="宋体" w:hAnsi="宋体"/>
          <w:sz w:val="24"/>
        </w:rPr>
        <w:t>或超最高限价的</w:t>
      </w:r>
      <w:r>
        <w:rPr>
          <w:rFonts w:hint="eastAsia" w:ascii="宋体" w:hAnsi="宋体"/>
          <w:b/>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4）未采用人民币报价或未按招标文件标明的币种报价，或者投标报价涵盖的内容不符合招标文件要求的；</w:t>
      </w:r>
    </w:p>
    <w:p>
      <w:pPr>
        <w:adjustRightInd w:val="0"/>
        <w:snapToGrid w:val="0"/>
        <w:spacing w:line="360" w:lineRule="auto"/>
        <w:ind w:firstLine="480" w:firstLineChars="200"/>
        <w:rPr>
          <w:rFonts w:hint="eastAsia" w:ascii="宋体" w:hAnsi="宋体"/>
          <w:sz w:val="24"/>
        </w:rPr>
      </w:pPr>
      <w:r>
        <w:rPr>
          <w:rFonts w:hint="eastAsia" w:ascii="宋体" w:hAnsi="宋体"/>
          <w:sz w:val="24"/>
        </w:rPr>
        <w:t>5）未提供有效《开标一览表》的投标文件或《开标一览表》内容与《投标报价明细表》内容不一致且拒不接受修正的；；</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6）仅提交“备份投标文件”的；</w:t>
      </w:r>
    </w:p>
    <w:p>
      <w:pPr>
        <w:adjustRightInd w:val="0"/>
        <w:snapToGrid w:val="0"/>
        <w:spacing w:line="360" w:lineRule="auto"/>
        <w:ind w:firstLine="480" w:firstLineChars="200"/>
        <w:rPr>
          <w:rFonts w:hint="eastAsia" w:ascii="宋体" w:hAnsi="宋体"/>
          <w:sz w:val="24"/>
        </w:rPr>
      </w:pPr>
      <w:r>
        <w:rPr>
          <w:rFonts w:hint="eastAsia" w:ascii="宋体" w:hAnsi="宋体"/>
          <w:sz w:val="24"/>
        </w:rPr>
        <w:t>7）不响应或擅自改变本招标文件要求或投标文件有招标人不能接受的附加条件的；</w:t>
      </w:r>
    </w:p>
    <w:p>
      <w:pPr>
        <w:adjustRightInd w:val="0"/>
        <w:snapToGrid w:val="0"/>
        <w:spacing w:line="360" w:lineRule="auto"/>
        <w:ind w:firstLine="480" w:firstLineChars="200"/>
        <w:rPr>
          <w:rFonts w:hint="eastAsia" w:ascii="宋体" w:hAnsi="宋体"/>
          <w:sz w:val="24"/>
        </w:rPr>
      </w:pPr>
      <w:r>
        <w:rPr>
          <w:rFonts w:hint="eastAsia" w:ascii="宋体" w:hAnsi="宋体"/>
          <w:sz w:val="24"/>
        </w:rPr>
        <w:t>8）不符合法律、法规和本招标文件规定的其他实质性要求的。</w:t>
      </w:r>
    </w:p>
    <w:p>
      <w:pPr>
        <w:adjustRightInd w:val="0"/>
        <w:snapToGrid w:val="0"/>
        <w:spacing w:line="360" w:lineRule="auto"/>
        <w:ind w:firstLine="482" w:firstLineChars="200"/>
        <w:rPr>
          <w:rFonts w:hint="eastAsia" w:ascii="宋体" w:hAnsi="宋体"/>
          <w:sz w:val="24"/>
        </w:rPr>
      </w:pPr>
      <w:r>
        <w:rPr>
          <w:rFonts w:hint="eastAsia" w:ascii="宋体" w:hAnsi="宋体"/>
          <w:b/>
          <w:sz w:val="24"/>
        </w:rPr>
        <w:t>4、投标报价的错误修正</w:t>
      </w:r>
      <w:r>
        <w:rPr>
          <w:rFonts w:hint="eastAsia" w:ascii="宋体" w:hAnsi="宋体"/>
          <w:sz w:val="24"/>
        </w:rPr>
        <w:t xml:space="preserve">  </w:t>
      </w:r>
    </w:p>
    <w:p>
      <w:pPr>
        <w:adjustRightInd w:val="0"/>
        <w:snapToGrid w:val="0"/>
        <w:spacing w:line="360" w:lineRule="auto"/>
        <w:ind w:firstLine="480" w:firstLineChars="200"/>
        <w:rPr>
          <w:rFonts w:hint="eastAsia" w:ascii="宋体" w:hAnsi="宋体"/>
          <w:sz w:val="24"/>
        </w:rPr>
      </w:pPr>
      <w:r>
        <w:rPr>
          <w:rFonts w:hint="eastAsia" w:ascii="宋体" w:hAnsi="宋体"/>
          <w:sz w:val="24"/>
        </w:rPr>
        <w:t>评标委员会将对确定为实质上响应招标文件要求的投标文件报价部分进行校核，看其在投标报价方面是否有计算、累计或表达上的错误，修正错误的原则及顺序如下：</w:t>
      </w:r>
    </w:p>
    <w:p>
      <w:pPr>
        <w:adjustRightInd w:val="0"/>
        <w:snapToGrid w:val="0"/>
        <w:spacing w:line="360" w:lineRule="auto"/>
        <w:ind w:firstLine="480" w:firstLineChars="200"/>
        <w:rPr>
          <w:rFonts w:hint="eastAsia" w:ascii="宋体" w:hAnsi="宋体"/>
          <w:sz w:val="24"/>
        </w:rPr>
      </w:pPr>
      <w:r>
        <w:rPr>
          <w:rFonts w:hint="eastAsia" w:ascii="宋体" w:hAnsi="宋体"/>
          <w:sz w:val="24"/>
        </w:rPr>
        <w:t>（1）投标文件中开标一览表(报价表)内容与投标文件中明细表内容不一致的，以开标一览表为准；</w:t>
      </w:r>
    </w:p>
    <w:p>
      <w:pPr>
        <w:adjustRightInd w:val="0"/>
        <w:snapToGrid w:val="0"/>
        <w:spacing w:line="360" w:lineRule="auto"/>
        <w:ind w:firstLine="480" w:firstLineChars="200"/>
        <w:rPr>
          <w:rFonts w:hint="eastAsia" w:ascii="宋体" w:hAnsi="宋体"/>
          <w:sz w:val="24"/>
        </w:rPr>
      </w:pPr>
      <w:r>
        <w:rPr>
          <w:rFonts w:hint="eastAsia" w:ascii="宋体" w:hAnsi="宋体"/>
          <w:sz w:val="24"/>
        </w:rPr>
        <w:t>（2）投标文件的大写金额和小写金额不一致的，以大写金额为准；</w:t>
      </w:r>
    </w:p>
    <w:p>
      <w:pPr>
        <w:adjustRightInd w:val="0"/>
        <w:snapToGrid w:val="0"/>
        <w:spacing w:line="360" w:lineRule="auto"/>
        <w:ind w:firstLine="480" w:firstLineChars="200"/>
        <w:rPr>
          <w:rFonts w:hint="eastAsia" w:ascii="宋体" w:hAnsi="宋体"/>
          <w:sz w:val="24"/>
        </w:rPr>
      </w:pPr>
      <w:r>
        <w:rPr>
          <w:rFonts w:hint="eastAsia" w:ascii="宋体" w:hAnsi="宋体"/>
          <w:sz w:val="24"/>
        </w:rPr>
        <w:t>（3）如分项价格或单价有遗报，应视作已含在投标总价中；其投标总价不予调整。其分项价或单价由评标委员会在投标总价不变的前提下根据合理的原则对其予以确定；</w:t>
      </w:r>
    </w:p>
    <w:p>
      <w:pPr>
        <w:adjustRightInd w:val="0"/>
        <w:snapToGrid w:val="0"/>
        <w:spacing w:line="360" w:lineRule="auto"/>
        <w:ind w:firstLine="480" w:firstLineChars="200"/>
        <w:rPr>
          <w:rFonts w:hint="eastAsia" w:ascii="宋体" w:hAnsi="宋体"/>
          <w:sz w:val="24"/>
        </w:rPr>
      </w:pPr>
      <w:r>
        <w:rPr>
          <w:rFonts w:hint="eastAsia" w:ascii="宋体" w:hAnsi="宋体"/>
          <w:sz w:val="24"/>
        </w:rPr>
        <w:t>（4）如有多报、重报，其投标总价在评标过程中不予调整。如其中标，其合同价按其投标单价予以调整；</w:t>
      </w:r>
    </w:p>
    <w:p>
      <w:pPr>
        <w:adjustRightInd w:val="0"/>
        <w:snapToGrid w:val="0"/>
        <w:spacing w:line="360" w:lineRule="auto"/>
        <w:ind w:firstLine="480" w:firstLineChars="200"/>
        <w:rPr>
          <w:rFonts w:hint="eastAsia" w:ascii="宋体" w:hAnsi="宋体"/>
          <w:sz w:val="24"/>
        </w:rPr>
      </w:pPr>
      <w:r>
        <w:rPr>
          <w:rFonts w:hint="eastAsia" w:ascii="宋体" w:hAnsi="宋体"/>
          <w:sz w:val="24"/>
        </w:rPr>
        <w:t>（5）单价金额小数点或者百分比有明显错位的，以开标一览表的总价为准，并修改单价；</w:t>
      </w:r>
    </w:p>
    <w:p>
      <w:pPr>
        <w:adjustRightInd w:val="0"/>
        <w:snapToGrid w:val="0"/>
        <w:spacing w:line="360" w:lineRule="auto"/>
        <w:ind w:firstLine="480" w:firstLineChars="200"/>
        <w:rPr>
          <w:rFonts w:hint="eastAsia" w:ascii="宋体" w:hAnsi="宋体"/>
          <w:sz w:val="24"/>
        </w:rPr>
      </w:pPr>
      <w:r>
        <w:rPr>
          <w:rFonts w:hint="eastAsia" w:ascii="宋体" w:hAnsi="宋体"/>
          <w:sz w:val="24"/>
        </w:rPr>
        <w:t>（6）总价金额与按单价汇总金额不一致的，以单价金额计算结果为准。</w:t>
      </w:r>
    </w:p>
    <w:p>
      <w:pPr>
        <w:adjustRightInd w:val="0"/>
        <w:snapToGrid w:val="0"/>
        <w:spacing w:line="360" w:lineRule="auto"/>
        <w:ind w:firstLine="480" w:firstLineChars="200"/>
        <w:rPr>
          <w:rFonts w:hint="eastAsia" w:ascii="宋体" w:hAnsi="宋体"/>
          <w:sz w:val="24"/>
        </w:rPr>
      </w:pPr>
      <w:r>
        <w:rPr>
          <w:rFonts w:hint="eastAsia" w:ascii="宋体" w:hAnsi="宋体"/>
          <w:sz w:val="24"/>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 xml:space="preserve">5、废标 </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在招标采购中，出现下列情形之一的，本项目废标：</w:t>
      </w:r>
    </w:p>
    <w:p>
      <w:pPr>
        <w:pStyle w:val="202"/>
        <w:adjustRightInd w:val="0"/>
        <w:snapToGrid w:val="0"/>
        <w:spacing w:before="0"/>
        <w:ind w:firstLine="495" w:firstLineChars="0"/>
        <w:rPr>
          <w:rFonts w:hint="eastAsia" w:ascii="宋体" w:hAnsi="宋体"/>
          <w:b/>
          <w:szCs w:val="24"/>
        </w:rPr>
      </w:pPr>
      <w:r>
        <w:rPr>
          <w:rFonts w:hint="eastAsia" w:ascii="宋体" w:hAnsi="宋体"/>
          <w:b/>
          <w:szCs w:val="24"/>
        </w:rPr>
        <w:t>（1）符合专业条件的供应商或者对招标文件作实质响应的供应商不足三家的；</w:t>
      </w:r>
    </w:p>
    <w:p>
      <w:pPr>
        <w:pStyle w:val="202"/>
        <w:adjustRightInd w:val="0"/>
        <w:snapToGrid w:val="0"/>
        <w:spacing w:before="0"/>
        <w:ind w:firstLine="495" w:firstLineChars="0"/>
        <w:rPr>
          <w:rFonts w:hint="eastAsia" w:ascii="宋体" w:hAnsi="宋体"/>
          <w:b/>
          <w:szCs w:val="24"/>
        </w:rPr>
      </w:pPr>
      <w:r>
        <w:rPr>
          <w:rFonts w:hint="eastAsia" w:ascii="宋体" w:hAnsi="宋体"/>
          <w:b/>
          <w:szCs w:val="24"/>
        </w:rPr>
        <w:t>（2）出现影响采购公正的违法、违规行为的；</w:t>
      </w:r>
    </w:p>
    <w:p>
      <w:pPr>
        <w:pStyle w:val="202"/>
        <w:adjustRightInd w:val="0"/>
        <w:snapToGrid w:val="0"/>
        <w:spacing w:before="0"/>
        <w:ind w:firstLine="495" w:firstLineChars="0"/>
        <w:rPr>
          <w:rFonts w:hint="eastAsia" w:ascii="宋体" w:hAnsi="宋体"/>
          <w:b/>
          <w:szCs w:val="24"/>
        </w:rPr>
      </w:pPr>
      <w:r>
        <w:rPr>
          <w:rFonts w:hint="eastAsia" w:ascii="宋体" w:hAnsi="宋体"/>
          <w:b/>
          <w:szCs w:val="24"/>
        </w:rPr>
        <w:t>（3）投标人的报价均超过了采购预算，招标人不能支付的；</w:t>
      </w:r>
    </w:p>
    <w:p>
      <w:pPr>
        <w:pStyle w:val="202"/>
        <w:adjustRightInd w:val="0"/>
        <w:snapToGrid w:val="0"/>
        <w:spacing w:before="0"/>
        <w:ind w:firstLine="495" w:firstLineChars="0"/>
        <w:rPr>
          <w:rFonts w:hint="eastAsia" w:ascii="宋体" w:hAnsi="宋体"/>
          <w:b/>
          <w:szCs w:val="24"/>
        </w:rPr>
      </w:pPr>
      <w:r>
        <w:rPr>
          <w:rFonts w:hint="eastAsia" w:ascii="宋体" w:hAnsi="宋体"/>
          <w:b/>
          <w:szCs w:val="24"/>
        </w:rPr>
        <w:t>（4）因重大变故，采购任务取消的。</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6、可中止电子交易活动的情形</w:t>
      </w:r>
    </w:p>
    <w:p>
      <w:pPr>
        <w:spacing w:line="360" w:lineRule="auto"/>
        <w:ind w:firstLine="424" w:firstLineChars="176"/>
        <w:rPr>
          <w:rFonts w:ascii="宋体" w:hAnsi="宋体"/>
          <w:sz w:val="24"/>
        </w:rPr>
      </w:pPr>
      <w:r>
        <w:rPr>
          <w:rFonts w:hint="eastAsia" w:ascii="宋体" w:hAnsi="宋体"/>
          <w:b/>
          <w:sz w:val="24"/>
        </w:rPr>
        <w:t>采购过程中出现以下情形，导致电子交易平台无法正常运行，或者无法保证电子交易的公平、公正和安全时，招标组织机构可中止电子交易活动：</w:t>
      </w:r>
    </w:p>
    <w:p>
      <w:pPr>
        <w:spacing w:line="360" w:lineRule="auto"/>
        <w:ind w:firstLine="422" w:firstLineChars="176"/>
        <w:rPr>
          <w:rFonts w:ascii="宋体" w:hAnsi="宋体"/>
          <w:sz w:val="24"/>
        </w:rPr>
      </w:pPr>
      <w:r>
        <w:rPr>
          <w:rFonts w:hint="eastAsia" w:ascii="宋体" w:hAnsi="宋体"/>
          <w:sz w:val="24"/>
        </w:rPr>
        <w:t>（1）电子交易平台发生故障而无法登录访问的；</w:t>
      </w:r>
    </w:p>
    <w:p>
      <w:pPr>
        <w:spacing w:line="360" w:lineRule="auto"/>
        <w:ind w:firstLine="422" w:firstLineChars="176"/>
        <w:rPr>
          <w:rFonts w:ascii="宋体" w:hAnsi="宋体"/>
          <w:sz w:val="24"/>
        </w:rPr>
      </w:pPr>
      <w:r>
        <w:rPr>
          <w:rFonts w:hint="eastAsia" w:ascii="宋体" w:hAnsi="宋体"/>
          <w:sz w:val="24"/>
        </w:rPr>
        <w:t>（2）电子交易平台应用或数据库出现错误，不能进行正常操作的；</w:t>
      </w:r>
    </w:p>
    <w:p>
      <w:pPr>
        <w:spacing w:line="360" w:lineRule="auto"/>
        <w:ind w:firstLine="422" w:firstLineChars="176"/>
        <w:rPr>
          <w:rFonts w:ascii="宋体" w:hAnsi="宋体"/>
          <w:sz w:val="24"/>
        </w:rPr>
      </w:pPr>
      <w:r>
        <w:rPr>
          <w:rFonts w:hint="eastAsia" w:ascii="宋体" w:hAnsi="宋体"/>
          <w:sz w:val="24"/>
        </w:rPr>
        <w:t>（3）电子交易平台发现严重安全漏洞，有潜在泄密危险的；</w:t>
      </w:r>
    </w:p>
    <w:p>
      <w:pPr>
        <w:spacing w:line="360" w:lineRule="auto"/>
        <w:ind w:firstLine="422" w:firstLineChars="176"/>
        <w:rPr>
          <w:rFonts w:ascii="宋体" w:hAnsi="宋体"/>
          <w:sz w:val="24"/>
        </w:rPr>
      </w:pPr>
      <w:r>
        <w:rPr>
          <w:rFonts w:hint="eastAsia" w:ascii="宋体" w:hAnsi="宋体"/>
          <w:sz w:val="24"/>
        </w:rPr>
        <w:t>（4）病毒发作导致不能进行正常操作的；</w:t>
      </w:r>
    </w:p>
    <w:p>
      <w:pPr>
        <w:spacing w:line="360" w:lineRule="auto"/>
        <w:ind w:firstLine="422" w:firstLineChars="176"/>
        <w:rPr>
          <w:rFonts w:ascii="宋体" w:hAnsi="宋体"/>
          <w:sz w:val="24"/>
        </w:rPr>
      </w:pPr>
      <w:r>
        <w:rPr>
          <w:rFonts w:hint="eastAsia" w:ascii="宋体" w:hAnsi="宋体"/>
          <w:sz w:val="24"/>
        </w:rPr>
        <w:t>（5）其他无法保证电子交易的公平、公正和安全的情况。</w:t>
      </w:r>
    </w:p>
    <w:p>
      <w:pPr>
        <w:spacing w:line="360" w:lineRule="auto"/>
        <w:ind w:firstLine="545" w:firstLineChars="226"/>
        <w:rPr>
          <w:rFonts w:hint="eastAsia" w:ascii="宋体" w:hAnsi="宋体"/>
          <w:sz w:val="24"/>
        </w:rPr>
      </w:pPr>
      <w:r>
        <w:rPr>
          <w:rFonts w:hint="eastAsia" w:ascii="宋体" w:hAnsi="宋体"/>
          <w:b/>
          <w:sz w:val="24"/>
        </w:rPr>
        <w:t>出现前款规定情形，不影响采购公平、公正性的，招标组织机构可以待上述情形消除后继续组织电子交易活动；影响或可能影响采购公平、公正性的，应当重新采购。</w:t>
      </w:r>
    </w:p>
    <w:p>
      <w:pPr>
        <w:pStyle w:val="202"/>
        <w:adjustRightInd w:val="0"/>
        <w:snapToGrid w:val="0"/>
        <w:spacing w:before="0"/>
        <w:ind w:firstLine="0" w:firstLineChars="0"/>
        <w:rPr>
          <w:rFonts w:hint="eastAsia" w:ascii="宋体" w:hAnsi="宋体"/>
          <w:b/>
          <w:szCs w:val="24"/>
        </w:rPr>
      </w:pPr>
      <w:r>
        <w:rPr>
          <w:rFonts w:hint="eastAsia" w:ascii="宋体" w:hAnsi="宋体"/>
          <w:b/>
          <w:szCs w:val="24"/>
        </w:rPr>
        <w:t>（六）投标文件的澄清、说明或补正</w:t>
      </w:r>
    </w:p>
    <w:p>
      <w:pPr>
        <w:spacing w:line="360" w:lineRule="auto"/>
        <w:ind w:firstLine="545" w:firstLineChars="226"/>
        <w:rPr>
          <w:rFonts w:hint="eastAsia" w:ascii="宋体" w:hAnsi="宋体"/>
          <w:b/>
          <w:sz w:val="24"/>
        </w:rPr>
      </w:pPr>
      <w:r>
        <w:rPr>
          <w:rFonts w:hint="eastAsia" w:ascii="宋体" w:hAnsi="宋体"/>
          <w:b/>
          <w:sz w:val="24"/>
        </w:rPr>
        <w:t>1、在资格审查、符合性评审及报价评审过程中，对于投标文件中含义不明确、同类问题表述不一致或者有明显文字和计算错误的内容，评标委员会将以书面形式（或通过“政府采购云平台”在线询标）的形式要求</w:t>
      </w:r>
      <w:r>
        <w:rPr>
          <w:rFonts w:ascii="宋体" w:hAnsi="宋体"/>
          <w:b/>
          <w:sz w:val="24"/>
        </w:rPr>
        <w:t>投标供应商</w:t>
      </w:r>
      <w:r>
        <w:rPr>
          <w:rFonts w:hint="eastAsia" w:ascii="宋体" w:hAnsi="宋体"/>
          <w:b/>
          <w:sz w:val="24"/>
        </w:rPr>
        <w:t>在规定的时间内作出必要的澄清、说明或者补正，投标供应商澄清、说明或补正时间为30分钟。</w:t>
      </w:r>
    </w:p>
    <w:p>
      <w:pPr>
        <w:spacing w:line="360" w:lineRule="auto"/>
        <w:ind w:firstLine="545" w:firstLineChars="226"/>
        <w:rPr>
          <w:rFonts w:hint="eastAsia" w:ascii="宋体" w:hAnsi="宋体"/>
          <w:b/>
          <w:sz w:val="24"/>
        </w:rPr>
      </w:pPr>
      <w:r>
        <w:rPr>
          <w:rFonts w:hint="eastAsia" w:ascii="宋体" w:hAnsi="宋体"/>
          <w:b/>
          <w:sz w:val="24"/>
        </w:rPr>
        <w:t>2、</w:t>
      </w:r>
      <w:r>
        <w:rPr>
          <w:rFonts w:ascii="宋体" w:hAnsi="宋体"/>
          <w:b/>
          <w:sz w:val="24"/>
        </w:rPr>
        <w:t>投标供应商</w:t>
      </w:r>
      <w:r>
        <w:rPr>
          <w:rFonts w:hint="eastAsia" w:ascii="宋体" w:hAnsi="宋体"/>
          <w:b/>
          <w:sz w:val="24"/>
        </w:rPr>
        <w:t>的澄清、说明或者补正应当采用书面（或通过“政府采购云平台”在线答复）形式提交，应加盖公章或法定代表人签字或授权代表签字。</w:t>
      </w:r>
      <w:r>
        <w:rPr>
          <w:rFonts w:ascii="宋体" w:hAnsi="宋体"/>
          <w:b/>
          <w:sz w:val="24"/>
        </w:rPr>
        <w:t>投标供应商</w:t>
      </w:r>
      <w:r>
        <w:rPr>
          <w:rFonts w:hint="eastAsia" w:ascii="宋体" w:hAnsi="宋体"/>
          <w:b/>
          <w:sz w:val="24"/>
        </w:rPr>
        <w:t>的澄清、说明或者补正不得超出投标文件的范围或者改变投标文件的实质性内容。</w:t>
      </w:r>
    </w:p>
    <w:p>
      <w:pPr>
        <w:adjustRightInd w:val="0"/>
        <w:snapToGrid w:val="0"/>
        <w:spacing w:line="360" w:lineRule="auto"/>
        <w:rPr>
          <w:rFonts w:hint="eastAsia" w:ascii="宋体" w:hAnsi="宋体"/>
          <w:b/>
          <w:sz w:val="24"/>
        </w:rPr>
      </w:pPr>
      <w:r>
        <w:rPr>
          <w:rFonts w:hint="eastAsia" w:ascii="宋体" w:hAnsi="宋体"/>
          <w:b/>
          <w:sz w:val="24"/>
        </w:rPr>
        <w:t>（七）评标办法</w:t>
      </w:r>
    </w:p>
    <w:bookmarkEnd w:id="76"/>
    <w:p>
      <w:pPr>
        <w:pStyle w:val="202"/>
        <w:adjustRightInd w:val="0"/>
        <w:snapToGrid w:val="0"/>
        <w:spacing w:before="0"/>
        <w:ind w:firstLine="480"/>
        <w:rPr>
          <w:rFonts w:hint="eastAsia" w:ascii="宋体" w:hAnsi="宋体"/>
          <w:b/>
        </w:rPr>
      </w:pPr>
      <w:bookmarkStart w:id="77" w:name="_Toc86216994"/>
      <w:r>
        <w:rPr>
          <w:rFonts w:hint="eastAsia" w:ascii="宋体" w:hAnsi="宋体"/>
          <w:kern w:val="0"/>
        </w:rPr>
        <w:t>详见“第六部分  评标办法”。</w:t>
      </w:r>
    </w:p>
    <w:p>
      <w:pPr>
        <w:pStyle w:val="202"/>
        <w:adjustRightInd w:val="0"/>
        <w:snapToGrid w:val="0"/>
        <w:spacing w:before="0"/>
        <w:ind w:firstLine="0" w:firstLineChars="0"/>
        <w:rPr>
          <w:rFonts w:hint="eastAsia" w:ascii="宋体" w:hAnsi="宋体"/>
          <w:b/>
          <w:szCs w:val="24"/>
        </w:rPr>
      </w:pPr>
      <w:r>
        <w:rPr>
          <w:rFonts w:hint="eastAsia" w:ascii="宋体" w:hAnsi="宋体"/>
          <w:b/>
          <w:szCs w:val="24"/>
        </w:rPr>
        <w:t>（八）评标内容的保密</w:t>
      </w:r>
    </w:p>
    <w:p>
      <w:pPr>
        <w:pStyle w:val="202"/>
        <w:adjustRightInd w:val="0"/>
        <w:snapToGrid w:val="0"/>
        <w:spacing w:before="0"/>
        <w:ind w:firstLine="480"/>
        <w:rPr>
          <w:rFonts w:hint="eastAsia" w:ascii="宋体" w:hAnsi="宋体"/>
          <w:szCs w:val="24"/>
        </w:rPr>
      </w:pPr>
      <w:r>
        <w:rPr>
          <w:rFonts w:hint="eastAsia" w:ascii="宋体" w:hAnsi="宋体"/>
          <w:szCs w:val="24"/>
        </w:rPr>
        <w:t>1、公开开标后，直到公告中标单位止，凡属于审查、澄清、评价和比较投标的所有资料，都不向投标人或与评标无关的其他人泄露。</w:t>
      </w:r>
    </w:p>
    <w:p>
      <w:pPr>
        <w:pStyle w:val="202"/>
        <w:adjustRightInd w:val="0"/>
        <w:snapToGrid w:val="0"/>
        <w:spacing w:before="0"/>
        <w:ind w:firstLine="480"/>
        <w:rPr>
          <w:rFonts w:hint="eastAsia" w:ascii="宋体" w:hAnsi="宋体"/>
          <w:szCs w:val="24"/>
        </w:rPr>
      </w:pPr>
      <w:r>
        <w:rPr>
          <w:rFonts w:hint="eastAsia" w:ascii="宋体" w:hAnsi="宋体"/>
          <w:szCs w:val="24"/>
        </w:rPr>
        <w:t>2、 在投标文件的审查、澄清、评价和比较以及确定中标人过程中，投标人对招标人、招标代理机构和评标委员会施加影响的任何行为，都将导致取消资格。</w:t>
      </w:r>
    </w:p>
    <w:p>
      <w:pPr>
        <w:adjustRightInd w:val="0"/>
        <w:snapToGrid w:val="0"/>
        <w:spacing w:line="360" w:lineRule="auto"/>
        <w:ind w:firstLine="480" w:firstLineChars="200"/>
        <w:rPr>
          <w:rFonts w:hint="eastAsia" w:ascii="宋体" w:hAnsi="宋体"/>
          <w:sz w:val="24"/>
        </w:rPr>
      </w:pPr>
      <w:bookmarkStart w:id="78" w:name="_Toc233618978"/>
    </w:p>
    <w:p>
      <w:pPr>
        <w:adjustRightInd w:val="0"/>
        <w:snapToGrid w:val="0"/>
        <w:spacing w:line="360" w:lineRule="auto"/>
        <w:jc w:val="center"/>
        <w:outlineLvl w:val="1"/>
        <w:rPr>
          <w:rFonts w:hint="eastAsia" w:ascii="宋体" w:hAnsi="宋体"/>
          <w:b/>
          <w:sz w:val="32"/>
        </w:rPr>
      </w:pPr>
      <w:bookmarkStart w:id="79" w:name="_Toc83910194"/>
      <w:r>
        <w:rPr>
          <w:rFonts w:hint="eastAsia" w:ascii="宋体" w:hAnsi="宋体"/>
          <w:b/>
          <w:sz w:val="32"/>
        </w:rPr>
        <w:t>七、定 标</w:t>
      </w:r>
      <w:bookmarkEnd w:id="77"/>
      <w:bookmarkEnd w:id="78"/>
      <w:bookmarkEnd w:id="79"/>
    </w:p>
    <w:p>
      <w:pPr>
        <w:pStyle w:val="35"/>
        <w:tabs>
          <w:tab w:val="left" w:pos="1440"/>
        </w:tabs>
        <w:adjustRightInd w:val="0"/>
        <w:snapToGrid w:val="0"/>
        <w:spacing w:line="360" w:lineRule="auto"/>
        <w:ind w:firstLine="0"/>
        <w:rPr>
          <w:rFonts w:hint="eastAsia" w:ascii="宋体" w:hAnsi="宋体" w:eastAsia="宋体"/>
          <w:b/>
          <w:sz w:val="24"/>
          <w:szCs w:val="24"/>
        </w:rPr>
      </w:pPr>
      <w:r>
        <w:rPr>
          <w:rFonts w:hint="eastAsia" w:ascii="宋体" w:hAnsi="宋体" w:eastAsia="宋体"/>
          <w:b/>
          <w:sz w:val="24"/>
          <w:szCs w:val="24"/>
        </w:rPr>
        <w:t>（一）定标</w:t>
      </w:r>
      <w:r>
        <w:rPr>
          <w:rFonts w:hint="eastAsia" w:ascii="宋体" w:hAnsi="宋体" w:eastAsia="宋体"/>
          <w:b/>
          <w:sz w:val="24"/>
          <w:szCs w:val="24"/>
        </w:rPr>
        <w:tab/>
      </w:r>
    </w:p>
    <w:p>
      <w:pPr>
        <w:adjustRightInd w:val="0"/>
        <w:snapToGrid w:val="0"/>
        <w:spacing w:line="360" w:lineRule="auto"/>
        <w:ind w:firstLine="482" w:firstLineChars="200"/>
        <w:rPr>
          <w:rFonts w:hint="eastAsia" w:ascii="宋体" w:hAnsi="宋体"/>
          <w:b/>
          <w:sz w:val="24"/>
        </w:rPr>
      </w:pPr>
      <w:r>
        <w:rPr>
          <w:rFonts w:hint="eastAsia" w:ascii="宋体" w:hAnsi="宋体"/>
          <w:b/>
          <w:sz w:val="24"/>
        </w:rPr>
        <w:t>1、供应商排序及推荐中标（成交）候选供应商</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评标委员会根据以下规定确定供应商排名并推荐中标（成交）候选供应商。</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（1）评标委员会根据</w:t>
      </w:r>
      <w:r>
        <w:rPr>
          <w:rFonts w:ascii="宋体" w:hAnsi="宋体"/>
          <w:b/>
          <w:sz w:val="24"/>
        </w:rPr>
        <w:t>各投标供应商的</w:t>
      </w:r>
      <w:r>
        <w:rPr>
          <w:rFonts w:hint="eastAsia" w:ascii="宋体" w:hAnsi="宋体"/>
          <w:b/>
          <w:sz w:val="24"/>
        </w:rPr>
        <w:t>综合得分（商务技术得分与报价得分之和）从高到低依次进行排名排序。特殊情形按以下原则处理：</w:t>
      </w:r>
    </w:p>
    <w:p>
      <w:pPr>
        <w:spacing w:line="360" w:lineRule="auto"/>
        <w:ind w:firstLine="463" w:firstLineChars="193"/>
        <w:rPr>
          <w:rFonts w:hint="eastAsia" w:ascii="宋体" w:hAnsi="宋体" w:cs="Arial"/>
          <w:sz w:val="24"/>
        </w:rPr>
      </w:pPr>
      <w:r>
        <w:rPr>
          <w:rFonts w:hint="eastAsia" w:ascii="宋体" w:hAnsi="宋体" w:cs="Arial"/>
          <w:sz w:val="24"/>
        </w:rPr>
        <w:t>1）综合得分</w:t>
      </w:r>
      <w:r>
        <w:rPr>
          <w:rFonts w:ascii="宋体" w:hAnsi="宋体" w:cs="Arial"/>
          <w:sz w:val="24"/>
        </w:rPr>
        <w:t>相同的，按投标报价</w:t>
      </w:r>
      <w:r>
        <w:rPr>
          <w:rFonts w:hint="eastAsia" w:ascii="宋体" w:hAnsi="宋体" w:cs="Arial"/>
          <w:sz w:val="24"/>
        </w:rPr>
        <w:t>低的优先原则确定排名；</w:t>
      </w:r>
    </w:p>
    <w:p>
      <w:pPr>
        <w:spacing w:line="360" w:lineRule="auto"/>
        <w:ind w:firstLine="463" w:firstLineChars="193"/>
        <w:rPr>
          <w:rFonts w:hint="eastAsia" w:ascii="宋体" w:hAnsi="宋体" w:cs="Arial"/>
          <w:sz w:val="24"/>
        </w:rPr>
      </w:pPr>
      <w:r>
        <w:rPr>
          <w:rFonts w:hint="eastAsia" w:ascii="宋体" w:hAnsi="宋体" w:cs="Arial"/>
          <w:sz w:val="24"/>
        </w:rPr>
        <w:t>2）综合得分和</w:t>
      </w:r>
      <w:r>
        <w:rPr>
          <w:rFonts w:ascii="宋体" w:hAnsi="宋体" w:cs="Arial"/>
          <w:sz w:val="24"/>
        </w:rPr>
        <w:t>投标报价</w:t>
      </w:r>
      <w:r>
        <w:rPr>
          <w:rFonts w:hint="eastAsia" w:ascii="宋体" w:hAnsi="宋体" w:cs="Arial"/>
          <w:sz w:val="24"/>
        </w:rPr>
        <w:t>均</w:t>
      </w:r>
      <w:r>
        <w:rPr>
          <w:rFonts w:ascii="宋体" w:hAnsi="宋体" w:cs="Arial"/>
          <w:sz w:val="24"/>
        </w:rPr>
        <w:t>相同的，按</w:t>
      </w:r>
      <w:r>
        <w:rPr>
          <w:rFonts w:hint="eastAsia" w:ascii="宋体" w:hAnsi="宋体" w:cs="Arial"/>
          <w:sz w:val="24"/>
        </w:rPr>
        <w:t>商务技术得分从高到低确定排名；</w:t>
      </w:r>
    </w:p>
    <w:p>
      <w:pPr>
        <w:spacing w:line="360" w:lineRule="auto"/>
        <w:ind w:firstLine="463" w:firstLineChars="193"/>
        <w:rPr>
          <w:rFonts w:hint="eastAsia" w:ascii="宋体" w:hAnsi="宋体" w:cs="Arial"/>
          <w:sz w:val="24"/>
        </w:rPr>
      </w:pPr>
      <w:r>
        <w:rPr>
          <w:rFonts w:hint="eastAsia" w:ascii="宋体" w:hAnsi="宋体" w:cs="Arial"/>
          <w:sz w:val="24"/>
        </w:rPr>
        <w:t>3）综合得分、</w:t>
      </w:r>
      <w:r>
        <w:rPr>
          <w:rFonts w:ascii="宋体" w:hAnsi="宋体" w:cs="Arial"/>
          <w:sz w:val="24"/>
        </w:rPr>
        <w:t>投标报价</w:t>
      </w:r>
      <w:r>
        <w:rPr>
          <w:rFonts w:hint="eastAsia" w:ascii="宋体" w:hAnsi="宋体" w:cs="Arial"/>
          <w:sz w:val="24"/>
        </w:rPr>
        <w:t>和商务技术得分均</w:t>
      </w:r>
      <w:r>
        <w:rPr>
          <w:rFonts w:ascii="宋体" w:hAnsi="宋体" w:cs="Arial"/>
          <w:sz w:val="24"/>
        </w:rPr>
        <w:t>相同的</w:t>
      </w:r>
      <w:r>
        <w:rPr>
          <w:rFonts w:hint="eastAsia" w:ascii="宋体" w:hAnsi="宋体" w:cs="Arial"/>
          <w:sz w:val="24"/>
        </w:rPr>
        <w:t>由评标委员会全体成员记名投票按少数服从多数的原则确定排名。</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（2）根据最终得分排序，通过书面评审报告的形式，向招标人推荐</w:t>
      </w:r>
      <w:r>
        <w:rPr>
          <w:rFonts w:ascii="宋体" w:hAnsi="宋体"/>
          <w:b/>
          <w:sz w:val="24"/>
        </w:rPr>
        <w:t>排名第一的投标供应商为中标（成交）</w:t>
      </w:r>
      <w:r>
        <w:rPr>
          <w:rFonts w:hint="eastAsia" w:ascii="宋体" w:hAnsi="宋体"/>
          <w:b/>
          <w:sz w:val="24"/>
        </w:rPr>
        <w:t>候选供应商</w:t>
      </w:r>
      <w:r>
        <w:rPr>
          <w:rFonts w:ascii="宋体" w:hAnsi="宋体"/>
          <w:b/>
          <w:sz w:val="24"/>
        </w:rPr>
        <w:t>。</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2、起草、签署评审报告</w:t>
      </w:r>
    </w:p>
    <w:p>
      <w:pPr>
        <w:spacing w:line="360" w:lineRule="auto"/>
        <w:ind w:firstLine="463" w:firstLineChars="193"/>
        <w:rPr>
          <w:rFonts w:hint="eastAsia" w:ascii="宋体" w:hAnsi="宋体"/>
          <w:sz w:val="24"/>
        </w:rPr>
      </w:pPr>
      <w:r>
        <w:rPr>
          <w:rFonts w:hint="eastAsia" w:ascii="宋体" w:hAnsi="宋体"/>
          <w:sz w:val="24"/>
        </w:rPr>
        <w:t>评标委员会将根据招标文件和有关规定，履行评标工作职责，以评标办法为标准，全面衡量各投标人对招标文件的响应情况。对实质上响应招标文件的投标人，以打分的方法，排出推荐中标的投标人的先后顺序，并按顺序提出授标建议。</w:t>
      </w:r>
      <w:r>
        <w:rPr>
          <w:rFonts w:hint="eastAsia" w:ascii="宋体" w:hAnsi="宋体" w:cs="Arial"/>
          <w:sz w:val="24"/>
        </w:rPr>
        <w:t>评标委员会将通过“政府采购云平台”</w:t>
      </w:r>
      <w:r>
        <w:rPr>
          <w:rFonts w:ascii="宋体" w:hAnsi="宋体" w:cs="Arial"/>
          <w:sz w:val="24"/>
        </w:rPr>
        <w:t>起草评审报告，</w:t>
      </w:r>
      <w:r>
        <w:rPr>
          <w:rFonts w:hint="eastAsia" w:ascii="宋体" w:hAnsi="宋体"/>
          <w:sz w:val="24"/>
        </w:rPr>
        <w:t>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firstLine="480" w:firstLineChars="200"/>
        <w:rPr>
          <w:rFonts w:hint="eastAsia" w:ascii="宋体" w:hAnsi="宋体"/>
          <w:sz w:val="24"/>
        </w:rPr>
      </w:pPr>
      <w:r>
        <w:rPr>
          <w:rFonts w:hint="eastAsia" w:ascii="宋体" w:hAnsi="宋体"/>
          <w:sz w:val="24"/>
        </w:rPr>
        <w:t>评标结果报经招标人同意，最终确定中标人。</w:t>
      </w:r>
    </w:p>
    <w:p>
      <w:pPr>
        <w:pStyle w:val="35"/>
        <w:tabs>
          <w:tab w:val="left" w:pos="1440"/>
        </w:tabs>
        <w:adjustRightInd w:val="0"/>
        <w:snapToGrid w:val="0"/>
        <w:spacing w:line="360" w:lineRule="auto"/>
        <w:ind w:firstLine="0"/>
        <w:rPr>
          <w:rFonts w:hint="eastAsia" w:ascii="宋体" w:hAnsi="宋体" w:eastAsia="宋体"/>
          <w:b/>
          <w:sz w:val="24"/>
          <w:szCs w:val="24"/>
        </w:rPr>
      </w:pPr>
      <w:r>
        <w:rPr>
          <w:rFonts w:hint="eastAsia" w:ascii="宋体" w:hAnsi="宋体" w:eastAsia="宋体"/>
          <w:b/>
          <w:sz w:val="24"/>
          <w:szCs w:val="24"/>
        </w:rPr>
        <w:t>（二）招标结果公告</w:t>
      </w:r>
    </w:p>
    <w:p>
      <w:pPr>
        <w:adjustRightInd w:val="0"/>
        <w:snapToGrid w:val="0"/>
        <w:spacing w:line="360" w:lineRule="auto"/>
        <w:ind w:firstLine="480" w:firstLineChars="200"/>
        <w:rPr>
          <w:rFonts w:hint="eastAsia" w:ascii="宋体" w:hAnsi="宋体"/>
          <w:sz w:val="24"/>
        </w:rPr>
      </w:pPr>
      <w:r>
        <w:rPr>
          <w:rFonts w:hint="eastAsia" w:ascii="宋体" w:hAnsi="宋体"/>
          <w:sz w:val="24"/>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35"/>
        <w:tabs>
          <w:tab w:val="left" w:pos="1440"/>
        </w:tabs>
        <w:adjustRightInd w:val="0"/>
        <w:snapToGrid w:val="0"/>
        <w:spacing w:line="360" w:lineRule="auto"/>
        <w:ind w:firstLine="0"/>
        <w:rPr>
          <w:rFonts w:hint="eastAsia" w:ascii="宋体" w:hAnsi="宋体" w:eastAsia="宋体"/>
          <w:b/>
          <w:sz w:val="24"/>
          <w:szCs w:val="24"/>
        </w:rPr>
      </w:pPr>
      <w:bookmarkStart w:id="80" w:name="_Hlt75236103"/>
      <w:bookmarkEnd w:id="80"/>
      <w:bookmarkStart w:id="81" w:name="_Toc86216995"/>
      <w:bookmarkStart w:id="82" w:name="_Toc91899910"/>
      <w:r>
        <w:rPr>
          <w:rFonts w:hint="eastAsia" w:ascii="宋体" w:hAnsi="宋体" w:eastAsia="宋体"/>
          <w:b/>
          <w:sz w:val="24"/>
          <w:szCs w:val="24"/>
        </w:rPr>
        <w:t>（三）中标通知书</w:t>
      </w:r>
      <w:r>
        <w:rPr>
          <w:rFonts w:hint="eastAsia" w:ascii="宋体" w:hAnsi="宋体" w:eastAsia="宋体"/>
          <w:b/>
          <w:sz w:val="24"/>
          <w:szCs w:val="24"/>
        </w:rPr>
        <w:tab/>
      </w:r>
    </w:p>
    <w:p>
      <w:pPr>
        <w:adjustRightInd w:val="0"/>
        <w:snapToGrid w:val="0"/>
        <w:spacing w:line="360" w:lineRule="auto"/>
        <w:ind w:firstLine="480" w:firstLineChars="200"/>
        <w:rPr>
          <w:rFonts w:hint="eastAsia" w:ascii="宋体" w:hAnsi="宋体"/>
          <w:sz w:val="24"/>
        </w:rPr>
      </w:pPr>
      <w:r>
        <w:rPr>
          <w:rFonts w:hint="eastAsia" w:ascii="宋体" w:hAnsi="宋体"/>
          <w:sz w:val="24"/>
        </w:rPr>
        <w:t>在公告中标结果的同时，招标人或者招标代理机构应当向中标人发出中标通知书。</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jc w:val="center"/>
        <w:rPr>
          <w:rFonts w:hint="eastAsia" w:ascii="宋体" w:hAnsi="宋体"/>
          <w:b/>
          <w:sz w:val="32"/>
        </w:rPr>
      </w:pPr>
      <w:bookmarkStart w:id="83" w:name="_Toc233618979"/>
      <w:r>
        <w:rPr>
          <w:rFonts w:hint="eastAsia" w:ascii="宋体" w:hAnsi="宋体"/>
          <w:b/>
          <w:sz w:val="32"/>
        </w:rPr>
        <w:t>八、</w:t>
      </w:r>
      <w:bookmarkEnd w:id="81"/>
      <w:r>
        <w:rPr>
          <w:rFonts w:hint="eastAsia" w:ascii="宋体" w:hAnsi="宋体"/>
          <w:b/>
          <w:sz w:val="32"/>
        </w:rPr>
        <w:t>合同签订及其他</w:t>
      </w:r>
      <w:bookmarkEnd w:id="83"/>
    </w:p>
    <w:bookmarkEnd w:id="82"/>
    <w:p>
      <w:pPr>
        <w:adjustRightInd w:val="0"/>
        <w:snapToGrid w:val="0"/>
        <w:spacing w:line="360" w:lineRule="auto"/>
        <w:rPr>
          <w:rFonts w:hint="eastAsia" w:ascii="宋体" w:hAnsi="宋体"/>
          <w:b/>
          <w:sz w:val="24"/>
        </w:rPr>
      </w:pPr>
      <w:r>
        <w:rPr>
          <w:rFonts w:hint="eastAsia" w:ascii="宋体" w:hAnsi="宋体"/>
          <w:b/>
          <w:sz w:val="24"/>
        </w:rPr>
        <w:t>（一）合同的签订</w:t>
      </w:r>
    </w:p>
    <w:p>
      <w:pPr>
        <w:pStyle w:val="202"/>
        <w:adjustRightInd w:val="0"/>
        <w:snapToGrid w:val="0"/>
        <w:spacing w:before="0"/>
        <w:ind w:firstLine="480"/>
        <w:rPr>
          <w:rFonts w:hint="eastAsia" w:ascii="宋体" w:hAnsi="宋体"/>
        </w:rPr>
      </w:pPr>
      <w:r>
        <w:rPr>
          <w:rFonts w:hint="eastAsia" w:ascii="宋体" w:hAnsi="宋体"/>
        </w:rPr>
        <w:t>中标人接到中标通知书后按规定的日期、时间、地点，由法定代表人或其授权代表与招标人代表按照“第四部分 合同文本”内容签订《采购合同》。</w:t>
      </w:r>
    </w:p>
    <w:p>
      <w:pPr>
        <w:pStyle w:val="202"/>
        <w:adjustRightInd w:val="0"/>
        <w:snapToGrid w:val="0"/>
        <w:spacing w:before="0"/>
        <w:ind w:firstLine="480"/>
        <w:rPr>
          <w:rFonts w:hint="eastAsia" w:ascii="宋体" w:hAnsi="宋体"/>
        </w:rPr>
      </w:pPr>
      <w:r>
        <w:rPr>
          <w:rFonts w:hint="eastAsia" w:ascii="宋体" w:hAnsi="宋体"/>
        </w:rPr>
        <w:t>所签订的合同不得对招标文件和中标人投标文件作实质性修改。招标人不得向中标供应商提出任何不合理的要求，作为签订合同的条件，不得与中标人私下订立背离合同实质性内容的协议。</w:t>
      </w:r>
    </w:p>
    <w:p>
      <w:pPr>
        <w:pStyle w:val="202"/>
        <w:adjustRightInd w:val="0"/>
        <w:snapToGrid w:val="0"/>
        <w:spacing w:before="0"/>
        <w:ind w:firstLine="480"/>
        <w:rPr>
          <w:rFonts w:hint="eastAsia" w:ascii="宋体" w:hAnsi="宋体"/>
        </w:rPr>
      </w:pPr>
      <w:r>
        <w:rPr>
          <w:rFonts w:hint="eastAsia" w:ascii="宋体" w:hAnsi="宋体" w:cs="Arial"/>
        </w:rPr>
        <w:t>招标文件及补充文件、中标人的投标文件及投标修改文件、评标过程中有关澄清文</w:t>
      </w:r>
      <w:r>
        <w:rPr>
          <w:rFonts w:hint="eastAsia" w:ascii="宋体" w:hAnsi="宋体"/>
        </w:rPr>
        <w:t>件和中标通知书均作为合同附件。</w:t>
      </w:r>
    </w:p>
    <w:p>
      <w:pPr>
        <w:pStyle w:val="202"/>
        <w:adjustRightInd w:val="0"/>
        <w:snapToGrid w:val="0"/>
        <w:spacing w:before="0"/>
        <w:ind w:firstLine="480"/>
        <w:rPr>
          <w:rFonts w:ascii="宋体" w:hAnsi="宋体"/>
        </w:rPr>
      </w:pPr>
      <w:r>
        <w:rPr>
          <w:rFonts w:hint="eastAsia" w:ascii="宋体" w:hAnsi="宋体"/>
        </w:rPr>
        <w:t>如中标人拒绝承担中标的项目、否认已经承诺的条件、未按规定的时间或提出招标人不能接受的条件致使合同无法签订的，招标人将取消其中标资格，损失由中标人承担。同时招标人可重新组织招标。</w:t>
      </w:r>
    </w:p>
    <w:p>
      <w:pPr>
        <w:pStyle w:val="202"/>
        <w:adjustRightInd w:val="0"/>
        <w:snapToGrid w:val="0"/>
        <w:spacing w:before="0"/>
        <w:ind w:firstLine="480"/>
        <w:rPr>
          <w:rFonts w:hint="eastAsia" w:ascii="宋体" w:hAnsi="宋体"/>
        </w:rPr>
      </w:pPr>
      <w:r>
        <w:rPr>
          <w:rFonts w:hint="eastAsia" w:ascii="宋体" w:hAnsi="宋体"/>
        </w:rPr>
        <w:t>如签订合同并生效后，供应商无故拒绝或延期合格交货的，除按照合同条款处罚外，列入不良行为记录一次，并给予通报。</w:t>
      </w:r>
    </w:p>
    <w:p>
      <w:pPr>
        <w:pStyle w:val="202"/>
        <w:adjustRightInd w:val="0"/>
        <w:snapToGrid w:val="0"/>
        <w:spacing w:before="0"/>
        <w:ind w:firstLine="480"/>
        <w:rPr>
          <w:rFonts w:hint="eastAsia" w:ascii="宋体" w:hAnsi="宋体"/>
        </w:rPr>
      </w:pPr>
      <w:r>
        <w:rPr>
          <w:rFonts w:hint="eastAsia" w:ascii="宋体" w:hAnsi="宋体"/>
        </w:rPr>
        <w:t xml:space="preserve">中标人因制造商原因无法供货导致无法签订合同的视为“中标后无正当理由不与招标人签订合同”。 </w:t>
      </w:r>
    </w:p>
    <w:p>
      <w:pPr>
        <w:tabs>
          <w:tab w:val="left" w:pos="0"/>
        </w:tabs>
        <w:spacing w:line="360" w:lineRule="auto"/>
        <w:rPr>
          <w:rFonts w:hint="eastAsia" w:ascii="宋体" w:hAnsi="宋体" w:cs="Arial"/>
          <w:b/>
          <w:sz w:val="24"/>
        </w:rPr>
      </w:pPr>
      <w:r>
        <w:rPr>
          <w:rFonts w:hint="eastAsia" w:ascii="宋体" w:hAnsi="宋体" w:cs="Arial"/>
          <w:b/>
          <w:sz w:val="24"/>
        </w:rPr>
        <w:t>（二）售后服务考核</w:t>
      </w:r>
    </w:p>
    <w:p>
      <w:pPr>
        <w:pStyle w:val="202"/>
        <w:adjustRightInd w:val="0"/>
        <w:snapToGrid w:val="0"/>
        <w:spacing w:before="0"/>
        <w:ind w:firstLine="480"/>
        <w:rPr>
          <w:rFonts w:hint="eastAsia" w:ascii="宋体" w:hAnsi="宋体"/>
          <w:szCs w:val="24"/>
        </w:rPr>
      </w:pPr>
      <w:r>
        <w:rPr>
          <w:rFonts w:hint="eastAsia" w:ascii="宋体" w:hAnsi="宋体"/>
          <w:szCs w:val="24"/>
        </w:rPr>
        <w:t>将参照有关法律法规，对供应商进行考核，发现弄虚作假，偷工减料，以次充好，达不到国家、行业有关标准和技术文件规定的，一经查实，招标人将视情况终止合同，并上报上级主管部门。</w:t>
      </w:r>
    </w:p>
    <w:p>
      <w:pPr>
        <w:tabs>
          <w:tab w:val="left" w:pos="0"/>
        </w:tabs>
        <w:spacing w:line="360" w:lineRule="auto"/>
        <w:rPr>
          <w:rFonts w:hint="eastAsia" w:ascii="宋体" w:hAnsi="宋体" w:cs="Arial"/>
          <w:b/>
          <w:sz w:val="24"/>
        </w:rPr>
      </w:pPr>
      <w:r>
        <w:rPr>
          <w:rFonts w:hint="eastAsia" w:ascii="宋体" w:hAnsi="宋体" w:cs="Arial"/>
          <w:b/>
          <w:sz w:val="24"/>
        </w:rPr>
        <w:t>（三）招标代理服务费</w:t>
      </w:r>
    </w:p>
    <w:p>
      <w:pPr>
        <w:pStyle w:val="202"/>
        <w:adjustRightInd w:val="0"/>
        <w:snapToGrid w:val="0"/>
        <w:spacing w:before="0"/>
        <w:ind w:firstLine="480"/>
        <w:rPr>
          <w:rFonts w:hint="eastAsia" w:ascii="宋体" w:hAnsi="宋体"/>
          <w:szCs w:val="24"/>
        </w:rPr>
      </w:pPr>
      <w:r>
        <w:rPr>
          <w:rFonts w:hint="eastAsia" w:ascii="宋体" w:hAnsi="宋体"/>
          <w:szCs w:val="24"/>
        </w:rPr>
        <w:t>本次招标代理服务费按本须知“前附表”规定收取。</w:t>
      </w:r>
    </w:p>
    <w:p>
      <w:pPr>
        <w:pStyle w:val="202"/>
        <w:adjustRightInd w:val="0"/>
        <w:snapToGrid w:val="0"/>
        <w:spacing w:before="0"/>
        <w:ind w:firstLine="480"/>
        <w:rPr>
          <w:rFonts w:hint="eastAsia" w:ascii="宋体" w:hAnsi="宋体"/>
          <w:szCs w:val="24"/>
        </w:rPr>
      </w:pPr>
      <w:r>
        <w:rPr>
          <w:rFonts w:hint="eastAsia" w:ascii="宋体" w:hAnsi="宋体"/>
          <w:szCs w:val="24"/>
        </w:rPr>
        <w:t>中标供应商未按招标文件规定和投标承诺缴纳招标代理服务费的，合同款不予支付、合同验收不予通过。</w:t>
      </w:r>
    </w:p>
    <w:p>
      <w:pPr>
        <w:pStyle w:val="202"/>
        <w:spacing w:before="0"/>
        <w:ind w:firstLine="723"/>
        <w:jc w:val="center"/>
        <w:rPr>
          <w:rFonts w:hint="eastAsia" w:ascii="宋体" w:hAnsi="宋体"/>
          <w:b/>
          <w:sz w:val="36"/>
          <w:szCs w:val="36"/>
        </w:rPr>
      </w:pPr>
    </w:p>
    <w:p>
      <w:pPr>
        <w:pStyle w:val="202"/>
        <w:spacing w:before="0"/>
        <w:ind w:firstLine="723"/>
        <w:jc w:val="center"/>
        <w:outlineLvl w:val="0"/>
        <w:rPr>
          <w:rFonts w:hint="eastAsia" w:ascii="宋体" w:hAnsi="宋体"/>
          <w:b/>
          <w:sz w:val="36"/>
          <w:szCs w:val="36"/>
        </w:rPr>
        <w:sectPr>
          <w:headerReference r:id="rId7" w:type="first"/>
          <w:footerReference r:id="rId10" w:type="first"/>
          <w:headerReference r:id="rId6" w:type="default"/>
          <w:footerReference r:id="rId8" w:type="default"/>
          <w:footerReference r:id="rId9" w:type="even"/>
          <w:type w:val="continuous"/>
          <w:pgSz w:w="11906" w:h="16838"/>
          <w:pgMar w:top="1440" w:right="1440" w:bottom="1440" w:left="1440" w:header="851" w:footer="851" w:gutter="0"/>
          <w:pgNumType w:start="1"/>
          <w:cols w:space="720" w:num="1"/>
          <w:titlePg/>
          <w:docGrid w:linePitch="381" w:charSpace="0"/>
        </w:sectPr>
      </w:pPr>
    </w:p>
    <w:p>
      <w:pPr>
        <w:pStyle w:val="202"/>
        <w:spacing w:before="0"/>
        <w:ind w:firstLine="0" w:firstLineChars="0"/>
        <w:jc w:val="center"/>
        <w:outlineLvl w:val="0"/>
        <w:rPr>
          <w:rFonts w:hint="eastAsia" w:ascii="宋体" w:hAnsi="宋体"/>
          <w:b/>
          <w:sz w:val="36"/>
          <w:szCs w:val="36"/>
        </w:rPr>
      </w:pPr>
      <w:bookmarkStart w:id="84" w:name="_Toc83910195"/>
      <w:r>
        <w:rPr>
          <w:rFonts w:hint="eastAsia" w:ascii="宋体" w:hAnsi="宋体"/>
          <w:b/>
          <w:sz w:val="36"/>
          <w:szCs w:val="36"/>
        </w:rPr>
        <w:t>第三部分  项目技术及服务要求</w:t>
      </w:r>
      <w:bookmarkEnd w:id="84"/>
    </w:p>
    <w:p>
      <w:pPr>
        <w:ind w:firstLine="482" w:firstLineChars="200"/>
        <w:outlineLvl w:val="1"/>
        <w:rPr>
          <w:rFonts w:hint="eastAsia" w:ascii="宋体" w:hAnsi="宋体" w:cs="仿宋"/>
          <w:b/>
          <w:sz w:val="24"/>
        </w:rPr>
      </w:pPr>
      <w:bookmarkStart w:id="85" w:name="_Toc83910196"/>
      <w:r>
        <w:rPr>
          <w:rFonts w:hint="eastAsia" w:ascii="宋体" w:hAnsi="宋体" w:cs="仿宋"/>
          <w:b/>
          <w:sz w:val="24"/>
        </w:rPr>
        <w:t>一、招标作业内容</w:t>
      </w:r>
      <w:bookmarkEnd w:id="85"/>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关于进一步明确城市各类保洁相关要求的通知</w:t>
      </w:r>
      <w:r>
        <w:rPr>
          <w:rFonts w:ascii="宋体" w:hAnsi="宋体"/>
          <w:sz w:val="24"/>
        </w:rPr>
        <w:t>》</w:t>
      </w:r>
      <w:r>
        <w:rPr>
          <w:rFonts w:hint="eastAsia" w:ascii="宋体" w:hAnsi="宋体"/>
          <w:sz w:val="24"/>
        </w:rPr>
        <w:t>杭城管局﹝2020﹞49号、《关于印发杭州市城管委行业服装统一表示规范的通知》（杭城管委[2018]16号）、《杭州市城市环境卫生作业规范》、《2020年西湖区道路保洁分类管理考核办法》、关于印发2020年度各区、县（市）政府（管委会）城市管理目标考核办法的通知（杭城管局﹝2020﹞42号）、《2021年杭州市清洁度评价实施办法说明》相关规定执行。</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．环卫保洁区域范围要求</w:t>
      </w:r>
      <w:r>
        <w:rPr>
          <w:rFonts w:ascii="宋体" w:hAnsi="宋体"/>
          <w:sz w:val="24"/>
        </w:rPr>
        <w:t>：</w:t>
      </w:r>
      <w:r>
        <w:rPr>
          <w:rFonts w:hint="eastAsia" w:ascii="宋体" w:hAnsi="宋体"/>
          <w:sz w:val="24"/>
        </w:rPr>
        <w:t>道路绿化隔离带、道路两侧绿化带和非封闭式街头公园、已移交接收至环卫保洁范围及一体化养护区域内的车行道、人行道、立交桥及除封闭住宅小区以外的街巷及空间等公共区域，以及果皮箱、交通隔离栏、2.2米以下路灯杆、交通信号灯杆等相关公共设施。落实责任保洁区域边界管理，保洁时应向保洁边界以外延伸5米，不留保洁盲区和空白点。</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及时制止偷倒乱倒垃圾行为，及时清除无主垃圾和废土。</w:t>
      </w:r>
    </w:p>
    <w:p>
      <w:pPr>
        <w:spacing w:line="500" w:lineRule="exact"/>
        <w:ind w:firstLine="480" w:firstLineChars="200"/>
        <w:rPr>
          <w:rFonts w:ascii="宋体" w:hAnsi="宋体"/>
          <w:sz w:val="24"/>
        </w:rPr>
      </w:pPr>
      <w:r>
        <w:rPr>
          <w:rFonts w:ascii="宋体" w:hAnsi="宋体"/>
          <w:sz w:val="24"/>
        </w:rPr>
        <w:t>4.遇有重大活动或抗台、抗雪等突发事件，必须无条件及时组织力量做好清扫保洁等保障工作，服从甲方的统一指挥。</w:t>
      </w:r>
    </w:p>
    <w:p>
      <w:pPr>
        <w:spacing w:line="50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负责做好本合同标项作业范围内的长效管理抄告单、“数字城管”和群众信访、投诉处理件的处理、整改和回复工作。</w:t>
      </w:r>
    </w:p>
    <w:p>
      <w:pPr>
        <w:pStyle w:val="202"/>
        <w:adjustRightInd w:val="0"/>
        <w:snapToGrid w:val="0"/>
        <w:spacing w:before="0" w:line="460" w:lineRule="exact"/>
        <w:ind w:firstLine="482"/>
        <w:outlineLvl w:val="1"/>
        <w:rPr>
          <w:rFonts w:hint="eastAsia" w:ascii="宋体" w:hAnsi="宋体"/>
          <w:b/>
        </w:rPr>
      </w:pPr>
      <w:bookmarkStart w:id="86" w:name="_Toc83910197"/>
      <w:r>
        <w:rPr>
          <w:rFonts w:hint="eastAsia" w:ascii="宋体" w:hAnsi="宋体"/>
          <w:b/>
        </w:rPr>
        <w:t>二、质量要求</w:t>
      </w:r>
      <w:bookmarkEnd w:id="86"/>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应严格按照</w:t>
      </w:r>
      <w:r>
        <w:rPr>
          <w:rFonts w:ascii="宋体" w:hAnsi="宋体"/>
          <w:sz w:val="24"/>
        </w:rPr>
        <w:t>《</w:t>
      </w:r>
      <w:r>
        <w:rPr>
          <w:rFonts w:hint="eastAsia" w:ascii="宋体" w:hAnsi="宋体"/>
          <w:sz w:val="24"/>
        </w:rPr>
        <w:t>关于进一步明确城市各类保洁相关要求的通知</w:t>
      </w:r>
      <w:r>
        <w:rPr>
          <w:rFonts w:ascii="宋体" w:hAnsi="宋体"/>
          <w:sz w:val="24"/>
        </w:rPr>
        <w:t>》</w:t>
      </w:r>
      <w:r>
        <w:rPr>
          <w:rFonts w:hint="eastAsia" w:ascii="宋体" w:hAnsi="宋体"/>
          <w:sz w:val="24"/>
        </w:rPr>
        <w:t>杭城管局﹝2020﹞49号、《关于印发杭州市城管委行业服装统一表示规范的通知》（杭城管委[2018]16号）、《杭州市城市环境卫生作业规范》、《2020年西湖区道路保洁分类管理考核办法》、关于印发2020年度各区、县（市）政府（管委会）城市管理目标考核办法的通知（杭城管局﹝2020﹞42号）相关规定执行。</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．环卫保洁区域范围要求</w:t>
      </w:r>
      <w:r>
        <w:rPr>
          <w:rFonts w:ascii="宋体" w:hAnsi="宋体"/>
          <w:sz w:val="24"/>
        </w:rPr>
        <w:t>。</w:t>
      </w:r>
      <w:r>
        <w:rPr>
          <w:rFonts w:hint="eastAsia" w:ascii="宋体" w:hAnsi="宋体"/>
          <w:sz w:val="24"/>
        </w:rPr>
        <w:t>环卫</w:t>
      </w:r>
      <w:r>
        <w:rPr>
          <w:rFonts w:ascii="宋体" w:hAnsi="宋体"/>
          <w:sz w:val="24"/>
        </w:rPr>
        <w:t>保洁范围包括</w:t>
      </w:r>
      <w:r>
        <w:rPr>
          <w:rFonts w:hint="eastAsia" w:ascii="宋体" w:hAnsi="宋体"/>
          <w:sz w:val="24"/>
        </w:rPr>
        <w:t>已移交接收至环卫保洁范围区域内的</w:t>
      </w:r>
      <w:r>
        <w:rPr>
          <w:rFonts w:ascii="宋体" w:hAnsi="宋体"/>
          <w:sz w:val="24"/>
        </w:rPr>
        <w:t>车行道、人行道、人行过街天桥</w:t>
      </w:r>
      <w:r>
        <w:rPr>
          <w:rFonts w:hint="eastAsia" w:ascii="宋体" w:hAnsi="宋体"/>
          <w:sz w:val="24"/>
        </w:rPr>
        <w:t>（无电梯）</w:t>
      </w:r>
      <w:r>
        <w:rPr>
          <w:rFonts w:ascii="宋体" w:hAnsi="宋体"/>
          <w:sz w:val="24"/>
        </w:rPr>
        <w:t>、立交桥、</w:t>
      </w:r>
      <w:r>
        <w:rPr>
          <w:rFonts w:hint="eastAsia" w:ascii="宋体" w:hAnsi="宋体"/>
          <w:sz w:val="24"/>
        </w:rPr>
        <w:t>2米范围内绿化带、</w:t>
      </w:r>
      <w:r>
        <w:rPr>
          <w:rFonts w:ascii="宋体" w:hAnsi="宋体"/>
          <w:sz w:val="24"/>
        </w:rPr>
        <w:t>绿地和除封闭住宅小区以外的街巷及空间等公共区域，以及果皮箱、交通隔离栏、</w:t>
      </w:r>
      <w:r>
        <w:rPr>
          <w:rFonts w:hint="eastAsia" w:ascii="宋体" w:hAnsi="宋体"/>
          <w:sz w:val="24"/>
        </w:rPr>
        <w:t>2.2米以下</w:t>
      </w:r>
      <w:r>
        <w:rPr>
          <w:rFonts w:ascii="宋体" w:hAnsi="宋体"/>
          <w:sz w:val="24"/>
        </w:rPr>
        <w:t>路灯杆、交通信号灯杆等相关公共设施。落实责任保洁区域边界管理，保洁时应向保洁边界以外延伸5</w:t>
      </w:r>
      <w:r>
        <w:rPr>
          <w:rFonts w:hint="eastAsia" w:ascii="宋体" w:hAnsi="宋体"/>
          <w:sz w:val="24"/>
        </w:rPr>
        <w:t>米</w:t>
      </w:r>
      <w:r>
        <w:rPr>
          <w:rFonts w:ascii="宋体" w:hAnsi="宋体"/>
          <w:sz w:val="24"/>
        </w:rPr>
        <w:t>，不留保洁盲区和空白点。</w:t>
      </w:r>
      <w:r>
        <w:rPr>
          <w:rFonts w:hint="eastAsia" w:ascii="宋体" w:hAnsi="宋体"/>
          <w:sz w:val="24"/>
        </w:rPr>
        <w:t>对属地内有责任主体的区域环境卫生落实发现、协调。</w:t>
      </w:r>
    </w:p>
    <w:p>
      <w:pPr>
        <w:spacing w:line="500" w:lineRule="exact"/>
        <w:ind w:firstLine="480" w:firstLineChars="200"/>
        <w:rPr>
          <w:rFonts w:ascii="宋体" w:hAnsi="宋体"/>
          <w:sz w:val="24"/>
        </w:rPr>
      </w:pPr>
      <w:r>
        <w:rPr>
          <w:rFonts w:hint="eastAsia" w:ascii="宋体" w:hAnsi="宋体"/>
          <w:sz w:val="24"/>
        </w:rPr>
        <w:t>3．道路街巷保洁时间及机械化频次要求</w:t>
      </w:r>
      <w:r>
        <w:rPr>
          <w:rFonts w:ascii="宋体" w:hAnsi="宋体"/>
          <w:sz w:val="24"/>
        </w:rPr>
        <w:t>。</w:t>
      </w:r>
      <w:r>
        <w:rPr>
          <w:rFonts w:hint="eastAsia" w:ascii="宋体" w:hAnsi="宋体"/>
          <w:sz w:val="24"/>
        </w:rPr>
        <w:t>根据杭州市地方性标准《城市环境卫生作业规范》及2016年以后清洁度考核要求，我市道路保洁按照不同道路街巷类别予以划分，对各类别道路街巷的机械化车辆作业及普扫时间进行了规定，并根据大气办要求，对夏季洒水、机扫要求进行了提高，保证每周一次对道路街巷进行人机结合清洗，必要时加强机械化高压道路冲洗。7:00前（夏季6:30前）完成首次普扫。除必要的应急保障、突发事件处置等特殊工作需要外，原则上下班交通高峰时段（上午7:00-9:00,下午16:30-18:30）不得进行洒水、机扫等机械化作业。具体要求如下表：</w:t>
      </w:r>
    </w:p>
    <w:tbl>
      <w:tblPr>
        <w:tblStyle w:val="88"/>
        <w:tblW w:w="0" w:type="auto"/>
        <w:jc w:val="center"/>
        <w:tblLayout w:type="fixed"/>
        <w:tblCellMar>
          <w:top w:w="0" w:type="dxa"/>
          <w:left w:w="108" w:type="dxa"/>
          <w:bottom w:w="0" w:type="dxa"/>
          <w:right w:w="108" w:type="dxa"/>
        </w:tblCellMar>
      </w:tblPr>
      <w:tblGrid>
        <w:gridCol w:w="618"/>
        <w:gridCol w:w="1246"/>
        <w:gridCol w:w="671"/>
        <w:gridCol w:w="806"/>
        <w:gridCol w:w="675"/>
        <w:gridCol w:w="780"/>
        <w:gridCol w:w="1425"/>
        <w:gridCol w:w="1680"/>
        <w:gridCol w:w="900"/>
      </w:tblGrid>
      <w:tr>
        <w:tblPrEx>
          <w:tblCellMar>
            <w:top w:w="0" w:type="dxa"/>
            <w:left w:w="108" w:type="dxa"/>
            <w:bottom w:w="0" w:type="dxa"/>
            <w:right w:w="108" w:type="dxa"/>
          </w:tblCellMar>
        </w:tblPrEx>
        <w:trPr>
          <w:trHeight w:val="475" w:hRule="atLeast"/>
          <w:jc w:val="center"/>
        </w:trPr>
        <w:tc>
          <w:tcPr>
            <w:tcW w:w="618" w:type="dxa"/>
            <w:vMerge w:val="restart"/>
            <w:tcBorders>
              <w:top w:val="single" w:color="auto" w:sz="8" w:space="0"/>
              <w:left w:val="single" w:color="auto" w:sz="4" w:space="0"/>
              <w:bottom w:val="single" w:color="000000" w:sz="8" w:space="0"/>
              <w:right w:val="single" w:color="000000" w:sz="8" w:space="0"/>
            </w:tcBorders>
            <w:noWrap w:val="0"/>
            <w:vAlign w:val="center"/>
          </w:tcPr>
          <w:p>
            <w:pPr>
              <w:spacing w:line="360" w:lineRule="auto"/>
              <w:rPr>
                <w:rFonts w:ascii="宋体" w:hAnsi="宋体"/>
                <w:sz w:val="18"/>
              </w:rPr>
            </w:pPr>
            <w:r>
              <w:rPr>
                <w:rFonts w:hint="eastAsia" w:ascii="宋体" w:hAnsi="宋体"/>
                <w:sz w:val="18"/>
              </w:rPr>
              <w:t>类型</w:t>
            </w:r>
          </w:p>
        </w:tc>
        <w:tc>
          <w:tcPr>
            <w:tcW w:w="1246" w:type="dxa"/>
            <w:vMerge w:val="restart"/>
            <w:tcBorders>
              <w:top w:val="single" w:color="auto" w:sz="8" w:space="0"/>
              <w:left w:val="single" w:color="000000"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保洁</w:t>
            </w:r>
          </w:p>
          <w:p>
            <w:pPr>
              <w:spacing w:line="360" w:lineRule="auto"/>
              <w:jc w:val="center"/>
              <w:rPr>
                <w:rFonts w:ascii="宋体" w:hAnsi="宋体"/>
                <w:sz w:val="18"/>
              </w:rPr>
            </w:pPr>
            <w:r>
              <w:rPr>
                <w:rFonts w:hint="eastAsia" w:ascii="宋体" w:hAnsi="宋体"/>
                <w:sz w:val="18"/>
              </w:rPr>
              <w:t>时间</w:t>
            </w:r>
          </w:p>
        </w:tc>
        <w:tc>
          <w:tcPr>
            <w:tcW w:w="1477" w:type="dxa"/>
            <w:gridSpan w:val="2"/>
            <w:tcBorders>
              <w:top w:val="single" w:color="auto" w:sz="8" w:space="0"/>
              <w:left w:val="nil"/>
              <w:right w:val="single" w:color="000000" w:sz="8" w:space="0"/>
            </w:tcBorders>
            <w:noWrap w:val="0"/>
            <w:vAlign w:val="center"/>
          </w:tcPr>
          <w:p>
            <w:pPr>
              <w:spacing w:line="360" w:lineRule="auto"/>
              <w:rPr>
                <w:rFonts w:ascii="宋体" w:hAnsi="宋体"/>
                <w:sz w:val="18"/>
              </w:rPr>
            </w:pPr>
            <w:r>
              <w:rPr>
                <w:rFonts w:hint="eastAsia" w:ascii="宋体" w:hAnsi="宋体"/>
                <w:sz w:val="18"/>
              </w:rPr>
              <w:t>洒水 (次/日)</w:t>
            </w:r>
          </w:p>
        </w:tc>
        <w:tc>
          <w:tcPr>
            <w:tcW w:w="1455" w:type="dxa"/>
            <w:gridSpan w:val="2"/>
            <w:tcBorders>
              <w:top w:val="single" w:color="auto" w:sz="8" w:space="0"/>
              <w:left w:val="nil"/>
              <w:right w:val="single" w:color="000000" w:sz="8" w:space="0"/>
            </w:tcBorders>
            <w:noWrap w:val="0"/>
            <w:vAlign w:val="center"/>
          </w:tcPr>
          <w:p>
            <w:pPr>
              <w:spacing w:line="360" w:lineRule="auto"/>
              <w:rPr>
                <w:rFonts w:ascii="宋体" w:hAnsi="宋体"/>
                <w:sz w:val="18"/>
              </w:rPr>
            </w:pPr>
            <w:r>
              <w:rPr>
                <w:rFonts w:hint="eastAsia" w:ascii="宋体" w:hAnsi="宋体"/>
                <w:sz w:val="18"/>
              </w:rPr>
              <w:t>机扫 (次/日)</w:t>
            </w:r>
          </w:p>
        </w:tc>
        <w:tc>
          <w:tcPr>
            <w:tcW w:w="3105" w:type="dxa"/>
            <w:gridSpan w:val="2"/>
            <w:tcBorders>
              <w:top w:val="single" w:color="auto" w:sz="8" w:space="0"/>
              <w:left w:val="nil"/>
              <w:right w:val="single" w:color="000000" w:sz="8" w:space="0"/>
            </w:tcBorders>
            <w:noWrap w:val="0"/>
            <w:vAlign w:val="center"/>
          </w:tcPr>
          <w:p>
            <w:pPr>
              <w:spacing w:line="360" w:lineRule="auto"/>
              <w:jc w:val="center"/>
              <w:rPr>
                <w:rFonts w:ascii="宋体" w:hAnsi="宋体"/>
                <w:sz w:val="18"/>
              </w:rPr>
            </w:pPr>
            <w:r>
              <w:rPr>
                <w:rFonts w:hint="eastAsia" w:ascii="宋体" w:hAnsi="宋体"/>
                <w:sz w:val="18"/>
              </w:rPr>
              <w:t>普扫时间</w:t>
            </w:r>
          </w:p>
        </w:tc>
        <w:tc>
          <w:tcPr>
            <w:tcW w:w="900" w:type="dxa"/>
            <w:vMerge w:val="restart"/>
            <w:tcBorders>
              <w:top w:val="single" w:color="auto" w:sz="8" w:space="0"/>
              <w:left w:val="single" w:color="auto" w:sz="8" w:space="0"/>
              <w:right w:val="single" w:color="auto" w:sz="4" w:space="0"/>
            </w:tcBorders>
            <w:noWrap w:val="0"/>
            <w:vAlign w:val="center"/>
          </w:tcPr>
          <w:p>
            <w:pPr>
              <w:spacing w:line="360" w:lineRule="auto"/>
              <w:rPr>
                <w:rFonts w:ascii="宋体" w:hAnsi="宋体"/>
                <w:sz w:val="18"/>
              </w:rPr>
            </w:pPr>
            <w:r>
              <w:rPr>
                <w:rFonts w:hint="eastAsia" w:ascii="宋体" w:hAnsi="宋体"/>
                <w:sz w:val="18"/>
              </w:rPr>
              <w:t>巡回保洁时间</w:t>
            </w:r>
          </w:p>
        </w:tc>
      </w:tr>
      <w:tr>
        <w:tblPrEx>
          <w:tblCellMar>
            <w:top w:w="0" w:type="dxa"/>
            <w:left w:w="108" w:type="dxa"/>
            <w:bottom w:w="0" w:type="dxa"/>
            <w:right w:w="108" w:type="dxa"/>
          </w:tblCellMar>
        </w:tblPrEx>
        <w:trPr>
          <w:trHeight w:val="273" w:hRule="atLeast"/>
          <w:jc w:val="center"/>
        </w:trPr>
        <w:tc>
          <w:tcPr>
            <w:tcW w:w="618" w:type="dxa"/>
            <w:vMerge w:val="continue"/>
            <w:tcBorders>
              <w:top w:val="single" w:color="auto" w:sz="8" w:space="0"/>
              <w:left w:val="single" w:color="auto" w:sz="4" w:space="0"/>
              <w:bottom w:val="single" w:color="000000" w:sz="8" w:space="0"/>
              <w:right w:val="single" w:color="000000" w:sz="8" w:space="0"/>
            </w:tcBorders>
            <w:noWrap w:val="0"/>
            <w:vAlign w:val="center"/>
          </w:tcPr>
          <w:p>
            <w:pPr>
              <w:spacing w:line="360" w:lineRule="auto"/>
              <w:jc w:val="center"/>
              <w:rPr>
                <w:rFonts w:ascii="宋体" w:hAnsi="宋体"/>
                <w:sz w:val="18"/>
              </w:rPr>
            </w:pPr>
          </w:p>
        </w:tc>
        <w:tc>
          <w:tcPr>
            <w:tcW w:w="1246" w:type="dxa"/>
            <w:vMerge w:val="continue"/>
            <w:tcBorders>
              <w:top w:val="single" w:color="auto" w:sz="8" w:space="0"/>
              <w:left w:val="single" w:color="000000"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671" w:type="dxa"/>
            <w:tcBorders>
              <w:top w:val="single" w:color="auto" w:sz="4" w:space="0"/>
              <w:left w:val="nil"/>
              <w:bottom w:val="single" w:color="auto" w:sz="8" w:space="0"/>
              <w:right w:val="single" w:color="auto" w:sz="8" w:space="0"/>
            </w:tcBorders>
            <w:noWrap w:val="0"/>
            <w:vAlign w:val="center"/>
          </w:tcPr>
          <w:p>
            <w:pPr>
              <w:spacing w:line="360" w:lineRule="auto"/>
              <w:rPr>
                <w:rFonts w:ascii="宋体" w:hAnsi="宋体"/>
                <w:sz w:val="18"/>
              </w:rPr>
            </w:pPr>
            <w:r>
              <w:rPr>
                <w:rFonts w:hint="eastAsia" w:ascii="宋体" w:hAnsi="宋体"/>
                <w:sz w:val="18"/>
              </w:rPr>
              <w:t>日常</w:t>
            </w:r>
          </w:p>
        </w:tc>
        <w:tc>
          <w:tcPr>
            <w:tcW w:w="806" w:type="dxa"/>
            <w:tcBorders>
              <w:top w:val="single" w:color="auto" w:sz="4" w:space="0"/>
              <w:left w:val="nil"/>
              <w:bottom w:val="single" w:color="auto" w:sz="8" w:space="0"/>
              <w:right w:val="single" w:color="auto" w:sz="8" w:space="0"/>
            </w:tcBorders>
            <w:noWrap w:val="0"/>
            <w:vAlign w:val="center"/>
          </w:tcPr>
          <w:p>
            <w:pPr>
              <w:spacing w:line="360" w:lineRule="auto"/>
              <w:rPr>
                <w:rFonts w:ascii="宋体" w:hAnsi="宋体"/>
                <w:sz w:val="18"/>
              </w:rPr>
            </w:pPr>
            <w:r>
              <w:rPr>
                <w:rFonts w:hint="eastAsia" w:ascii="宋体" w:hAnsi="宋体"/>
                <w:sz w:val="18"/>
              </w:rPr>
              <w:t>夏季</w:t>
            </w:r>
          </w:p>
        </w:tc>
        <w:tc>
          <w:tcPr>
            <w:tcW w:w="675" w:type="dxa"/>
            <w:tcBorders>
              <w:top w:val="single" w:color="auto" w:sz="4" w:space="0"/>
              <w:left w:val="nil"/>
              <w:bottom w:val="single" w:color="auto" w:sz="8" w:space="0"/>
              <w:right w:val="single" w:color="auto" w:sz="8" w:space="0"/>
            </w:tcBorders>
            <w:noWrap w:val="0"/>
            <w:vAlign w:val="center"/>
          </w:tcPr>
          <w:p>
            <w:pPr>
              <w:spacing w:line="360" w:lineRule="auto"/>
              <w:rPr>
                <w:rFonts w:ascii="宋体" w:hAnsi="宋体"/>
                <w:sz w:val="18"/>
              </w:rPr>
            </w:pPr>
            <w:r>
              <w:rPr>
                <w:rFonts w:hint="eastAsia" w:ascii="宋体" w:hAnsi="宋体"/>
                <w:sz w:val="18"/>
              </w:rPr>
              <w:t>日常</w:t>
            </w:r>
          </w:p>
        </w:tc>
        <w:tc>
          <w:tcPr>
            <w:tcW w:w="780" w:type="dxa"/>
            <w:tcBorders>
              <w:top w:val="single" w:color="auto" w:sz="4" w:space="0"/>
              <w:left w:val="nil"/>
              <w:bottom w:val="single" w:color="auto" w:sz="8" w:space="0"/>
              <w:right w:val="single" w:color="auto" w:sz="8" w:space="0"/>
            </w:tcBorders>
            <w:noWrap w:val="0"/>
            <w:vAlign w:val="center"/>
          </w:tcPr>
          <w:p>
            <w:pPr>
              <w:spacing w:line="360" w:lineRule="auto"/>
              <w:rPr>
                <w:rFonts w:ascii="宋体" w:hAnsi="宋体"/>
                <w:sz w:val="18"/>
              </w:rPr>
            </w:pPr>
            <w:r>
              <w:rPr>
                <w:rFonts w:hint="eastAsia" w:ascii="宋体" w:hAnsi="宋体"/>
                <w:sz w:val="18"/>
              </w:rPr>
              <w:t>夏季</w:t>
            </w:r>
          </w:p>
        </w:tc>
        <w:tc>
          <w:tcPr>
            <w:tcW w:w="1425" w:type="dxa"/>
            <w:tcBorders>
              <w:top w:val="single" w:color="auto" w:sz="4" w:space="0"/>
              <w:left w:val="nil"/>
              <w:bottom w:val="single" w:color="auto"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5-10月</w:t>
            </w:r>
          </w:p>
        </w:tc>
        <w:tc>
          <w:tcPr>
            <w:tcW w:w="1680" w:type="dxa"/>
            <w:tcBorders>
              <w:top w:val="single" w:color="auto" w:sz="4" w:space="0"/>
              <w:left w:val="nil"/>
              <w:bottom w:val="single" w:color="auto" w:sz="8" w:space="0"/>
              <w:right w:val="single" w:color="auto" w:sz="8" w:space="0"/>
            </w:tcBorders>
            <w:noWrap w:val="0"/>
            <w:vAlign w:val="center"/>
          </w:tcPr>
          <w:p>
            <w:pPr>
              <w:spacing w:line="360" w:lineRule="auto"/>
              <w:rPr>
                <w:rFonts w:ascii="宋体" w:hAnsi="宋体"/>
                <w:sz w:val="18"/>
              </w:rPr>
            </w:pPr>
            <w:r>
              <w:rPr>
                <w:rFonts w:hint="eastAsia" w:ascii="宋体" w:hAnsi="宋体"/>
                <w:sz w:val="18"/>
              </w:rPr>
              <w:t>11-4月</w:t>
            </w:r>
          </w:p>
        </w:tc>
        <w:tc>
          <w:tcPr>
            <w:tcW w:w="900" w:type="dxa"/>
            <w:vMerge w:val="continue"/>
            <w:tcBorders>
              <w:left w:val="single" w:color="auto" w:sz="8" w:space="0"/>
              <w:bottom w:val="single" w:color="auto" w:sz="4"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799" w:hRule="atLeast"/>
          <w:jc w:val="center"/>
        </w:trPr>
        <w:tc>
          <w:tcPr>
            <w:tcW w:w="618"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一类道路</w:t>
            </w:r>
          </w:p>
        </w:tc>
        <w:tc>
          <w:tcPr>
            <w:tcW w:w="1246" w:type="dxa"/>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24小时</w:t>
            </w:r>
          </w:p>
        </w:tc>
        <w:tc>
          <w:tcPr>
            <w:tcW w:w="671" w:type="dxa"/>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5</w:t>
            </w:r>
          </w:p>
        </w:tc>
        <w:tc>
          <w:tcPr>
            <w:tcW w:w="806" w:type="dxa"/>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6</w:t>
            </w:r>
          </w:p>
        </w:tc>
        <w:tc>
          <w:tcPr>
            <w:tcW w:w="675" w:type="dxa"/>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3</w:t>
            </w:r>
          </w:p>
        </w:tc>
        <w:tc>
          <w:tcPr>
            <w:tcW w:w="780" w:type="dxa"/>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w:t>
            </w:r>
          </w:p>
        </w:tc>
        <w:tc>
          <w:tcPr>
            <w:tcW w:w="1425" w:type="dxa"/>
            <w:tcBorders>
              <w:top w:val="nil"/>
              <w:left w:val="nil"/>
              <w:right w:val="single" w:color="auto" w:sz="8" w:space="0"/>
            </w:tcBorders>
            <w:noWrap w:val="0"/>
            <w:vAlign w:val="center"/>
          </w:tcPr>
          <w:p>
            <w:pPr>
              <w:spacing w:line="360" w:lineRule="auto"/>
              <w:rPr>
                <w:rFonts w:ascii="宋体" w:hAnsi="宋体"/>
                <w:sz w:val="18"/>
              </w:rPr>
            </w:pPr>
            <w:r>
              <w:rPr>
                <w:rFonts w:hint="eastAsia" w:ascii="宋体" w:hAnsi="宋体"/>
                <w:sz w:val="18"/>
              </w:rPr>
              <w:t>04:30-06:30</w:t>
            </w:r>
          </w:p>
          <w:p>
            <w:pPr>
              <w:spacing w:line="360" w:lineRule="auto"/>
              <w:rPr>
                <w:rFonts w:ascii="宋体" w:hAnsi="宋体"/>
                <w:sz w:val="18"/>
              </w:rPr>
            </w:pPr>
            <w:r>
              <w:rPr>
                <w:rFonts w:hint="eastAsia" w:ascii="宋体" w:hAnsi="宋体"/>
                <w:sz w:val="18"/>
              </w:rPr>
              <w:t>12:00-14:00</w:t>
            </w:r>
          </w:p>
          <w:p>
            <w:pPr>
              <w:spacing w:line="360" w:lineRule="auto"/>
              <w:rPr>
                <w:rFonts w:ascii="宋体" w:hAnsi="宋体"/>
                <w:sz w:val="18"/>
              </w:rPr>
            </w:pPr>
            <w:r>
              <w:rPr>
                <w:rFonts w:hint="eastAsia" w:ascii="宋体" w:hAnsi="宋体"/>
                <w:sz w:val="18"/>
              </w:rPr>
              <w:t>19:00-21:00</w:t>
            </w:r>
          </w:p>
        </w:tc>
        <w:tc>
          <w:tcPr>
            <w:tcW w:w="1680" w:type="dxa"/>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05:00-07:00</w:t>
            </w:r>
          </w:p>
          <w:p>
            <w:pPr>
              <w:spacing w:line="360" w:lineRule="auto"/>
              <w:jc w:val="center"/>
              <w:rPr>
                <w:rFonts w:ascii="宋体" w:hAnsi="宋体"/>
                <w:sz w:val="18"/>
              </w:rPr>
            </w:pPr>
            <w:r>
              <w:rPr>
                <w:rFonts w:hint="eastAsia" w:ascii="宋体" w:hAnsi="宋体"/>
                <w:sz w:val="18"/>
              </w:rPr>
              <w:t>12:00-14:00</w:t>
            </w:r>
          </w:p>
          <w:p>
            <w:pPr>
              <w:spacing w:line="360" w:lineRule="auto"/>
              <w:jc w:val="center"/>
              <w:rPr>
                <w:rFonts w:ascii="宋体" w:hAnsi="宋体"/>
                <w:sz w:val="18"/>
              </w:rPr>
            </w:pPr>
            <w:r>
              <w:rPr>
                <w:rFonts w:hint="eastAsia" w:ascii="宋体" w:hAnsi="宋体"/>
                <w:sz w:val="18"/>
              </w:rPr>
              <w:t>19:00-21:00</w:t>
            </w:r>
          </w:p>
        </w:tc>
        <w:tc>
          <w:tcPr>
            <w:tcW w:w="900" w:type="dxa"/>
            <w:vMerge w:val="restart"/>
            <w:tcBorders>
              <w:top w:val="single" w:color="auto" w:sz="4" w:space="0"/>
              <w:left w:val="single" w:color="auto" w:sz="8" w:space="0"/>
              <w:right w:val="single" w:color="auto" w:sz="4" w:space="0"/>
            </w:tcBorders>
            <w:noWrap w:val="0"/>
            <w:vAlign w:val="center"/>
          </w:tcPr>
          <w:p>
            <w:pPr>
              <w:spacing w:line="360" w:lineRule="auto"/>
              <w:jc w:val="center"/>
              <w:rPr>
                <w:rFonts w:ascii="宋体" w:hAnsi="宋体"/>
                <w:sz w:val="18"/>
              </w:rPr>
            </w:pPr>
            <w:r>
              <w:rPr>
                <w:rFonts w:hint="eastAsia" w:ascii="宋体" w:hAnsi="宋体"/>
                <w:sz w:val="18"/>
              </w:rPr>
              <w:t>在保洁时间段内，除去普扫时间，其他时间段不间断进行巡回保洁</w:t>
            </w:r>
          </w:p>
        </w:tc>
      </w:tr>
      <w:tr>
        <w:tblPrEx>
          <w:tblCellMar>
            <w:top w:w="0" w:type="dxa"/>
            <w:left w:w="108" w:type="dxa"/>
            <w:bottom w:w="0" w:type="dxa"/>
            <w:right w:w="108" w:type="dxa"/>
          </w:tblCellMar>
        </w:tblPrEx>
        <w:trPr>
          <w:trHeight w:val="288" w:hRule="atLeast"/>
          <w:jc w:val="center"/>
        </w:trPr>
        <w:tc>
          <w:tcPr>
            <w:tcW w:w="618"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246" w:type="dxa"/>
            <w:tcBorders>
              <w:top w:val="nil"/>
              <w:left w:val="nil"/>
              <w:bottom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18小时</w:t>
            </w:r>
          </w:p>
        </w:tc>
        <w:tc>
          <w:tcPr>
            <w:tcW w:w="671"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5</w:t>
            </w:r>
          </w:p>
        </w:tc>
        <w:tc>
          <w:tcPr>
            <w:tcW w:w="806"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6</w:t>
            </w:r>
          </w:p>
        </w:tc>
        <w:tc>
          <w:tcPr>
            <w:tcW w:w="675"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3</w:t>
            </w:r>
          </w:p>
        </w:tc>
        <w:tc>
          <w:tcPr>
            <w:tcW w:w="780"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w:t>
            </w:r>
          </w:p>
        </w:tc>
        <w:tc>
          <w:tcPr>
            <w:tcW w:w="1425" w:type="dxa"/>
            <w:vMerge w:val="restart"/>
            <w:tcBorders>
              <w:top w:val="single" w:color="auto" w:sz="4" w:space="0"/>
              <w:left w:val="nil"/>
              <w:right w:val="single" w:color="auto" w:sz="8" w:space="0"/>
            </w:tcBorders>
            <w:noWrap w:val="0"/>
            <w:vAlign w:val="center"/>
          </w:tcPr>
          <w:p>
            <w:pPr>
              <w:spacing w:line="360" w:lineRule="auto"/>
              <w:rPr>
                <w:rFonts w:ascii="宋体" w:hAnsi="宋体"/>
                <w:sz w:val="18"/>
              </w:rPr>
            </w:pPr>
            <w:r>
              <w:rPr>
                <w:rFonts w:hint="eastAsia" w:ascii="宋体" w:hAnsi="宋体"/>
                <w:sz w:val="18"/>
              </w:rPr>
              <w:t>04:30-06:30</w:t>
            </w:r>
          </w:p>
          <w:p>
            <w:pPr>
              <w:spacing w:line="360" w:lineRule="auto"/>
              <w:rPr>
                <w:rFonts w:ascii="宋体" w:hAnsi="宋体"/>
                <w:sz w:val="18"/>
              </w:rPr>
            </w:pPr>
            <w:r>
              <w:rPr>
                <w:rFonts w:hint="eastAsia" w:ascii="宋体" w:hAnsi="宋体"/>
                <w:sz w:val="18"/>
              </w:rPr>
              <w:t>12:00-14:00</w:t>
            </w:r>
          </w:p>
          <w:p>
            <w:pPr>
              <w:spacing w:line="360" w:lineRule="auto"/>
              <w:jc w:val="center"/>
              <w:rPr>
                <w:rFonts w:ascii="宋体" w:hAnsi="宋体"/>
                <w:sz w:val="18"/>
              </w:rPr>
            </w:pPr>
            <w:r>
              <w:rPr>
                <w:rFonts w:hint="eastAsia" w:ascii="宋体" w:hAnsi="宋体"/>
                <w:sz w:val="18"/>
              </w:rPr>
              <w:t>19:00-21:00</w:t>
            </w:r>
          </w:p>
        </w:tc>
        <w:tc>
          <w:tcPr>
            <w:tcW w:w="1680" w:type="dxa"/>
            <w:vMerge w:val="restart"/>
            <w:tcBorders>
              <w:top w:val="single" w:color="auto" w:sz="4" w:space="0"/>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05:00-07:00</w:t>
            </w:r>
          </w:p>
          <w:p>
            <w:pPr>
              <w:spacing w:line="360" w:lineRule="auto"/>
              <w:jc w:val="center"/>
              <w:rPr>
                <w:rFonts w:ascii="宋体" w:hAnsi="宋体"/>
                <w:sz w:val="18"/>
              </w:rPr>
            </w:pPr>
            <w:r>
              <w:rPr>
                <w:rFonts w:hint="eastAsia" w:ascii="宋体" w:hAnsi="宋体"/>
                <w:sz w:val="18"/>
              </w:rPr>
              <w:t>12:00-14:00</w:t>
            </w:r>
          </w:p>
          <w:p>
            <w:pPr>
              <w:spacing w:line="360" w:lineRule="auto"/>
              <w:jc w:val="center"/>
              <w:rPr>
                <w:rFonts w:ascii="宋体" w:hAnsi="宋体"/>
                <w:sz w:val="18"/>
              </w:rPr>
            </w:pPr>
            <w:r>
              <w:rPr>
                <w:rFonts w:hint="eastAsia" w:ascii="宋体" w:hAnsi="宋体"/>
                <w:sz w:val="18"/>
              </w:rPr>
              <w:t>19:00-21:00</w:t>
            </w: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443" w:hRule="atLeast"/>
          <w:jc w:val="center"/>
        </w:trPr>
        <w:tc>
          <w:tcPr>
            <w:tcW w:w="618"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246" w:type="dxa"/>
            <w:tcBorders>
              <w:top w:val="nil"/>
              <w:left w:val="nil"/>
              <w:bottom w:val="single" w:color="auto"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4:30-22:30</w:t>
            </w:r>
          </w:p>
        </w:tc>
        <w:tc>
          <w:tcPr>
            <w:tcW w:w="671"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675"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78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425"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1680"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348" w:hRule="atLeast"/>
          <w:jc w:val="center"/>
        </w:trPr>
        <w:tc>
          <w:tcPr>
            <w:tcW w:w="618"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二类道路</w:t>
            </w:r>
          </w:p>
        </w:tc>
        <w:tc>
          <w:tcPr>
            <w:tcW w:w="1246" w:type="dxa"/>
            <w:tcBorders>
              <w:top w:val="nil"/>
              <w:left w:val="nil"/>
              <w:bottom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16小时</w:t>
            </w:r>
          </w:p>
        </w:tc>
        <w:tc>
          <w:tcPr>
            <w:tcW w:w="671"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w:t>
            </w:r>
          </w:p>
        </w:tc>
        <w:tc>
          <w:tcPr>
            <w:tcW w:w="806"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6</w:t>
            </w:r>
          </w:p>
        </w:tc>
        <w:tc>
          <w:tcPr>
            <w:tcW w:w="675"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3</w:t>
            </w:r>
          </w:p>
        </w:tc>
        <w:tc>
          <w:tcPr>
            <w:tcW w:w="780"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w:t>
            </w:r>
          </w:p>
        </w:tc>
        <w:tc>
          <w:tcPr>
            <w:tcW w:w="1425" w:type="dxa"/>
            <w:vMerge w:val="restart"/>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04:30-06:30</w:t>
            </w:r>
          </w:p>
          <w:p>
            <w:pPr>
              <w:spacing w:line="360" w:lineRule="auto"/>
              <w:jc w:val="center"/>
              <w:rPr>
                <w:rFonts w:ascii="宋体" w:hAnsi="宋体"/>
                <w:sz w:val="18"/>
              </w:rPr>
            </w:pPr>
            <w:r>
              <w:rPr>
                <w:rFonts w:hint="eastAsia" w:ascii="宋体" w:hAnsi="宋体"/>
                <w:sz w:val="18"/>
              </w:rPr>
              <w:t>12:00-14:00</w:t>
            </w:r>
          </w:p>
          <w:p>
            <w:pPr>
              <w:spacing w:line="360" w:lineRule="auto"/>
              <w:jc w:val="center"/>
              <w:rPr>
                <w:rFonts w:ascii="宋体" w:hAnsi="宋体"/>
                <w:sz w:val="18"/>
              </w:rPr>
            </w:pPr>
            <w:r>
              <w:rPr>
                <w:rFonts w:hint="eastAsia" w:ascii="宋体" w:hAnsi="宋体"/>
                <w:sz w:val="18"/>
              </w:rPr>
              <w:t>19:00-20:30</w:t>
            </w:r>
          </w:p>
        </w:tc>
        <w:tc>
          <w:tcPr>
            <w:tcW w:w="1680" w:type="dxa"/>
            <w:vMerge w:val="restart"/>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05:00-07:00</w:t>
            </w:r>
          </w:p>
          <w:p>
            <w:pPr>
              <w:spacing w:line="360" w:lineRule="auto"/>
              <w:jc w:val="center"/>
              <w:rPr>
                <w:rFonts w:ascii="宋体" w:hAnsi="宋体"/>
                <w:sz w:val="18"/>
              </w:rPr>
            </w:pPr>
            <w:r>
              <w:rPr>
                <w:rFonts w:hint="eastAsia" w:ascii="宋体" w:hAnsi="宋体"/>
                <w:sz w:val="18"/>
              </w:rPr>
              <w:t>12:00-14:00</w:t>
            </w:r>
          </w:p>
          <w:p>
            <w:pPr>
              <w:spacing w:line="360" w:lineRule="auto"/>
              <w:jc w:val="center"/>
              <w:rPr>
                <w:rFonts w:ascii="宋体" w:hAnsi="宋体"/>
                <w:sz w:val="18"/>
              </w:rPr>
            </w:pPr>
            <w:r>
              <w:rPr>
                <w:rFonts w:hint="eastAsia" w:ascii="宋体" w:hAnsi="宋体"/>
                <w:sz w:val="18"/>
              </w:rPr>
              <w:t>19:00-20:30</w:t>
            </w: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504" w:hRule="atLeast"/>
          <w:jc w:val="center"/>
        </w:trPr>
        <w:tc>
          <w:tcPr>
            <w:tcW w:w="618"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246" w:type="dxa"/>
            <w:tcBorders>
              <w:top w:val="nil"/>
              <w:left w:val="nil"/>
              <w:bottom w:val="single" w:color="auto"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4:30-20:30</w:t>
            </w:r>
          </w:p>
        </w:tc>
        <w:tc>
          <w:tcPr>
            <w:tcW w:w="671"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675"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78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425"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1680"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312" w:hRule="atLeast"/>
          <w:jc w:val="center"/>
        </w:trPr>
        <w:tc>
          <w:tcPr>
            <w:tcW w:w="618"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三类道路</w:t>
            </w:r>
          </w:p>
        </w:tc>
        <w:tc>
          <w:tcPr>
            <w:tcW w:w="1246" w:type="dxa"/>
            <w:tcBorders>
              <w:top w:val="nil"/>
              <w:left w:val="nil"/>
              <w:bottom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14小时</w:t>
            </w:r>
          </w:p>
        </w:tc>
        <w:tc>
          <w:tcPr>
            <w:tcW w:w="671"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w:t>
            </w:r>
          </w:p>
        </w:tc>
        <w:tc>
          <w:tcPr>
            <w:tcW w:w="806"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6</w:t>
            </w:r>
          </w:p>
        </w:tc>
        <w:tc>
          <w:tcPr>
            <w:tcW w:w="675"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3</w:t>
            </w:r>
          </w:p>
        </w:tc>
        <w:tc>
          <w:tcPr>
            <w:tcW w:w="780"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w:t>
            </w:r>
          </w:p>
        </w:tc>
        <w:tc>
          <w:tcPr>
            <w:tcW w:w="1425" w:type="dxa"/>
            <w:vMerge w:val="restart"/>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04:30-06:30</w:t>
            </w:r>
          </w:p>
          <w:p>
            <w:pPr>
              <w:spacing w:line="360" w:lineRule="auto"/>
              <w:jc w:val="center"/>
              <w:rPr>
                <w:rFonts w:ascii="宋体" w:hAnsi="宋体"/>
                <w:sz w:val="18"/>
              </w:rPr>
            </w:pPr>
            <w:r>
              <w:rPr>
                <w:rFonts w:hint="eastAsia" w:ascii="宋体" w:hAnsi="宋体"/>
                <w:sz w:val="18"/>
              </w:rPr>
              <w:t>15:00-17:00</w:t>
            </w:r>
          </w:p>
        </w:tc>
        <w:tc>
          <w:tcPr>
            <w:tcW w:w="1680" w:type="dxa"/>
            <w:vMerge w:val="restart"/>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05:00-07:00</w:t>
            </w:r>
          </w:p>
          <w:p>
            <w:pPr>
              <w:spacing w:line="360" w:lineRule="auto"/>
              <w:jc w:val="center"/>
              <w:rPr>
                <w:rFonts w:ascii="宋体" w:hAnsi="宋体"/>
                <w:sz w:val="18"/>
              </w:rPr>
            </w:pPr>
            <w:r>
              <w:rPr>
                <w:rFonts w:hint="eastAsia" w:ascii="宋体" w:hAnsi="宋体"/>
                <w:sz w:val="18"/>
              </w:rPr>
              <w:t>15:00-17:00</w:t>
            </w: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237" w:hRule="atLeast"/>
          <w:jc w:val="center"/>
        </w:trPr>
        <w:tc>
          <w:tcPr>
            <w:tcW w:w="618"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246" w:type="dxa"/>
            <w:tcBorders>
              <w:top w:val="nil"/>
              <w:left w:val="nil"/>
              <w:bottom w:val="single" w:color="auto"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4:30-18:30</w:t>
            </w:r>
          </w:p>
        </w:tc>
        <w:tc>
          <w:tcPr>
            <w:tcW w:w="671"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675"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78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425"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1680"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324" w:hRule="atLeast"/>
          <w:jc w:val="center"/>
        </w:trPr>
        <w:tc>
          <w:tcPr>
            <w:tcW w:w="618"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一类街巷</w:t>
            </w:r>
          </w:p>
        </w:tc>
        <w:tc>
          <w:tcPr>
            <w:tcW w:w="1246" w:type="dxa"/>
            <w:tcBorders>
              <w:top w:val="nil"/>
              <w:left w:val="nil"/>
              <w:bottom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16小时</w:t>
            </w:r>
          </w:p>
        </w:tc>
        <w:tc>
          <w:tcPr>
            <w:tcW w:w="671"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w:t>
            </w:r>
          </w:p>
        </w:tc>
        <w:tc>
          <w:tcPr>
            <w:tcW w:w="806"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2</w:t>
            </w:r>
          </w:p>
        </w:tc>
        <w:tc>
          <w:tcPr>
            <w:tcW w:w="675"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w:t>
            </w:r>
          </w:p>
        </w:tc>
        <w:tc>
          <w:tcPr>
            <w:tcW w:w="780"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2</w:t>
            </w:r>
          </w:p>
        </w:tc>
        <w:tc>
          <w:tcPr>
            <w:tcW w:w="1425" w:type="dxa"/>
            <w:vMerge w:val="restart"/>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05:00-06:30</w:t>
            </w:r>
          </w:p>
          <w:p>
            <w:pPr>
              <w:spacing w:line="360" w:lineRule="auto"/>
              <w:jc w:val="center"/>
              <w:rPr>
                <w:rFonts w:ascii="宋体" w:hAnsi="宋体"/>
                <w:sz w:val="18"/>
              </w:rPr>
            </w:pPr>
            <w:r>
              <w:rPr>
                <w:rFonts w:hint="eastAsia" w:ascii="宋体" w:hAnsi="宋体"/>
                <w:sz w:val="18"/>
              </w:rPr>
              <w:t>12:00-14:00</w:t>
            </w:r>
          </w:p>
          <w:p>
            <w:pPr>
              <w:spacing w:line="360" w:lineRule="auto"/>
              <w:jc w:val="center"/>
              <w:rPr>
                <w:rFonts w:ascii="宋体" w:hAnsi="宋体"/>
                <w:sz w:val="18"/>
              </w:rPr>
            </w:pPr>
            <w:r>
              <w:rPr>
                <w:rFonts w:hint="eastAsia" w:ascii="宋体" w:hAnsi="宋体"/>
                <w:sz w:val="18"/>
              </w:rPr>
              <w:t>19:00-21:00</w:t>
            </w:r>
          </w:p>
        </w:tc>
        <w:tc>
          <w:tcPr>
            <w:tcW w:w="1680" w:type="dxa"/>
            <w:vMerge w:val="restart"/>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05:00-07:00</w:t>
            </w:r>
          </w:p>
          <w:p>
            <w:pPr>
              <w:spacing w:line="360" w:lineRule="auto"/>
              <w:jc w:val="center"/>
              <w:rPr>
                <w:rFonts w:ascii="宋体" w:hAnsi="宋体"/>
                <w:sz w:val="18"/>
              </w:rPr>
            </w:pPr>
            <w:r>
              <w:rPr>
                <w:rFonts w:hint="eastAsia" w:ascii="宋体" w:hAnsi="宋体"/>
                <w:sz w:val="18"/>
              </w:rPr>
              <w:t>12:00-14:00</w:t>
            </w:r>
          </w:p>
          <w:p>
            <w:pPr>
              <w:spacing w:line="360" w:lineRule="auto"/>
              <w:jc w:val="center"/>
              <w:rPr>
                <w:rFonts w:ascii="宋体" w:hAnsi="宋体"/>
                <w:sz w:val="18"/>
              </w:rPr>
            </w:pPr>
            <w:r>
              <w:rPr>
                <w:rFonts w:hint="eastAsia" w:ascii="宋体" w:hAnsi="宋体"/>
                <w:sz w:val="18"/>
              </w:rPr>
              <w:t>19:00-21:00</w:t>
            </w: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200" w:hRule="atLeast"/>
          <w:jc w:val="center"/>
        </w:trPr>
        <w:tc>
          <w:tcPr>
            <w:tcW w:w="618"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246" w:type="dxa"/>
            <w:tcBorders>
              <w:top w:val="nil"/>
              <w:left w:val="nil"/>
              <w:bottom w:val="single" w:color="auto"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5:00-21:00</w:t>
            </w:r>
          </w:p>
        </w:tc>
        <w:tc>
          <w:tcPr>
            <w:tcW w:w="671"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675"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78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425"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1680"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312" w:hRule="atLeast"/>
          <w:jc w:val="center"/>
        </w:trPr>
        <w:tc>
          <w:tcPr>
            <w:tcW w:w="618"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二类街巷</w:t>
            </w:r>
          </w:p>
        </w:tc>
        <w:tc>
          <w:tcPr>
            <w:tcW w:w="1246" w:type="dxa"/>
            <w:tcBorders>
              <w:top w:val="nil"/>
              <w:left w:val="nil"/>
              <w:bottom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14小时</w:t>
            </w:r>
          </w:p>
        </w:tc>
        <w:tc>
          <w:tcPr>
            <w:tcW w:w="671"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w:t>
            </w:r>
          </w:p>
        </w:tc>
        <w:tc>
          <w:tcPr>
            <w:tcW w:w="806"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2</w:t>
            </w:r>
          </w:p>
        </w:tc>
        <w:tc>
          <w:tcPr>
            <w:tcW w:w="675"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w:t>
            </w:r>
          </w:p>
        </w:tc>
        <w:tc>
          <w:tcPr>
            <w:tcW w:w="780" w:type="dxa"/>
            <w:vMerge w:val="restart"/>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2</w:t>
            </w:r>
          </w:p>
        </w:tc>
        <w:tc>
          <w:tcPr>
            <w:tcW w:w="1425" w:type="dxa"/>
            <w:vMerge w:val="restart"/>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05:00-06:30</w:t>
            </w:r>
          </w:p>
          <w:p>
            <w:pPr>
              <w:spacing w:line="360" w:lineRule="auto"/>
              <w:jc w:val="center"/>
              <w:rPr>
                <w:rFonts w:ascii="宋体" w:hAnsi="宋体"/>
                <w:sz w:val="18"/>
              </w:rPr>
            </w:pPr>
            <w:r>
              <w:rPr>
                <w:rFonts w:hint="eastAsia" w:ascii="宋体" w:hAnsi="宋体"/>
                <w:sz w:val="18"/>
              </w:rPr>
              <w:t>15:00-17:00</w:t>
            </w:r>
          </w:p>
        </w:tc>
        <w:tc>
          <w:tcPr>
            <w:tcW w:w="1680" w:type="dxa"/>
            <w:vMerge w:val="restart"/>
            <w:tcBorders>
              <w:top w:val="nil"/>
              <w:left w:val="nil"/>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05:00-07:00</w:t>
            </w:r>
          </w:p>
          <w:p>
            <w:pPr>
              <w:spacing w:line="360" w:lineRule="auto"/>
              <w:jc w:val="center"/>
              <w:rPr>
                <w:rFonts w:ascii="宋体" w:hAnsi="宋体"/>
                <w:sz w:val="18"/>
              </w:rPr>
            </w:pPr>
            <w:r>
              <w:rPr>
                <w:rFonts w:hint="eastAsia" w:ascii="宋体" w:hAnsi="宋体"/>
                <w:sz w:val="18"/>
              </w:rPr>
              <w:t>15:00-17:00</w:t>
            </w: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216" w:hRule="atLeast"/>
          <w:jc w:val="center"/>
        </w:trPr>
        <w:tc>
          <w:tcPr>
            <w:tcW w:w="618"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246" w:type="dxa"/>
            <w:tcBorders>
              <w:top w:val="nil"/>
              <w:left w:val="nil"/>
              <w:bottom w:val="single" w:color="auto"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5:00-19:00</w:t>
            </w:r>
          </w:p>
        </w:tc>
        <w:tc>
          <w:tcPr>
            <w:tcW w:w="671"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806"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675"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780" w:type="dxa"/>
            <w:vMerge w:val="continue"/>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p>
        </w:tc>
        <w:tc>
          <w:tcPr>
            <w:tcW w:w="1425"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1680" w:type="dxa"/>
            <w:vMerge w:val="continue"/>
            <w:tcBorders>
              <w:left w:val="nil"/>
              <w:bottom w:val="single" w:color="auto" w:sz="8" w:space="0"/>
              <w:right w:val="single" w:color="auto" w:sz="8" w:space="0"/>
            </w:tcBorders>
            <w:noWrap w:val="0"/>
            <w:vAlign w:val="center"/>
          </w:tcPr>
          <w:p>
            <w:pPr>
              <w:spacing w:line="360" w:lineRule="auto"/>
              <w:jc w:val="center"/>
              <w:rPr>
                <w:rFonts w:ascii="宋体" w:hAnsi="宋体"/>
                <w:sz w:val="18"/>
              </w:rPr>
            </w:pPr>
          </w:p>
        </w:tc>
        <w:tc>
          <w:tcPr>
            <w:tcW w:w="900" w:type="dxa"/>
            <w:vMerge w:val="continue"/>
            <w:tcBorders>
              <w:left w:val="single" w:color="auto" w:sz="8" w:space="0"/>
              <w:right w:val="single" w:color="auto" w:sz="4" w:space="0"/>
            </w:tcBorders>
            <w:noWrap w:val="0"/>
            <w:vAlign w:val="center"/>
          </w:tcPr>
          <w:p>
            <w:pPr>
              <w:spacing w:line="360" w:lineRule="auto"/>
              <w:jc w:val="center"/>
              <w:rPr>
                <w:rFonts w:ascii="宋体" w:hAnsi="宋体"/>
                <w:sz w:val="18"/>
              </w:rPr>
            </w:pPr>
          </w:p>
        </w:tc>
      </w:tr>
      <w:tr>
        <w:tblPrEx>
          <w:tblCellMar>
            <w:top w:w="0" w:type="dxa"/>
            <w:left w:w="108" w:type="dxa"/>
            <w:bottom w:w="0" w:type="dxa"/>
            <w:right w:w="108" w:type="dxa"/>
          </w:tblCellMar>
        </w:tblPrEx>
        <w:trPr>
          <w:trHeight w:val="588" w:hRule="atLeast"/>
          <w:jc w:val="center"/>
        </w:trPr>
        <w:tc>
          <w:tcPr>
            <w:tcW w:w="618" w:type="dxa"/>
            <w:tcBorders>
              <w:top w:val="nil"/>
              <w:left w:val="single" w:color="auto" w:sz="8" w:space="0"/>
              <w:bottom w:val="single" w:color="000000" w:sz="8"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三类街巷</w:t>
            </w:r>
          </w:p>
        </w:tc>
        <w:tc>
          <w:tcPr>
            <w:tcW w:w="1246" w:type="dxa"/>
            <w:tcBorders>
              <w:top w:val="nil"/>
              <w:left w:val="nil"/>
              <w:bottom w:val="single" w:color="auto" w:sz="4"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10小时</w:t>
            </w:r>
          </w:p>
          <w:p>
            <w:pPr>
              <w:spacing w:line="360" w:lineRule="auto"/>
              <w:jc w:val="center"/>
              <w:rPr>
                <w:rFonts w:ascii="宋体" w:hAnsi="宋体"/>
                <w:sz w:val="18"/>
              </w:rPr>
            </w:pPr>
            <w:r>
              <w:rPr>
                <w:rFonts w:hint="eastAsia" w:ascii="宋体" w:hAnsi="宋体"/>
                <w:sz w:val="18"/>
              </w:rPr>
              <w:t>6:00-11:00</w:t>
            </w:r>
          </w:p>
          <w:p>
            <w:pPr>
              <w:spacing w:line="360" w:lineRule="auto"/>
              <w:jc w:val="center"/>
              <w:rPr>
                <w:rFonts w:ascii="宋体" w:hAnsi="宋体"/>
                <w:sz w:val="18"/>
              </w:rPr>
            </w:pPr>
            <w:r>
              <w:rPr>
                <w:rFonts w:hint="eastAsia" w:ascii="宋体" w:hAnsi="宋体"/>
                <w:sz w:val="18"/>
              </w:rPr>
              <w:t>14:00-19:00</w:t>
            </w:r>
          </w:p>
        </w:tc>
        <w:tc>
          <w:tcPr>
            <w:tcW w:w="671" w:type="dxa"/>
            <w:tcBorders>
              <w:top w:val="nil"/>
              <w:left w:val="single" w:color="auto" w:sz="8" w:space="0"/>
              <w:bottom w:val="single" w:color="auto" w:sz="4"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w:t>
            </w:r>
          </w:p>
        </w:tc>
        <w:tc>
          <w:tcPr>
            <w:tcW w:w="806" w:type="dxa"/>
            <w:tcBorders>
              <w:top w:val="nil"/>
              <w:left w:val="single" w:color="auto" w:sz="8" w:space="0"/>
              <w:bottom w:val="single" w:color="auto" w:sz="4"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2</w:t>
            </w:r>
          </w:p>
        </w:tc>
        <w:tc>
          <w:tcPr>
            <w:tcW w:w="675" w:type="dxa"/>
            <w:tcBorders>
              <w:top w:val="nil"/>
              <w:left w:val="single" w:color="auto" w:sz="8" w:space="0"/>
              <w:bottom w:val="single" w:color="auto" w:sz="4"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1</w:t>
            </w:r>
          </w:p>
        </w:tc>
        <w:tc>
          <w:tcPr>
            <w:tcW w:w="780" w:type="dxa"/>
            <w:tcBorders>
              <w:top w:val="nil"/>
              <w:left w:val="single" w:color="auto" w:sz="8" w:space="0"/>
              <w:bottom w:val="single" w:color="auto" w:sz="4"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2</w:t>
            </w:r>
          </w:p>
        </w:tc>
        <w:tc>
          <w:tcPr>
            <w:tcW w:w="1425" w:type="dxa"/>
            <w:tcBorders>
              <w:top w:val="nil"/>
              <w:left w:val="nil"/>
              <w:bottom w:val="single" w:color="auto" w:sz="4"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6：00-7：30</w:t>
            </w:r>
          </w:p>
          <w:p>
            <w:pPr>
              <w:spacing w:line="360" w:lineRule="auto"/>
              <w:jc w:val="center"/>
              <w:rPr>
                <w:rFonts w:ascii="宋体" w:hAnsi="宋体"/>
                <w:sz w:val="18"/>
              </w:rPr>
            </w:pPr>
            <w:r>
              <w:rPr>
                <w:rFonts w:hint="eastAsia" w:ascii="宋体" w:hAnsi="宋体"/>
                <w:sz w:val="18"/>
              </w:rPr>
              <w:t>18:00-19:00</w:t>
            </w:r>
          </w:p>
        </w:tc>
        <w:tc>
          <w:tcPr>
            <w:tcW w:w="1680" w:type="dxa"/>
            <w:tcBorders>
              <w:top w:val="nil"/>
              <w:left w:val="nil"/>
              <w:bottom w:val="single" w:color="auto" w:sz="4" w:space="0"/>
              <w:right w:val="single" w:color="auto" w:sz="8" w:space="0"/>
            </w:tcBorders>
            <w:noWrap w:val="0"/>
            <w:vAlign w:val="center"/>
          </w:tcPr>
          <w:p>
            <w:pPr>
              <w:spacing w:line="360" w:lineRule="auto"/>
              <w:jc w:val="center"/>
              <w:rPr>
                <w:rFonts w:ascii="宋体" w:hAnsi="宋体"/>
                <w:sz w:val="18"/>
              </w:rPr>
            </w:pPr>
            <w:r>
              <w:rPr>
                <w:rFonts w:hint="eastAsia" w:ascii="宋体" w:hAnsi="宋体"/>
                <w:sz w:val="18"/>
              </w:rPr>
              <w:t>6：00-7：30</w:t>
            </w:r>
          </w:p>
          <w:p>
            <w:pPr>
              <w:spacing w:line="360" w:lineRule="auto"/>
              <w:jc w:val="center"/>
              <w:rPr>
                <w:rFonts w:ascii="宋体" w:hAnsi="宋体"/>
                <w:sz w:val="18"/>
              </w:rPr>
            </w:pPr>
            <w:r>
              <w:rPr>
                <w:rFonts w:hint="eastAsia" w:ascii="宋体" w:hAnsi="宋体"/>
                <w:sz w:val="18"/>
              </w:rPr>
              <w:t>18:00-19:00</w:t>
            </w:r>
          </w:p>
        </w:tc>
        <w:tc>
          <w:tcPr>
            <w:tcW w:w="900" w:type="dxa"/>
            <w:vMerge w:val="continue"/>
            <w:tcBorders>
              <w:left w:val="single" w:color="auto" w:sz="8" w:space="0"/>
              <w:bottom w:val="single" w:color="000000" w:sz="8" w:space="0"/>
              <w:right w:val="single" w:color="auto" w:sz="4" w:space="0"/>
            </w:tcBorders>
            <w:noWrap w:val="0"/>
            <w:vAlign w:val="center"/>
          </w:tcPr>
          <w:p>
            <w:pPr>
              <w:spacing w:line="360" w:lineRule="auto"/>
              <w:jc w:val="center"/>
              <w:rPr>
                <w:rFonts w:ascii="宋体" w:hAnsi="宋体"/>
                <w:sz w:val="18"/>
              </w:rPr>
            </w:pPr>
          </w:p>
        </w:tc>
      </w:tr>
    </w:tbl>
    <w:p>
      <w:pPr>
        <w:spacing w:line="500" w:lineRule="exact"/>
        <w:ind w:firstLine="480" w:firstLineChars="200"/>
        <w:rPr>
          <w:rFonts w:ascii="宋体" w:hAnsi="宋体"/>
          <w:sz w:val="24"/>
        </w:rPr>
      </w:pPr>
      <w:r>
        <w:rPr>
          <w:rFonts w:ascii="宋体" w:hAnsi="宋体"/>
          <w:sz w:val="24"/>
        </w:rPr>
        <w:t>4</w:t>
      </w:r>
      <w:r>
        <w:rPr>
          <w:rFonts w:hint="eastAsia" w:ascii="宋体" w:hAnsi="宋体"/>
          <w:sz w:val="24"/>
        </w:rPr>
        <w:t>．道路普扫要求。普扫即是对城市道路、街巷进行的全面清扫，包括机械化和人工清扫。根据道路街巷普扫时间及要求，普扫作业质量应做到“五无五净”：即无垃圾杂物，无积水积泥，无痰迹烟蒂，无果皮纸屑，无土石杂草；路面干净，绿地、绿化带和树圈干净，边角侧石干净，雨水井盖沟眼畅通干净，果皮箱等环卫设施干净。路面见本色。</w:t>
      </w:r>
    </w:p>
    <w:p>
      <w:pPr>
        <w:spacing w:line="500" w:lineRule="exact"/>
        <w:ind w:firstLine="480" w:firstLineChars="200"/>
        <w:rPr>
          <w:rFonts w:ascii="宋体" w:hAnsi="宋体"/>
          <w:sz w:val="24"/>
        </w:rPr>
      </w:pPr>
      <w:r>
        <w:rPr>
          <w:rFonts w:hint="eastAsia" w:ascii="宋体" w:hAnsi="宋体"/>
          <w:sz w:val="24"/>
        </w:rPr>
        <w:t>每日普扫作业前，应先对车行道路面进行洒水，一般第一次普扫采用人机结合方式对道路街巷进行全面的清扫。第二次及第三次普扫，根据道路车流量的情况，一般采用机械化方式对快车道进行清理。人工方式对慢车道、人行道等位置进行清扫或捡拾。</w:t>
      </w:r>
    </w:p>
    <w:p>
      <w:pPr>
        <w:spacing w:line="500" w:lineRule="exact"/>
        <w:ind w:firstLine="480" w:firstLineChars="200"/>
        <w:rPr>
          <w:rFonts w:ascii="宋体" w:hAnsi="宋体"/>
          <w:sz w:val="24"/>
        </w:rPr>
      </w:pPr>
      <w:r>
        <w:rPr>
          <w:rFonts w:hint="eastAsia" w:ascii="宋体" w:hAnsi="宋体"/>
          <w:sz w:val="24"/>
        </w:rPr>
        <w:t>5．巡回保洁要求。在“五无五净”基础上，保持交通隔离栏、2.2米以下路灯杆、交通信号灯杆等城市家具清洁。巡回保洁期间，以捡拾垃圾为主要方式，不允许单人无维护情况下上快车道作业。遇特殊情况下，非车行道可进行小范围清扫，车行道内在做好围护及安全前提下集体进入进行清扫清理。保洁时段内，各类道路和街巷清扫保洁区域的路面废弃物总数应符合下表规定。</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8"/>
        <w:gridCol w:w="1806"/>
        <w:gridCol w:w="1275"/>
        <w:gridCol w:w="1456"/>
        <w:gridCol w:w="1298"/>
        <w:gridCol w:w="1300"/>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03" w:hRule="atLeast"/>
        </w:trPr>
        <w:tc>
          <w:tcPr>
            <w:tcW w:w="1138" w:type="dxa"/>
            <w:noWrap w:val="0"/>
            <w:vAlign w:val="center"/>
          </w:tcPr>
          <w:p>
            <w:pPr>
              <w:spacing w:line="500" w:lineRule="exact"/>
              <w:jc w:val="center"/>
              <w:rPr>
                <w:rFonts w:ascii="宋体" w:hAnsi="宋体"/>
                <w:sz w:val="24"/>
              </w:rPr>
            </w:pPr>
            <w:r>
              <w:rPr>
                <w:rFonts w:hint="eastAsia" w:ascii="宋体" w:hAnsi="宋体"/>
                <w:sz w:val="24"/>
              </w:rPr>
              <w:t>保洁类别</w:t>
            </w:r>
          </w:p>
        </w:tc>
        <w:tc>
          <w:tcPr>
            <w:tcW w:w="1806" w:type="dxa"/>
            <w:noWrap w:val="0"/>
            <w:vAlign w:val="center"/>
          </w:tcPr>
          <w:p>
            <w:pPr>
              <w:spacing w:line="500" w:lineRule="exact"/>
              <w:jc w:val="center"/>
              <w:rPr>
                <w:rFonts w:ascii="宋体" w:hAnsi="宋体"/>
                <w:sz w:val="24"/>
              </w:rPr>
            </w:pPr>
            <w:r>
              <w:rPr>
                <w:rFonts w:hint="eastAsia" w:ascii="宋体" w:hAnsi="宋体"/>
                <w:sz w:val="24"/>
              </w:rPr>
              <w:t>果皮、纸屑、塑料袋及零星垃圾（个/500m）</w:t>
            </w:r>
          </w:p>
        </w:tc>
        <w:tc>
          <w:tcPr>
            <w:tcW w:w="1275" w:type="dxa"/>
            <w:noWrap w:val="0"/>
            <w:vAlign w:val="center"/>
          </w:tcPr>
          <w:p>
            <w:pPr>
              <w:spacing w:line="500" w:lineRule="exact"/>
              <w:jc w:val="center"/>
              <w:rPr>
                <w:rFonts w:ascii="宋体" w:hAnsi="宋体"/>
                <w:sz w:val="24"/>
              </w:rPr>
            </w:pPr>
            <w:r>
              <w:rPr>
                <w:rFonts w:hint="eastAsia" w:ascii="宋体" w:hAnsi="宋体"/>
                <w:sz w:val="24"/>
              </w:rPr>
              <w:t>烟蒂（个/500m）</w:t>
            </w:r>
          </w:p>
        </w:tc>
        <w:tc>
          <w:tcPr>
            <w:tcW w:w="1456" w:type="dxa"/>
            <w:noWrap w:val="0"/>
            <w:vAlign w:val="center"/>
          </w:tcPr>
          <w:p>
            <w:pPr>
              <w:spacing w:line="500" w:lineRule="exact"/>
              <w:jc w:val="center"/>
              <w:rPr>
                <w:rFonts w:ascii="宋体" w:hAnsi="宋体"/>
                <w:sz w:val="24"/>
              </w:rPr>
            </w:pPr>
            <w:r>
              <w:rPr>
                <w:rFonts w:hint="eastAsia" w:ascii="宋体" w:hAnsi="宋体"/>
                <w:sz w:val="24"/>
              </w:rPr>
              <w:t>生活污水（0.5m2/500m）</w:t>
            </w:r>
          </w:p>
        </w:tc>
        <w:tc>
          <w:tcPr>
            <w:tcW w:w="1298" w:type="dxa"/>
            <w:noWrap w:val="0"/>
            <w:vAlign w:val="center"/>
          </w:tcPr>
          <w:p>
            <w:pPr>
              <w:spacing w:line="500" w:lineRule="exact"/>
              <w:jc w:val="center"/>
              <w:rPr>
                <w:rFonts w:ascii="宋体" w:hAnsi="宋体"/>
                <w:sz w:val="24"/>
              </w:rPr>
            </w:pPr>
            <w:r>
              <w:rPr>
                <w:rFonts w:hint="eastAsia" w:ascii="宋体" w:hAnsi="宋体"/>
                <w:sz w:val="24"/>
              </w:rPr>
              <w:t>尘土量</w:t>
            </w:r>
          </w:p>
          <w:p>
            <w:pPr>
              <w:spacing w:line="500" w:lineRule="exact"/>
              <w:jc w:val="center"/>
              <w:rPr>
                <w:rFonts w:ascii="宋体" w:hAnsi="宋体"/>
                <w:sz w:val="24"/>
              </w:rPr>
            </w:pPr>
            <w:r>
              <w:rPr>
                <w:rFonts w:hint="eastAsia" w:ascii="宋体" w:hAnsi="宋体"/>
                <w:sz w:val="24"/>
              </w:rPr>
              <w:t>（g/ m2）</w:t>
            </w:r>
          </w:p>
        </w:tc>
        <w:tc>
          <w:tcPr>
            <w:tcW w:w="1300" w:type="dxa"/>
            <w:noWrap w:val="0"/>
            <w:vAlign w:val="center"/>
          </w:tcPr>
          <w:p>
            <w:pPr>
              <w:spacing w:line="500" w:lineRule="exact"/>
              <w:jc w:val="center"/>
              <w:rPr>
                <w:rFonts w:ascii="宋体" w:hAnsi="宋体"/>
                <w:sz w:val="24"/>
              </w:rPr>
            </w:pPr>
            <w:r>
              <w:rPr>
                <w:rFonts w:hint="eastAsia" w:ascii="宋体" w:hAnsi="宋体"/>
                <w:sz w:val="24"/>
              </w:rPr>
              <w:t>痰迹（个/500m）</w:t>
            </w:r>
          </w:p>
        </w:tc>
        <w:tc>
          <w:tcPr>
            <w:tcW w:w="907" w:type="dxa"/>
            <w:noWrap w:val="0"/>
            <w:vAlign w:val="center"/>
          </w:tcPr>
          <w:p>
            <w:pPr>
              <w:spacing w:line="500" w:lineRule="exact"/>
              <w:jc w:val="center"/>
              <w:rPr>
                <w:rFonts w:ascii="宋体" w:hAnsi="宋体"/>
                <w:sz w:val="24"/>
              </w:rPr>
            </w:pPr>
            <w:r>
              <w:rPr>
                <w:rFonts w:hint="eastAsia" w:ascii="宋体" w:hAnsi="宋体"/>
                <w:sz w:val="24"/>
              </w:rPr>
              <w:t>路面本色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138" w:type="dxa"/>
            <w:noWrap w:val="0"/>
            <w:vAlign w:val="center"/>
          </w:tcPr>
          <w:p>
            <w:pPr>
              <w:spacing w:line="500" w:lineRule="exact"/>
              <w:rPr>
                <w:rFonts w:ascii="宋体" w:hAnsi="宋体"/>
                <w:sz w:val="24"/>
              </w:rPr>
            </w:pPr>
            <w:r>
              <w:rPr>
                <w:rFonts w:hint="eastAsia" w:ascii="宋体" w:hAnsi="宋体"/>
                <w:sz w:val="24"/>
              </w:rPr>
              <w:t>一类道路</w:t>
            </w:r>
          </w:p>
        </w:tc>
        <w:tc>
          <w:tcPr>
            <w:tcW w:w="1806" w:type="dxa"/>
            <w:noWrap w:val="0"/>
            <w:vAlign w:val="center"/>
          </w:tcPr>
          <w:p>
            <w:pPr>
              <w:spacing w:line="500" w:lineRule="exact"/>
              <w:ind w:firstLine="480" w:firstLineChars="200"/>
              <w:jc w:val="center"/>
              <w:rPr>
                <w:rFonts w:ascii="宋体" w:hAnsi="宋体"/>
                <w:sz w:val="24"/>
              </w:rPr>
            </w:pPr>
            <w:r>
              <w:rPr>
                <w:rFonts w:hint="eastAsia" w:ascii="宋体" w:hAnsi="宋体"/>
                <w:sz w:val="24"/>
              </w:rPr>
              <w:t>≤2</w:t>
            </w:r>
          </w:p>
        </w:tc>
        <w:tc>
          <w:tcPr>
            <w:tcW w:w="1275" w:type="dxa"/>
            <w:noWrap w:val="0"/>
            <w:vAlign w:val="center"/>
          </w:tcPr>
          <w:p>
            <w:pPr>
              <w:spacing w:line="500" w:lineRule="exact"/>
              <w:ind w:firstLine="480" w:firstLineChars="200"/>
              <w:jc w:val="center"/>
              <w:rPr>
                <w:rFonts w:ascii="宋体" w:hAnsi="宋体"/>
                <w:sz w:val="24"/>
              </w:rPr>
            </w:pPr>
            <w:r>
              <w:rPr>
                <w:rFonts w:hint="eastAsia" w:ascii="宋体" w:hAnsi="宋体"/>
                <w:sz w:val="24"/>
              </w:rPr>
              <w:t>≤4</w:t>
            </w:r>
          </w:p>
        </w:tc>
        <w:tc>
          <w:tcPr>
            <w:tcW w:w="1456" w:type="dxa"/>
            <w:noWrap w:val="0"/>
            <w:vAlign w:val="center"/>
          </w:tcPr>
          <w:p>
            <w:pPr>
              <w:spacing w:line="500" w:lineRule="exact"/>
              <w:ind w:firstLine="480" w:firstLineChars="200"/>
              <w:jc w:val="center"/>
              <w:rPr>
                <w:rFonts w:ascii="宋体" w:hAnsi="宋体"/>
                <w:sz w:val="24"/>
              </w:rPr>
            </w:pPr>
            <w:r>
              <w:rPr>
                <w:rFonts w:hint="eastAsia" w:ascii="宋体" w:hAnsi="宋体"/>
                <w:sz w:val="24"/>
              </w:rPr>
              <w:t>无</w:t>
            </w:r>
          </w:p>
        </w:tc>
        <w:tc>
          <w:tcPr>
            <w:tcW w:w="1298" w:type="dxa"/>
            <w:noWrap w:val="0"/>
            <w:vAlign w:val="center"/>
          </w:tcPr>
          <w:p>
            <w:pPr>
              <w:spacing w:line="500" w:lineRule="exact"/>
              <w:ind w:firstLine="480" w:firstLineChars="200"/>
              <w:jc w:val="center"/>
              <w:rPr>
                <w:rFonts w:ascii="宋体" w:hAnsi="宋体"/>
                <w:sz w:val="24"/>
              </w:rPr>
            </w:pPr>
            <w:r>
              <w:rPr>
                <w:rFonts w:hint="eastAsia" w:ascii="宋体" w:hAnsi="宋体"/>
                <w:sz w:val="24"/>
              </w:rPr>
              <w:t>≤10</w:t>
            </w:r>
          </w:p>
        </w:tc>
        <w:tc>
          <w:tcPr>
            <w:tcW w:w="1300" w:type="dxa"/>
            <w:noWrap w:val="0"/>
            <w:vAlign w:val="center"/>
          </w:tcPr>
          <w:p>
            <w:pPr>
              <w:spacing w:line="500" w:lineRule="exact"/>
              <w:ind w:firstLine="480" w:firstLineChars="200"/>
              <w:jc w:val="center"/>
              <w:rPr>
                <w:rFonts w:ascii="宋体" w:hAnsi="宋体"/>
                <w:sz w:val="24"/>
              </w:rPr>
            </w:pPr>
            <w:r>
              <w:rPr>
                <w:rFonts w:hint="eastAsia" w:ascii="宋体" w:hAnsi="宋体"/>
                <w:sz w:val="24"/>
              </w:rPr>
              <w:t>≤3</w:t>
            </w:r>
          </w:p>
        </w:tc>
        <w:tc>
          <w:tcPr>
            <w:tcW w:w="907" w:type="dxa"/>
            <w:noWrap w:val="0"/>
            <w:vAlign w:val="center"/>
          </w:tcPr>
          <w:p>
            <w:pPr>
              <w:spacing w:line="500" w:lineRule="exact"/>
              <w:jc w:val="right"/>
              <w:rPr>
                <w:rFonts w:ascii="宋体" w:hAnsi="宋体"/>
                <w:sz w:val="24"/>
              </w:rPr>
            </w:pPr>
            <w:r>
              <w:rPr>
                <w:rFonts w:hint="eastAsia" w:ascii="宋体" w:hAnsi="宋体"/>
                <w:sz w:val="24"/>
              </w:rPr>
              <w:t>见本色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138" w:type="dxa"/>
            <w:noWrap w:val="0"/>
            <w:vAlign w:val="center"/>
          </w:tcPr>
          <w:p>
            <w:pPr>
              <w:spacing w:line="500" w:lineRule="exact"/>
              <w:rPr>
                <w:rFonts w:ascii="宋体" w:hAnsi="宋体"/>
                <w:sz w:val="24"/>
              </w:rPr>
            </w:pPr>
            <w:r>
              <w:rPr>
                <w:rFonts w:hint="eastAsia" w:ascii="宋体" w:hAnsi="宋体"/>
                <w:sz w:val="24"/>
              </w:rPr>
              <w:t>二类道路</w:t>
            </w:r>
          </w:p>
        </w:tc>
        <w:tc>
          <w:tcPr>
            <w:tcW w:w="1806" w:type="dxa"/>
            <w:noWrap w:val="0"/>
            <w:vAlign w:val="center"/>
          </w:tcPr>
          <w:p>
            <w:pPr>
              <w:spacing w:line="500" w:lineRule="exact"/>
              <w:ind w:firstLine="480" w:firstLineChars="200"/>
              <w:jc w:val="center"/>
              <w:rPr>
                <w:rFonts w:ascii="宋体" w:hAnsi="宋体"/>
                <w:sz w:val="24"/>
              </w:rPr>
            </w:pPr>
            <w:r>
              <w:rPr>
                <w:rFonts w:hint="eastAsia" w:ascii="宋体" w:hAnsi="宋体"/>
                <w:sz w:val="24"/>
              </w:rPr>
              <w:t>≤3</w:t>
            </w:r>
          </w:p>
        </w:tc>
        <w:tc>
          <w:tcPr>
            <w:tcW w:w="1275" w:type="dxa"/>
            <w:noWrap w:val="0"/>
            <w:vAlign w:val="center"/>
          </w:tcPr>
          <w:p>
            <w:pPr>
              <w:spacing w:line="500" w:lineRule="exact"/>
              <w:ind w:firstLine="480" w:firstLineChars="200"/>
              <w:jc w:val="center"/>
              <w:rPr>
                <w:rFonts w:ascii="宋体" w:hAnsi="宋体"/>
                <w:sz w:val="24"/>
              </w:rPr>
            </w:pPr>
            <w:r>
              <w:rPr>
                <w:rFonts w:hint="eastAsia" w:ascii="宋体" w:hAnsi="宋体"/>
                <w:sz w:val="24"/>
              </w:rPr>
              <w:t>≤6</w:t>
            </w:r>
          </w:p>
        </w:tc>
        <w:tc>
          <w:tcPr>
            <w:tcW w:w="1456" w:type="dxa"/>
            <w:noWrap w:val="0"/>
            <w:vAlign w:val="center"/>
          </w:tcPr>
          <w:p>
            <w:pPr>
              <w:spacing w:line="500" w:lineRule="exact"/>
              <w:ind w:firstLine="480" w:firstLineChars="200"/>
              <w:jc w:val="center"/>
              <w:rPr>
                <w:rFonts w:ascii="宋体" w:hAnsi="宋体"/>
                <w:sz w:val="24"/>
              </w:rPr>
            </w:pPr>
            <w:r>
              <w:rPr>
                <w:rFonts w:hint="eastAsia" w:ascii="宋体" w:hAnsi="宋体"/>
                <w:sz w:val="24"/>
              </w:rPr>
              <w:t>无</w:t>
            </w:r>
          </w:p>
        </w:tc>
        <w:tc>
          <w:tcPr>
            <w:tcW w:w="1298" w:type="dxa"/>
            <w:noWrap w:val="0"/>
            <w:vAlign w:val="center"/>
          </w:tcPr>
          <w:p>
            <w:pPr>
              <w:spacing w:line="500" w:lineRule="exact"/>
              <w:ind w:firstLine="480" w:firstLineChars="200"/>
              <w:jc w:val="center"/>
              <w:rPr>
                <w:rFonts w:ascii="宋体" w:hAnsi="宋体"/>
                <w:sz w:val="24"/>
              </w:rPr>
            </w:pPr>
            <w:r>
              <w:rPr>
                <w:rFonts w:hint="eastAsia" w:ascii="宋体" w:hAnsi="宋体"/>
                <w:sz w:val="24"/>
              </w:rPr>
              <w:t>≤20</w:t>
            </w:r>
          </w:p>
        </w:tc>
        <w:tc>
          <w:tcPr>
            <w:tcW w:w="1300" w:type="dxa"/>
            <w:noWrap w:val="0"/>
            <w:vAlign w:val="center"/>
          </w:tcPr>
          <w:p>
            <w:pPr>
              <w:spacing w:line="500" w:lineRule="exact"/>
              <w:ind w:firstLine="480" w:firstLineChars="200"/>
              <w:jc w:val="center"/>
              <w:rPr>
                <w:rFonts w:ascii="宋体" w:hAnsi="宋体"/>
                <w:sz w:val="24"/>
              </w:rPr>
            </w:pPr>
            <w:r>
              <w:rPr>
                <w:rFonts w:hint="eastAsia" w:ascii="宋体" w:hAnsi="宋体"/>
                <w:sz w:val="24"/>
              </w:rPr>
              <w:t>≤4</w:t>
            </w:r>
          </w:p>
        </w:tc>
        <w:tc>
          <w:tcPr>
            <w:tcW w:w="907" w:type="dxa"/>
            <w:noWrap w:val="0"/>
            <w:vAlign w:val="center"/>
          </w:tcPr>
          <w:p>
            <w:pPr>
              <w:spacing w:line="500" w:lineRule="exact"/>
              <w:jc w:val="right"/>
              <w:rPr>
                <w:rFonts w:ascii="宋体" w:hAnsi="宋体"/>
                <w:sz w:val="24"/>
              </w:rPr>
            </w:pPr>
            <w:r>
              <w:rPr>
                <w:rFonts w:hint="eastAsia" w:ascii="宋体" w:hAnsi="宋体"/>
                <w:sz w:val="24"/>
              </w:rPr>
              <w:t>见本色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138" w:type="dxa"/>
            <w:noWrap w:val="0"/>
            <w:vAlign w:val="center"/>
          </w:tcPr>
          <w:p>
            <w:pPr>
              <w:spacing w:line="500" w:lineRule="exact"/>
              <w:rPr>
                <w:rFonts w:ascii="宋体" w:hAnsi="宋体"/>
                <w:sz w:val="24"/>
              </w:rPr>
            </w:pPr>
            <w:r>
              <w:rPr>
                <w:rFonts w:hint="eastAsia" w:ascii="宋体" w:hAnsi="宋体"/>
                <w:sz w:val="24"/>
              </w:rPr>
              <w:t>三类道路</w:t>
            </w:r>
          </w:p>
        </w:tc>
        <w:tc>
          <w:tcPr>
            <w:tcW w:w="1806" w:type="dxa"/>
            <w:noWrap w:val="0"/>
            <w:vAlign w:val="center"/>
          </w:tcPr>
          <w:p>
            <w:pPr>
              <w:spacing w:line="500" w:lineRule="exact"/>
              <w:ind w:firstLine="480" w:firstLineChars="200"/>
              <w:jc w:val="center"/>
              <w:rPr>
                <w:rFonts w:ascii="宋体" w:hAnsi="宋体"/>
                <w:sz w:val="24"/>
              </w:rPr>
            </w:pPr>
            <w:r>
              <w:rPr>
                <w:rFonts w:hint="eastAsia" w:ascii="宋体" w:hAnsi="宋体"/>
                <w:sz w:val="24"/>
              </w:rPr>
              <w:t>≤3</w:t>
            </w:r>
          </w:p>
        </w:tc>
        <w:tc>
          <w:tcPr>
            <w:tcW w:w="1275" w:type="dxa"/>
            <w:noWrap w:val="0"/>
            <w:vAlign w:val="center"/>
          </w:tcPr>
          <w:p>
            <w:pPr>
              <w:spacing w:line="500" w:lineRule="exact"/>
              <w:ind w:firstLine="480" w:firstLineChars="200"/>
              <w:jc w:val="center"/>
              <w:rPr>
                <w:rFonts w:ascii="宋体" w:hAnsi="宋体"/>
                <w:sz w:val="24"/>
              </w:rPr>
            </w:pPr>
            <w:r>
              <w:rPr>
                <w:rFonts w:hint="eastAsia" w:ascii="宋体" w:hAnsi="宋体"/>
                <w:sz w:val="24"/>
              </w:rPr>
              <w:t>≤6</w:t>
            </w:r>
          </w:p>
        </w:tc>
        <w:tc>
          <w:tcPr>
            <w:tcW w:w="1456" w:type="dxa"/>
            <w:noWrap w:val="0"/>
            <w:vAlign w:val="center"/>
          </w:tcPr>
          <w:p>
            <w:pPr>
              <w:spacing w:line="500" w:lineRule="exact"/>
              <w:ind w:firstLine="480" w:firstLineChars="200"/>
              <w:jc w:val="center"/>
              <w:rPr>
                <w:rFonts w:ascii="宋体" w:hAnsi="宋体"/>
                <w:sz w:val="24"/>
              </w:rPr>
            </w:pPr>
            <w:r>
              <w:rPr>
                <w:rFonts w:hint="eastAsia" w:ascii="宋体" w:hAnsi="宋体"/>
                <w:sz w:val="24"/>
              </w:rPr>
              <w:t>无</w:t>
            </w:r>
          </w:p>
        </w:tc>
        <w:tc>
          <w:tcPr>
            <w:tcW w:w="1298" w:type="dxa"/>
            <w:noWrap w:val="0"/>
            <w:vAlign w:val="center"/>
          </w:tcPr>
          <w:p>
            <w:pPr>
              <w:spacing w:line="500" w:lineRule="exact"/>
              <w:ind w:firstLine="480" w:firstLineChars="200"/>
              <w:jc w:val="center"/>
              <w:rPr>
                <w:rFonts w:ascii="宋体" w:hAnsi="宋体"/>
                <w:sz w:val="24"/>
              </w:rPr>
            </w:pPr>
            <w:r>
              <w:rPr>
                <w:rFonts w:hint="eastAsia" w:ascii="宋体" w:hAnsi="宋体"/>
                <w:sz w:val="24"/>
              </w:rPr>
              <w:t>≤30</w:t>
            </w:r>
          </w:p>
        </w:tc>
        <w:tc>
          <w:tcPr>
            <w:tcW w:w="1300" w:type="dxa"/>
            <w:noWrap w:val="0"/>
            <w:vAlign w:val="center"/>
          </w:tcPr>
          <w:p>
            <w:pPr>
              <w:spacing w:line="500" w:lineRule="exact"/>
              <w:ind w:firstLine="480" w:firstLineChars="200"/>
              <w:jc w:val="center"/>
              <w:rPr>
                <w:rFonts w:ascii="宋体" w:hAnsi="宋体"/>
                <w:sz w:val="24"/>
              </w:rPr>
            </w:pPr>
            <w:r>
              <w:rPr>
                <w:rFonts w:hint="eastAsia" w:ascii="宋体" w:hAnsi="宋体"/>
                <w:sz w:val="24"/>
              </w:rPr>
              <w:t>≤4</w:t>
            </w:r>
          </w:p>
        </w:tc>
        <w:tc>
          <w:tcPr>
            <w:tcW w:w="907" w:type="dxa"/>
            <w:noWrap w:val="0"/>
            <w:vAlign w:val="center"/>
          </w:tcPr>
          <w:p>
            <w:pPr>
              <w:spacing w:line="500" w:lineRule="exact"/>
              <w:ind w:firstLine="480" w:firstLineChars="200"/>
              <w:jc w:val="right"/>
              <w:rPr>
                <w:rFonts w:ascii="宋体" w:hAnsi="宋体"/>
                <w:sz w:val="24"/>
              </w:rPr>
            </w:pPr>
            <w:r>
              <w:rPr>
                <w:rFonts w:hint="eastAsia" w:ascii="宋体" w:hAnsi="宋体"/>
                <w:sz w:val="24"/>
              </w:rPr>
              <w:t>见本色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138" w:type="dxa"/>
            <w:noWrap w:val="0"/>
            <w:vAlign w:val="center"/>
          </w:tcPr>
          <w:p>
            <w:pPr>
              <w:spacing w:line="500" w:lineRule="exact"/>
              <w:rPr>
                <w:rFonts w:ascii="宋体" w:hAnsi="宋体"/>
                <w:sz w:val="24"/>
              </w:rPr>
            </w:pPr>
            <w:r>
              <w:rPr>
                <w:rFonts w:hint="eastAsia" w:ascii="宋体" w:hAnsi="宋体"/>
                <w:sz w:val="24"/>
              </w:rPr>
              <w:t>一类街巷</w:t>
            </w:r>
          </w:p>
        </w:tc>
        <w:tc>
          <w:tcPr>
            <w:tcW w:w="1806" w:type="dxa"/>
            <w:noWrap w:val="0"/>
            <w:vAlign w:val="center"/>
          </w:tcPr>
          <w:p>
            <w:pPr>
              <w:spacing w:line="500" w:lineRule="exact"/>
              <w:ind w:firstLine="480" w:firstLineChars="200"/>
              <w:jc w:val="center"/>
              <w:rPr>
                <w:rFonts w:ascii="宋体" w:hAnsi="宋体"/>
                <w:sz w:val="24"/>
              </w:rPr>
            </w:pPr>
            <w:r>
              <w:rPr>
                <w:rFonts w:hint="eastAsia" w:ascii="宋体" w:hAnsi="宋体"/>
                <w:sz w:val="24"/>
              </w:rPr>
              <w:t>≤3</w:t>
            </w:r>
          </w:p>
        </w:tc>
        <w:tc>
          <w:tcPr>
            <w:tcW w:w="1275" w:type="dxa"/>
            <w:noWrap w:val="0"/>
            <w:vAlign w:val="center"/>
          </w:tcPr>
          <w:p>
            <w:pPr>
              <w:spacing w:line="500" w:lineRule="exact"/>
              <w:ind w:firstLine="480" w:firstLineChars="200"/>
              <w:jc w:val="center"/>
              <w:rPr>
                <w:rFonts w:ascii="宋体" w:hAnsi="宋体"/>
                <w:sz w:val="24"/>
              </w:rPr>
            </w:pPr>
            <w:r>
              <w:rPr>
                <w:rFonts w:hint="eastAsia" w:ascii="宋体" w:hAnsi="宋体"/>
                <w:sz w:val="24"/>
              </w:rPr>
              <w:t>≤6</w:t>
            </w:r>
          </w:p>
        </w:tc>
        <w:tc>
          <w:tcPr>
            <w:tcW w:w="1456" w:type="dxa"/>
            <w:noWrap w:val="0"/>
            <w:vAlign w:val="center"/>
          </w:tcPr>
          <w:p>
            <w:pPr>
              <w:spacing w:line="500" w:lineRule="exact"/>
              <w:ind w:firstLine="480" w:firstLineChars="200"/>
              <w:jc w:val="center"/>
              <w:rPr>
                <w:rFonts w:ascii="宋体" w:hAnsi="宋体"/>
                <w:sz w:val="24"/>
              </w:rPr>
            </w:pPr>
            <w:r>
              <w:rPr>
                <w:rFonts w:hint="eastAsia" w:ascii="宋体" w:hAnsi="宋体"/>
                <w:sz w:val="24"/>
              </w:rPr>
              <w:t>≤1</w:t>
            </w:r>
          </w:p>
        </w:tc>
        <w:tc>
          <w:tcPr>
            <w:tcW w:w="1298" w:type="dxa"/>
            <w:noWrap w:val="0"/>
            <w:vAlign w:val="center"/>
          </w:tcPr>
          <w:p>
            <w:pPr>
              <w:spacing w:line="500" w:lineRule="exact"/>
              <w:ind w:firstLine="480" w:firstLineChars="200"/>
              <w:jc w:val="center"/>
              <w:rPr>
                <w:rFonts w:ascii="宋体" w:hAnsi="宋体"/>
                <w:sz w:val="24"/>
              </w:rPr>
            </w:pPr>
            <w:r>
              <w:rPr>
                <w:rFonts w:hint="eastAsia" w:ascii="宋体" w:hAnsi="宋体"/>
                <w:sz w:val="24"/>
              </w:rPr>
              <w:t>≤15</w:t>
            </w:r>
          </w:p>
        </w:tc>
        <w:tc>
          <w:tcPr>
            <w:tcW w:w="1300" w:type="dxa"/>
            <w:noWrap w:val="0"/>
            <w:vAlign w:val="center"/>
          </w:tcPr>
          <w:p>
            <w:pPr>
              <w:spacing w:line="500" w:lineRule="exact"/>
              <w:ind w:firstLine="480" w:firstLineChars="200"/>
              <w:jc w:val="center"/>
              <w:rPr>
                <w:rFonts w:ascii="宋体" w:hAnsi="宋体"/>
                <w:sz w:val="24"/>
              </w:rPr>
            </w:pPr>
            <w:r>
              <w:rPr>
                <w:rFonts w:hint="eastAsia" w:ascii="宋体" w:hAnsi="宋体"/>
                <w:sz w:val="24"/>
              </w:rPr>
              <w:t>≤4</w:t>
            </w:r>
          </w:p>
        </w:tc>
        <w:tc>
          <w:tcPr>
            <w:tcW w:w="907" w:type="dxa"/>
            <w:noWrap w:val="0"/>
            <w:vAlign w:val="center"/>
          </w:tcPr>
          <w:p>
            <w:pPr>
              <w:spacing w:line="500" w:lineRule="exact"/>
              <w:ind w:firstLine="480" w:firstLineChars="200"/>
              <w:jc w:val="right"/>
              <w:rPr>
                <w:rFonts w:ascii="宋体" w:hAnsi="宋体"/>
                <w:sz w:val="24"/>
              </w:rPr>
            </w:pPr>
            <w:r>
              <w:rPr>
                <w:rFonts w:hint="eastAsia" w:ascii="宋体" w:hAnsi="宋体"/>
                <w:sz w:val="24"/>
              </w:rPr>
              <w:t>见本色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138" w:type="dxa"/>
            <w:noWrap w:val="0"/>
            <w:vAlign w:val="center"/>
          </w:tcPr>
          <w:p>
            <w:pPr>
              <w:spacing w:line="500" w:lineRule="exact"/>
              <w:rPr>
                <w:rFonts w:ascii="宋体" w:hAnsi="宋体"/>
                <w:sz w:val="24"/>
              </w:rPr>
            </w:pPr>
            <w:r>
              <w:rPr>
                <w:rFonts w:hint="eastAsia" w:ascii="宋体" w:hAnsi="宋体"/>
                <w:sz w:val="24"/>
              </w:rPr>
              <w:t>二类街巷</w:t>
            </w:r>
          </w:p>
        </w:tc>
        <w:tc>
          <w:tcPr>
            <w:tcW w:w="1806" w:type="dxa"/>
            <w:noWrap w:val="0"/>
            <w:vAlign w:val="center"/>
          </w:tcPr>
          <w:p>
            <w:pPr>
              <w:spacing w:line="500" w:lineRule="exact"/>
              <w:ind w:firstLine="480" w:firstLineChars="200"/>
              <w:jc w:val="center"/>
              <w:rPr>
                <w:rFonts w:ascii="宋体" w:hAnsi="宋体"/>
                <w:sz w:val="24"/>
              </w:rPr>
            </w:pPr>
            <w:r>
              <w:rPr>
                <w:rFonts w:hint="eastAsia" w:ascii="宋体" w:hAnsi="宋体"/>
                <w:sz w:val="24"/>
              </w:rPr>
              <w:t>≤3</w:t>
            </w:r>
          </w:p>
        </w:tc>
        <w:tc>
          <w:tcPr>
            <w:tcW w:w="1275" w:type="dxa"/>
            <w:noWrap w:val="0"/>
            <w:vAlign w:val="center"/>
          </w:tcPr>
          <w:p>
            <w:pPr>
              <w:spacing w:line="500" w:lineRule="exact"/>
              <w:ind w:firstLine="480" w:firstLineChars="200"/>
              <w:jc w:val="center"/>
              <w:rPr>
                <w:rFonts w:ascii="宋体" w:hAnsi="宋体"/>
                <w:sz w:val="24"/>
              </w:rPr>
            </w:pPr>
            <w:r>
              <w:rPr>
                <w:rFonts w:hint="eastAsia" w:ascii="宋体" w:hAnsi="宋体"/>
                <w:sz w:val="24"/>
              </w:rPr>
              <w:t>≤6</w:t>
            </w:r>
          </w:p>
        </w:tc>
        <w:tc>
          <w:tcPr>
            <w:tcW w:w="1456" w:type="dxa"/>
            <w:noWrap w:val="0"/>
            <w:vAlign w:val="center"/>
          </w:tcPr>
          <w:p>
            <w:pPr>
              <w:spacing w:line="500" w:lineRule="exact"/>
              <w:ind w:firstLine="480" w:firstLineChars="200"/>
              <w:jc w:val="center"/>
              <w:rPr>
                <w:rFonts w:ascii="宋体" w:hAnsi="宋体"/>
                <w:sz w:val="24"/>
              </w:rPr>
            </w:pPr>
            <w:r>
              <w:rPr>
                <w:rFonts w:hint="eastAsia" w:ascii="宋体" w:hAnsi="宋体"/>
                <w:sz w:val="24"/>
              </w:rPr>
              <w:t>≤1</w:t>
            </w:r>
          </w:p>
        </w:tc>
        <w:tc>
          <w:tcPr>
            <w:tcW w:w="1298" w:type="dxa"/>
            <w:noWrap w:val="0"/>
            <w:vAlign w:val="center"/>
          </w:tcPr>
          <w:p>
            <w:pPr>
              <w:spacing w:line="500" w:lineRule="exact"/>
              <w:ind w:firstLine="480" w:firstLineChars="200"/>
              <w:jc w:val="center"/>
              <w:rPr>
                <w:rFonts w:ascii="宋体" w:hAnsi="宋体"/>
                <w:sz w:val="24"/>
              </w:rPr>
            </w:pPr>
            <w:r>
              <w:rPr>
                <w:rFonts w:hint="eastAsia" w:ascii="宋体" w:hAnsi="宋体"/>
                <w:sz w:val="24"/>
              </w:rPr>
              <w:t>≤20</w:t>
            </w:r>
          </w:p>
        </w:tc>
        <w:tc>
          <w:tcPr>
            <w:tcW w:w="1300" w:type="dxa"/>
            <w:noWrap w:val="0"/>
            <w:vAlign w:val="center"/>
          </w:tcPr>
          <w:p>
            <w:pPr>
              <w:spacing w:line="500" w:lineRule="exact"/>
              <w:ind w:firstLine="480" w:firstLineChars="200"/>
              <w:jc w:val="center"/>
              <w:rPr>
                <w:rFonts w:ascii="宋体" w:hAnsi="宋体"/>
                <w:sz w:val="24"/>
              </w:rPr>
            </w:pPr>
            <w:r>
              <w:rPr>
                <w:rFonts w:hint="eastAsia" w:ascii="宋体" w:hAnsi="宋体"/>
                <w:sz w:val="24"/>
              </w:rPr>
              <w:t>≤4</w:t>
            </w:r>
          </w:p>
        </w:tc>
        <w:tc>
          <w:tcPr>
            <w:tcW w:w="907" w:type="dxa"/>
            <w:noWrap w:val="0"/>
            <w:vAlign w:val="center"/>
          </w:tcPr>
          <w:p>
            <w:pPr>
              <w:spacing w:line="500" w:lineRule="exact"/>
              <w:ind w:firstLine="480" w:firstLineChars="200"/>
              <w:jc w:val="right"/>
              <w:rPr>
                <w:rFonts w:ascii="宋体" w:hAnsi="宋体"/>
                <w:sz w:val="24"/>
              </w:rPr>
            </w:pPr>
            <w:r>
              <w:rPr>
                <w:rFonts w:hint="eastAsia" w:ascii="宋体" w:hAnsi="宋体"/>
                <w:sz w:val="24"/>
              </w:rPr>
              <w:t>见本色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138" w:type="dxa"/>
            <w:noWrap w:val="0"/>
            <w:vAlign w:val="center"/>
          </w:tcPr>
          <w:p>
            <w:pPr>
              <w:spacing w:line="500" w:lineRule="exact"/>
              <w:rPr>
                <w:rFonts w:ascii="宋体" w:hAnsi="宋体"/>
                <w:sz w:val="24"/>
              </w:rPr>
            </w:pPr>
            <w:r>
              <w:rPr>
                <w:rFonts w:hint="eastAsia" w:ascii="宋体" w:hAnsi="宋体"/>
                <w:sz w:val="24"/>
              </w:rPr>
              <w:t>三类街巷</w:t>
            </w:r>
          </w:p>
        </w:tc>
        <w:tc>
          <w:tcPr>
            <w:tcW w:w="1806" w:type="dxa"/>
            <w:noWrap w:val="0"/>
            <w:vAlign w:val="center"/>
          </w:tcPr>
          <w:p>
            <w:pPr>
              <w:spacing w:line="500" w:lineRule="exact"/>
              <w:ind w:firstLine="480" w:firstLineChars="200"/>
              <w:jc w:val="center"/>
              <w:rPr>
                <w:rFonts w:ascii="宋体" w:hAnsi="宋体"/>
                <w:sz w:val="24"/>
              </w:rPr>
            </w:pPr>
            <w:r>
              <w:rPr>
                <w:rFonts w:hint="eastAsia" w:ascii="宋体" w:hAnsi="宋体"/>
                <w:sz w:val="24"/>
              </w:rPr>
              <w:t>≤4</w:t>
            </w:r>
          </w:p>
        </w:tc>
        <w:tc>
          <w:tcPr>
            <w:tcW w:w="1275" w:type="dxa"/>
            <w:noWrap w:val="0"/>
            <w:vAlign w:val="center"/>
          </w:tcPr>
          <w:p>
            <w:pPr>
              <w:spacing w:line="500" w:lineRule="exact"/>
              <w:ind w:firstLine="480" w:firstLineChars="200"/>
              <w:jc w:val="center"/>
              <w:rPr>
                <w:rFonts w:ascii="宋体" w:hAnsi="宋体"/>
                <w:sz w:val="24"/>
              </w:rPr>
            </w:pPr>
            <w:r>
              <w:rPr>
                <w:rFonts w:hint="eastAsia" w:ascii="宋体" w:hAnsi="宋体"/>
                <w:sz w:val="24"/>
              </w:rPr>
              <w:t>≤8</w:t>
            </w:r>
          </w:p>
        </w:tc>
        <w:tc>
          <w:tcPr>
            <w:tcW w:w="1456" w:type="dxa"/>
            <w:noWrap w:val="0"/>
            <w:vAlign w:val="center"/>
          </w:tcPr>
          <w:p>
            <w:pPr>
              <w:spacing w:line="500" w:lineRule="exact"/>
              <w:ind w:firstLine="480" w:firstLineChars="200"/>
              <w:jc w:val="center"/>
              <w:rPr>
                <w:rFonts w:ascii="宋体" w:hAnsi="宋体"/>
                <w:sz w:val="24"/>
              </w:rPr>
            </w:pPr>
            <w:r>
              <w:rPr>
                <w:rFonts w:hint="eastAsia" w:ascii="宋体" w:hAnsi="宋体"/>
                <w:sz w:val="24"/>
              </w:rPr>
              <w:t>≤1</w:t>
            </w:r>
          </w:p>
        </w:tc>
        <w:tc>
          <w:tcPr>
            <w:tcW w:w="1298" w:type="dxa"/>
            <w:noWrap w:val="0"/>
            <w:vAlign w:val="center"/>
          </w:tcPr>
          <w:p>
            <w:pPr>
              <w:spacing w:line="500" w:lineRule="exact"/>
              <w:ind w:firstLine="480" w:firstLineChars="200"/>
              <w:jc w:val="center"/>
              <w:rPr>
                <w:rFonts w:ascii="宋体" w:hAnsi="宋体"/>
                <w:sz w:val="24"/>
              </w:rPr>
            </w:pPr>
            <w:r>
              <w:rPr>
                <w:rFonts w:hint="eastAsia" w:ascii="宋体" w:hAnsi="宋体"/>
                <w:sz w:val="24"/>
              </w:rPr>
              <w:t>≤35</w:t>
            </w:r>
          </w:p>
        </w:tc>
        <w:tc>
          <w:tcPr>
            <w:tcW w:w="1300" w:type="dxa"/>
            <w:noWrap w:val="0"/>
            <w:vAlign w:val="center"/>
          </w:tcPr>
          <w:p>
            <w:pPr>
              <w:spacing w:line="500" w:lineRule="exact"/>
              <w:ind w:firstLine="480" w:firstLineChars="200"/>
              <w:jc w:val="center"/>
              <w:rPr>
                <w:rFonts w:ascii="宋体" w:hAnsi="宋体"/>
                <w:sz w:val="24"/>
              </w:rPr>
            </w:pPr>
            <w:r>
              <w:rPr>
                <w:rFonts w:hint="eastAsia" w:ascii="宋体" w:hAnsi="宋体"/>
                <w:sz w:val="24"/>
              </w:rPr>
              <w:t>≤6</w:t>
            </w:r>
          </w:p>
        </w:tc>
        <w:tc>
          <w:tcPr>
            <w:tcW w:w="907" w:type="dxa"/>
            <w:noWrap w:val="0"/>
            <w:vAlign w:val="center"/>
          </w:tcPr>
          <w:p>
            <w:pPr>
              <w:spacing w:line="500" w:lineRule="exact"/>
              <w:ind w:firstLine="480" w:firstLineChars="200"/>
              <w:jc w:val="right"/>
              <w:rPr>
                <w:rFonts w:ascii="宋体" w:hAnsi="宋体"/>
                <w:sz w:val="24"/>
              </w:rPr>
            </w:pPr>
            <w:r>
              <w:rPr>
                <w:rFonts w:hint="eastAsia" w:ascii="宋体" w:hAnsi="宋体"/>
                <w:sz w:val="24"/>
              </w:rPr>
              <w:t>见本色</w:t>
            </w:r>
          </w:p>
        </w:tc>
      </w:tr>
    </w:tbl>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．机械化作业要求</w:t>
      </w:r>
      <w:r>
        <w:rPr>
          <w:rFonts w:ascii="宋体" w:hAnsi="宋体"/>
          <w:sz w:val="24"/>
        </w:rPr>
        <w:t>。A、</w:t>
      </w:r>
      <w:r>
        <w:rPr>
          <w:rFonts w:hint="eastAsia" w:ascii="宋体" w:hAnsi="宋体"/>
          <w:sz w:val="24"/>
        </w:rPr>
        <w:t>B类城区主干道机械化清扫率保持100%；次干道机械化清扫率达到87%。C类城区机械化清扫率达到62%以上。根据局要求，逐步统一车辆外观及标识编号。根据各类道街巷每日工作要求，落实机械化保洁频次。按照规定的时间和路线进行作业；洒水车车速不得超过25公里/小时，扫路车、洗扫车、高压清洗车车速不得超过10公里/小时，小型保洁车辆行驶速度≤20公里/小时；作业时避让行人。中雨及以上雨量或雷阵雨期间，暂停道路洒水和清洗作业。在寒冷季节，气温为2度及以下时暂停洒水和清洗作业；</w:t>
      </w:r>
    </w:p>
    <w:p>
      <w:pPr>
        <w:spacing w:line="500" w:lineRule="exact"/>
        <w:ind w:firstLine="480" w:firstLineChars="200"/>
        <w:rPr>
          <w:rFonts w:ascii="宋体" w:hAnsi="宋体"/>
          <w:sz w:val="24"/>
        </w:rPr>
      </w:pPr>
      <w:r>
        <w:rPr>
          <w:rFonts w:ascii="宋体" w:hAnsi="宋体"/>
          <w:sz w:val="24"/>
        </w:rPr>
        <w:t>7</w:t>
      </w:r>
      <w:r>
        <w:rPr>
          <w:rFonts w:hint="eastAsia" w:ascii="宋体" w:hAnsi="宋体"/>
          <w:sz w:val="24"/>
        </w:rPr>
        <w:t>．绿化带保洁要求</w:t>
      </w:r>
      <w:r>
        <w:rPr>
          <w:rFonts w:ascii="宋体" w:hAnsi="宋体"/>
          <w:sz w:val="24"/>
        </w:rPr>
        <w:t>。</w:t>
      </w:r>
      <w:r>
        <w:rPr>
          <w:rFonts w:hint="eastAsia" w:ascii="宋体" w:hAnsi="宋体"/>
          <w:sz w:val="24"/>
        </w:rPr>
        <w:t>对人行道、慢车道绿化带落实2米范围（左右各1米范围）内保洁要求，捡拾清理可视可触范围内暴露垃圾。对快车道隔离绿化带，落实普扫期间集中清理，在做好围护前提下，每日一次对快车道内绿化带进行集中清理。机械化作业洒水后，清扫作业及时跟进，每周一次落实清洗，避免绿化带侧石积泥积尘。</w:t>
      </w:r>
    </w:p>
    <w:p>
      <w:pPr>
        <w:spacing w:line="500" w:lineRule="exact"/>
        <w:ind w:firstLine="480" w:firstLineChars="200"/>
        <w:rPr>
          <w:rFonts w:ascii="宋体" w:hAnsi="宋体"/>
          <w:sz w:val="24"/>
        </w:rPr>
      </w:pPr>
      <w:r>
        <w:rPr>
          <w:rFonts w:ascii="宋体" w:hAnsi="宋体"/>
          <w:sz w:val="24"/>
        </w:rPr>
        <w:t>8</w:t>
      </w:r>
      <w:r>
        <w:rPr>
          <w:rFonts w:hint="eastAsia" w:ascii="宋体" w:hAnsi="宋体"/>
          <w:sz w:val="24"/>
        </w:rPr>
        <w:t>．</w:t>
      </w:r>
      <w:r>
        <w:rPr>
          <w:rFonts w:ascii="宋体" w:hAnsi="宋体"/>
          <w:sz w:val="24"/>
        </w:rPr>
        <w:t>道路垃圾不得反扫、漏扫，垃圾不得扫入窨井、绿地等。</w:t>
      </w:r>
    </w:p>
    <w:p>
      <w:pPr>
        <w:spacing w:line="500" w:lineRule="exact"/>
        <w:ind w:firstLine="480" w:firstLineChars="200"/>
        <w:rPr>
          <w:rFonts w:ascii="宋体" w:hAnsi="宋体"/>
          <w:sz w:val="24"/>
        </w:rPr>
      </w:pPr>
      <w:r>
        <w:rPr>
          <w:rFonts w:ascii="宋体" w:hAnsi="宋体"/>
          <w:sz w:val="24"/>
        </w:rPr>
        <w:t>9</w:t>
      </w:r>
      <w:r>
        <w:rPr>
          <w:rFonts w:hint="eastAsia" w:ascii="宋体" w:hAnsi="宋体"/>
          <w:sz w:val="24"/>
        </w:rPr>
        <w:t>．</w:t>
      </w:r>
      <w:r>
        <w:rPr>
          <w:rFonts w:ascii="宋体" w:hAnsi="宋体"/>
          <w:sz w:val="24"/>
        </w:rPr>
        <w:t>清扫专用车整洁无破损、满溢，车厢无吊挂杂物现象，应密闭运输，不得停放在消防栓、公交车站旁、不得压盲道，停放离人行道侧石不超过20厘米，作业完毕后将工具清理干净，停放在规定地点。</w:t>
      </w:r>
    </w:p>
    <w:p>
      <w:pPr>
        <w:spacing w:line="500" w:lineRule="exact"/>
        <w:ind w:firstLine="480" w:firstLineChars="200"/>
        <w:rPr>
          <w:rFonts w:hint="eastAsia" w:ascii="宋体" w:hAnsi="宋体"/>
          <w:sz w:val="24"/>
        </w:rPr>
      </w:pPr>
      <w:r>
        <w:rPr>
          <w:rFonts w:ascii="宋体" w:hAnsi="宋体"/>
          <w:sz w:val="24"/>
        </w:rPr>
        <w:t>10</w:t>
      </w:r>
      <w:r>
        <w:rPr>
          <w:rFonts w:hint="eastAsia" w:ascii="宋体" w:hAnsi="宋体"/>
          <w:sz w:val="24"/>
        </w:rPr>
        <w:t>．</w:t>
      </w:r>
      <w:r>
        <w:rPr>
          <w:rFonts w:ascii="宋体" w:hAnsi="宋体"/>
          <w:sz w:val="24"/>
        </w:rPr>
        <w:t xml:space="preserve"> 遇有重大活动或突发事件，及时组织力量做好清扫保洁等保障工作，并视情况及时启动城市管理保障应急机制，人员必须及时到位（需要集中时的具体位置另行通知），并根据应急命令决定早到和离岗。</w:t>
      </w:r>
    </w:p>
    <w:p>
      <w:pPr>
        <w:spacing w:line="500" w:lineRule="exact"/>
        <w:ind w:firstLine="480" w:firstLineChars="200"/>
        <w:rPr>
          <w:rFonts w:hint="eastAsia" w:ascii="宋体" w:hAnsi="宋体"/>
          <w:b/>
          <w:sz w:val="24"/>
        </w:rPr>
      </w:pPr>
      <w:r>
        <w:rPr>
          <w:rFonts w:hint="eastAsia" w:ascii="宋体" w:hAnsi="宋体"/>
          <w:sz w:val="24"/>
          <w:szCs w:val="24"/>
        </w:rPr>
        <w:t>▲</w:t>
      </w:r>
      <w:r>
        <w:rPr>
          <w:rFonts w:hint="eastAsia" w:ascii="宋体" w:hAnsi="宋体"/>
          <w:sz w:val="24"/>
        </w:rPr>
        <w:t>11．</w:t>
      </w:r>
      <w:r>
        <w:rPr>
          <w:rFonts w:hint="eastAsia" w:ascii="宋体" w:hAnsi="宋体"/>
          <w:b/>
          <w:sz w:val="24"/>
        </w:rPr>
        <w:t xml:space="preserve">投标人必须自有以下作业机具且仅用于本项目： </w:t>
      </w:r>
    </w:p>
    <w:p>
      <w:pPr>
        <w:spacing w:line="500" w:lineRule="exact"/>
        <w:ind w:firstLine="482" w:firstLineChars="200"/>
        <w:rPr>
          <w:rFonts w:hint="eastAsia" w:ascii="宋体" w:hAnsi="宋体"/>
          <w:b/>
          <w:sz w:val="24"/>
        </w:rPr>
      </w:pPr>
      <w:r>
        <w:rPr>
          <w:rFonts w:hint="eastAsia" w:ascii="宋体" w:hAnsi="宋体"/>
          <w:b/>
          <w:sz w:val="24"/>
        </w:rPr>
        <w:t>新能源或国六天然气清洁能源多功能清洗机1台；</w:t>
      </w:r>
    </w:p>
    <w:p>
      <w:pPr>
        <w:spacing w:line="500" w:lineRule="exact"/>
        <w:ind w:firstLine="482" w:firstLineChars="200"/>
        <w:rPr>
          <w:rFonts w:hint="eastAsia" w:ascii="宋体" w:hAnsi="宋体"/>
          <w:b/>
          <w:sz w:val="24"/>
        </w:rPr>
      </w:pPr>
      <w:r>
        <w:rPr>
          <w:rFonts w:hint="eastAsia" w:ascii="宋体" w:hAnsi="宋体"/>
          <w:b/>
          <w:sz w:val="24"/>
        </w:rPr>
        <w:t>新能源或国六天然气清洁能源三轮巡回保洁车2辆；</w:t>
      </w:r>
    </w:p>
    <w:p>
      <w:pPr>
        <w:spacing w:line="500" w:lineRule="exact"/>
        <w:ind w:firstLine="482" w:firstLineChars="200"/>
        <w:rPr>
          <w:rFonts w:hint="eastAsia" w:ascii="宋体" w:hAnsi="宋体"/>
          <w:b/>
          <w:sz w:val="24"/>
        </w:rPr>
      </w:pPr>
      <w:r>
        <w:rPr>
          <w:rFonts w:hint="eastAsia" w:ascii="宋体" w:hAnsi="宋体"/>
          <w:b/>
          <w:sz w:val="24"/>
        </w:rPr>
        <w:t>新能源或国六天然气清洁能源高压冲洗车1辆；</w:t>
      </w:r>
    </w:p>
    <w:p>
      <w:pPr>
        <w:spacing w:line="500" w:lineRule="exact"/>
        <w:ind w:firstLine="482" w:firstLineChars="200"/>
        <w:rPr>
          <w:rFonts w:ascii="宋体" w:hAnsi="宋体"/>
          <w:b/>
          <w:sz w:val="24"/>
        </w:rPr>
      </w:pPr>
      <w:r>
        <w:rPr>
          <w:rFonts w:hint="eastAsia" w:ascii="宋体" w:hAnsi="宋体"/>
          <w:b/>
          <w:sz w:val="24"/>
        </w:rPr>
        <w:t>新能源或国六天然气清洁能源三轮或四轮垃圾清运车（可容纳四桶以上）2辆；</w:t>
      </w:r>
    </w:p>
    <w:p>
      <w:pPr>
        <w:pStyle w:val="202"/>
        <w:adjustRightInd w:val="0"/>
        <w:snapToGrid w:val="0"/>
        <w:spacing w:before="0" w:line="460" w:lineRule="exact"/>
        <w:ind w:firstLine="482"/>
        <w:outlineLvl w:val="1"/>
        <w:rPr>
          <w:rFonts w:hint="eastAsia" w:ascii="宋体" w:hAnsi="宋体"/>
          <w:b/>
        </w:rPr>
      </w:pPr>
      <w:bookmarkStart w:id="87" w:name="_Toc83910198"/>
      <w:r>
        <w:rPr>
          <w:rFonts w:hint="eastAsia" w:ascii="宋体" w:hAnsi="宋体"/>
          <w:b/>
        </w:rPr>
        <w:t>三、管理要求</w:t>
      </w:r>
      <w:bookmarkEnd w:id="87"/>
    </w:p>
    <w:p>
      <w:pPr>
        <w:spacing w:line="360" w:lineRule="auto"/>
        <w:ind w:firstLine="480" w:firstLineChars="200"/>
        <w:jc w:val="left"/>
        <w:rPr>
          <w:rFonts w:ascii="宋体" w:hAnsi="宋体"/>
          <w:kern w:val="0"/>
          <w:sz w:val="24"/>
        </w:rPr>
      </w:pPr>
      <w:r>
        <w:rPr>
          <w:rFonts w:ascii="宋体" w:hAnsi="宋体"/>
          <w:sz w:val="24"/>
        </w:rPr>
        <w:t>1</w:t>
      </w:r>
      <w:r>
        <w:rPr>
          <w:rFonts w:hint="eastAsia" w:ascii="宋体" w:hAnsi="宋体"/>
          <w:sz w:val="24"/>
        </w:rPr>
        <w:t>．</w:t>
      </w:r>
      <w:r>
        <w:rPr>
          <w:rFonts w:ascii="宋体" w:hAnsi="宋体"/>
          <w:sz w:val="24"/>
        </w:rPr>
        <w:t>依照《</w:t>
      </w:r>
      <w:r>
        <w:rPr>
          <w:rFonts w:hint="eastAsia" w:ascii="宋体" w:hAnsi="宋体"/>
          <w:sz w:val="24"/>
        </w:rPr>
        <w:t>关于进一步明确城市各类保洁相关要求的通知</w:t>
      </w:r>
      <w:r>
        <w:rPr>
          <w:rFonts w:ascii="宋体" w:hAnsi="宋体"/>
          <w:sz w:val="24"/>
        </w:rPr>
        <w:t>》</w:t>
      </w:r>
      <w:r>
        <w:rPr>
          <w:rFonts w:hint="eastAsia" w:ascii="宋体" w:hAnsi="宋体"/>
          <w:sz w:val="24"/>
        </w:rPr>
        <w:t>杭城管局﹝2020﹞49号、《关于印发杭州市城管委行业服装统一表示规范的通知》（杭城管委[2018]16号）、《杭州市城市环境卫生作业规范》、《2020年西湖区道路保洁分类管理考核办法》、《关于印发2020年度各区、县（市）政府（管委会）城市管理目标考核办法的通知（杭城管局﹝2020﹞42号）》、《2021年杭州市清洁度评价实施办法说明》等相关规定执行。如以上文件后续有所修订，依照修订后最新文件执行。</w:t>
      </w:r>
    </w:p>
    <w:p>
      <w:pPr>
        <w:spacing w:line="420" w:lineRule="exact"/>
        <w:ind w:firstLine="360" w:firstLineChars="150"/>
        <w:rPr>
          <w:rFonts w:ascii="宋体" w:hAnsi="宋体"/>
          <w:sz w:val="24"/>
        </w:rPr>
      </w:pPr>
      <w:r>
        <w:rPr>
          <w:rFonts w:ascii="宋体" w:hAnsi="宋体"/>
          <w:sz w:val="24"/>
        </w:rPr>
        <w:t>2</w:t>
      </w:r>
      <w:r>
        <w:rPr>
          <w:rFonts w:hint="eastAsia" w:ascii="宋体" w:hAnsi="宋体"/>
          <w:sz w:val="24"/>
        </w:rPr>
        <w:t>．</w:t>
      </w:r>
      <w:r>
        <w:rPr>
          <w:rFonts w:ascii="宋体" w:hAnsi="宋体"/>
          <w:sz w:val="24"/>
        </w:rPr>
        <w:t>作业单位应加强作业质量管理，做好作业质量自查记录，作业交接班必须在作业现场进行。</w:t>
      </w:r>
    </w:p>
    <w:p>
      <w:pPr>
        <w:spacing w:line="420" w:lineRule="exact"/>
        <w:ind w:firstLine="360" w:firstLineChars="150"/>
        <w:rPr>
          <w:rFonts w:ascii="宋体" w:hAnsi="宋体"/>
          <w:sz w:val="24"/>
        </w:rPr>
      </w:pPr>
      <w:r>
        <w:rPr>
          <w:rFonts w:ascii="宋体" w:hAnsi="宋体"/>
          <w:sz w:val="24"/>
        </w:rPr>
        <w:t>3</w:t>
      </w:r>
      <w:r>
        <w:rPr>
          <w:rFonts w:hint="eastAsia" w:ascii="宋体" w:hAnsi="宋体"/>
          <w:sz w:val="24"/>
        </w:rPr>
        <w:t>．</w:t>
      </w:r>
      <w:r>
        <w:rPr>
          <w:rFonts w:ascii="宋体" w:hAnsi="宋体"/>
          <w:sz w:val="24"/>
        </w:rPr>
        <w:t>规范管理，文明作业，自觉接受合同甲方及上级各部门领导的检查和社会监督，对出现的问题要及时整改。</w:t>
      </w:r>
    </w:p>
    <w:p>
      <w:pPr>
        <w:spacing w:line="420" w:lineRule="exact"/>
        <w:ind w:firstLine="360" w:firstLineChars="150"/>
        <w:rPr>
          <w:rFonts w:ascii="宋体" w:hAnsi="宋体"/>
          <w:sz w:val="24"/>
        </w:rPr>
      </w:pPr>
      <w:r>
        <w:rPr>
          <w:rFonts w:ascii="宋体" w:hAnsi="宋体"/>
          <w:sz w:val="24"/>
        </w:rPr>
        <w:t>4</w:t>
      </w:r>
      <w:r>
        <w:rPr>
          <w:rFonts w:hint="eastAsia" w:ascii="宋体" w:hAnsi="宋体"/>
          <w:sz w:val="24"/>
        </w:rPr>
        <w:t>．</w:t>
      </w:r>
      <w:r>
        <w:rPr>
          <w:rFonts w:ascii="宋体" w:hAnsi="宋体"/>
          <w:sz w:val="24"/>
        </w:rPr>
        <w:t>作业时应严格遵守劳动纪律，遵守安全操作规程，确保安全，发生各种意外事故由中标单位自行依照法律法规妥善处理。</w:t>
      </w:r>
    </w:p>
    <w:p>
      <w:pPr>
        <w:spacing w:line="420" w:lineRule="exact"/>
        <w:ind w:firstLine="360" w:firstLineChars="150"/>
        <w:rPr>
          <w:rFonts w:ascii="宋体" w:hAnsi="宋体"/>
          <w:sz w:val="24"/>
        </w:rPr>
      </w:pPr>
      <w:r>
        <w:rPr>
          <w:rFonts w:ascii="宋体" w:hAnsi="宋体"/>
          <w:sz w:val="24"/>
        </w:rPr>
        <w:t>5</w:t>
      </w:r>
      <w:r>
        <w:rPr>
          <w:rFonts w:hint="eastAsia" w:ascii="宋体" w:hAnsi="宋体"/>
          <w:sz w:val="24"/>
        </w:rPr>
        <w:t>．</w:t>
      </w:r>
      <w:r>
        <w:rPr>
          <w:rFonts w:ascii="宋体" w:hAnsi="宋体"/>
          <w:sz w:val="24"/>
        </w:rPr>
        <w:t>中标单位不得向沿街单位和个人收取任何费用。</w:t>
      </w:r>
    </w:p>
    <w:p>
      <w:pPr>
        <w:spacing w:line="420" w:lineRule="exact"/>
        <w:ind w:firstLine="360" w:firstLineChars="150"/>
        <w:rPr>
          <w:rFonts w:ascii="宋体" w:hAnsi="宋体"/>
          <w:sz w:val="24"/>
        </w:rPr>
      </w:pPr>
      <w:r>
        <w:rPr>
          <w:rFonts w:ascii="宋体" w:hAnsi="宋体"/>
          <w:sz w:val="24"/>
        </w:rPr>
        <w:t>6.保持取水栓、果壳箱等设施的整洁完好，承包期间由于管理不善，造成破损的，由中标单位负责赔偿；对不能修复的果壳箱由中标单位负责更换。</w:t>
      </w:r>
    </w:p>
    <w:p>
      <w:pPr>
        <w:spacing w:line="420" w:lineRule="exact"/>
        <w:ind w:firstLine="360" w:firstLineChars="150"/>
        <w:rPr>
          <w:rFonts w:ascii="宋体" w:hAnsi="宋体"/>
          <w:sz w:val="24"/>
        </w:rPr>
      </w:pPr>
      <w:r>
        <w:rPr>
          <w:rFonts w:ascii="宋体" w:hAnsi="宋体"/>
          <w:sz w:val="24"/>
        </w:rPr>
        <w:t>7</w:t>
      </w:r>
      <w:r>
        <w:rPr>
          <w:rFonts w:hint="eastAsia" w:ascii="宋体" w:hAnsi="宋体"/>
          <w:sz w:val="24"/>
        </w:rPr>
        <w:t>．</w:t>
      </w:r>
      <w:r>
        <w:rPr>
          <w:rFonts w:ascii="宋体" w:hAnsi="宋体"/>
          <w:sz w:val="24"/>
        </w:rPr>
        <w:t>清扫保洁员上岗须统一着装，佩戴上岗证、穿反光服和戴反光帽，对发现的问题要及时整改。</w:t>
      </w:r>
    </w:p>
    <w:p>
      <w:pPr>
        <w:spacing w:line="420" w:lineRule="exact"/>
        <w:ind w:firstLine="360" w:firstLineChars="150"/>
        <w:rPr>
          <w:rFonts w:ascii="宋体" w:hAnsi="宋体"/>
          <w:sz w:val="24"/>
        </w:rPr>
      </w:pPr>
      <w:r>
        <w:rPr>
          <w:rFonts w:ascii="宋体" w:hAnsi="宋体"/>
          <w:sz w:val="24"/>
        </w:rPr>
        <w:t>8</w:t>
      </w:r>
      <w:r>
        <w:rPr>
          <w:rFonts w:hint="eastAsia" w:ascii="宋体" w:hAnsi="宋体"/>
          <w:sz w:val="24"/>
        </w:rPr>
        <w:t>．</w:t>
      </w:r>
      <w:r>
        <w:rPr>
          <w:rFonts w:ascii="宋体" w:hAnsi="宋体"/>
          <w:sz w:val="24"/>
        </w:rPr>
        <w:t>作业时作业车辆应停放适当地点，不影响行人和交通，收工后存放在甲方指定的停车场所进行集中管理，收工后作业工具不得放置在在绿化带等位置，放置地点由中标方自行负责。机械作业设备要求为投标路段单独专用的作业车辆。专用作业车辆要有编号，有监督电话、有负责单位、车辆停放自行负责，并按规定安装GPS。</w:t>
      </w:r>
    </w:p>
    <w:p>
      <w:pPr>
        <w:spacing w:line="420" w:lineRule="exact"/>
        <w:ind w:firstLine="360" w:firstLineChars="150"/>
        <w:rPr>
          <w:rFonts w:ascii="宋体" w:hAnsi="宋体"/>
          <w:sz w:val="24"/>
        </w:rPr>
      </w:pPr>
      <w:r>
        <w:rPr>
          <w:rFonts w:ascii="宋体" w:hAnsi="宋体"/>
          <w:sz w:val="24"/>
        </w:rPr>
        <w:t>9</w:t>
      </w:r>
      <w:r>
        <w:rPr>
          <w:rFonts w:hint="eastAsia" w:ascii="宋体" w:hAnsi="宋体"/>
          <w:sz w:val="24"/>
        </w:rPr>
        <w:t>．</w:t>
      </w:r>
      <w:r>
        <w:rPr>
          <w:rFonts w:ascii="宋体" w:hAnsi="宋体"/>
          <w:sz w:val="24"/>
        </w:rPr>
        <w:t>遇到乱丢、乱扔、渣土抛洒污染路面等不文明行为及时进行劝阻，并进行环卫法规的宣传教育，做到说话文明，以理服人，对不听劝阻造成不良影响的，应及时向合同甲方或有关部门报告。</w:t>
      </w:r>
    </w:p>
    <w:p>
      <w:pPr>
        <w:spacing w:line="420" w:lineRule="exact"/>
        <w:ind w:firstLine="360" w:firstLineChars="150"/>
        <w:rPr>
          <w:rFonts w:ascii="宋体" w:hAnsi="宋体"/>
          <w:sz w:val="24"/>
        </w:rPr>
      </w:pPr>
      <w:r>
        <w:rPr>
          <w:rFonts w:ascii="宋体" w:hAnsi="宋体"/>
          <w:sz w:val="24"/>
        </w:rPr>
        <w:t>10</w:t>
      </w:r>
      <w:r>
        <w:rPr>
          <w:rFonts w:hint="eastAsia" w:ascii="宋体" w:hAnsi="宋体"/>
          <w:sz w:val="24"/>
        </w:rPr>
        <w:t>．</w:t>
      </w:r>
      <w:r>
        <w:rPr>
          <w:rFonts w:ascii="宋体" w:hAnsi="宋体"/>
          <w:sz w:val="24"/>
        </w:rPr>
        <w:t>每月25-26日中标单位向合同甲方提交本月工作情况自查表、有关情况书面报告和下月作业安排计划。</w:t>
      </w:r>
    </w:p>
    <w:p>
      <w:pPr>
        <w:spacing w:line="420" w:lineRule="exact"/>
        <w:ind w:firstLine="360" w:firstLineChars="150"/>
        <w:rPr>
          <w:rFonts w:ascii="宋体" w:hAnsi="宋体"/>
          <w:sz w:val="24"/>
        </w:rPr>
      </w:pPr>
      <w:r>
        <w:rPr>
          <w:rFonts w:ascii="宋体" w:hAnsi="宋体"/>
          <w:sz w:val="24"/>
        </w:rPr>
        <w:t>11</w:t>
      </w:r>
      <w:r>
        <w:rPr>
          <w:rFonts w:hint="eastAsia" w:ascii="宋体" w:hAnsi="宋体"/>
          <w:sz w:val="24"/>
        </w:rPr>
        <w:t>．</w:t>
      </w:r>
      <w:r>
        <w:rPr>
          <w:rFonts w:ascii="宋体" w:hAnsi="宋体"/>
          <w:sz w:val="24"/>
        </w:rPr>
        <w:t>按照以人为本原则关心职工，严格遵守《劳动法》、《劳动合同法》等劳动法规，保障职工合法权益。认真贯彻杭政办《浙江省人民政府办公厅关于进一步改善环卫工人工作生活条件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保洁人员工资不得低于浙政办发〔2009〕190号和杭政办〔2008〕14号文件规定的工资标准，必须落实职工劳保福利待遇，为职工缴纳社会保险费（养老保险、医疗保险、失业保险、工伤保险和生育保险）与住房公积金，“五险一金”须在杭州本地缴纳，保障职工休息休假权利，加班必须足额支付加班费，环卫职工的工资、岗位津贴、加班工资等必须确保按月发放。如因违法、违规造成上访或群体性事件的，由中标单位负责处理，并作警告处理。</w:t>
      </w:r>
    </w:p>
    <w:p>
      <w:pPr>
        <w:spacing w:line="420" w:lineRule="exact"/>
        <w:ind w:firstLine="360" w:firstLineChars="150"/>
        <w:rPr>
          <w:rFonts w:ascii="宋体" w:hAnsi="宋体"/>
          <w:sz w:val="24"/>
        </w:rPr>
      </w:pPr>
      <w:r>
        <w:rPr>
          <w:rFonts w:ascii="宋体" w:hAnsi="宋体"/>
          <w:sz w:val="24"/>
        </w:rPr>
        <w:t>12</w:t>
      </w:r>
      <w:r>
        <w:rPr>
          <w:rFonts w:hint="eastAsia" w:ascii="宋体" w:hAnsi="宋体"/>
          <w:sz w:val="24"/>
        </w:rPr>
        <w:t>．</w:t>
      </w:r>
      <w:r>
        <w:rPr>
          <w:rFonts w:ascii="宋体" w:hAnsi="宋体"/>
          <w:sz w:val="24"/>
        </w:rPr>
        <w:t>作业人员不超过法定退休年龄。</w:t>
      </w:r>
    </w:p>
    <w:p>
      <w:pPr>
        <w:spacing w:line="420" w:lineRule="exact"/>
        <w:ind w:firstLine="360" w:firstLineChars="150"/>
        <w:rPr>
          <w:rFonts w:ascii="宋体" w:hAnsi="宋体"/>
          <w:sz w:val="24"/>
        </w:rPr>
      </w:pPr>
      <w:r>
        <w:rPr>
          <w:rFonts w:ascii="宋体" w:hAnsi="宋体"/>
          <w:sz w:val="24"/>
        </w:rPr>
        <w:t>13</w:t>
      </w:r>
      <w:r>
        <w:rPr>
          <w:rFonts w:hint="eastAsia" w:ascii="宋体" w:hAnsi="宋体"/>
          <w:sz w:val="24"/>
        </w:rPr>
        <w:t>．</w:t>
      </w:r>
      <w:r>
        <w:rPr>
          <w:rFonts w:ascii="宋体" w:hAnsi="宋体"/>
          <w:sz w:val="24"/>
        </w:rPr>
        <w:t>环卫职工的工资、岗位津贴、加班工资等必须确保按月发放。</w:t>
      </w:r>
    </w:p>
    <w:p>
      <w:pPr>
        <w:spacing w:line="420" w:lineRule="exact"/>
        <w:ind w:firstLine="360" w:firstLineChars="150"/>
        <w:rPr>
          <w:rFonts w:ascii="宋体" w:hAnsi="宋体"/>
          <w:sz w:val="24"/>
        </w:rPr>
      </w:pPr>
      <w:r>
        <w:rPr>
          <w:rFonts w:ascii="宋体" w:hAnsi="宋体"/>
          <w:sz w:val="24"/>
        </w:rPr>
        <w:t>14</w:t>
      </w:r>
      <w:r>
        <w:rPr>
          <w:rFonts w:hint="eastAsia" w:ascii="宋体" w:hAnsi="宋体"/>
          <w:sz w:val="24"/>
        </w:rPr>
        <w:t>．</w:t>
      </w:r>
      <w:r>
        <w:rPr>
          <w:rFonts w:ascii="宋体" w:hAnsi="宋体"/>
          <w:sz w:val="24"/>
        </w:rPr>
        <w:t>作业单位不得使用消防栓取水用于环卫作业。</w:t>
      </w:r>
    </w:p>
    <w:p>
      <w:pPr>
        <w:spacing w:line="420" w:lineRule="exact"/>
        <w:ind w:firstLine="360" w:firstLineChars="150"/>
        <w:rPr>
          <w:rFonts w:ascii="宋体" w:hAnsi="宋体"/>
          <w:sz w:val="24"/>
        </w:rPr>
      </w:pPr>
      <w:r>
        <w:rPr>
          <w:rFonts w:ascii="宋体" w:hAnsi="宋体"/>
          <w:sz w:val="24"/>
        </w:rPr>
        <w:t>15</w:t>
      </w:r>
      <w:r>
        <w:rPr>
          <w:rFonts w:hint="eastAsia" w:ascii="宋体" w:hAnsi="宋体"/>
          <w:sz w:val="24"/>
        </w:rPr>
        <w:t>．</w:t>
      </w:r>
      <w:r>
        <w:rPr>
          <w:rFonts w:ascii="宋体" w:hAnsi="宋体"/>
          <w:sz w:val="24"/>
        </w:rPr>
        <w:t>建有工会组织，定期召开职工大会。应制定宣贯方案，确定宣贯人员，定时组织环卫行业政策法规的宣贯，做到上情下达、下情上达，保持职工队伍稳定。</w:t>
      </w:r>
    </w:p>
    <w:p>
      <w:pPr>
        <w:spacing w:line="420" w:lineRule="exact"/>
        <w:ind w:firstLine="360" w:firstLineChars="150"/>
        <w:rPr>
          <w:rFonts w:hint="eastAsia" w:ascii="宋体" w:hAnsi="宋体"/>
          <w:sz w:val="24"/>
        </w:rPr>
      </w:pPr>
      <w:r>
        <w:rPr>
          <w:rFonts w:ascii="宋体" w:hAnsi="宋体"/>
          <w:sz w:val="24"/>
        </w:rPr>
        <w:t>16</w:t>
      </w:r>
      <w:r>
        <w:rPr>
          <w:rFonts w:hint="eastAsia" w:ascii="宋体" w:hAnsi="宋体"/>
          <w:sz w:val="24"/>
        </w:rPr>
        <w:t>．</w:t>
      </w:r>
      <w:r>
        <w:rPr>
          <w:rFonts w:ascii="宋体" w:hAnsi="宋体"/>
          <w:sz w:val="24"/>
        </w:rPr>
        <w:t>中标企业要求优先录用原环卫所及原作业单位的合同制环卫工人，并保证录用的原合同工在原合同期内：一、工资待遇不低于原作业单位提供的工资待遇；二、岗位不变；三、不得无故终止原合同及续签合同，否则按劳动法实行补偿或赔偿（提供书面承诺书）。</w:t>
      </w:r>
    </w:p>
    <w:p>
      <w:pPr>
        <w:spacing w:line="440" w:lineRule="exact"/>
        <w:ind w:firstLine="480" w:firstLineChars="200"/>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.建立监管、养护、执法三协同管理机制，第一时间发现城市管理“四化”及违法问题，应及时告知甲方，未及时告知，纳入清洁度考核。</w:t>
      </w:r>
    </w:p>
    <w:p>
      <w:pPr>
        <w:spacing w:line="440" w:lineRule="exact"/>
        <w:ind w:firstLine="480" w:firstLineChars="200"/>
        <w:rPr>
          <w:rFonts w:ascii="宋体" w:hAnsi="宋体"/>
          <w:sz w:val="24"/>
        </w:rPr>
      </w:pPr>
      <w:r>
        <w:rPr>
          <w:rFonts w:hint="eastAsia" w:ascii="宋体" w:hAnsi="宋体"/>
          <w:sz w:val="24"/>
        </w:rPr>
        <w:t>18．保洁作业单位要建立内部诚信管理体系，并定期进行备案或更新，特别是各保洁人员发生廉洁、诚信、重大安全事故等方面问题，将被记录在案，同时服从甲方诚信管理要求。</w:t>
      </w:r>
    </w:p>
    <w:p>
      <w:pPr>
        <w:pStyle w:val="202"/>
        <w:adjustRightInd w:val="0"/>
        <w:snapToGrid w:val="0"/>
        <w:spacing w:before="0" w:line="460" w:lineRule="exact"/>
        <w:ind w:firstLine="482"/>
        <w:outlineLvl w:val="1"/>
        <w:rPr>
          <w:rFonts w:hint="eastAsia" w:ascii="宋体" w:hAnsi="宋体"/>
          <w:b/>
        </w:rPr>
      </w:pPr>
      <w:bookmarkStart w:id="88" w:name="_Toc83910199"/>
      <w:r>
        <w:rPr>
          <w:rFonts w:hint="eastAsia" w:ascii="宋体" w:hAnsi="宋体"/>
          <w:b/>
        </w:rPr>
        <w:t>四、承包方式</w:t>
      </w:r>
      <w:bookmarkEnd w:id="88"/>
    </w:p>
    <w:p>
      <w:pPr>
        <w:pStyle w:val="202"/>
        <w:adjustRightInd w:val="0"/>
        <w:snapToGrid w:val="0"/>
        <w:spacing w:before="0" w:line="460" w:lineRule="exact"/>
        <w:ind w:firstLine="480"/>
        <w:rPr>
          <w:rFonts w:hint="eastAsia" w:ascii="宋体" w:hAnsi="宋体"/>
        </w:rPr>
      </w:pPr>
      <w:r>
        <w:rPr>
          <w:rFonts w:hint="eastAsia" w:ascii="宋体" w:hAnsi="宋体"/>
        </w:rPr>
        <w:t>除经采购单位同意外，中标人一律不得将本项目分包及内部经济承包，一经发现立即取消承包资格，作违约处理，并由中标人承担由此引起的法律责任及一切经济损失。</w:t>
      </w:r>
    </w:p>
    <w:p>
      <w:pPr>
        <w:pStyle w:val="202"/>
        <w:adjustRightInd w:val="0"/>
        <w:snapToGrid w:val="0"/>
        <w:spacing w:before="0" w:line="460" w:lineRule="exact"/>
        <w:ind w:firstLine="482"/>
        <w:outlineLvl w:val="1"/>
        <w:rPr>
          <w:rFonts w:hint="eastAsia" w:ascii="宋体" w:hAnsi="宋体" w:cs="宋体"/>
          <w:b/>
        </w:rPr>
      </w:pPr>
      <w:bookmarkStart w:id="89" w:name="_Toc83910200"/>
      <w:r>
        <w:rPr>
          <w:rFonts w:hint="eastAsia" w:ascii="宋体" w:hAnsi="宋体" w:cs="宋体"/>
          <w:b/>
        </w:rPr>
        <w:t>五、人员要求</w:t>
      </w:r>
      <w:bookmarkEnd w:id="89"/>
    </w:p>
    <w:p>
      <w:pPr>
        <w:pStyle w:val="202"/>
        <w:adjustRightInd w:val="0"/>
        <w:snapToGrid w:val="0"/>
        <w:spacing w:before="0" w:line="460" w:lineRule="exact"/>
        <w:ind w:firstLine="480"/>
        <w:rPr>
          <w:rFonts w:hint="eastAsia" w:ascii="宋体" w:hAnsi="宋体"/>
        </w:rPr>
      </w:pPr>
      <w:r>
        <w:rPr>
          <w:rFonts w:hint="eastAsia" w:ascii="宋体" w:hAnsi="宋体"/>
          <w:szCs w:val="24"/>
        </w:rPr>
        <w:t>▲</w:t>
      </w:r>
      <w:r>
        <w:rPr>
          <w:rFonts w:hint="eastAsia" w:ascii="宋体" w:hAnsi="宋体" w:cs="宋体"/>
          <w:b/>
        </w:rPr>
        <w:t>提供街巷保洁作业人员具体配置计划。数量以作业人员配置计划表为准，街巷一线作业人员（含班组长、不含管理人员）数量</w:t>
      </w:r>
      <w:r>
        <w:rPr>
          <w:rFonts w:hint="eastAsia" w:ascii="宋体" w:hAnsi="宋体" w:cs="宋体"/>
          <w:b/>
          <w:bCs/>
        </w:rPr>
        <w:t>最低应达到16人。</w:t>
      </w:r>
    </w:p>
    <w:p>
      <w:pPr>
        <w:pStyle w:val="202"/>
        <w:numPr>
          <w:ilvl w:val="0"/>
          <w:numId w:val="2"/>
        </w:numPr>
        <w:adjustRightInd w:val="0"/>
        <w:snapToGrid w:val="0"/>
        <w:spacing w:before="0" w:line="460" w:lineRule="exact"/>
        <w:ind w:firstLine="482"/>
        <w:outlineLvl w:val="1"/>
        <w:rPr>
          <w:rFonts w:hint="eastAsia" w:ascii="宋体" w:hAnsi="宋体"/>
          <w:b/>
        </w:rPr>
      </w:pPr>
      <w:bookmarkStart w:id="90" w:name="_Toc83910201"/>
      <w:r>
        <w:rPr>
          <w:rFonts w:hint="eastAsia" w:ascii="宋体" w:hAnsi="宋体"/>
          <w:b/>
        </w:rPr>
        <w:t>服务期限</w:t>
      </w:r>
      <w:bookmarkEnd w:id="90"/>
    </w:p>
    <w:p>
      <w:pPr>
        <w:pStyle w:val="202"/>
        <w:adjustRightInd w:val="0"/>
        <w:snapToGrid w:val="0"/>
        <w:spacing w:before="0" w:line="460" w:lineRule="exact"/>
        <w:ind w:firstLine="482"/>
        <w:rPr>
          <w:rFonts w:hint="eastAsia" w:ascii="宋体" w:hAnsi="宋体"/>
          <w:b/>
        </w:rPr>
      </w:pPr>
      <w:r>
        <w:rPr>
          <w:rFonts w:hint="eastAsia" w:ascii="宋体" w:hAnsi="宋体"/>
          <w:b/>
        </w:rPr>
        <w:t>一年（合同履行期内如果达到考核要求，甲方向上级财政部门报批审核通过后，可按原合同要求续签一年，合同履行期限一年为1次，续签次数最多不超多2次。）</w:t>
      </w:r>
    </w:p>
    <w:p>
      <w:pPr>
        <w:pStyle w:val="202"/>
        <w:adjustRightInd w:val="0"/>
        <w:snapToGrid w:val="0"/>
        <w:spacing w:before="0" w:line="460" w:lineRule="exact"/>
        <w:ind w:firstLine="482"/>
        <w:outlineLvl w:val="1"/>
        <w:rPr>
          <w:rFonts w:hint="eastAsia" w:ascii="宋体" w:hAnsi="宋体" w:cs="宋体"/>
          <w:b/>
        </w:rPr>
      </w:pPr>
      <w:bookmarkStart w:id="91" w:name="_Toc83910202"/>
      <w:r>
        <w:rPr>
          <w:rFonts w:hint="eastAsia" w:ascii="宋体" w:hAnsi="宋体" w:cs="宋体"/>
          <w:b/>
        </w:rPr>
        <w:t>七、 项目明细（附后）</w:t>
      </w:r>
      <w:bookmarkEnd w:id="91"/>
    </w:p>
    <w:p>
      <w:pPr>
        <w:pStyle w:val="45"/>
        <w:spacing w:line="480" w:lineRule="exact"/>
        <w:jc w:val="center"/>
        <w:rPr>
          <w:rFonts w:hint="eastAsia" w:hAnsi="宋体" w:cs="宋体"/>
          <w:b/>
          <w:bCs/>
          <w:sz w:val="32"/>
          <w:szCs w:val="32"/>
        </w:rPr>
      </w:pPr>
    </w:p>
    <w:p>
      <w:pPr>
        <w:pStyle w:val="45"/>
        <w:spacing w:line="480" w:lineRule="exact"/>
        <w:jc w:val="center"/>
        <w:rPr>
          <w:rFonts w:hint="eastAsia" w:hAnsi="宋体" w:cs="宋体"/>
          <w:b/>
          <w:bCs/>
          <w:sz w:val="32"/>
          <w:szCs w:val="32"/>
        </w:rPr>
      </w:pPr>
    </w:p>
    <w:p>
      <w:pPr>
        <w:pStyle w:val="45"/>
        <w:spacing w:line="480" w:lineRule="exact"/>
        <w:jc w:val="center"/>
        <w:rPr>
          <w:rFonts w:hint="eastAsia" w:hAnsi="宋体" w:cs="宋体"/>
          <w:b/>
          <w:bCs/>
          <w:sz w:val="32"/>
          <w:szCs w:val="32"/>
        </w:rPr>
      </w:pPr>
    </w:p>
    <w:p>
      <w:pPr>
        <w:pStyle w:val="45"/>
        <w:spacing w:line="480" w:lineRule="exact"/>
        <w:jc w:val="center"/>
        <w:rPr>
          <w:rFonts w:hint="eastAsia" w:hAnsi="宋体" w:cs="宋体"/>
          <w:b/>
          <w:bCs/>
          <w:sz w:val="32"/>
          <w:szCs w:val="32"/>
        </w:rPr>
      </w:pPr>
    </w:p>
    <w:p>
      <w:pPr>
        <w:rPr>
          <w:rFonts w:hint="eastAsia" w:ascii="宋体" w:hAnsi="宋体"/>
          <w:b/>
          <w:spacing w:val="-20"/>
          <w:szCs w:val="28"/>
        </w:rPr>
      </w:pPr>
    </w:p>
    <w:p>
      <w:pPr>
        <w:pStyle w:val="45"/>
        <w:spacing w:line="480" w:lineRule="exact"/>
        <w:jc w:val="center"/>
        <w:rPr>
          <w:rFonts w:hint="eastAsia" w:hAnsi="宋体" w:cs="宋体"/>
          <w:b/>
          <w:bCs/>
          <w:sz w:val="32"/>
          <w:szCs w:val="32"/>
        </w:rPr>
      </w:pPr>
      <w:r>
        <w:rPr>
          <w:rFonts w:hAnsi="宋体" w:cs="宋体"/>
          <w:b/>
          <w:bCs/>
          <w:sz w:val="32"/>
          <w:szCs w:val="32"/>
        </w:rPr>
        <w:br w:type="page"/>
      </w:r>
    </w:p>
    <w:p>
      <w:pPr>
        <w:rPr>
          <w:rFonts w:hint="eastAsia" w:ascii="宋体" w:hAnsi="宋体"/>
          <w:b/>
          <w:kern w:val="0"/>
          <w:sz w:val="24"/>
          <w:szCs w:val="24"/>
        </w:rPr>
      </w:pPr>
      <w:r>
        <w:rPr>
          <w:rFonts w:hint="eastAsia" w:ascii="宋体" w:hAnsi="宋体"/>
          <w:b/>
          <w:kern w:val="0"/>
          <w:sz w:val="24"/>
          <w:szCs w:val="24"/>
        </w:rPr>
        <w:t>标项：文二西路以南、西城广场区块</w:t>
      </w:r>
    </w:p>
    <w:p>
      <w:pPr>
        <w:jc w:val="left"/>
        <w:rPr>
          <w:rFonts w:hint="eastAsia" w:ascii="宋体" w:hAnsi="宋体" w:cs="宋体"/>
          <w:kern w:val="0"/>
          <w:sz w:val="24"/>
          <w:szCs w:val="24"/>
        </w:rPr>
      </w:pPr>
      <w:r>
        <w:rPr>
          <w:rFonts w:hint="eastAsia" w:ascii="宋体" w:hAnsi="宋体" w:cs="宋体"/>
          <w:kern w:val="0"/>
          <w:sz w:val="24"/>
          <w:szCs w:val="24"/>
        </w:rPr>
        <w:t>街巷道路清扫保洁、绿地保洁、生活垃圾等清运处置、偷倒垃圾清运处置、垃圾桶的清洗、维修及洁面工程。</w:t>
      </w:r>
    </w:p>
    <w:tbl>
      <w:tblPr>
        <w:tblStyle w:val="88"/>
        <w:tblW w:w="10087" w:type="dxa"/>
        <w:tblInd w:w="-635" w:type="dxa"/>
        <w:tblLayout w:type="fixed"/>
        <w:tblCellMar>
          <w:top w:w="0" w:type="dxa"/>
          <w:left w:w="108" w:type="dxa"/>
          <w:bottom w:w="0" w:type="dxa"/>
          <w:right w:w="108" w:type="dxa"/>
        </w:tblCellMar>
      </w:tblPr>
      <w:tblGrid>
        <w:gridCol w:w="487"/>
        <w:gridCol w:w="971"/>
        <w:gridCol w:w="1340"/>
        <w:gridCol w:w="701"/>
        <w:gridCol w:w="3108"/>
        <w:gridCol w:w="780"/>
        <w:gridCol w:w="885"/>
        <w:gridCol w:w="1050"/>
        <w:gridCol w:w="765"/>
      </w:tblGrid>
      <w:tr>
        <w:tblPrEx>
          <w:tblCellMar>
            <w:top w:w="0" w:type="dxa"/>
            <w:left w:w="108" w:type="dxa"/>
            <w:bottom w:w="0" w:type="dxa"/>
            <w:right w:w="108" w:type="dxa"/>
          </w:tblCellMar>
        </w:tblPrEx>
        <w:trPr>
          <w:trHeight w:val="285" w:hRule="atLeast"/>
        </w:trPr>
        <w:tc>
          <w:tcPr>
            <w:tcW w:w="48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序号</w:t>
            </w:r>
          </w:p>
        </w:tc>
        <w:tc>
          <w:tcPr>
            <w:tcW w:w="971"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社区</w:t>
            </w:r>
          </w:p>
        </w:tc>
        <w:tc>
          <w:tcPr>
            <w:tcW w:w="134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道路</w:t>
            </w:r>
          </w:p>
        </w:tc>
        <w:tc>
          <w:tcPr>
            <w:tcW w:w="70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街巷类别</w:t>
            </w:r>
          </w:p>
        </w:tc>
        <w:tc>
          <w:tcPr>
            <w:tcW w:w="310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幢  间</w:t>
            </w:r>
          </w:p>
        </w:tc>
        <w:tc>
          <w:tcPr>
            <w:tcW w:w="7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长度(m)</w:t>
            </w:r>
          </w:p>
        </w:tc>
        <w:tc>
          <w:tcPr>
            <w:tcW w:w="88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宽度(m)</w:t>
            </w:r>
          </w:p>
        </w:tc>
        <w:tc>
          <w:tcPr>
            <w:tcW w:w="105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面积(㎡)</w:t>
            </w:r>
          </w:p>
        </w:tc>
        <w:tc>
          <w:tcPr>
            <w:tcW w:w="76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小计</w:t>
            </w:r>
          </w:p>
        </w:tc>
      </w:tr>
      <w:tr>
        <w:tblPrEx>
          <w:tblCellMar>
            <w:top w:w="0" w:type="dxa"/>
            <w:left w:w="108" w:type="dxa"/>
            <w:bottom w:w="0" w:type="dxa"/>
            <w:right w:w="108" w:type="dxa"/>
          </w:tblCellMar>
        </w:tblPrEx>
        <w:trPr>
          <w:trHeight w:val="897" w:hRule="atLeast"/>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名称</w:t>
            </w: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名称</w:t>
            </w: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310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7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05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76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465" w:hRule="atLeast"/>
        </w:trPr>
        <w:tc>
          <w:tcPr>
            <w:tcW w:w="487"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971"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金乐</w:t>
            </w:r>
          </w:p>
          <w:p>
            <w:pPr>
              <w:widowControl/>
              <w:jc w:val="center"/>
              <w:rPr>
                <w:rFonts w:ascii="宋体" w:hAnsi="宋体" w:cs="宋体"/>
                <w:kern w:val="0"/>
                <w:sz w:val="20"/>
              </w:rPr>
            </w:pPr>
            <w:r>
              <w:rPr>
                <w:rFonts w:hint="eastAsia" w:ascii="宋体" w:hAnsi="宋体" w:cs="宋体"/>
                <w:kern w:val="0"/>
                <w:sz w:val="20"/>
              </w:rPr>
              <w:t>社区</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文苑小学南</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文苑小学--竞舟路</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170</w:t>
            </w:r>
          </w:p>
        </w:tc>
        <w:tc>
          <w:tcPr>
            <w:tcW w:w="8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9.7</w:t>
            </w:r>
          </w:p>
        </w:tc>
        <w:tc>
          <w:tcPr>
            <w:tcW w:w="1050" w:type="dxa"/>
            <w:tcBorders>
              <w:top w:val="nil"/>
              <w:left w:val="nil"/>
              <w:bottom w:val="single" w:color="auto" w:sz="4" w:space="0"/>
              <w:right w:val="nil"/>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1532.69</w:t>
            </w:r>
          </w:p>
        </w:tc>
        <w:tc>
          <w:tcPr>
            <w:tcW w:w="76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97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金乐社区、府新社区</w:t>
            </w:r>
          </w:p>
        </w:tc>
        <w:tc>
          <w:tcPr>
            <w:tcW w:w="1340" w:type="dxa"/>
            <w:tcBorders>
              <w:top w:val="nil"/>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文乐巷</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文三西路428号--美都新村</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281</w:t>
            </w:r>
          </w:p>
        </w:tc>
        <w:tc>
          <w:tcPr>
            <w:tcW w:w="8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7.2</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2237.31</w:t>
            </w:r>
          </w:p>
        </w:tc>
        <w:tc>
          <w:tcPr>
            <w:tcW w:w="765"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金康路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古墩路208号--五联东苑</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268</w:t>
            </w:r>
          </w:p>
        </w:tc>
        <w:tc>
          <w:tcPr>
            <w:tcW w:w="885"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0"/>
              </w:rPr>
            </w:pPr>
            <w:r>
              <w:rPr>
                <w:rFonts w:hint="eastAsia" w:ascii="宋体" w:hAnsi="宋体" w:cs="宋体"/>
                <w:kern w:val="0"/>
                <w:sz w:val="20"/>
              </w:rPr>
              <w:t>6</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1389.78</w:t>
            </w:r>
          </w:p>
        </w:tc>
        <w:tc>
          <w:tcPr>
            <w:tcW w:w="7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金丹路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古墩路353号--五联西苑</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278</w:t>
            </w:r>
          </w:p>
        </w:tc>
        <w:tc>
          <w:tcPr>
            <w:tcW w:w="8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9.5</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2488.13</w:t>
            </w:r>
          </w:p>
        </w:tc>
        <w:tc>
          <w:tcPr>
            <w:tcW w:w="7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康乐新村东</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康乐新村--明月公寓（文新街道北侧）</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65</w:t>
            </w:r>
          </w:p>
        </w:tc>
        <w:tc>
          <w:tcPr>
            <w:tcW w:w="8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13.5</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804.13</w:t>
            </w:r>
          </w:p>
        </w:tc>
        <w:tc>
          <w:tcPr>
            <w:tcW w:w="76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9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桂花园        社区、沁雅社区</w:t>
            </w:r>
          </w:p>
        </w:tc>
        <w:tc>
          <w:tcPr>
            <w:tcW w:w="1340" w:type="dxa"/>
            <w:tcBorders>
              <w:top w:val="nil"/>
              <w:left w:val="nil"/>
              <w:bottom w:val="nil"/>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锋尚路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文三西路493号--紫金庭园</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374</w:t>
            </w:r>
          </w:p>
        </w:tc>
        <w:tc>
          <w:tcPr>
            <w:tcW w:w="8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13</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5865.05 </w:t>
            </w:r>
          </w:p>
        </w:tc>
        <w:tc>
          <w:tcPr>
            <w:tcW w:w="765"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紫庭北弄</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紫荆花路--紫金庭园</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313</w:t>
            </w:r>
          </w:p>
        </w:tc>
        <w:tc>
          <w:tcPr>
            <w:tcW w:w="8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12</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5251.98 </w:t>
            </w:r>
          </w:p>
        </w:tc>
        <w:tc>
          <w:tcPr>
            <w:tcW w:w="7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金欣公寓南</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古墩路--丹金桂花园</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271</w:t>
            </w:r>
          </w:p>
        </w:tc>
        <w:tc>
          <w:tcPr>
            <w:tcW w:w="885"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17</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2379.68 </w:t>
            </w:r>
          </w:p>
        </w:tc>
        <w:tc>
          <w:tcPr>
            <w:tcW w:w="7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文古巷</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文三西路17号--丰潭中学</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435</w:t>
            </w:r>
          </w:p>
        </w:tc>
        <w:tc>
          <w:tcPr>
            <w:tcW w:w="8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7.5</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3936.10 </w:t>
            </w:r>
          </w:p>
        </w:tc>
        <w:tc>
          <w:tcPr>
            <w:tcW w:w="76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971" w:type="dxa"/>
            <w:vMerge w:val="restart"/>
            <w:tcBorders>
              <w:top w:val="nil"/>
              <w:left w:val="single" w:color="auto" w:sz="4" w:space="0"/>
              <w:bottom w:val="nil"/>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府新</w:t>
            </w:r>
          </w:p>
          <w:p>
            <w:pPr>
              <w:widowControl/>
              <w:jc w:val="center"/>
              <w:rPr>
                <w:rFonts w:ascii="宋体" w:hAnsi="宋体" w:cs="宋体"/>
                <w:kern w:val="0"/>
                <w:sz w:val="20"/>
              </w:rPr>
            </w:pPr>
            <w:r>
              <w:rPr>
                <w:rFonts w:hint="eastAsia" w:ascii="宋体" w:hAnsi="宋体" w:cs="宋体"/>
                <w:kern w:val="0"/>
                <w:sz w:val="20"/>
              </w:rPr>
              <w:t>社区</w:t>
            </w:r>
          </w:p>
        </w:tc>
        <w:tc>
          <w:tcPr>
            <w:tcW w:w="1340" w:type="dxa"/>
            <w:tcBorders>
              <w:top w:val="nil"/>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西城路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文二西路--文三西路</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641</w:t>
            </w:r>
          </w:p>
        </w:tc>
        <w:tc>
          <w:tcPr>
            <w:tcW w:w="8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11</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5631.75 </w:t>
            </w:r>
          </w:p>
        </w:tc>
        <w:tc>
          <w:tcPr>
            <w:tcW w:w="765"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颐景园南</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古墩路--五联西苑</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292</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10</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3368.42 </w:t>
            </w:r>
          </w:p>
        </w:tc>
        <w:tc>
          <w:tcPr>
            <w:tcW w:w="76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97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登云圩    社区</w:t>
            </w:r>
          </w:p>
        </w:tc>
        <w:tc>
          <w:tcPr>
            <w:tcW w:w="1340" w:type="dxa"/>
            <w:tcBorders>
              <w:top w:val="nil"/>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十五中东</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登新公寓33幢--文三西路</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496</w:t>
            </w:r>
          </w:p>
        </w:tc>
        <w:tc>
          <w:tcPr>
            <w:tcW w:w="885"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0"/>
              </w:rPr>
            </w:pPr>
            <w:r>
              <w:rPr>
                <w:rFonts w:hint="eastAsia" w:ascii="宋体" w:hAnsi="宋体" w:cs="宋体"/>
                <w:kern w:val="0"/>
                <w:sz w:val="20"/>
              </w:rPr>
              <w:t>6</w:t>
            </w:r>
          </w:p>
        </w:tc>
        <w:tc>
          <w:tcPr>
            <w:tcW w:w="1050"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2878.26 </w:t>
            </w:r>
          </w:p>
        </w:tc>
        <w:tc>
          <w:tcPr>
            <w:tcW w:w="765"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强身路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文二西路—紫金港路</w:t>
            </w:r>
          </w:p>
        </w:tc>
        <w:tc>
          <w:tcPr>
            <w:tcW w:w="78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505</w:t>
            </w:r>
          </w:p>
        </w:tc>
        <w:tc>
          <w:tcPr>
            <w:tcW w:w="88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16</w:t>
            </w:r>
          </w:p>
        </w:tc>
        <w:tc>
          <w:tcPr>
            <w:tcW w:w="105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8143.19 </w:t>
            </w:r>
          </w:p>
        </w:tc>
        <w:tc>
          <w:tcPr>
            <w:tcW w:w="7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育才第一小学南</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20"/>
              </w:rPr>
              <w:t>一类</w:t>
            </w:r>
          </w:p>
        </w:tc>
        <w:tc>
          <w:tcPr>
            <w:tcW w:w="3108"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西湖体育馆南—紫金港路</w:t>
            </w:r>
          </w:p>
        </w:tc>
        <w:tc>
          <w:tcPr>
            <w:tcW w:w="7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188</w:t>
            </w:r>
          </w:p>
        </w:tc>
        <w:tc>
          <w:tcPr>
            <w:tcW w:w="88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12</w:t>
            </w:r>
          </w:p>
        </w:tc>
        <w:tc>
          <w:tcPr>
            <w:tcW w:w="105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2606.70 </w:t>
            </w:r>
          </w:p>
        </w:tc>
        <w:tc>
          <w:tcPr>
            <w:tcW w:w="7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tcBorders>
              <w:top w:val="nil"/>
              <w:left w:val="nil"/>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登新公寓一期</w:t>
            </w:r>
          </w:p>
        </w:tc>
        <w:tc>
          <w:tcPr>
            <w:tcW w:w="701" w:type="dxa"/>
            <w:tcBorders>
              <w:top w:val="nil"/>
              <w:left w:val="nil"/>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三类</w:t>
            </w:r>
          </w:p>
        </w:tc>
        <w:tc>
          <w:tcPr>
            <w:tcW w:w="3108" w:type="dxa"/>
            <w:tcBorders>
              <w:top w:val="nil"/>
              <w:left w:val="nil"/>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登新公寓一期</w:t>
            </w:r>
          </w:p>
        </w:tc>
        <w:tc>
          <w:tcPr>
            <w:tcW w:w="7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1000</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0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3000</w:t>
            </w:r>
          </w:p>
        </w:tc>
        <w:tc>
          <w:tcPr>
            <w:tcW w:w="7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p>
        </w:tc>
        <w:tc>
          <w:tcPr>
            <w:tcW w:w="13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登新公寓西</w:t>
            </w:r>
          </w:p>
        </w:tc>
        <w:tc>
          <w:tcPr>
            <w:tcW w:w="70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二类</w:t>
            </w:r>
          </w:p>
        </w:tc>
        <w:tc>
          <w:tcPr>
            <w:tcW w:w="310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文二西路—文三西路、文二西路—文三西路</w:t>
            </w:r>
          </w:p>
        </w:tc>
        <w:tc>
          <w:tcPr>
            <w:tcW w:w="78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150</w:t>
            </w:r>
          </w:p>
        </w:tc>
        <w:tc>
          <w:tcPr>
            <w:tcW w:w="885"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p>
        </w:tc>
        <w:tc>
          <w:tcPr>
            <w:tcW w:w="1050" w:type="dxa"/>
            <w:vMerge w:val="restart"/>
            <w:tcBorders>
              <w:top w:val="nil"/>
              <w:left w:val="nil"/>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11066.16</w:t>
            </w:r>
          </w:p>
        </w:tc>
        <w:tc>
          <w:tcPr>
            <w:tcW w:w="76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31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8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500</w:t>
            </w:r>
          </w:p>
        </w:tc>
        <w:tc>
          <w:tcPr>
            <w:tcW w:w="885"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12</w:t>
            </w:r>
          </w:p>
        </w:tc>
        <w:tc>
          <w:tcPr>
            <w:tcW w:w="1050" w:type="dxa"/>
            <w:vMerge w:val="continue"/>
            <w:tcBorders>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p>
        </w:tc>
        <w:tc>
          <w:tcPr>
            <w:tcW w:w="76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97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府新</w:t>
            </w:r>
          </w:p>
          <w:p>
            <w:pPr>
              <w:widowControl/>
              <w:jc w:val="center"/>
              <w:rPr>
                <w:rFonts w:hint="eastAsia" w:ascii="宋体" w:hAnsi="宋体" w:cs="宋体"/>
                <w:kern w:val="0"/>
                <w:sz w:val="20"/>
              </w:rPr>
            </w:pPr>
            <w:r>
              <w:rPr>
                <w:rFonts w:hint="eastAsia" w:ascii="宋体" w:hAnsi="宋体" w:cs="宋体"/>
                <w:kern w:val="0"/>
                <w:sz w:val="20"/>
              </w:rPr>
              <w:t>社区</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0"/>
                <w:szCs w:val="22"/>
              </w:rPr>
            </w:pPr>
            <w:r>
              <w:rPr>
                <w:rFonts w:hint="eastAsia" w:ascii="宋体" w:hAnsi="宋体" w:cs="宋体"/>
                <w:kern w:val="0"/>
                <w:sz w:val="20"/>
              </w:rPr>
              <w:t>西城广场</w:t>
            </w:r>
          </w:p>
        </w:tc>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2"/>
              </w:rPr>
            </w:pPr>
            <w:r>
              <w:rPr>
                <w:rFonts w:hint="eastAsia" w:ascii="宋体" w:hAnsi="宋体" w:cs="宋体"/>
                <w:kern w:val="0"/>
                <w:sz w:val="20"/>
              </w:rPr>
              <w:t>1类18H</w:t>
            </w:r>
          </w:p>
        </w:tc>
        <w:tc>
          <w:tcPr>
            <w:tcW w:w="31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2"/>
              </w:rPr>
            </w:pP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r>
              <w:rPr>
                <w:rFonts w:hint="eastAsia" w:ascii="宋体" w:hAnsi="宋体" w:cs="宋体"/>
                <w:kern w:val="0"/>
                <w:sz w:val="18"/>
                <w:szCs w:val="18"/>
                <w:lang w:bidi="ar"/>
              </w:rPr>
              <w:t>17270.48</w:t>
            </w:r>
          </w:p>
        </w:tc>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left w:val="single" w:color="auto" w:sz="4" w:space="0"/>
              <w:right w:val="single" w:color="auto" w:sz="4" w:space="0"/>
            </w:tcBorders>
            <w:noWrap/>
            <w:vAlign w:val="center"/>
          </w:tcPr>
          <w:p>
            <w:pPr>
              <w:widowControl/>
              <w:jc w:val="center"/>
              <w:rPr>
                <w:rFonts w:ascii="宋体" w:hAnsi="宋体" w:cs="宋体"/>
                <w:kern w:val="0"/>
                <w:sz w:val="20"/>
              </w:rPr>
            </w:pPr>
          </w:p>
        </w:tc>
        <w:tc>
          <w:tcPr>
            <w:tcW w:w="97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0"/>
                <w:szCs w:val="22"/>
              </w:rPr>
            </w:pPr>
            <w:r>
              <w:rPr>
                <w:rFonts w:hint="eastAsia" w:ascii="宋体" w:hAnsi="宋体" w:cs="宋体"/>
                <w:kern w:val="0"/>
                <w:sz w:val="20"/>
              </w:rPr>
              <w:t>西城广场南</w:t>
            </w:r>
          </w:p>
        </w:tc>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2"/>
              </w:rPr>
            </w:pPr>
            <w:r>
              <w:rPr>
                <w:rFonts w:hint="eastAsia" w:ascii="宋体" w:hAnsi="宋体" w:cs="宋体"/>
                <w:kern w:val="0"/>
                <w:sz w:val="20"/>
              </w:rPr>
              <w:t>一类</w:t>
            </w:r>
          </w:p>
        </w:tc>
        <w:tc>
          <w:tcPr>
            <w:tcW w:w="31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0"/>
                <w:szCs w:val="22"/>
              </w:rPr>
            </w:pPr>
            <w:r>
              <w:rPr>
                <w:rFonts w:hint="eastAsia" w:ascii="宋体" w:hAnsi="宋体" w:cs="宋体"/>
                <w:kern w:val="0"/>
                <w:sz w:val="20"/>
              </w:rPr>
              <w:t>紫荆花路--颐景园北</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0"/>
                <w:szCs w:val="22"/>
              </w:rPr>
            </w:pPr>
            <w:r>
              <w:rPr>
                <w:rFonts w:hint="eastAsia" w:ascii="宋体" w:hAnsi="宋体" w:cs="宋体"/>
                <w:kern w:val="0"/>
                <w:sz w:val="18"/>
                <w:szCs w:val="18"/>
                <w:lang w:bidi="ar"/>
              </w:rPr>
              <w:t>336</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r>
              <w:rPr>
                <w:rFonts w:hint="eastAsia" w:ascii="宋体" w:hAnsi="宋体" w:cs="宋体"/>
                <w:kern w:val="0"/>
                <w:sz w:val="20"/>
              </w:rPr>
              <w:t>10.2</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0"/>
                <w:szCs w:val="22"/>
              </w:rPr>
            </w:pPr>
            <w:r>
              <w:rPr>
                <w:rFonts w:hint="eastAsia" w:ascii="宋体" w:hAnsi="宋体" w:cs="宋体"/>
                <w:kern w:val="0"/>
                <w:sz w:val="18"/>
                <w:szCs w:val="18"/>
                <w:lang w:bidi="ar"/>
              </w:rPr>
              <w:t xml:space="preserve">2643.22 </w:t>
            </w:r>
          </w:p>
        </w:tc>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c>
          <w:tcPr>
            <w:tcW w:w="97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0"/>
                <w:szCs w:val="22"/>
              </w:rPr>
            </w:pPr>
            <w:r>
              <w:rPr>
                <w:rFonts w:hint="eastAsia" w:ascii="宋体" w:hAnsi="宋体" w:cs="宋体"/>
                <w:kern w:val="0"/>
                <w:sz w:val="20"/>
              </w:rPr>
              <w:t>文新***东</w:t>
            </w:r>
          </w:p>
        </w:tc>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2"/>
              </w:rPr>
            </w:pPr>
            <w:r>
              <w:rPr>
                <w:rFonts w:hint="eastAsia" w:ascii="宋体" w:hAnsi="宋体" w:cs="宋体"/>
                <w:kern w:val="0"/>
                <w:sz w:val="20"/>
              </w:rPr>
              <w:t>一类</w:t>
            </w:r>
          </w:p>
        </w:tc>
        <w:tc>
          <w:tcPr>
            <w:tcW w:w="31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2"/>
              </w:rPr>
            </w:pPr>
            <w:r>
              <w:rPr>
                <w:rFonts w:hint="eastAsia" w:ascii="宋体" w:hAnsi="宋体" w:cs="宋体"/>
                <w:kern w:val="0"/>
                <w:sz w:val="20"/>
              </w:rPr>
              <w:t>文二西路--文新街道社区服务中心</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0"/>
                <w:szCs w:val="22"/>
              </w:rPr>
            </w:pPr>
            <w:r>
              <w:rPr>
                <w:rFonts w:hint="eastAsia" w:ascii="宋体" w:hAnsi="宋体" w:cs="宋体"/>
                <w:kern w:val="0"/>
                <w:sz w:val="18"/>
                <w:szCs w:val="18"/>
                <w:lang w:bidi="ar"/>
              </w:rPr>
              <w:t>142</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r>
              <w:rPr>
                <w:rFonts w:hint="eastAsia" w:ascii="宋体" w:hAnsi="宋体" w:cs="宋体"/>
                <w:kern w:val="0"/>
                <w:sz w:val="20"/>
              </w:rPr>
              <w:t>6</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0"/>
                <w:szCs w:val="22"/>
              </w:rPr>
            </w:pPr>
            <w:r>
              <w:rPr>
                <w:rFonts w:hint="eastAsia" w:ascii="宋体" w:hAnsi="宋体" w:cs="宋体"/>
                <w:kern w:val="0"/>
                <w:sz w:val="18"/>
                <w:szCs w:val="18"/>
                <w:lang w:bidi="ar"/>
              </w:rPr>
              <w:t xml:space="preserve">1001.98 </w:t>
            </w:r>
          </w:p>
        </w:tc>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4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p>
        </w:tc>
        <w:tc>
          <w:tcPr>
            <w:tcW w:w="31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0"/>
              </w:rPr>
            </w:pP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合计</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83495.01㎡</w:t>
            </w:r>
          </w:p>
        </w:tc>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r>
    </w:tbl>
    <w:p>
      <w:pPr>
        <w:rPr>
          <w:rFonts w:hint="eastAsia" w:ascii="宋体" w:hAnsi="宋体"/>
        </w:rPr>
      </w:pPr>
    </w:p>
    <w:p>
      <w:pPr>
        <w:spacing w:line="360" w:lineRule="auto"/>
        <w:rPr>
          <w:rFonts w:ascii="宋体" w:hAnsi="宋体"/>
          <w:b/>
          <w:bCs/>
          <w:sz w:val="24"/>
          <w:szCs w:val="24"/>
        </w:rPr>
      </w:pPr>
      <w:bookmarkStart w:id="92" w:name="_Toc492733886"/>
      <w:bookmarkStart w:id="93" w:name="_Toc502318805"/>
      <w:bookmarkStart w:id="94" w:name="_Toc86217003"/>
      <w:bookmarkStart w:id="95" w:name="_Toc233618986"/>
    </w:p>
    <w:bookmarkEnd w:id="92"/>
    <w:p>
      <w:pPr>
        <w:pageBreakBefore/>
        <w:adjustRightInd w:val="0"/>
        <w:snapToGrid w:val="0"/>
        <w:spacing w:line="480" w:lineRule="exact"/>
        <w:jc w:val="center"/>
        <w:outlineLvl w:val="0"/>
        <w:rPr>
          <w:rFonts w:hint="eastAsia" w:ascii="宋体" w:hAnsi="宋体"/>
          <w:b/>
          <w:sz w:val="36"/>
          <w:szCs w:val="36"/>
        </w:rPr>
      </w:pPr>
      <w:bookmarkStart w:id="96" w:name="_Toc83910203"/>
      <w:r>
        <w:rPr>
          <w:rFonts w:hint="eastAsia" w:ascii="宋体" w:hAnsi="宋体"/>
          <w:b/>
          <w:sz w:val="36"/>
          <w:szCs w:val="36"/>
        </w:rPr>
        <w:t>第四部分  合同文本</w:t>
      </w:r>
      <w:bookmarkEnd w:id="93"/>
      <w:bookmarkEnd w:id="96"/>
    </w:p>
    <w:p>
      <w:pPr>
        <w:pStyle w:val="45"/>
        <w:snapToGrid w:val="0"/>
        <w:spacing w:line="440" w:lineRule="exact"/>
        <w:jc w:val="center"/>
        <w:rPr>
          <w:rFonts w:hint="eastAsia" w:hAnsi="宋体"/>
          <w:b/>
          <w:sz w:val="24"/>
          <w:szCs w:val="24"/>
        </w:rPr>
      </w:pPr>
      <w:r>
        <w:rPr>
          <w:rFonts w:hint="eastAsia" w:hAnsi="宋体"/>
          <w:b/>
          <w:sz w:val="24"/>
          <w:szCs w:val="24"/>
        </w:rPr>
        <w:t>清扫保洁合同</w:t>
      </w:r>
    </w:p>
    <w:p>
      <w:pPr>
        <w:pStyle w:val="45"/>
        <w:snapToGrid w:val="0"/>
        <w:spacing w:line="440" w:lineRule="exact"/>
        <w:jc w:val="center"/>
        <w:rPr>
          <w:rFonts w:hint="eastAsia" w:hAnsi="宋体"/>
          <w:b/>
          <w:sz w:val="24"/>
          <w:szCs w:val="24"/>
        </w:rPr>
      </w:pPr>
      <w:r>
        <w:rPr>
          <w:rFonts w:hint="eastAsia" w:hAnsi="宋体"/>
          <w:b/>
          <w:sz w:val="24"/>
          <w:szCs w:val="24"/>
        </w:rPr>
        <w:t>（本合同为合同样稿，最终稿由双方协商后确定）</w:t>
      </w:r>
    </w:p>
    <w:p>
      <w:pPr>
        <w:adjustRightInd w:val="0"/>
        <w:snapToGrid w:val="0"/>
        <w:spacing w:line="540" w:lineRule="exact"/>
        <w:rPr>
          <w:rFonts w:hint="eastAsia" w:ascii="宋体" w:hAnsi="宋体"/>
          <w:kern w:val="0"/>
          <w:sz w:val="24"/>
          <w:lang w:val="zh-CN"/>
        </w:rPr>
      </w:pPr>
      <w:r>
        <w:rPr>
          <w:rFonts w:hint="eastAsia" w:ascii="宋体" w:hAnsi="宋体" w:cs="宋体"/>
          <w:kern w:val="0"/>
          <w:sz w:val="24"/>
          <w:lang w:val="zh-CN"/>
        </w:rPr>
        <w:t>甲方：杭州市西湖区城市管理局、</w:t>
      </w:r>
      <w:r>
        <w:rPr>
          <w:rFonts w:hint="eastAsia" w:ascii="宋体" w:hAnsi="宋体" w:cs="宋体"/>
          <w:kern w:val="0"/>
          <w:sz w:val="24"/>
        </w:rPr>
        <w:t>杭州市西湖区人民政府文新街道办事处</w:t>
      </w:r>
    </w:p>
    <w:p>
      <w:pPr>
        <w:adjustRightInd w:val="0"/>
        <w:snapToGrid w:val="0"/>
        <w:spacing w:line="540" w:lineRule="exact"/>
        <w:rPr>
          <w:rFonts w:hint="eastAsia" w:ascii="宋体" w:hAnsi="宋体"/>
          <w:kern w:val="0"/>
          <w:sz w:val="24"/>
          <w:lang w:val="zh-CN"/>
        </w:rPr>
      </w:pPr>
      <w:r>
        <w:rPr>
          <w:rFonts w:hint="eastAsia" w:ascii="宋体" w:hAnsi="宋体" w:cs="宋体"/>
          <w:kern w:val="0"/>
          <w:sz w:val="24"/>
          <w:lang w:val="zh-CN"/>
        </w:rPr>
        <w:t>乙方：</w:t>
      </w:r>
    </w:p>
    <w:p>
      <w:pPr>
        <w:adjustRightInd w:val="0"/>
        <w:snapToGrid w:val="0"/>
        <w:spacing w:line="440" w:lineRule="exact"/>
        <w:ind w:firstLine="480" w:firstLineChars="200"/>
        <w:rPr>
          <w:rFonts w:hint="eastAsia" w:ascii="宋体" w:hAnsi="宋体" w:cs="宋体"/>
          <w:kern w:val="0"/>
          <w:sz w:val="24"/>
          <w:lang w:val="zh-CN"/>
        </w:rPr>
      </w:pPr>
      <w:r>
        <w:rPr>
          <w:rFonts w:hint="eastAsia" w:ascii="宋体" w:hAnsi="宋体" w:cs="宋体"/>
          <w:kern w:val="0"/>
          <w:sz w:val="24"/>
        </w:rPr>
        <w:t>浙江省成套招标代理有限公司受杭州市西湖区城市管理局、杭州市西湖区人民政府文新街道办事处委托，</w:t>
      </w:r>
      <w:r>
        <w:rPr>
          <w:rFonts w:hint="eastAsia" w:ascii="宋体" w:hAnsi="宋体" w:cs="宋体"/>
          <w:sz w:val="24"/>
        </w:rPr>
        <w:t>经过公开招标（招标编号：</w:t>
      </w:r>
      <w:r>
        <w:rPr>
          <w:rFonts w:hint="eastAsia" w:ascii="宋体" w:hAnsi="宋体" w:cs="仿宋_GB2312"/>
          <w:kern w:val="0"/>
          <w:sz w:val="24"/>
          <w:lang w:val="zh-CN"/>
        </w:rPr>
        <w:t>CTZB-2021090711</w:t>
      </w:r>
      <w:r>
        <w:rPr>
          <w:rFonts w:hint="eastAsia" w:ascii="宋体" w:hAnsi="宋体" w:cs="宋体"/>
          <w:sz w:val="24"/>
        </w:rPr>
        <w:t>），确定</w:t>
      </w:r>
      <w:r>
        <w:rPr>
          <w:rFonts w:hint="eastAsia" w:ascii="宋体" w:hAnsi="宋体" w:cs="宋体"/>
          <w:sz w:val="24"/>
          <w:u w:val="single"/>
        </w:rPr>
        <w:t xml:space="preserve">        </w:t>
      </w:r>
      <w:r>
        <w:rPr>
          <w:rFonts w:hint="eastAsia" w:ascii="宋体" w:hAnsi="宋体" w:cs="宋体"/>
          <w:sz w:val="24"/>
        </w:rPr>
        <w:t>为中标单位，</w:t>
      </w:r>
      <w:r>
        <w:rPr>
          <w:rFonts w:hint="eastAsia" w:ascii="宋体" w:hAnsi="宋体" w:cs="宋体"/>
          <w:kern w:val="0"/>
          <w:sz w:val="24"/>
          <w:lang w:val="zh-CN"/>
        </w:rPr>
        <w:t>为了进一步提高</w:t>
      </w:r>
      <w:r>
        <w:rPr>
          <w:rFonts w:hint="eastAsia" w:ascii="宋体" w:hAnsi="宋体" w:cs="宋体"/>
          <w:kern w:val="0"/>
          <w:sz w:val="24"/>
          <w:u w:val="single"/>
          <w:lang w:val="zh-CN"/>
        </w:rPr>
        <w:t xml:space="preserve">        </w:t>
      </w:r>
      <w:r>
        <w:rPr>
          <w:rFonts w:hint="eastAsia" w:ascii="宋体" w:hAnsi="宋体" w:cs="宋体"/>
          <w:kern w:val="0"/>
          <w:sz w:val="24"/>
          <w:lang w:val="zh-CN"/>
        </w:rPr>
        <w:t>区块清扫保洁水平，保证道路整洁和环境形象，经甲乙双方平等协商，达成如下条款。</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一、甲方同意由乙方负责社区 </w:t>
      </w:r>
      <w:r>
        <w:rPr>
          <w:rFonts w:hint="eastAsia" w:ascii="宋体" w:hAnsi="宋体" w:cs="宋体"/>
          <w:kern w:val="0"/>
          <w:sz w:val="24"/>
          <w:u w:val="single"/>
        </w:rPr>
        <w:t xml:space="preserve">              </w:t>
      </w:r>
      <w:r>
        <w:rPr>
          <w:rFonts w:hint="eastAsia" w:ascii="宋体" w:hAnsi="宋体" w:cs="宋体"/>
          <w:kern w:val="0"/>
          <w:sz w:val="24"/>
        </w:rPr>
        <w:t xml:space="preserve"> 标项内小区道路、幢间小道、绿地等清扫保洁及杂物清运工作。</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上述作业内容共计面积为</w:t>
      </w:r>
      <w:r>
        <w:rPr>
          <w:rFonts w:hint="eastAsia" w:ascii="宋体" w:hAnsi="宋体" w:cs="宋体"/>
          <w:kern w:val="0"/>
          <w:sz w:val="24"/>
          <w:u w:val="single"/>
        </w:rPr>
        <w:t xml:space="preserve">        </w:t>
      </w:r>
      <w:r>
        <w:rPr>
          <w:rFonts w:hint="eastAsia" w:ascii="宋体" w:hAnsi="宋体" w:cs="宋体"/>
          <w:kern w:val="0"/>
          <w:sz w:val="24"/>
        </w:rPr>
        <w:t>平方米保洁。作业班次和作业时间等有关指标见《道路清扫保洁招标文件》（以下简称《招标文件》）</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二、承包期限：20  年  月  日至20  年  月  日（一年）</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三、清扫保洁承包经费人民币大写</w:t>
      </w:r>
      <w:r>
        <w:rPr>
          <w:rFonts w:hint="eastAsia" w:ascii="宋体" w:hAnsi="宋体" w:cs="宋体"/>
          <w:kern w:val="0"/>
          <w:sz w:val="24"/>
          <w:u w:val="single"/>
        </w:rPr>
        <w:t xml:space="preserve">           </w:t>
      </w:r>
      <w:r>
        <w:rPr>
          <w:rFonts w:hint="eastAsia" w:ascii="宋体" w:hAnsi="宋体" w:cs="宋体"/>
          <w:kern w:val="0"/>
          <w:sz w:val="24"/>
        </w:rPr>
        <w:t>元整/年，小写：</w:t>
      </w:r>
      <w:r>
        <w:rPr>
          <w:rFonts w:hint="eastAsia" w:ascii="宋体" w:hAnsi="宋体" w:cs="宋体"/>
          <w:kern w:val="0"/>
          <w:sz w:val="24"/>
          <w:u w:val="single"/>
        </w:rPr>
        <w:t xml:space="preserve">      </w:t>
      </w:r>
      <w:r>
        <w:rPr>
          <w:rFonts w:hint="eastAsia" w:ascii="宋体" w:hAnsi="宋体" w:cs="宋体"/>
          <w:kern w:val="0"/>
          <w:sz w:val="24"/>
        </w:rPr>
        <w:t>元/年</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承包经费采用先作业后拨付的方式，由甲方根据年度养护经费，每季度按考核情况予以支付。</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承包经费中已包括人工经费、机械设备、工具、材料、垃圾处置等生产业务及劳动防护费用。</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四、甲方责任条款</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1、提供道路清扫保洁质量标准、作业规范及考核办法。</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2、按约定拨付费用。</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3、如遇突发事件，协调乙方在作业工程中同其他部门的关系。</w:t>
      </w:r>
    </w:p>
    <w:p>
      <w:pPr>
        <w:spacing w:line="44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4、乙</w:t>
      </w:r>
      <w:r>
        <w:rPr>
          <w:rFonts w:hint="eastAsia" w:ascii="宋体" w:hAnsi="宋体" w:cs="宋体"/>
          <w:kern w:val="0"/>
          <w:sz w:val="24"/>
          <w:shd w:val="clear" w:color="auto" w:fill="FFFFFF"/>
        </w:rPr>
        <w:t>方在道路清扫保洁过程中达不到甲方的要求和标准，甲方有权按规定进行经济处罚，直至终止乙方的承包资格。</w:t>
      </w:r>
    </w:p>
    <w:p>
      <w:pPr>
        <w:spacing w:line="44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5、</w:t>
      </w:r>
      <w:r>
        <w:rPr>
          <w:rFonts w:hint="eastAsia" w:ascii="宋体" w:hAnsi="宋体" w:cs="宋体"/>
          <w:kern w:val="0"/>
          <w:sz w:val="24"/>
          <w:shd w:val="clear" w:color="auto" w:fill="FFFFFF"/>
        </w:rPr>
        <w:t>乙方在道路清扫保洁过程中，在历次检查中名列前三名，甲方在年终给予一定的奖励。如检查达不到前三名，则按检查扣分多少，扣除相应承包费用，每扣一分扣承包费用2000元整。</w:t>
      </w:r>
    </w:p>
    <w:p>
      <w:pPr>
        <w:spacing w:line="44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6、</w:t>
      </w:r>
      <w:r>
        <w:rPr>
          <w:rFonts w:hint="eastAsia" w:ascii="宋体" w:hAnsi="宋体" w:cs="宋体"/>
          <w:kern w:val="0"/>
          <w:sz w:val="24"/>
          <w:shd w:val="clear" w:color="auto" w:fill="FFFFFF"/>
        </w:rPr>
        <w:t>本合同履行期内如市、区两级行政主管部门调整保洁员工工资福利标准，甲方应按市、区两级行政主管部门文件为依据，给予乙方补增承包经费。</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五、乙方责任条款</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1、道路清扫保洁的质量标准和作业规范符合</w:t>
      </w:r>
      <w:r>
        <w:rPr>
          <w:rFonts w:hint="eastAsia" w:ascii="宋体" w:hAnsi="宋体" w:cs="仿宋"/>
          <w:sz w:val="24"/>
        </w:rPr>
        <w:t>最新杭州市城市道路保洁分类管理检查考核评分标准和《招</w:t>
      </w:r>
      <w:r>
        <w:rPr>
          <w:rFonts w:hint="eastAsia" w:ascii="宋体" w:hAnsi="宋体" w:cs="宋体"/>
          <w:kern w:val="0"/>
          <w:sz w:val="24"/>
        </w:rPr>
        <w:t>标文件》的各项规定。</w:t>
      </w:r>
      <w:r>
        <w:rPr>
          <w:rFonts w:hint="eastAsia" w:ascii="宋体" w:hAnsi="宋体" w:cs="仿宋"/>
          <w:sz w:val="24"/>
        </w:rPr>
        <w:t>每班作业人数应按投标文件中预定的人数落实到位。</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2、严格遵守相关法律、法规，开展文明作业，作业时出现意外事故和其它法律问题，由承包者自行负责解决。</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3、遇到突发事件或自然灾害，必须服从甲方指挥和安排。</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4、协助甲方调查，并根据甲方的要求及时处理解决市民来信来访及投诉，认真整改责任内“四化”、“数字城管”等抄告问题。</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5、发现环卫设施损坏或缺损，及时与相关部门联系。</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6、完成甲方交办的清扫保洁突击性任务。</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六、甲方对乙方工作按照</w:t>
      </w:r>
      <w:r>
        <w:rPr>
          <w:rFonts w:hint="eastAsia" w:ascii="宋体" w:hAnsi="宋体" w:cs="宋体"/>
          <w:kern w:val="0"/>
          <w:sz w:val="24"/>
          <w:lang w:eastAsia="zh-Hans"/>
        </w:rPr>
        <w:t>《2021年度杭州市环境卫生管理评分细则》</w:t>
      </w:r>
      <w:r>
        <w:rPr>
          <w:rFonts w:hint="eastAsia" w:ascii="宋体" w:hAnsi="宋体" w:cs="宋体"/>
          <w:kern w:val="0"/>
          <w:sz w:val="24"/>
        </w:rPr>
        <w:t>进行考核，考核扣款按1000元/分计算。警告与退出机制参照《西湖区道路保洁分类管理检查考核办法》考核办法，考核结果告之乙方。</w:t>
      </w:r>
      <w:r>
        <w:rPr>
          <w:rFonts w:hint="eastAsia" w:ascii="宋体" w:hAnsi="宋体" w:cs="宋体"/>
          <w:kern w:val="0"/>
          <w:sz w:val="24"/>
          <w:lang w:eastAsia="zh-Hans"/>
        </w:rPr>
        <w:t>如市、区出台最新考核文件，以最新考核文件为准。</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七、《招标文件》中注明和各项条款适用本合同，具有本合同同等效力。</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八、本合同如遇不可抗拒的原因无法继续履行时，即自然终止，双方自行承担各自的损失。</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九、本合同如有未尽事宜，双方可通过协商后签订补充协议。</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十、本合同履约期满，甲、乙双方可根据有关规定和考核成绩续签下一年度的合同。</w:t>
      </w:r>
    </w:p>
    <w:p>
      <w:pPr>
        <w:spacing w:line="440" w:lineRule="exact"/>
        <w:ind w:firstLine="480" w:firstLineChars="200"/>
        <w:rPr>
          <w:rFonts w:hint="eastAsia" w:ascii="宋体" w:hAnsi="宋体"/>
        </w:rPr>
      </w:pPr>
      <w:r>
        <w:rPr>
          <w:rFonts w:hint="eastAsia" w:ascii="宋体" w:hAnsi="宋体" w:cs="宋体"/>
          <w:kern w:val="0"/>
          <w:sz w:val="24"/>
        </w:rPr>
        <w:t>十二、本合同一式肆份，双方及双方上级主管部门各执壹份，本合同经双方签字盖章后并由乙方</w:t>
      </w:r>
      <w:r>
        <w:rPr>
          <w:rFonts w:hint="eastAsia" w:ascii="宋体" w:hAnsi="宋体"/>
          <w:b/>
          <w:sz w:val="24"/>
        </w:rPr>
        <w:t>取得杭州市城市管理委员会颁发的城市生活垃圾经营性清扫、收集、运输服务许可证，</w:t>
      </w:r>
      <w:r>
        <w:rPr>
          <w:rFonts w:hint="eastAsia" w:ascii="宋体" w:hAnsi="宋体" w:cs="仿宋"/>
          <w:sz w:val="24"/>
        </w:rPr>
        <w:t>且向甲方缴纳</w:t>
      </w:r>
      <w:r>
        <w:rPr>
          <w:rFonts w:hint="eastAsia" w:ascii="宋体" w:hAnsi="宋体"/>
          <w:sz w:val="24"/>
        </w:rPr>
        <w:t>合同金额10％的</w:t>
      </w:r>
      <w:r>
        <w:rPr>
          <w:rFonts w:hint="eastAsia" w:ascii="宋体" w:hAnsi="宋体" w:cs="仿宋"/>
          <w:sz w:val="24"/>
        </w:rPr>
        <w:t>履约保证金</w:t>
      </w:r>
      <w:r>
        <w:rPr>
          <w:rFonts w:hint="eastAsia" w:ascii="宋体" w:hAnsi="宋体"/>
          <w:b/>
          <w:sz w:val="24"/>
        </w:rPr>
        <w:t>后生效。</w:t>
      </w:r>
    </w:p>
    <w:p>
      <w:pPr>
        <w:spacing w:line="500" w:lineRule="exact"/>
        <w:ind w:firstLine="480" w:firstLineChars="200"/>
        <w:rPr>
          <w:rFonts w:ascii="宋体" w:hAnsi="宋体" w:cs="宋体"/>
          <w:kern w:val="0"/>
          <w:sz w:val="24"/>
        </w:rPr>
      </w:pPr>
    </w:p>
    <w:p>
      <w:pPr>
        <w:adjustRightInd w:val="0"/>
        <w:snapToGrid w:val="0"/>
        <w:spacing w:line="540" w:lineRule="exact"/>
        <w:ind w:firstLine="480" w:firstLineChars="200"/>
        <w:rPr>
          <w:rFonts w:ascii="宋体" w:hAnsi="宋体" w:cs="宋体"/>
          <w:kern w:val="0"/>
          <w:sz w:val="24"/>
        </w:rPr>
      </w:pPr>
      <w:r>
        <w:rPr>
          <w:rFonts w:hint="eastAsia" w:ascii="宋体" w:hAnsi="宋体" w:cs="宋体"/>
          <w:kern w:val="0"/>
          <w:sz w:val="24"/>
        </w:rPr>
        <w:t>甲方：（盖章）              乙方： （盖章）</w:t>
      </w:r>
    </w:p>
    <w:p>
      <w:pPr>
        <w:adjustRightInd w:val="0"/>
        <w:snapToGrid w:val="0"/>
        <w:spacing w:line="540" w:lineRule="exact"/>
        <w:ind w:firstLine="480" w:firstLineChars="200"/>
        <w:rPr>
          <w:rFonts w:ascii="宋体" w:hAnsi="宋体" w:cs="宋体"/>
          <w:kern w:val="0"/>
          <w:sz w:val="24"/>
        </w:rPr>
      </w:pPr>
      <w:r>
        <w:rPr>
          <w:rFonts w:hint="eastAsia" w:ascii="宋体" w:hAnsi="宋体" w:cs="宋体"/>
          <w:kern w:val="0"/>
          <w:sz w:val="24"/>
        </w:rPr>
        <w:t>代表人：                    代表人：</w:t>
      </w:r>
    </w:p>
    <w:p>
      <w:pPr>
        <w:adjustRightInd w:val="0"/>
        <w:snapToGrid w:val="0"/>
        <w:spacing w:line="540" w:lineRule="exact"/>
        <w:ind w:firstLine="480" w:firstLineChars="200"/>
        <w:rPr>
          <w:rFonts w:ascii="宋体" w:hAnsi="宋体" w:cs="宋体"/>
          <w:kern w:val="0"/>
          <w:sz w:val="24"/>
        </w:rPr>
      </w:pPr>
      <w:r>
        <w:rPr>
          <w:rFonts w:hint="eastAsia" w:ascii="宋体" w:hAnsi="宋体" w:cs="宋体"/>
          <w:kern w:val="0"/>
          <w:sz w:val="24"/>
        </w:rPr>
        <w:t>电话：                      电话：</w:t>
      </w:r>
    </w:p>
    <w:p>
      <w:pPr>
        <w:adjustRightInd w:val="0"/>
        <w:snapToGrid w:val="0"/>
        <w:spacing w:line="540" w:lineRule="exact"/>
        <w:ind w:firstLine="960" w:firstLineChars="400"/>
        <w:rPr>
          <w:rFonts w:ascii="宋体" w:hAnsi="宋体" w:cs="宋体"/>
          <w:kern w:val="0"/>
          <w:sz w:val="24"/>
        </w:rPr>
      </w:pPr>
      <w:r>
        <w:rPr>
          <w:rFonts w:hint="eastAsia" w:ascii="宋体" w:hAnsi="宋体" w:cs="宋体"/>
          <w:kern w:val="0"/>
          <w:sz w:val="24"/>
        </w:rPr>
        <w:t>年    月    日                      年    月    日</w:t>
      </w:r>
    </w:p>
    <w:p>
      <w:pPr>
        <w:adjustRightInd w:val="0"/>
        <w:snapToGrid w:val="0"/>
        <w:spacing w:line="540" w:lineRule="exact"/>
        <w:ind w:firstLine="480" w:firstLineChars="200"/>
        <w:rPr>
          <w:rFonts w:hint="eastAsia" w:ascii="宋体" w:hAnsi="宋体" w:cs="宋体"/>
          <w:kern w:val="0"/>
          <w:sz w:val="24"/>
        </w:rPr>
      </w:pPr>
    </w:p>
    <w:p>
      <w:pPr>
        <w:adjustRightInd w:val="0"/>
        <w:snapToGrid w:val="0"/>
        <w:spacing w:line="540" w:lineRule="exact"/>
        <w:ind w:firstLine="480" w:firstLineChars="200"/>
        <w:rPr>
          <w:rFonts w:ascii="宋体" w:hAnsi="宋体" w:cs="宋体"/>
          <w:kern w:val="0"/>
          <w:sz w:val="24"/>
        </w:rPr>
      </w:pPr>
      <w:r>
        <w:rPr>
          <w:rFonts w:hint="eastAsia" w:ascii="宋体" w:hAnsi="宋体" w:cs="宋体"/>
          <w:kern w:val="0"/>
          <w:sz w:val="24"/>
        </w:rPr>
        <w:t xml:space="preserve">代表人：                    </w:t>
      </w:r>
    </w:p>
    <w:p>
      <w:pPr>
        <w:adjustRightInd w:val="0"/>
        <w:snapToGrid w:val="0"/>
        <w:spacing w:line="540" w:lineRule="exact"/>
        <w:ind w:firstLine="480" w:firstLineChars="200"/>
        <w:rPr>
          <w:rFonts w:ascii="宋体" w:hAnsi="宋体" w:cs="宋体"/>
          <w:kern w:val="0"/>
          <w:sz w:val="24"/>
        </w:rPr>
      </w:pPr>
      <w:r>
        <w:rPr>
          <w:rFonts w:hint="eastAsia" w:ascii="宋体" w:hAnsi="宋体" w:cs="宋体"/>
          <w:kern w:val="0"/>
          <w:sz w:val="24"/>
        </w:rPr>
        <w:t xml:space="preserve">电话：                      </w:t>
      </w:r>
    </w:p>
    <w:p>
      <w:pPr>
        <w:spacing w:line="440" w:lineRule="exact"/>
        <w:ind w:firstLine="960" w:firstLineChars="400"/>
        <w:rPr>
          <w:rFonts w:ascii="宋体" w:hAnsi="宋体"/>
          <w:b/>
          <w:snapToGrid w:val="0"/>
          <w:sz w:val="30"/>
          <w:szCs w:val="30"/>
        </w:rPr>
      </w:pPr>
      <w:r>
        <w:rPr>
          <w:rFonts w:hint="eastAsia" w:ascii="宋体" w:hAnsi="宋体" w:cs="宋体"/>
          <w:kern w:val="0"/>
          <w:sz w:val="24"/>
        </w:rPr>
        <w:t xml:space="preserve">年    月    日      </w:t>
      </w:r>
    </w:p>
    <w:p>
      <w:pPr>
        <w:snapToGrid w:val="0"/>
        <w:spacing w:line="312" w:lineRule="auto"/>
        <w:rPr>
          <w:rFonts w:hint="eastAsia" w:ascii="宋体" w:hAnsi="宋体" w:cs="宋体"/>
          <w:sz w:val="24"/>
          <w:szCs w:val="24"/>
        </w:rPr>
      </w:pPr>
      <w:r>
        <w:rPr>
          <w:rFonts w:ascii="宋体" w:hAnsi="宋体" w:cs="宋体"/>
          <w:sz w:val="24"/>
          <w:szCs w:val="24"/>
        </w:rPr>
        <w:br w:type="page"/>
      </w:r>
    </w:p>
    <w:p>
      <w:pPr>
        <w:snapToGrid w:val="0"/>
        <w:spacing w:line="312" w:lineRule="auto"/>
        <w:rPr>
          <w:rFonts w:hint="eastAsia" w:ascii="宋体" w:hAnsi="宋体" w:cs="宋体"/>
          <w:b/>
          <w:sz w:val="24"/>
          <w:szCs w:val="24"/>
        </w:rPr>
      </w:pPr>
      <w:r>
        <w:rPr>
          <w:rFonts w:hint="eastAsia" w:ascii="宋体" w:hAnsi="宋体" w:cs="宋体"/>
          <w:b/>
          <w:sz w:val="24"/>
          <w:szCs w:val="24"/>
        </w:rPr>
        <w:t>附街巷作业范围及作业人数、作业机具（与乙方投标书中作业人数、作业机具一致）</w:t>
      </w:r>
    </w:p>
    <w:tbl>
      <w:tblPr>
        <w:tblStyle w:val="88"/>
        <w:tblW w:w="10374" w:type="dxa"/>
        <w:tblInd w:w="-635" w:type="dxa"/>
        <w:tblLayout w:type="fixed"/>
        <w:tblCellMar>
          <w:top w:w="0" w:type="dxa"/>
          <w:left w:w="108" w:type="dxa"/>
          <w:bottom w:w="0" w:type="dxa"/>
          <w:right w:w="108" w:type="dxa"/>
        </w:tblCellMar>
      </w:tblPr>
      <w:tblGrid>
        <w:gridCol w:w="540"/>
        <w:gridCol w:w="918"/>
        <w:gridCol w:w="1340"/>
        <w:gridCol w:w="701"/>
        <w:gridCol w:w="3490"/>
        <w:gridCol w:w="720"/>
        <w:gridCol w:w="840"/>
        <w:gridCol w:w="1109"/>
        <w:gridCol w:w="716"/>
      </w:tblGrid>
      <w:tr>
        <w:tblPrEx>
          <w:tblCellMar>
            <w:top w:w="0" w:type="dxa"/>
            <w:left w:w="108" w:type="dxa"/>
            <w:bottom w:w="0" w:type="dxa"/>
            <w:right w:w="108" w:type="dxa"/>
          </w:tblCellMar>
        </w:tblPrEx>
        <w:trPr>
          <w:trHeight w:val="285" w:hRule="atLeast"/>
        </w:trPr>
        <w:tc>
          <w:tcPr>
            <w:tcW w:w="5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序号</w:t>
            </w:r>
          </w:p>
        </w:tc>
        <w:tc>
          <w:tcPr>
            <w:tcW w:w="918"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社区</w:t>
            </w:r>
          </w:p>
        </w:tc>
        <w:tc>
          <w:tcPr>
            <w:tcW w:w="134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道路</w:t>
            </w:r>
          </w:p>
        </w:tc>
        <w:tc>
          <w:tcPr>
            <w:tcW w:w="70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街巷类别</w:t>
            </w:r>
          </w:p>
        </w:tc>
        <w:tc>
          <w:tcPr>
            <w:tcW w:w="349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幢  间</w:t>
            </w:r>
          </w:p>
        </w:tc>
        <w:tc>
          <w:tcPr>
            <w:tcW w:w="72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长度(m)</w:t>
            </w:r>
          </w:p>
        </w:tc>
        <w:tc>
          <w:tcPr>
            <w:tcW w:w="8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宽度(m)</w:t>
            </w:r>
          </w:p>
        </w:tc>
        <w:tc>
          <w:tcPr>
            <w:tcW w:w="110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面积(㎡)</w:t>
            </w:r>
          </w:p>
        </w:tc>
        <w:tc>
          <w:tcPr>
            <w:tcW w:w="71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小计</w:t>
            </w:r>
          </w:p>
        </w:tc>
      </w:tr>
      <w:tr>
        <w:tblPrEx>
          <w:tblCellMar>
            <w:top w:w="0" w:type="dxa"/>
            <w:left w:w="108" w:type="dxa"/>
            <w:bottom w:w="0" w:type="dxa"/>
            <w:right w:w="108" w:type="dxa"/>
          </w:tblCellMar>
        </w:tblPrEx>
        <w:trPr>
          <w:trHeight w:val="897"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名称</w:t>
            </w: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名称</w:t>
            </w: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349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72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8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10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918"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金乐</w:t>
            </w:r>
          </w:p>
          <w:p>
            <w:pPr>
              <w:widowControl/>
              <w:jc w:val="center"/>
              <w:rPr>
                <w:rFonts w:ascii="宋体" w:hAnsi="宋体" w:cs="宋体"/>
                <w:kern w:val="0"/>
                <w:sz w:val="20"/>
              </w:rPr>
            </w:pPr>
            <w:r>
              <w:rPr>
                <w:rFonts w:hint="eastAsia" w:ascii="宋体" w:hAnsi="宋体" w:cs="宋体"/>
                <w:kern w:val="0"/>
                <w:sz w:val="20"/>
              </w:rPr>
              <w:t>社区</w:t>
            </w:r>
          </w:p>
        </w:tc>
        <w:tc>
          <w:tcPr>
            <w:tcW w:w="13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文苑小学南</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文苑小学--竞舟路</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170</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9.7</w:t>
            </w:r>
          </w:p>
        </w:tc>
        <w:tc>
          <w:tcPr>
            <w:tcW w:w="1109" w:type="dxa"/>
            <w:tcBorders>
              <w:top w:val="nil"/>
              <w:left w:val="nil"/>
              <w:bottom w:val="single" w:color="auto" w:sz="4" w:space="0"/>
              <w:right w:val="nil"/>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1532.69</w:t>
            </w:r>
          </w:p>
        </w:tc>
        <w:tc>
          <w:tcPr>
            <w:tcW w:w="71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w:t>
            </w:r>
          </w:p>
        </w:tc>
        <w:tc>
          <w:tcPr>
            <w:tcW w:w="91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金乐社区、府新社区</w:t>
            </w:r>
          </w:p>
        </w:tc>
        <w:tc>
          <w:tcPr>
            <w:tcW w:w="1340" w:type="dxa"/>
            <w:tcBorders>
              <w:top w:val="nil"/>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文乐巷</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文三西路428号--美都新村</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281</w:t>
            </w:r>
          </w:p>
        </w:tc>
        <w:tc>
          <w:tcPr>
            <w:tcW w:w="8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7.2</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2237.31</w:t>
            </w:r>
          </w:p>
        </w:tc>
        <w:tc>
          <w:tcPr>
            <w:tcW w:w="716"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金康路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古墩路208号--五联东苑</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268</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0"/>
              </w:rPr>
            </w:pPr>
            <w:r>
              <w:rPr>
                <w:rFonts w:hint="eastAsia" w:ascii="宋体" w:hAnsi="宋体" w:cs="宋体"/>
                <w:kern w:val="0"/>
                <w:sz w:val="20"/>
              </w:rPr>
              <w:t>6</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1389.78</w:t>
            </w:r>
          </w:p>
        </w:tc>
        <w:tc>
          <w:tcPr>
            <w:tcW w:w="716"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金丹路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古墩路353号--五联西苑</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278</w:t>
            </w:r>
          </w:p>
        </w:tc>
        <w:tc>
          <w:tcPr>
            <w:tcW w:w="8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9.5</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2488.13</w:t>
            </w:r>
          </w:p>
        </w:tc>
        <w:tc>
          <w:tcPr>
            <w:tcW w:w="716"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康乐新村东</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康乐新村--明月公寓（文新街道北侧）</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65</w:t>
            </w:r>
          </w:p>
        </w:tc>
        <w:tc>
          <w:tcPr>
            <w:tcW w:w="8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13.5</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804.13</w:t>
            </w:r>
          </w:p>
        </w:tc>
        <w:tc>
          <w:tcPr>
            <w:tcW w:w="71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3</w:t>
            </w:r>
          </w:p>
        </w:tc>
        <w:tc>
          <w:tcPr>
            <w:tcW w:w="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桂花园        社区、沁雅社区</w:t>
            </w:r>
          </w:p>
        </w:tc>
        <w:tc>
          <w:tcPr>
            <w:tcW w:w="1340" w:type="dxa"/>
            <w:tcBorders>
              <w:top w:val="nil"/>
              <w:left w:val="nil"/>
              <w:bottom w:val="nil"/>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锋尚路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文三西路493号--紫金庭园</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374</w:t>
            </w:r>
          </w:p>
        </w:tc>
        <w:tc>
          <w:tcPr>
            <w:tcW w:w="8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13</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5865.05 </w:t>
            </w:r>
          </w:p>
        </w:tc>
        <w:tc>
          <w:tcPr>
            <w:tcW w:w="716"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紫庭北弄</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紫荆花路--紫金庭园</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313</w:t>
            </w:r>
          </w:p>
        </w:tc>
        <w:tc>
          <w:tcPr>
            <w:tcW w:w="8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12</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5251.98 </w:t>
            </w:r>
          </w:p>
        </w:tc>
        <w:tc>
          <w:tcPr>
            <w:tcW w:w="716"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金欣公寓南</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古墩路--丹金桂花园</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271</w:t>
            </w:r>
          </w:p>
        </w:tc>
        <w:tc>
          <w:tcPr>
            <w:tcW w:w="84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17</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2379.68 </w:t>
            </w:r>
          </w:p>
        </w:tc>
        <w:tc>
          <w:tcPr>
            <w:tcW w:w="716"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文古巷</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文三西路17号--丰潭中学</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435</w:t>
            </w:r>
          </w:p>
        </w:tc>
        <w:tc>
          <w:tcPr>
            <w:tcW w:w="8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7.5</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3936.10 </w:t>
            </w:r>
          </w:p>
        </w:tc>
        <w:tc>
          <w:tcPr>
            <w:tcW w:w="71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4</w:t>
            </w:r>
          </w:p>
        </w:tc>
        <w:tc>
          <w:tcPr>
            <w:tcW w:w="918"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府新社区</w:t>
            </w:r>
          </w:p>
        </w:tc>
        <w:tc>
          <w:tcPr>
            <w:tcW w:w="1340" w:type="dxa"/>
            <w:tcBorders>
              <w:top w:val="nil"/>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西城路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文二西路--文三西路</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641</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11</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5631.75 </w:t>
            </w:r>
          </w:p>
        </w:tc>
        <w:tc>
          <w:tcPr>
            <w:tcW w:w="716"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颐景园南</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古墩路--五联西苑</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292</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10</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3368.42 </w:t>
            </w:r>
          </w:p>
        </w:tc>
        <w:tc>
          <w:tcPr>
            <w:tcW w:w="71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5</w:t>
            </w:r>
          </w:p>
        </w:tc>
        <w:tc>
          <w:tcPr>
            <w:tcW w:w="91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登云圩    社区</w:t>
            </w:r>
          </w:p>
        </w:tc>
        <w:tc>
          <w:tcPr>
            <w:tcW w:w="1340" w:type="dxa"/>
            <w:tcBorders>
              <w:top w:val="nil"/>
              <w:left w:val="nil"/>
              <w:bottom w:val="nil"/>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十五中东</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登新公寓33幢--文三西路</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496</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0"/>
              </w:rPr>
            </w:pPr>
            <w:r>
              <w:rPr>
                <w:rFonts w:hint="eastAsia" w:ascii="宋体" w:hAnsi="宋体" w:cs="宋体"/>
                <w:kern w:val="0"/>
                <w:sz w:val="20"/>
              </w:rPr>
              <w:t>6</w:t>
            </w:r>
          </w:p>
        </w:tc>
        <w:tc>
          <w:tcPr>
            <w:tcW w:w="1109" w:type="dxa"/>
            <w:tcBorders>
              <w:top w:val="nil"/>
              <w:left w:val="nil"/>
              <w:bottom w:val="single" w:color="auto" w:sz="4" w:space="0"/>
              <w:right w:val="nil"/>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2878.26 </w:t>
            </w:r>
          </w:p>
        </w:tc>
        <w:tc>
          <w:tcPr>
            <w:tcW w:w="716"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强身路</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文二西路—紫金港路</w:t>
            </w:r>
          </w:p>
        </w:tc>
        <w:tc>
          <w:tcPr>
            <w:tcW w:w="72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505</w:t>
            </w:r>
          </w:p>
        </w:tc>
        <w:tc>
          <w:tcPr>
            <w:tcW w:w="84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16</w:t>
            </w:r>
          </w:p>
        </w:tc>
        <w:tc>
          <w:tcPr>
            <w:tcW w:w="110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 xml:space="preserve">8143.19 </w:t>
            </w:r>
          </w:p>
        </w:tc>
        <w:tc>
          <w:tcPr>
            <w:tcW w:w="716"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育才第一小学南</w:t>
            </w:r>
          </w:p>
        </w:tc>
        <w:tc>
          <w:tcPr>
            <w:tcW w:w="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20"/>
              </w:rPr>
              <w:t>一类</w:t>
            </w:r>
          </w:p>
        </w:tc>
        <w:tc>
          <w:tcPr>
            <w:tcW w:w="3490"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西湖体育馆南—紫金港路</w:t>
            </w:r>
          </w:p>
        </w:tc>
        <w:tc>
          <w:tcPr>
            <w:tcW w:w="7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188</w:t>
            </w:r>
          </w:p>
        </w:tc>
        <w:tc>
          <w:tcPr>
            <w:tcW w:w="84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rPr>
            </w:pPr>
            <w:r>
              <w:rPr>
                <w:rFonts w:hint="eastAsia" w:ascii="宋体" w:hAnsi="宋体" w:cs="宋体"/>
                <w:kern w:val="0"/>
                <w:sz w:val="18"/>
                <w:szCs w:val="18"/>
                <w:lang w:bidi="ar"/>
              </w:rPr>
              <w:t>12</w:t>
            </w:r>
          </w:p>
        </w:tc>
        <w:tc>
          <w:tcPr>
            <w:tcW w:w="110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2606.70 </w:t>
            </w:r>
          </w:p>
        </w:tc>
        <w:tc>
          <w:tcPr>
            <w:tcW w:w="716"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tcBorders>
              <w:top w:val="nil"/>
              <w:left w:val="nil"/>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登新公寓一期</w:t>
            </w:r>
          </w:p>
        </w:tc>
        <w:tc>
          <w:tcPr>
            <w:tcW w:w="701" w:type="dxa"/>
            <w:tcBorders>
              <w:top w:val="nil"/>
              <w:left w:val="nil"/>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三类</w:t>
            </w:r>
          </w:p>
        </w:tc>
        <w:tc>
          <w:tcPr>
            <w:tcW w:w="3490" w:type="dxa"/>
            <w:tcBorders>
              <w:top w:val="nil"/>
              <w:left w:val="nil"/>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登新公寓一期</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1000</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3000</w:t>
            </w:r>
          </w:p>
        </w:tc>
        <w:tc>
          <w:tcPr>
            <w:tcW w:w="716"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rPr>
            </w:pPr>
          </w:p>
        </w:tc>
        <w:tc>
          <w:tcPr>
            <w:tcW w:w="13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登新公寓西</w:t>
            </w:r>
          </w:p>
        </w:tc>
        <w:tc>
          <w:tcPr>
            <w:tcW w:w="70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二类</w:t>
            </w:r>
          </w:p>
        </w:tc>
        <w:tc>
          <w:tcPr>
            <w:tcW w:w="349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文二西路—文三西路、文二西路—文三西路</w:t>
            </w:r>
          </w:p>
        </w:tc>
        <w:tc>
          <w:tcPr>
            <w:tcW w:w="72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150</w:t>
            </w:r>
          </w:p>
        </w:tc>
        <w:tc>
          <w:tcPr>
            <w:tcW w:w="84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p>
        </w:tc>
        <w:tc>
          <w:tcPr>
            <w:tcW w:w="1109" w:type="dxa"/>
            <w:vMerge w:val="restart"/>
            <w:tcBorders>
              <w:top w:val="nil"/>
              <w:left w:val="nil"/>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11066.16</w:t>
            </w:r>
          </w:p>
        </w:tc>
        <w:tc>
          <w:tcPr>
            <w:tcW w:w="716"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3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500</w:t>
            </w:r>
          </w:p>
        </w:tc>
        <w:tc>
          <w:tcPr>
            <w:tcW w:w="84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12</w:t>
            </w:r>
          </w:p>
        </w:tc>
        <w:tc>
          <w:tcPr>
            <w:tcW w:w="1109" w:type="dxa"/>
            <w:vMerge w:val="continue"/>
            <w:tcBorders>
              <w:left w:val="nil"/>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p>
        </w:tc>
        <w:tc>
          <w:tcPr>
            <w:tcW w:w="71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9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府新社区</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0"/>
                <w:szCs w:val="22"/>
              </w:rPr>
            </w:pPr>
            <w:r>
              <w:rPr>
                <w:rFonts w:hint="eastAsia" w:ascii="宋体" w:hAnsi="宋体" w:cs="宋体"/>
                <w:kern w:val="0"/>
                <w:sz w:val="20"/>
              </w:rPr>
              <w:t>西城广场</w:t>
            </w:r>
          </w:p>
        </w:tc>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2"/>
              </w:rPr>
            </w:pPr>
            <w:r>
              <w:rPr>
                <w:rFonts w:hint="eastAsia" w:ascii="宋体" w:hAnsi="宋体" w:cs="宋体"/>
                <w:kern w:val="0"/>
                <w:sz w:val="20"/>
              </w:rPr>
              <w:t>1类18H</w:t>
            </w:r>
          </w:p>
        </w:tc>
        <w:tc>
          <w:tcPr>
            <w:tcW w:w="34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2"/>
              </w:rPr>
            </w:pP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r>
              <w:rPr>
                <w:rFonts w:hint="eastAsia" w:ascii="宋体" w:hAnsi="宋体" w:cs="宋体"/>
                <w:kern w:val="0"/>
                <w:sz w:val="18"/>
                <w:szCs w:val="18"/>
                <w:lang w:bidi="ar"/>
              </w:rPr>
              <w:t>17270.48</w:t>
            </w: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left w:val="single" w:color="auto" w:sz="4" w:space="0"/>
              <w:right w:val="single" w:color="auto" w:sz="4" w:space="0"/>
            </w:tcBorders>
            <w:noWrap/>
            <w:vAlign w:val="center"/>
          </w:tcPr>
          <w:p>
            <w:pPr>
              <w:widowControl/>
              <w:jc w:val="center"/>
              <w:rPr>
                <w:rFonts w:ascii="宋体" w:hAnsi="宋体" w:cs="宋体"/>
                <w:kern w:val="0"/>
                <w:sz w:val="20"/>
              </w:rPr>
            </w:pPr>
          </w:p>
        </w:tc>
        <w:tc>
          <w:tcPr>
            <w:tcW w:w="91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0"/>
                <w:szCs w:val="22"/>
              </w:rPr>
            </w:pPr>
            <w:r>
              <w:rPr>
                <w:rFonts w:hint="eastAsia" w:ascii="宋体" w:hAnsi="宋体" w:cs="宋体"/>
                <w:kern w:val="0"/>
                <w:sz w:val="20"/>
              </w:rPr>
              <w:t>西城广场南</w:t>
            </w:r>
          </w:p>
        </w:tc>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2"/>
              </w:rPr>
            </w:pPr>
            <w:r>
              <w:rPr>
                <w:rFonts w:hint="eastAsia" w:ascii="宋体" w:hAnsi="宋体" w:cs="宋体"/>
                <w:kern w:val="0"/>
                <w:sz w:val="20"/>
              </w:rPr>
              <w:t>一类</w:t>
            </w:r>
          </w:p>
        </w:tc>
        <w:tc>
          <w:tcPr>
            <w:tcW w:w="3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0"/>
                <w:szCs w:val="22"/>
              </w:rPr>
            </w:pPr>
            <w:r>
              <w:rPr>
                <w:rFonts w:hint="eastAsia" w:ascii="宋体" w:hAnsi="宋体" w:cs="宋体"/>
                <w:kern w:val="0"/>
                <w:sz w:val="20"/>
              </w:rPr>
              <w:t>紫荆花路--颐景园北</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0"/>
                <w:szCs w:val="22"/>
              </w:rPr>
            </w:pPr>
            <w:r>
              <w:rPr>
                <w:rFonts w:hint="eastAsia" w:ascii="宋体" w:hAnsi="宋体" w:cs="宋体"/>
                <w:kern w:val="0"/>
                <w:sz w:val="18"/>
                <w:szCs w:val="18"/>
                <w:lang w:bidi="ar"/>
              </w:rPr>
              <w:t>336</w:t>
            </w: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r>
              <w:rPr>
                <w:rFonts w:hint="eastAsia" w:ascii="宋体" w:hAnsi="宋体" w:cs="宋体"/>
                <w:kern w:val="0"/>
                <w:sz w:val="20"/>
              </w:rPr>
              <w:t>10.2</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0"/>
                <w:szCs w:val="22"/>
              </w:rPr>
            </w:pPr>
            <w:r>
              <w:rPr>
                <w:rFonts w:hint="eastAsia" w:ascii="宋体" w:hAnsi="宋体" w:cs="宋体"/>
                <w:kern w:val="0"/>
                <w:sz w:val="18"/>
                <w:szCs w:val="18"/>
                <w:lang w:bidi="ar"/>
              </w:rPr>
              <w:t xml:space="preserve">2643.22 </w:t>
            </w: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c>
          <w:tcPr>
            <w:tcW w:w="9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0"/>
                <w:szCs w:val="22"/>
              </w:rPr>
            </w:pPr>
            <w:r>
              <w:rPr>
                <w:rFonts w:hint="eastAsia" w:ascii="宋体" w:hAnsi="宋体" w:cs="宋体"/>
                <w:kern w:val="0"/>
                <w:sz w:val="20"/>
              </w:rPr>
              <w:t>文新***东</w:t>
            </w:r>
          </w:p>
        </w:tc>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2"/>
              </w:rPr>
            </w:pPr>
            <w:r>
              <w:rPr>
                <w:rFonts w:hint="eastAsia" w:ascii="宋体" w:hAnsi="宋体" w:cs="宋体"/>
                <w:kern w:val="0"/>
                <w:sz w:val="20"/>
              </w:rPr>
              <w:t>一类</w:t>
            </w:r>
          </w:p>
        </w:tc>
        <w:tc>
          <w:tcPr>
            <w:tcW w:w="34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2"/>
              </w:rPr>
            </w:pPr>
            <w:r>
              <w:rPr>
                <w:rFonts w:hint="eastAsia" w:ascii="宋体" w:hAnsi="宋体" w:cs="宋体"/>
                <w:kern w:val="0"/>
                <w:sz w:val="20"/>
              </w:rPr>
              <w:t>文二西路--文新街道社区服务中心</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0"/>
                <w:szCs w:val="22"/>
              </w:rPr>
            </w:pPr>
            <w:r>
              <w:rPr>
                <w:rFonts w:hint="eastAsia" w:ascii="宋体" w:hAnsi="宋体" w:cs="宋体"/>
                <w:kern w:val="0"/>
                <w:sz w:val="18"/>
                <w:szCs w:val="18"/>
                <w:lang w:bidi="ar"/>
              </w:rPr>
              <w:t>142</w:t>
            </w: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2"/>
              </w:rPr>
            </w:pPr>
            <w:r>
              <w:rPr>
                <w:rFonts w:hint="eastAsia" w:ascii="宋体" w:hAnsi="宋体" w:cs="宋体"/>
                <w:kern w:val="0"/>
                <w:sz w:val="20"/>
              </w:rPr>
              <w:t>6</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20"/>
                <w:szCs w:val="22"/>
              </w:rPr>
            </w:pPr>
            <w:r>
              <w:rPr>
                <w:rFonts w:hint="eastAsia" w:ascii="宋体" w:hAnsi="宋体" w:cs="宋体"/>
                <w:kern w:val="0"/>
                <w:sz w:val="18"/>
                <w:szCs w:val="18"/>
                <w:lang w:bidi="ar"/>
              </w:rPr>
              <w:t xml:space="preserve">1001.98 </w:t>
            </w: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85"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0"/>
              </w:rPr>
            </w:pP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p>
        </w:tc>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合计</w:t>
            </w:r>
          </w:p>
        </w:tc>
        <w:tc>
          <w:tcPr>
            <w:tcW w:w="11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83495.01㎡</w:t>
            </w: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rPr>
            </w:pPr>
          </w:p>
        </w:tc>
      </w:tr>
    </w:tbl>
    <w:p>
      <w:pPr>
        <w:rPr>
          <w:rFonts w:ascii="宋体" w:hAnsi="宋体"/>
          <w:b/>
          <w:snapToGrid w:val="0"/>
          <w:sz w:val="24"/>
          <w:szCs w:val="24"/>
        </w:rPr>
      </w:pPr>
    </w:p>
    <w:p>
      <w:pPr>
        <w:spacing w:line="360" w:lineRule="auto"/>
        <w:ind w:firstLine="5040" w:firstLineChars="2100"/>
        <w:rPr>
          <w:rFonts w:hint="eastAsia" w:ascii="宋体" w:hAnsi="宋体"/>
          <w:sz w:val="24"/>
          <w:szCs w:val="24"/>
        </w:rPr>
      </w:pPr>
      <w:r>
        <w:rPr>
          <w:rFonts w:ascii="宋体" w:hAnsi="宋体"/>
          <w:sz w:val="24"/>
          <w:szCs w:val="24"/>
        </w:rPr>
        <w:br w:type="page"/>
      </w:r>
    </w:p>
    <w:p>
      <w:pPr>
        <w:pStyle w:val="202"/>
        <w:spacing w:line="240" w:lineRule="auto"/>
        <w:ind w:firstLine="508" w:firstLineChars="211"/>
        <w:rPr>
          <w:rFonts w:ascii="宋体" w:hAnsi="宋体" w:cs="宋体"/>
          <w:b/>
          <w:szCs w:val="24"/>
        </w:rPr>
      </w:pPr>
      <w:r>
        <w:rPr>
          <w:rFonts w:hint="eastAsia" w:ascii="宋体" w:hAnsi="宋体" w:cs="宋体"/>
          <w:b/>
          <w:szCs w:val="24"/>
        </w:rPr>
        <w:t>拟投入设备一览表：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72"/>
        <w:gridCol w:w="1431"/>
        <w:gridCol w:w="1476"/>
        <w:gridCol w:w="968"/>
        <w:gridCol w:w="1223"/>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4" w:type="dxa"/>
            <w:noWrap w:val="0"/>
            <w:vAlign w:val="center"/>
          </w:tcPr>
          <w:p>
            <w:pPr>
              <w:snapToGrid w:val="0"/>
              <w:jc w:val="center"/>
              <w:rPr>
                <w:rFonts w:ascii="宋体" w:hAnsi="宋体" w:cs="宋体"/>
                <w:szCs w:val="21"/>
              </w:rPr>
            </w:pPr>
            <w:r>
              <w:rPr>
                <w:rFonts w:hint="eastAsia" w:ascii="宋体" w:hAnsi="宋体" w:cs="宋体"/>
                <w:szCs w:val="21"/>
              </w:rPr>
              <w:t>序号</w:t>
            </w:r>
          </w:p>
        </w:tc>
        <w:tc>
          <w:tcPr>
            <w:tcW w:w="1672" w:type="dxa"/>
            <w:noWrap w:val="0"/>
            <w:vAlign w:val="center"/>
          </w:tcPr>
          <w:p>
            <w:pPr>
              <w:snapToGrid w:val="0"/>
              <w:jc w:val="center"/>
              <w:rPr>
                <w:rFonts w:ascii="宋体" w:hAnsi="宋体" w:cs="宋体"/>
                <w:szCs w:val="21"/>
              </w:rPr>
            </w:pPr>
            <w:r>
              <w:rPr>
                <w:rFonts w:hint="eastAsia" w:ascii="宋体" w:hAnsi="宋体" w:cs="宋体"/>
                <w:szCs w:val="21"/>
              </w:rPr>
              <w:t>设备名称</w:t>
            </w:r>
          </w:p>
        </w:tc>
        <w:tc>
          <w:tcPr>
            <w:tcW w:w="1431" w:type="dxa"/>
            <w:noWrap w:val="0"/>
            <w:vAlign w:val="center"/>
          </w:tcPr>
          <w:p>
            <w:pPr>
              <w:snapToGrid w:val="0"/>
              <w:jc w:val="center"/>
              <w:rPr>
                <w:rFonts w:ascii="宋体" w:hAnsi="宋体" w:cs="宋体"/>
                <w:szCs w:val="21"/>
              </w:rPr>
            </w:pPr>
            <w:r>
              <w:rPr>
                <w:rFonts w:hint="eastAsia" w:ascii="宋体" w:hAnsi="宋体" w:cs="宋体"/>
                <w:szCs w:val="21"/>
              </w:rPr>
              <w:t>规格型号</w:t>
            </w:r>
          </w:p>
        </w:tc>
        <w:tc>
          <w:tcPr>
            <w:tcW w:w="1476" w:type="dxa"/>
            <w:noWrap w:val="0"/>
            <w:vAlign w:val="center"/>
          </w:tcPr>
          <w:p>
            <w:pPr>
              <w:snapToGrid w:val="0"/>
              <w:jc w:val="center"/>
              <w:rPr>
                <w:rFonts w:ascii="宋体" w:hAnsi="宋体" w:cs="宋体"/>
                <w:szCs w:val="21"/>
              </w:rPr>
            </w:pPr>
            <w:r>
              <w:rPr>
                <w:rFonts w:hint="eastAsia" w:ascii="宋体" w:hAnsi="宋体" w:cs="宋体"/>
                <w:szCs w:val="21"/>
              </w:rPr>
              <w:t>动力类型</w:t>
            </w:r>
          </w:p>
        </w:tc>
        <w:tc>
          <w:tcPr>
            <w:tcW w:w="968" w:type="dxa"/>
            <w:noWrap w:val="0"/>
            <w:vAlign w:val="center"/>
          </w:tcPr>
          <w:p>
            <w:pPr>
              <w:snapToGrid w:val="0"/>
              <w:jc w:val="center"/>
              <w:rPr>
                <w:rFonts w:ascii="宋体" w:hAnsi="宋体" w:cs="宋体"/>
                <w:szCs w:val="21"/>
              </w:rPr>
            </w:pPr>
            <w:r>
              <w:rPr>
                <w:rFonts w:hint="eastAsia" w:ascii="宋体" w:hAnsi="宋体" w:cs="宋体"/>
                <w:szCs w:val="21"/>
              </w:rPr>
              <w:t>数量</w:t>
            </w:r>
          </w:p>
        </w:tc>
        <w:tc>
          <w:tcPr>
            <w:tcW w:w="1223" w:type="dxa"/>
            <w:noWrap w:val="0"/>
            <w:vAlign w:val="center"/>
          </w:tcPr>
          <w:p>
            <w:pPr>
              <w:snapToGrid w:val="0"/>
              <w:jc w:val="center"/>
              <w:rPr>
                <w:rFonts w:ascii="宋体" w:hAnsi="宋体" w:cs="宋体"/>
                <w:szCs w:val="21"/>
              </w:rPr>
            </w:pPr>
            <w:r>
              <w:rPr>
                <w:rFonts w:hint="eastAsia" w:ascii="宋体" w:hAnsi="宋体" w:cs="宋体"/>
                <w:szCs w:val="21"/>
              </w:rPr>
              <w:t>车牌号</w:t>
            </w:r>
          </w:p>
        </w:tc>
        <w:tc>
          <w:tcPr>
            <w:tcW w:w="2176" w:type="dxa"/>
            <w:noWrap w:val="0"/>
            <w:vAlign w:val="center"/>
          </w:tcPr>
          <w:p>
            <w:pPr>
              <w:snapToGrid w:val="0"/>
              <w:jc w:val="center"/>
              <w:rPr>
                <w:rFonts w:ascii="宋体" w:hAnsi="宋体" w:cs="宋体"/>
                <w:szCs w:val="21"/>
              </w:rPr>
            </w:pPr>
            <w:r>
              <w:rPr>
                <w:rFonts w:hint="eastAsia" w:ascii="宋体" w:hAnsi="宋体" w:cs="宋体"/>
                <w:szCs w:val="21"/>
              </w:rPr>
              <w:t xml:space="preserve">备注 </w:t>
            </w:r>
          </w:p>
          <w:p>
            <w:pPr>
              <w:snapToGrid w:val="0"/>
              <w:jc w:val="center"/>
              <w:rPr>
                <w:rFonts w:ascii="宋体" w:hAnsi="宋体" w:cs="宋体"/>
                <w:szCs w:val="21"/>
              </w:rPr>
            </w:pPr>
            <w:r>
              <w:rPr>
                <w:rFonts w:hint="eastAsia" w:ascii="宋体" w:hAnsi="宋体" w:cs="宋体"/>
                <w:szCs w:val="21"/>
              </w:rPr>
              <w:t>（自有或租赁）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pPr>
              <w:snapToGrid w:val="0"/>
              <w:jc w:val="center"/>
              <w:rPr>
                <w:rFonts w:ascii="宋体" w:hAnsi="宋体" w:cs="宋体"/>
                <w:szCs w:val="21"/>
              </w:rPr>
            </w:pPr>
            <w:r>
              <w:rPr>
                <w:rFonts w:hint="eastAsia" w:ascii="宋体" w:hAnsi="宋体" w:cs="宋体"/>
                <w:szCs w:val="21"/>
              </w:rPr>
              <w:t>1</w:t>
            </w:r>
          </w:p>
        </w:tc>
        <w:tc>
          <w:tcPr>
            <w:tcW w:w="1672" w:type="dxa"/>
            <w:noWrap w:val="0"/>
            <w:vAlign w:val="center"/>
          </w:tcPr>
          <w:p>
            <w:pPr>
              <w:snapToGrid w:val="0"/>
              <w:jc w:val="center"/>
              <w:rPr>
                <w:rFonts w:ascii="宋体" w:hAnsi="宋体" w:cs="宋体"/>
                <w:szCs w:val="21"/>
              </w:rPr>
            </w:pPr>
          </w:p>
        </w:tc>
        <w:tc>
          <w:tcPr>
            <w:tcW w:w="1431" w:type="dxa"/>
            <w:noWrap w:val="0"/>
            <w:vAlign w:val="center"/>
          </w:tcPr>
          <w:p>
            <w:pPr>
              <w:snapToGrid w:val="0"/>
              <w:jc w:val="center"/>
              <w:rPr>
                <w:rFonts w:ascii="宋体" w:hAnsi="宋体" w:cs="宋体"/>
                <w:szCs w:val="21"/>
              </w:rPr>
            </w:pPr>
          </w:p>
        </w:tc>
        <w:tc>
          <w:tcPr>
            <w:tcW w:w="1476" w:type="dxa"/>
            <w:noWrap w:val="0"/>
            <w:vAlign w:val="center"/>
          </w:tcPr>
          <w:p>
            <w:pPr>
              <w:snapToGrid w:val="0"/>
              <w:jc w:val="center"/>
              <w:rPr>
                <w:rFonts w:ascii="宋体" w:hAnsi="宋体" w:cs="宋体"/>
                <w:szCs w:val="21"/>
              </w:rPr>
            </w:pPr>
          </w:p>
        </w:tc>
        <w:tc>
          <w:tcPr>
            <w:tcW w:w="968" w:type="dxa"/>
            <w:noWrap w:val="0"/>
            <w:vAlign w:val="center"/>
          </w:tcPr>
          <w:p>
            <w:pPr>
              <w:snapToGrid w:val="0"/>
              <w:jc w:val="center"/>
              <w:rPr>
                <w:rFonts w:ascii="宋体" w:hAnsi="宋体" w:cs="宋体"/>
                <w:szCs w:val="21"/>
              </w:rPr>
            </w:pPr>
          </w:p>
        </w:tc>
        <w:tc>
          <w:tcPr>
            <w:tcW w:w="1223" w:type="dxa"/>
            <w:noWrap w:val="0"/>
            <w:vAlign w:val="top"/>
          </w:tcPr>
          <w:p>
            <w:pPr>
              <w:snapToGrid w:val="0"/>
              <w:jc w:val="center"/>
              <w:rPr>
                <w:rFonts w:ascii="宋体" w:hAnsi="宋体" w:cs="宋体"/>
                <w:szCs w:val="21"/>
              </w:rPr>
            </w:pPr>
          </w:p>
        </w:tc>
        <w:tc>
          <w:tcPr>
            <w:tcW w:w="2176" w:type="dxa"/>
            <w:noWrap w:val="0"/>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pPr>
              <w:snapToGrid w:val="0"/>
              <w:jc w:val="center"/>
              <w:rPr>
                <w:rFonts w:ascii="宋体" w:hAnsi="宋体" w:cs="宋体"/>
                <w:szCs w:val="21"/>
              </w:rPr>
            </w:pPr>
            <w:r>
              <w:rPr>
                <w:rFonts w:hint="eastAsia" w:ascii="宋体" w:hAnsi="宋体" w:cs="宋体"/>
                <w:szCs w:val="21"/>
              </w:rPr>
              <w:t>2</w:t>
            </w:r>
          </w:p>
        </w:tc>
        <w:tc>
          <w:tcPr>
            <w:tcW w:w="1672" w:type="dxa"/>
            <w:noWrap w:val="0"/>
            <w:vAlign w:val="center"/>
          </w:tcPr>
          <w:p>
            <w:pPr>
              <w:snapToGrid w:val="0"/>
              <w:jc w:val="center"/>
              <w:rPr>
                <w:rFonts w:ascii="宋体" w:hAnsi="宋体" w:cs="宋体"/>
                <w:szCs w:val="21"/>
              </w:rPr>
            </w:pPr>
          </w:p>
        </w:tc>
        <w:tc>
          <w:tcPr>
            <w:tcW w:w="1431" w:type="dxa"/>
            <w:noWrap w:val="0"/>
            <w:vAlign w:val="center"/>
          </w:tcPr>
          <w:p>
            <w:pPr>
              <w:snapToGrid w:val="0"/>
              <w:jc w:val="center"/>
              <w:rPr>
                <w:rFonts w:ascii="宋体" w:hAnsi="宋体" w:cs="宋体"/>
                <w:szCs w:val="21"/>
              </w:rPr>
            </w:pPr>
          </w:p>
        </w:tc>
        <w:tc>
          <w:tcPr>
            <w:tcW w:w="1476" w:type="dxa"/>
            <w:noWrap w:val="0"/>
            <w:vAlign w:val="center"/>
          </w:tcPr>
          <w:p>
            <w:pPr>
              <w:snapToGrid w:val="0"/>
              <w:jc w:val="center"/>
              <w:rPr>
                <w:rFonts w:ascii="宋体" w:hAnsi="宋体" w:cs="宋体"/>
                <w:szCs w:val="21"/>
              </w:rPr>
            </w:pPr>
          </w:p>
        </w:tc>
        <w:tc>
          <w:tcPr>
            <w:tcW w:w="968" w:type="dxa"/>
            <w:noWrap w:val="0"/>
            <w:vAlign w:val="center"/>
          </w:tcPr>
          <w:p>
            <w:pPr>
              <w:snapToGrid w:val="0"/>
              <w:jc w:val="center"/>
              <w:rPr>
                <w:rFonts w:ascii="宋体" w:hAnsi="宋体" w:cs="宋体"/>
                <w:szCs w:val="21"/>
              </w:rPr>
            </w:pPr>
          </w:p>
        </w:tc>
        <w:tc>
          <w:tcPr>
            <w:tcW w:w="1223" w:type="dxa"/>
            <w:noWrap w:val="0"/>
            <w:vAlign w:val="top"/>
          </w:tcPr>
          <w:p>
            <w:pPr>
              <w:snapToGrid w:val="0"/>
              <w:jc w:val="center"/>
              <w:rPr>
                <w:rFonts w:ascii="宋体" w:hAnsi="宋体" w:cs="宋体"/>
                <w:szCs w:val="21"/>
              </w:rPr>
            </w:pPr>
          </w:p>
        </w:tc>
        <w:tc>
          <w:tcPr>
            <w:tcW w:w="2176" w:type="dxa"/>
            <w:noWrap w:val="0"/>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pPr>
              <w:snapToGrid w:val="0"/>
              <w:jc w:val="center"/>
              <w:rPr>
                <w:rFonts w:ascii="宋体" w:hAnsi="宋体" w:cs="宋体"/>
                <w:szCs w:val="21"/>
              </w:rPr>
            </w:pPr>
            <w:r>
              <w:rPr>
                <w:rFonts w:hint="eastAsia" w:ascii="宋体" w:hAnsi="宋体" w:cs="宋体"/>
                <w:szCs w:val="21"/>
              </w:rPr>
              <w:t>3</w:t>
            </w:r>
          </w:p>
        </w:tc>
        <w:tc>
          <w:tcPr>
            <w:tcW w:w="1672" w:type="dxa"/>
            <w:noWrap w:val="0"/>
            <w:vAlign w:val="center"/>
          </w:tcPr>
          <w:p>
            <w:pPr>
              <w:snapToGrid w:val="0"/>
              <w:jc w:val="center"/>
              <w:rPr>
                <w:rFonts w:ascii="宋体" w:hAnsi="宋体" w:cs="宋体"/>
                <w:szCs w:val="21"/>
              </w:rPr>
            </w:pPr>
          </w:p>
        </w:tc>
        <w:tc>
          <w:tcPr>
            <w:tcW w:w="1431" w:type="dxa"/>
            <w:noWrap w:val="0"/>
            <w:vAlign w:val="center"/>
          </w:tcPr>
          <w:p>
            <w:pPr>
              <w:snapToGrid w:val="0"/>
              <w:jc w:val="center"/>
              <w:rPr>
                <w:rFonts w:ascii="宋体" w:hAnsi="宋体" w:cs="宋体"/>
                <w:szCs w:val="21"/>
              </w:rPr>
            </w:pPr>
          </w:p>
        </w:tc>
        <w:tc>
          <w:tcPr>
            <w:tcW w:w="1476" w:type="dxa"/>
            <w:noWrap w:val="0"/>
            <w:vAlign w:val="center"/>
          </w:tcPr>
          <w:p>
            <w:pPr>
              <w:snapToGrid w:val="0"/>
              <w:jc w:val="center"/>
              <w:rPr>
                <w:rFonts w:ascii="宋体" w:hAnsi="宋体" w:cs="宋体"/>
                <w:szCs w:val="21"/>
              </w:rPr>
            </w:pPr>
          </w:p>
        </w:tc>
        <w:tc>
          <w:tcPr>
            <w:tcW w:w="968" w:type="dxa"/>
            <w:noWrap w:val="0"/>
            <w:vAlign w:val="center"/>
          </w:tcPr>
          <w:p>
            <w:pPr>
              <w:snapToGrid w:val="0"/>
              <w:jc w:val="center"/>
              <w:rPr>
                <w:rFonts w:ascii="宋体" w:hAnsi="宋体" w:cs="宋体"/>
                <w:szCs w:val="21"/>
              </w:rPr>
            </w:pPr>
          </w:p>
        </w:tc>
        <w:tc>
          <w:tcPr>
            <w:tcW w:w="1223" w:type="dxa"/>
            <w:noWrap w:val="0"/>
            <w:vAlign w:val="top"/>
          </w:tcPr>
          <w:p>
            <w:pPr>
              <w:snapToGrid w:val="0"/>
              <w:jc w:val="center"/>
              <w:rPr>
                <w:rFonts w:ascii="宋体" w:hAnsi="宋体" w:cs="宋体"/>
                <w:szCs w:val="21"/>
              </w:rPr>
            </w:pPr>
          </w:p>
        </w:tc>
        <w:tc>
          <w:tcPr>
            <w:tcW w:w="2176" w:type="dxa"/>
            <w:noWrap w:val="0"/>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pPr>
              <w:snapToGrid w:val="0"/>
              <w:jc w:val="center"/>
              <w:rPr>
                <w:rFonts w:ascii="宋体" w:hAnsi="宋体" w:cs="宋体"/>
                <w:szCs w:val="21"/>
              </w:rPr>
            </w:pPr>
            <w:r>
              <w:rPr>
                <w:rFonts w:hint="eastAsia" w:ascii="宋体" w:hAnsi="宋体" w:cs="宋体"/>
                <w:szCs w:val="21"/>
              </w:rPr>
              <w:t>…</w:t>
            </w:r>
          </w:p>
        </w:tc>
        <w:tc>
          <w:tcPr>
            <w:tcW w:w="1672" w:type="dxa"/>
            <w:noWrap w:val="0"/>
            <w:vAlign w:val="center"/>
          </w:tcPr>
          <w:p>
            <w:pPr>
              <w:snapToGrid w:val="0"/>
              <w:jc w:val="center"/>
              <w:rPr>
                <w:rFonts w:ascii="宋体" w:hAnsi="宋体" w:cs="宋体"/>
                <w:szCs w:val="21"/>
              </w:rPr>
            </w:pPr>
          </w:p>
        </w:tc>
        <w:tc>
          <w:tcPr>
            <w:tcW w:w="1431" w:type="dxa"/>
            <w:noWrap w:val="0"/>
            <w:vAlign w:val="center"/>
          </w:tcPr>
          <w:p>
            <w:pPr>
              <w:snapToGrid w:val="0"/>
              <w:jc w:val="center"/>
              <w:rPr>
                <w:rFonts w:ascii="宋体" w:hAnsi="宋体" w:cs="宋体"/>
                <w:szCs w:val="21"/>
              </w:rPr>
            </w:pPr>
          </w:p>
        </w:tc>
        <w:tc>
          <w:tcPr>
            <w:tcW w:w="1476" w:type="dxa"/>
            <w:noWrap w:val="0"/>
            <w:vAlign w:val="center"/>
          </w:tcPr>
          <w:p>
            <w:pPr>
              <w:snapToGrid w:val="0"/>
              <w:jc w:val="center"/>
              <w:rPr>
                <w:rFonts w:ascii="宋体" w:hAnsi="宋体" w:cs="宋体"/>
                <w:szCs w:val="21"/>
              </w:rPr>
            </w:pPr>
          </w:p>
        </w:tc>
        <w:tc>
          <w:tcPr>
            <w:tcW w:w="968" w:type="dxa"/>
            <w:noWrap w:val="0"/>
            <w:vAlign w:val="center"/>
          </w:tcPr>
          <w:p>
            <w:pPr>
              <w:snapToGrid w:val="0"/>
              <w:jc w:val="center"/>
              <w:rPr>
                <w:rFonts w:ascii="宋体" w:hAnsi="宋体" w:cs="宋体"/>
                <w:szCs w:val="21"/>
              </w:rPr>
            </w:pPr>
          </w:p>
        </w:tc>
        <w:tc>
          <w:tcPr>
            <w:tcW w:w="1223" w:type="dxa"/>
            <w:noWrap w:val="0"/>
            <w:vAlign w:val="top"/>
          </w:tcPr>
          <w:p>
            <w:pPr>
              <w:snapToGrid w:val="0"/>
              <w:jc w:val="center"/>
              <w:rPr>
                <w:rFonts w:ascii="宋体" w:hAnsi="宋体" w:cs="宋体"/>
                <w:szCs w:val="21"/>
              </w:rPr>
            </w:pPr>
          </w:p>
        </w:tc>
        <w:tc>
          <w:tcPr>
            <w:tcW w:w="2176" w:type="dxa"/>
            <w:noWrap w:val="0"/>
            <w:vAlign w:val="center"/>
          </w:tcPr>
          <w:p>
            <w:pPr>
              <w:snapToGrid w:val="0"/>
              <w:jc w:val="center"/>
              <w:rPr>
                <w:rFonts w:ascii="宋体" w:hAnsi="宋体" w:cs="宋体"/>
                <w:szCs w:val="21"/>
              </w:rPr>
            </w:pPr>
          </w:p>
        </w:tc>
      </w:tr>
    </w:tbl>
    <w:p>
      <w:pPr>
        <w:spacing w:line="360" w:lineRule="auto"/>
        <w:ind w:firstLine="5040" w:firstLineChars="2100"/>
        <w:rPr>
          <w:rFonts w:ascii="宋体" w:hAnsi="宋体"/>
          <w:sz w:val="24"/>
          <w:szCs w:val="24"/>
        </w:rPr>
        <w:sectPr>
          <w:footerReference r:id="rId11" w:type="default"/>
          <w:pgSz w:w="11906" w:h="16838"/>
          <w:pgMar w:top="1134" w:right="1361" w:bottom="1134" w:left="1361" w:header="851" w:footer="992" w:gutter="0"/>
          <w:cols w:space="720" w:num="1"/>
          <w:docGrid w:type="lines" w:linePitch="312" w:charSpace="0"/>
        </w:sectPr>
      </w:pPr>
    </w:p>
    <w:p>
      <w:pPr>
        <w:pageBreakBefore/>
        <w:adjustRightInd w:val="0"/>
        <w:snapToGrid w:val="0"/>
        <w:spacing w:line="360" w:lineRule="auto"/>
        <w:jc w:val="center"/>
        <w:outlineLvl w:val="0"/>
        <w:rPr>
          <w:rFonts w:hint="eastAsia" w:ascii="宋体" w:hAnsi="宋体"/>
          <w:b/>
          <w:sz w:val="36"/>
          <w:szCs w:val="36"/>
        </w:rPr>
      </w:pPr>
      <w:bookmarkStart w:id="97" w:name="_Toc83910204"/>
      <w:r>
        <w:rPr>
          <w:rFonts w:hint="eastAsia" w:ascii="宋体" w:hAnsi="宋体"/>
          <w:b/>
          <w:sz w:val="36"/>
          <w:szCs w:val="36"/>
        </w:rPr>
        <w:t xml:space="preserve">第五部分 </w:t>
      </w:r>
      <w:bookmarkEnd w:id="94"/>
      <w:r>
        <w:rPr>
          <w:rFonts w:hint="eastAsia" w:ascii="宋体" w:hAnsi="宋体"/>
          <w:b/>
          <w:sz w:val="36"/>
          <w:szCs w:val="36"/>
        </w:rPr>
        <w:t xml:space="preserve"> </w:t>
      </w:r>
      <w:bookmarkEnd w:id="95"/>
      <w:r>
        <w:rPr>
          <w:rFonts w:hint="eastAsia" w:ascii="宋体" w:hAnsi="宋体"/>
          <w:b/>
          <w:sz w:val="36"/>
          <w:szCs w:val="36"/>
        </w:rPr>
        <w:t>投标文件部分格式文件</w:t>
      </w:r>
      <w:bookmarkEnd w:id="97"/>
    </w:p>
    <w:p>
      <w:pPr>
        <w:pStyle w:val="4"/>
        <w:ind w:left="0" w:firstLine="0"/>
        <w:jc w:val="center"/>
        <w:rPr>
          <w:rFonts w:hint="eastAsia" w:ascii="宋体" w:hAnsi="宋体" w:eastAsia="宋体"/>
          <w:kern w:val="0"/>
          <w:sz w:val="28"/>
          <w:szCs w:val="28"/>
        </w:rPr>
      </w:pPr>
      <w:bookmarkStart w:id="98" w:name="_Toc83910205"/>
      <w:bookmarkStart w:id="99" w:name="_Toc233618990"/>
      <w:bookmarkStart w:id="100" w:name="_Toc233618989"/>
      <w:r>
        <w:rPr>
          <w:rFonts w:hint="eastAsia" w:ascii="宋体" w:hAnsi="宋体" w:eastAsia="宋体"/>
          <w:kern w:val="0"/>
          <w:sz w:val="28"/>
          <w:szCs w:val="28"/>
          <w:lang w:val="zh-CN"/>
        </w:rPr>
        <w:t>格式</w:t>
      </w:r>
      <w:r>
        <w:rPr>
          <w:rFonts w:hint="eastAsia" w:ascii="宋体" w:hAnsi="宋体" w:eastAsia="宋体"/>
          <w:kern w:val="0"/>
          <w:sz w:val="28"/>
          <w:szCs w:val="28"/>
        </w:rPr>
        <w:t>一：资格审查材料</w:t>
      </w:r>
      <w:bookmarkEnd w:id="98"/>
    </w:p>
    <w:tbl>
      <w:tblPr>
        <w:tblStyle w:val="88"/>
        <w:tblW w:w="0" w:type="auto"/>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817"/>
        <w:gridCol w:w="4394"/>
        <w:gridCol w:w="3260"/>
        <w:gridCol w:w="771"/>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19" w:hRule="atLeast"/>
          <w:tblHeader/>
        </w:trPr>
        <w:tc>
          <w:tcPr>
            <w:tcW w:w="817" w:type="dxa"/>
            <w:noWrap w:val="0"/>
            <w:vAlign w:val="center"/>
          </w:tcPr>
          <w:p>
            <w:pPr>
              <w:jc w:val="center"/>
              <w:rPr>
                <w:rFonts w:ascii="宋体" w:hAnsi="宋体" w:cs="Arabic Typesetting"/>
                <w:b/>
                <w:sz w:val="21"/>
                <w:szCs w:val="21"/>
              </w:rPr>
            </w:pPr>
            <w:r>
              <w:rPr>
                <w:rFonts w:ascii="宋体" w:hAnsi="宋体" w:cs="Arabic Typesetting"/>
                <w:b/>
                <w:sz w:val="21"/>
                <w:szCs w:val="21"/>
              </w:rPr>
              <w:t>序号</w:t>
            </w:r>
          </w:p>
        </w:tc>
        <w:tc>
          <w:tcPr>
            <w:tcW w:w="4394" w:type="dxa"/>
            <w:noWrap w:val="0"/>
            <w:vAlign w:val="center"/>
          </w:tcPr>
          <w:p>
            <w:pPr>
              <w:jc w:val="center"/>
              <w:rPr>
                <w:rFonts w:ascii="宋体" w:hAnsi="宋体" w:cs="Arabic Typesetting"/>
                <w:b/>
                <w:sz w:val="21"/>
                <w:szCs w:val="21"/>
              </w:rPr>
            </w:pPr>
            <w:r>
              <w:rPr>
                <w:rFonts w:ascii="宋体" w:hAnsi="宋体" w:cs="Arabic Typesetting"/>
                <w:b/>
                <w:sz w:val="21"/>
                <w:szCs w:val="21"/>
              </w:rPr>
              <w:t>资格条件要求</w:t>
            </w:r>
          </w:p>
        </w:tc>
        <w:tc>
          <w:tcPr>
            <w:tcW w:w="3260" w:type="dxa"/>
            <w:noWrap w:val="0"/>
            <w:vAlign w:val="center"/>
          </w:tcPr>
          <w:p>
            <w:pPr>
              <w:jc w:val="center"/>
              <w:rPr>
                <w:rFonts w:ascii="宋体" w:hAnsi="宋体" w:cs="Arabic Typesetting"/>
                <w:b/>
                <w:sz w:val="21"/>
                <w:szCs w:val="21"/>
              </w:rPr>
            </w:pPr>
            <w:r>
              <w:rPr>
                <w:rFonts w:ascii="宋体" w:hAnsi="宋体" w:cs="Arabic Typesetting"/>
                <w:b/>
                <w:sz w:val="21"/>
                <w:szCs w:val="21"/>
              </w:rPr>
              <w:t>要求提供的证明材料</w:t>
            </w:r>
          </w:p>
        </w:tc>
        <w:tc>
          <w:tcPr>
            <w:tcW w:w="771" w:type="dxa"/>
            <w:noWrap w:val="0"/>
            <w:vAlign w:val="center"/>
          </w:tcPr>
          <w:p>
            <w:pPr>
              <w:jc w:val="center"/>
              <w:rPr>
                <w:rFonts w:ascii="宋体" w:hAnsi="宋体" w:cs="Arabic Typesetting"/>
                <w:b/>
                <w:sz w:val="21"/>
                <w:szCs w:val="21"/>
              </w:rPr>
            </w:pPr>
            <w:r>
              <w:rPr>
                <w:rFonts w:ascii="宋体" w:hAnsi="宋体" w:cs="Arabic Typesetting"/>
                <w:b/>
                <w:sz w:val="21"/>
                <w:szCs w:val="21"/>
              </w:rPr>
              <w:t>页码</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b/>
                <w:sz w:val="21"/>
                <w:szCs w:val="21"/>
              </w:rPr>
            </w:pPr>
            <w:r>
              <w:rPr>
                <w:rFonts w:ascii="宋体" w:hAnsi="宋体" w:cs="Arabic Typesetting"/>
                <w:b/>
                <w:sz w:val="21"/>
                <w:szCs w:val="21"/>
              </w:rPr>
              <w:t>1</w:t>
            </w:r>
          </w:p>
        </w:tc>
        <w:tc>
          <w:tcPr>
            <w:tcW w:w="4394" w:type="dxa"/>
            <w:noWrap w:val="0"/>
            <w:vAlign w:val="center"/>
          </w:tcPr>
          <w:p>
            <w:pPr>
              <w:rPr>
                <w:rFonts w:ascii="宋体" w:hAnsi="宋体" w:cs="Arabic Typesetting"/>
                <w:b/>
                <w:sz w:val="21"/>
                <w:szCs w:val="21"/>
                <w:lang w:val="zh-CN"/>
              </w:rPr>
            </w:pPr>
            <w:r>
              <w:rPr>
                <w:rFonts w:ascii="宋体" w:hAnsi="宋体" w:cs="Arabic Typesetting"/>
                <w:b/>
                <w:sz w:val="21"/>
                <w:szCs w:val="21"/>
                <w:lang w:val="zh-CN"/>
              </w:rPr>
              <w:t>基本资格要求：</w:t>
            </w:r>
          </w:p>
        </w:tc>
        <w:tc>
          <w:tcPr>
            <w:tcW w:w="3260" w:type="dxa"/>
            <w:noWrap w:val="0"/>
            <w:vAlign w:val="center"/>
          </w:tcPr>
          <w:p>
            <w:pPr>
              <w:rPr>
                <w:rFonts w:ascii="宋体" w:hAnsi="宋体" w:cs="Arabic Typesetting"/>
                <w:sz w:val="21"/>
                <w:szCs w:val="21"/>
                <w:lang w:val="zh-CN"/>
              </w:rPr>
            </w:pPr>
            <w:r>
              <w:rPr>
                <w:rFonts w:ascii="宋体" w:hAnsi="宋体" w:cs="Arabic Typesetting"/>
                <w:sz w:val="21"/>
                <w:szCs w:val="21"/>
                <w:lang w:val="zh-CN"/>
              </w:rPr>
              <w:t>/</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sz w:val="21"/>
                <w:szCs w:val="21"/>
              </w:rPr>
            </w:pPr>
            <w:r>
              <w:rPr>
                <w:rFonts w:ascii="宋体" w:hAnsi="宋体" w:cs="Arabic Typesetting"/>
                <w:sz w:val="21"/>
                <w:szCs w:val="21"/>
              </w:rPr>
              <w:t>1.1</w:t>
            </w:r>
          </w:p>
        </w:tc>
        <w:tc>
          <w:tcPr>
            <w:tcW w:w="4394" w:type="dxa"/>
            <w:noWrap w:val="0"/>
            <w:vAlign w:val="center"/>
          </w:tcPr>
          <w:p>
            <w:pPr>
              <w:rPr>
                <w:rFonts w:ascii="宋体" w:hAnsi="宋体" w:cs="Arabic Typesetting"/>
                <w:sz w:val="21"/>
                <w:szCs w:val="21"/>
              </w:rPr>
            </w:pPr>
            <w:r>
              <w:rPr>
                <w:rFonts w:ascii="宋体" w:hAnsi="宋体" w:cs="Arabic Typesetting"/>
                <w:sz w:val="21"/>
                <w:szCs w:val="21"/>
                <w:lang w:val="zh-CN"/>
              </w:rPr>
              <w:t>满足《中华人民共和国政府采购法》第二十二条规定</w:t>
            </w:r>
            <w:r>
              <w:rPr>
                <w:rFonts w:ascii="宋体" w:hAnsi="宋体" w:cs="Arabic Typesetting"/>
                <w:sz w:val="21"/>
                <w:szCs w:val="21"/>
              </w:rPr>
              <w:t>；</w:t>
            </w:r>
            <w:r>
              <w:rPr>
                <w:rFonts w:ascii="宋体" w:hAnsi="宋体" w:cs="Arabic Typesetting"/>
                <w:sz w:val="21"/>
                <w:szCs w:val="21"/>
                <w:lang w:val="zh-CN"/>
              </w:rPr>
              <w:t>未被</w:t>
            </w:r>
            <w:r>
              <w:rPr>
                <w:rFonts w:ascii="宋体" w:hAnsi="宋体" w:cs="Arabic Typesetting"/>
                <w:sz w:val="21"/>
                <w:szCs w:val="21"/>
              </w:rPr>
              <w:t>“</w:t>
            </w:r>
            <w:r>
              <w:rPr>
                <w:rFonts w:ascii="宋体" w:hAnsi="宋体" w:cs="Arabic Typesetting"/>
                <w:sz w:val="21"/>
                <w:szCs w:val="21"/>
                <w:lang w:val="zh-CN"/>
              </w:rPr>
              <w:t>信用中国</w:t>
            </w:r>
            <w:r>
              <w:rPr>
                <w:rFonts w:ascii="宋体" w:hAnsi="宋体" w:cs="Arabic Typesetting"/>
                <w:sz w:val="21"/>
                <w:szCs w:val="21"/>
              </w:rPr>
              <w:t>”（www.creditchina.gov.cn)</w:t>
            </w:r>
            <w:r>
              <w:rPr>
                <w:rFonts w:ascii="宋体" w:hAnsi="宋体" w:cs="Arabic Typesetting"/>
                <w:sz w:val="21"/>
                <w:szCs w:val="21"/>
                <w:lang w:val="zh-CN"/>
              </w:rPr>
              <w:t>、中国政府采购网</w:t>
            </w:r>
            <w:r>
              <w:rPr>
                <w:rFonts w:ascii="宋体" w:hAnsi="宋体" w:cs="Arabic Typesetting"/>
                <w:sz w:val="21"/>
                <w:szCs w:val="21"/>
              </w:rPr>
              <w:t>（www.ccgp.gov.cn）</w:t>
            </w:r>
            <w:r>
              <w:rPr>
                <w:rFonts w:ascii="宋体" w:hAnsi="宋体" w:cs="Arabic Typesetting"/>
                <w:sz w:val="21"/>
                <w:szCs w:val="21"/>
                <w:lang w:val="zh-CN"/>
              </w:rPr>
              <w:t>列入失信被执行人、重大税收违法案件当事人名单、政府采购严重违法失信行为记录名单。</w:t>
            </w:r>
          </w:p>
        </w:tc>
        <w:tc>
          <w:tcPr>
            <w:tcW w:w="3260" w:type="dxa"/>
            <w:noWrap w:val="0"/>
            <w:vAlign w:val="center"/>
          </w:tcPr>
          <w:p>
            <w:pPr>
              <w:rPr>
                <w:rFonts w:ascii="宋体" w:hAnsi="宋体" w:cs="Arabic Typesetting"/>
                <w:sz w:val="21"/>
                <w:szCs w:val="21"/>
                <w:lang w:val="zh-CN"/>
              </w:rPr>
            </w:pPr>
            <w:r>
              <w:rPr>
                <w:rFonts w:ascii="宋体" w:hAnsi="宋体" w:cs="Arabic Typesetting"/>
                <w:sz w:val="21"/>
                <w:szCs w:val="21"/>
                <w:lang w:val="zh-CN"/>
              </w:rPr>
              <w:t>（1）营业执照（或事业法人登记证或其他工商等登记证明材料）复制件（供应商为自然人的，提供自然人的身份证明）；</w:t>
            </w:r>
          </w:p>
          <w:p>
            <w:pPr>
              <w:rPr>
                <w:rFonts w:ascii="宋体" w:hAnsi="宋体" w:cs="Arabic Typesetting"/>
                <w:sz w:val="21"/>
                <w:szCs w:val="21"/>
                <w:lang w:val="zh-CN"/>
              </w:rPr>
            </w:pPr>
            <w:r>
              <w:rPr>
                <w:rFonts w:ascii="宋体" w:hAnsi="宋体" w:cs="Arabic Typesetting"/>
                <w:sz w:val="21"/>
                <w:szCs w:val="21"/>
                <w:lang w:val="zh-CN"/>
              </w:rPr>
              <w:t>（2）符合资格条件的声明函。【</w:t>
            </w:r>
            <w:r>
              <w:rPr>
                <w:rFonts w:ascii="宋体" w:hAnsi="宋体" w:cs="Arabic Typesetting"/>
                <w:sz w:val="21"/>
                <w:szCs w:val="21"/>
              </w:rPr>
              <w:t>详见附件1</w:t>
            </w:r>
            <w:r>
              <w:rPr>
                <w:rFonts w:ascii="宋体" w:hAnsi="宋体" w:cs="Arabic Typesetting"/>
                <w:sz w:val="21"/>
                <w:szCs w:val="21"/>
                <w:lang w:val="zh-CN"/>
              </w:rPr>
              <w:t>】</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b/>
                <w:sz w:val="21"/>
                <w:szCs w:val="21"/>
              </w:rPr>
            </w:pPr>
            <w:r>
              <w:rPr>
                <w:rFonts w:ascii="宋体" w:hAnsi="宋体" w:cs="Arabic Typesetting"/>
                <w:b/>
                <w:sz w:val="21"/>
                <w:szCs w:val="21"/>
              </w:rPr>
              <w:t>2</w:t>
            </w:r>
          </w:p>
        </w:tc>
        <w:tc>
          <w:tcPr>
            <w:tcW w:w="4394" w:type="dxa"/>
            <w:noWrap w:val="0"/>
            <w:vAlign w:val="center"/>
          </w:tcPr>
          <w:p>
            <w:pPr>
              <w:rPr>
                <w:rFonts w:ascii="宋体" w:hAnsi="宋体" w:cs="Arabic Typesetting"/>
                <w:b/>
                <w:sz w:val="21"/>
                <w:szCs w:val="21"/>
                <w:lang w:val="zh-CN"/>
              </w:rPr>
            </w:pPr>
            <w:r>
              <w:rPr>
                <w:rFonts w:ascii="宋体" w:hAnsi="宋体" w:cs="Arabic Typesetting"/>
                <w:b/>
                <w:sz w:val="21"/>
                <w:szCs w:val="21"/>
                <w:lang w:val="zh-CN"/>
              </w:rPr>
              <w:t>落实政府采购政策需满足的资格要求：</w:t>
            </w:r>
          </w:p>
        </w:tc>
        <w:tc>
          <w:tcPr>
            <w:tcW w:w="3260" w:type="dxa"/>
            <w:noWrap w:val="0"/>
            <w:vAlign w:val="center"/>
          </w:tcPr>
          <w:p>
            <w:pPr>
              <w:rPr>
                <w:rFonts w:ascii="宋体" w:hAnsi="宋体" w:cs="Arabic Typesetting"/>
                <w:sz w:val="21"/>
                <w:szCs w:val="21"/>
                <w:lang w:val="zh-CN"/>
              </w:rPr>
            </w:pPr>
            <w:r>
              <w:rPr>
                <w:rFonts w:ascii="宋体" w:hAnsi="宋体" w:cs="Arabic Typesetting"/>
                <w:sz w:val="21"/>
                <w:szCs w:val="21"/>
                <w:lang w:val="zh-CN"/>
              </w:rPr>
              <w:t>/</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sz w:val="21"/>
                <w:szCs w:val="21"/>
              </w:rPr>
            </w:pPr>
            <w:r>
              <w:rPr>
                <w:rFonts w:ascii="宋体" w:hAnsi="宋体" w:cs="Arabic Typesetting"/>
                <w:sz w:val="21"/>
                <w:szCs w:val="21"/>
              </w:rPr>
              <w:t>2.1</w:t>
            </w:r>
          </w:p>
        </w:tc>
        <w:tc>
          <w:tcPr>
            <w:tcW w:w="4394" w:type="dxa"/>
            <w:noWrap w:val="0"/>
            <w:vAlign w:val="center"/>
          </w:tcPr>
          <w:p>
            <w:pPr>
              <w:rPr>
                <w:rFonts w:ascii="宋体" w:hAnsi="宋体" w:cs="Arabic Typesetting"/>
                <w:sz w:val="21"/>
                <w:szCs w:val="21"/>
                <w:lang w:val="zh-CN"/>
              </w:rPr>
            </w:pPr>
            <w:r>
              <w:rPr>
                <w:rFonts w:ascii="宋体" w:hAnsi="宋体" w:cs="Arabic Typesetting"/>
                <w:sz w:val="21"/>
                <w:szCs w:val="21"/>
              </w:rPr>
              <w:t>本项目为服务项目，属于【物业管理】，要求服务全部由中小企业承接，即提供服务的人员为中小企业依照《中华人民共和国劳动合同法》订立劳动合同的从业人员。中小企业是指满足《政府采购促进中小企业发展管理办法》（财库〔2020〕46 号）第二条规定的企业，监狱企业、残疾人福利性单位视为中小企业。</w:t>
            </w:r>
          </w:p>
        </w:tc>
        <w:tc>
          <w:tcPr>
            <w:tcW w:w="3260" w:type="dxa"/>
            <w:noWrap w:val="0"/>
            <w:vAlign w:val="center"/>
          </w:tcPr>
          <w:p>
            <w:pPr>
              <w:rPr>
                <w:rFonts w:ascii="宋体" w:hAnsi="宋体" w:cs="Arabic Typesetting"/>
                <w:sz w:val="21"/>
                <w:szCs w:val="21"/>
                <w:lang w:val="zh-CN"/>
              </w:rPr>
            </w:pPr>
            <w:r>
              <w:rPr>
                <w:rFonts w:hint="eastAsia" w:ascii="宋体" w:hAnsi="宋体"/>
                <w:sz w:val="21"/>
                <w:szCs w:val="21"/>
              </w:rPr>
              <w:t>提供小企业声明函/监狱企业声明函及其相关的充分的证明材料/残疾人福利性单位声明函</w:t>
            </w:r>
            <w:r>
              <w:rPr>
                <w:rFonts w:hint="eastAsia" w:ascii="宋体" w:hAnsi="宋体"/>
                <w:sz w:val="21"/>
                <w:szCs w:val="21"/>
                <w:lang w:val="zh-CN"/>
              </w:rPr>
              <w:t>【</w:t>
            </w:r>
            <w:r>
              <w:rPr>
                <w:rFonts w:hint="eastAsia" w:ascii="宋体" w:hAnsi="宋体"/>
                <w:sz w:val="21"/>
                <w:szCs w:val="21"/>
              </w:rPr>
              <w:t>详见格式十</w:t>
            </w:r>
            <w:r>
              <w:rPr>
                <w:rFonts w:hint="eastAsia" w:ascii="宋体" w:hAnsi="宋体"/>
                <w:sz w:val="21"/>
                <w:szCs w:val="21"/>
                <w:lang w:val="zh-CN"/>
              </w:rPr>
              <w:t>】</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b/>
                <w:sz w:val="21"/>
                <w:szCs w:val="21"/>
              </w:rPr>
            </w:pPr>
            <w:r>
              <w:rPr>
                <w:rFonts w:ascii="宋体" w:hAnsi="宋体" w:cs="Arabic Typesetting"/>
                <w:b/>
                <w:sz w:val="21"/>
                <w:szCs w:val="21"/>
              </w:rPr>
              <w:t>3</w:t>
            </w:r>
          </w:p>
        </w:tc>
        <w:tc>
          <w:tcPr>
            <w:tcW w:w="4394" w:type="dxa"/>
            <w:noWrap w:val="0"/>
            <w:vAlign w:val="center"/>
          </w:tcPr>
          <w:p>
            <w:pPr>
              <w:rPr>
                <w:rFonts w:ascii="宋体" w:hAnsi="宋体" w:cs="Arabic Typesetting"/>
                <w:b/>
                <w:sz w:val="21"/>
                <w:szCs w:val="21"/>
                <w:lang w:val="zh-CN"/>
              </w:rPr>
            </w:pPr>
            <w:r>
              <w:rPr>
                <w:rFonts w:ascii="宋体" w:hAnsi="宋体" w:cs="Arabic Typesetting"/>
                <w:b/>
                <w:sz w:val="21"/>
                <w:szCs w:val="21"/>
                <w:lang w:val="zh-CN"/>
              </w:rPr>
              <w:t>特定资格要求：</w:t>
            </w:r>
          </w:p>
        </w:tc>
        <w:tc>
          <w:tcPr>
            <w:tcW w:w="3260" w:type="dxa"/>
            <w:noWrap w:val="0"/>
            <w:vAlign w:val="center"/>
          </w:tcPr>
          <w:p>
            <w:pPr>
              <w:rPr>
                <w:rFonts w:ascii="宋体" w:hAnsi="宋体" w:cs="Arabic Typesetting"/>
                <w:sz w:val="21"/>
                <w:szCs w:val="21"/>
                <w:lang w:val="zh-CN"/>
              </w:rPr>
            </w:pPr>
            <w:r>
              <w:rPr>
                <w:rFonts w:ascii="宋体" w:hAnsi="宋体" w:cs="Arabic Typesetting"/>
                <w:sz w:val="21"/>
                <w:szCs w:val="21"/>
                <w:lang w:val="zh-CN"/>
              </w:rPr>
              <w:t>/</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sz w:val="21"/>
                <w:szCs w:val="21"/>
              </w:rPr>
            </w:pPr>
            <w:r>
              <w:rPr>
                <w:rFonts w:ascii="宋体" w:hAnsi="宋体" w:cs="Arabic Typesetting"/>
                <w:sz w:val="21"/>
                <w:szCs w:val="21"/>
              </w:rPr>
              <w:t>3.1</w:t>
            </w:r>
          </w:p>
        </w:tc>
        <w:tc>
          <w:tcPr>
            <w:tcW w:w="4394" w:type="dxa"/>
            <w:noWrap w:val="0"/>
            <w:vAlign w:val="center"/>
          </w:tcPr>
          <w:p>
            <w:pPr>
              <w:rPr>
                <w:rFonts w:ascii="宋体" w:hAnsi="宋体" w:cs="Arabic Typesetting"/>
                <w:sz w:val="21"/>
                <w:szCs w:val="21"/>
              </w:rPr>
            </w:pPr>
            <w:r>
              <w:rPr>
                <w:rFonts w:ascii="宋体" w:hAnsi="宋体" w:cs="Arabic Typesetting"/>
                <w:sz w:val="21"/>
                <w:szCs w:val="21"/>
              </w:rPr>
              <w:t>单位负责人为同一人或者存在直接控股、管理关系的不同供应商，不得参加同一合同项下的政府采购活动。</w:t>
            </w:r>
          </w:p>
        </w:tc>
        <w:tc>
          <w:tcPr>
            <w:tcW w:w="3260" w:type="dxa"/>
            <w:noWrap w:val="0"/>
            <w:vAlign w:val="center"/>
          </w:tcPr>
          <w:p>
            <w:pPr>
              <w:rPr>
                <w:rFonts w:ascii="宋体" w:hAnsi="宋体" w:cs="Arabic Typesetting"/>
                <w:sz w:val="21"/>
                <w:szCs w:val="21"/>
              </w:rPr>
            </w:pPr>
            <w:r>
              <w:rPr>
                <w:rFonts w:ascii="宋体" w:hAnsi="宋体" w:cs="Arabic Typesetting"/>
                <w:sz w:val="21"/>
                <w:szCs w:val="21"/>
              </w:rPr>
              <w:t>与其他供应商无利害关系的</w:t>
            </w:r>
            <w:r>
              <w:rPr>
                <w:rFonts w:ascii="宋体" w:hAnsi="宋体" w:cs="Arabic Typesetting"/>
                <w:sz w:val="21"/>
                <w:szCs w:val="21"/>
                <w:lang w:val="zh-CN"/>
              </w:rPr>
              <w:t>声明函</w:t>
            </w:r>
            <w:r>
              <w:rPr>
                <w:rFonts w:ascii="宋体" w:hAnsi="宋体" w:cs="Arabic Typesetting"/>
                <w:sz w:val="21"/>
                <w:szCs w:val="21"/>
              </w:rPr>
              <w:t>。【详见附件2】</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sz w:val="21"/>
                <w:szCs w:val="21"/>
              </w:rPr>
            </w:pPr>
            <w:r>
              <w:rPr>
                <w:rFonts w:ascii="宋体" w:hAnsi="宋体" w:cs="Arabic Typesetting"/>
                <w:sz w:val="21"/>
                <w:szCs w:val="21"/>
              </w:rPr>
              <w:t>3.2</w:t>
            </w:r>
          </w:p>
        </w:tc>
        <w:tc>
          <w:tcPr>
            <w:tcW w:w="4394" w:type="dxa"/>
            <w:noWrap w:val="0"/>
            <w:vAlign w:val="center"/>
          </w:tcPr>
          <w:p>
            <w:pPr>
              <w:rPr>
                <w:rFonts w:ascii="宋体" w:hAnsi="宋体" w:cs="Arabic Typesetting"/>
                <w:sz w:val="21"/>
                <w:szCs w:val="21"/>
              </w:rPr>
            </w:pPr>
            <w:r>
              <w:rPr>
                <w:rFonts w:ascii="宋体" w:hAnsi="宋体" w:cs="Arabic Typesetting"/>
                <w:sz w:val="21"/>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260" w:type="dxa"/>
            <w:noWrap w:val="0"/>
            <w:vAlign w:val="center"/>
          </w:tcPr>
          <w:p>
            <w:pPr>
              <w:rPr>
                <w:rFonts w:ascii="宋体" w:hAnsi="宋体" w:cs="Arabic Typesetting"/>
                <w:sz w:val="21"/>
                <w:szCs w:val="21"/>
              </w:rPr>
            </w:pPr>
            <w:r>
              <w:rPr>
                <w:rFonts w:ascii="宋体" w:hAnsi="宋体" w:cs="Arabic Typesetting"/>
                <w:sz w:val="21"/>
                <w:szCs w:val="21"/>
              </w:rPr>
              <w:t>除基本资格要求应提供资料外，还应提供以下资料：</w:t>
            </w:r>
          </w:p>
          <w:p>
            <w:pPr>
              <w:rPr>
                <w:rFonts w:ascii="宋体" w:hAnsi="宋体" w:cs="Arabic Typesetting"/>
                <w:sz w:val="21"/>
                <w:szCs w:val="21"/>
              </w:rPr>
            </w:pPr>
            <w:r>
              <w:rPr>
                <w:rFonts w:ascii="宋体" w:hAnsi="宋体" w:cs="Arabic Typesetting"/>
                <w:sz w:val="21"/>
                <w:szCs w:val="21"/>
              </w:rPr>
              <w:t>（1）金融、保险、通讯等特定行业的全国性企业所设立的区域性分支机构提供总公司（总机构）授权；</w:t>
            </w:r>
          </w:p>
          <w:p>
            <w:pPr>
              <w:rPr>
                <w:rFonts w:ascii="宋体" w:hAnsi="宋体" w:cs="Arabic Typesetting"/>
                <w:sz w:val="21"/>
                <w:szCs w:val="21"/>
              </w:rPr>
            </w:pPr>
            <w:r>
              <w:rPr>
                <w:rFonts w:ascii="宋体" w:hAnsi="宋体" w:cs="Arabic Typesetting"/>
                <w:sz w:val="21"/>
                <w:szCs w:val="21"/>
              </w:rPr>
              <w:t>（2）个体工商户、个人独资企业、合伙企业等应提供房产权证或其他有效财产证明材料。</w:t>
            </w:r>
          </w:p>
          <w:p>
            <w:pPr>
              <w:rPr>
                <w:rFonts w:ascii="宋体" w:hAnsi="宋体" w:cs="Arabic Typesetting"/>
                <w:sz w:val="21"/>
                <w:szCs w:val="21"/>
              </w:rPr>
            </w:pPr>
          </w:p>
          <w:p>
            <w:pPr>
              <w:rPr>
                <w:rFonts w:ascii="宋体" w:hAnsi="宋体" w:cs="Arabic Typesetting"/>
                <w:sz w:val="21"/>
                <w:szCs w:val="21"/>
              </w:rPr>
            </w:pPr>
            <w:r>
              <w:rPr>
                <w:rFonts w:ascii="宋体" w:hAnsi="宋体" w:cs="Arabic Typesetting"/>
                <w:sz w:val="21"/>
                <w:szCs w:val="21"/>
              </w:rPr>
              <w:t>不属于此种情况的供应商提供以下资料：</w:t>
            </w:r>
          </w:p>
          <w:p>
            <w:pPr>
              <w:rPr>
                <w:rFonts w:ascii="宋体" w:hAnsi="宋体" w:cs="Arabic Typesetting"/>
                <w:sz w:val="21"/>
                <w:szCs w:val="21"/>
              </w:rPr>
            </w:pPr>
            <w:r>
              <w:rPr>
                <w:rFonts w:ascii="宋体" w:hAnsi="宋体" w:cs="Arabic Typesetting"/>
                <w:sz w:val="21"/>
                <w:szCs w:val="21"/>
              </w:rPr>
              <w:t>企业类型的声明函。【详见附件3】</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sz w:val="21"/>
                <w:szCs w:val="21"/>
              </w:rPr>
            </w:pPr>
            <w:r>
              <w:rPr>
                <w:rFonts w:ascii="宋体" w:hAnsi="宋体" w:cs="Arabic Typesetting"/>
                <w:sz w:val="21"/>
                <w:szCs w:val="21"/>
              </w:rPr>
              <w:t>3.3</w:t>
            </w:r>
          </w:p>
        </w:tc>
        <w:tc>
          <w:tcPr>
            <w:tcW w:w="4394" w:type="dxa"/>
            <w:noWrap w:val="0"/>
            <w:vAlign w:val="center"/>
          </w:tcPr>
          <w:p>
            <w:pPr>
              <w:rPr>
                <w:rFonts w:ascii="宋体" w:hAnsi="宋体" w:cs="Arabic Typesetting"/>
                <w:sz w:val="21"/>
                <w:szCs w:val="21"/>
              </w:rPr>
            </w:pPr>
            <w:r>
              <w:rPr>
                <w:rFonts w:ascii="宋体" w:hAnsi="宋体" w:cs="Arabic Typesetting"/>
                <w:sz w:val="21"/>
                <w:szCs w:val="21"/>
              </w:rPr>
              <w:t>公益一类事业单位不属于政府购买服务的承接主体，不得参与承接购买服务。</w:t>
            </w:r>
          </w:p>
        </w:tc>
        <w:tc>
          <w:tcPr>
            <w:tcW w:w="3260" w:type="dxa"/>
            <w:noWrap w:val="0"/>
            <w:vAlign w:val="center"/>
          </w:tcPr>
          <w:p>
            <w:pPr>
              <w:rPr>
                <w:rFonts w:ascii="宋体" w:hAnsi="宋体" w:cs="Arabic Typesetting"/>
                <w:sz w:val="21"/>
                <w:szCs w:val="21"/>
              </w:rPr>
            </w:pPr>
            <w:r>
              <w:rPr>
                <w:rFonts w:hint="eastAsia" w:ascii="宋体" w:hAnsi="宋体" w:cs="Arabic Typesetting"/>
                <w:sz w:val="21"/>
                <w:szCs w:val="21"/>
              </w:rPr>
              <w:t>不属于公益一类事业单位承诺函</w:t>
            </w:r>
            <w:r>
              <w:rPr>
                <w:rFonts w:ascii="宋体" w:hAnsi="宋体" w:cs="Arabic Typesetting"/>
                <w:sz w:val="21"/>
                <w:szCs w:val="21"/>
              </w:rPr>
              <w:t>【详见附件</w:t>
            </w:r>
            <w:r>
              <w:rPr>
                <w:rFonts w:hint="eastAsia" w:ascii="宋体" w:hAnsi="宋体" w:cs="Arabic Typesetting"/>
                <w:sz w:val="21"/>
                <w:szCs w:val="21"/>
              </w:rPr>
              <w:t>4</w:t>
            </w:r>
            <w:r>
              <w:rPr>
                <w:rFonts w:ascii="宋体" w:hAnsi="宋体" w:cs="Arabic Typesetting"/>
                <w:sz w:val="21"/>
                <w:szCs w:val="21"/>
              </w:rPr>
              <w:t>】</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sz w:val="21"/>
                <w:szCs w:val="21"/>
              </w:rPr>
            </w:pPr>
            <w:r>
              <w:rPr>
                <w:rFonts w:ascii="宋体" w:hAnsi="宋体" w:cs="Arabic Typesetting"/>
                <w:sz w:val="21"/>
                <w:szCs w:val="21"/>
              </w:rPr>
              <w:t>3.4</w:t>
            </w:r>
          </w:p>
        </w:tc>
        <w:tc>
          <w:tcPr>
            <w:tcW w:w="4394" w:type="dxa"/>
            <w:noWrap w:val="0"/>
            <w:vAlign w:val="center"/>
          </w:tcPr>
          <w:p>
            <w:pPr>
              <w:rPr>
                <w:rFonts w:ascii="宋体" w:hAnsi="宋体" w:cs="Arabic Typesetting"/>
                <w:sz w:val="21"/>
                <w:szCs w:val="21"/>
              </w:rPr>
            </w:pPr>
            <w:r>
              <w:rPr>
                <w:rFonts w:ascii="宋体" w:hAnsi="宋体" w:cs="Arabic Typesetting"/>
                <w:sz w:val="21"/>
                <w:szCs w:val="21"/>
              </w:rPr>
              <w:t>具有保洁经营范围（以营业执照体现的内容为准）。</w:t>
            </w:r>
          </w:p>
        </w:tc>
        <w:tc>
          <w:tcPr>
            <w:tcW w:w="3260" w:type="dxa"/>
            <w:noWrap w:val="0"/>
            <w:vAlign w:val="center"/>
          </w:tcPr>
          <w:p>
            <w:pPr>
              <w:rPr>
                <w:rFonts w:ascii="宋体" w:hAnsi="宋体" w:cs="Arabic Typesetting"/>
                <w:sz w:val="21"/>
                <w:szCs w:val="21"/>
              </w:rPr>
            </w:pPr>
            <w:r>
              <w:rPr>
                <w:rFonts w:hint="eastAsia" w:ascii="宋体" w:hAnsi="宋体" w:cs="Arabic Typesetting"/>
                <w:sz w:val="21"/>
                <w:szCs w:val="21"/>
              </w:rPr>
              <w:t>详见营业执照。</w:t>
            </w:r>
          </w:p>
        </w:tc>
        <w:tc>
          <w:tcPr>
            <w:tcW w:w="771" w:type="dxa"/>
            <w:noWrap w:val="0"/>
            <w:vAlign w:val="center"/>
          </w:tcPr>
          <w:p>
            <w:pPr>
              <w:jc w:val="center"/>
              <w:rPr>
                <w:rFonts w:ascii="宋体" w:hAnsi="宋体" w:cs="Arabic Typesetting"/>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wBefore w:w="0" w:type="dxa"/>
          <w:wAfter w:w="0" w:type="dxa"/>
        </w:trPr>
        <w:tc>
          <w:tcPr>
            <w:tcW w:w="817" w:type="dxa"/>
            <w:noWrap w:val="0"/>
            <w:vAlign w:val="center"/>
          </w:tcPr>
          <w:p>
            <w:pPr>
              <w:jc w:val="center"/>
              <w:rPr>
                <w:rFonts w:ascii="宋体" w:hAnsi="宋体" w:cs="Arabic Typesetting"/>
                <w:sz w:val="21"/>
                <w:szCs w:val="21"/>
              </w:rPr>
            </w:pPr>
            <w:r>
              <w:rPr>
                <w:rFonts w:ascii="宋体" w:hAnsi="宋体" w:cs="Arabic Typesetting"/>
                <w:sz w:val="21"/>
                <w:szCs w:val="21"/>
              </w:rPr>
              <w:t>3.3</w:t>
            </w:r>
          </w:p>
        </w:tc>
        <w:tc>
          <w:tcPr>
            <w:tcW w:w="4394" w:type="dxa"/>
            <w:noWrap w:val="0"/>
            <w:vAlign w:val="center"/>
          </w:tcPr>
          <w:p>
            <w:pPr>
              <w:rPr>
                <w:rFonts w:ascii="宋体" w:hAnsi="宋体" w:cs="Arabic Typesetting"/>
                <w:sz w:val="21"/>
                <w:szCs w:val="21"/>
              </w:rPr>
            </w:pPr>
            <w:r>
              <w:rPr>
                <w:rFonts w:ascii="宋体" w:hAnsi="宋体" w:cs="Arabic Typesetting"/>
                <w:sz w:val="21"/>
                <w:szCs w:val="21"/>
              </w:rPr>
              <w:t>本项目不接受联合体投标。</w:t>
            </w:r>
          </w:p>
        </w:tc>
        <w:tc>
          <w:tcPr>
            <w:tcW w:w="3260" w:type="dxa"/>
            <w:noWrap w:val="0"/>
            <w:vAlign w:val="center"/>
          </w:tcPr>
          <w:p>
            <w:pPr>
              <w:rPr>
                <w:rFonts w:ascii="宋体" w:hAnsi="宋体" w:cs="Arabic Typesetting"/>
                <w:sz w:val="21"/>
                <w:szCs w:val="21"/>
              </w:rPr>
            </w:pPr>
            <w:r>
              <w:rPr>
                <w:rFonts w:ascii="宋体" w:hAnsi="宋体" w:cs="Arabic Typesetting"/>
                <w:sz w:val="21"/>
                <w:szCs w:val="21"/>
              </w:rPr>
              <w:t>非联合体的声明函【详见附件</w:t>
            </w:r>
            <w:r>
              <w:rPr>
                <w:rFonts w:hint="eastAsia" w:ascii="宋体" w:hAnsi="宋体" w:cs="Arabic Typesetting"/>
                <w:sz w:val="21"/>
                <w:szCs w:val="21"/>
              </w:rPr>
              <w:t>5</w:t>
            </w:r>
            <w:r>
              <w:rPr>
                <w:rFonts w:ascii="宋体" w:hAnsi="宋体" w:cs="Arabic Typesetting"/>
                <w:sz w:val="21"/>
                <w:szCs w:val="21"/>
              </w:rPr>
              <w:t>】</w:t>
            </w:r>
          </w:p>
        </w:tc>
        <w:tc>
          <w:tcPr>
            <w:tcW w:w="771" w:type="dxa"/>
            <w:noWrap w:val="0"/>
            <w:vAlign w:val="center"/>
          </w:tcPr>
          <w:p>
            <w:pPr>
              <w:jc w:val="center"/>
              <w:rPr>
                <w:rFonts w:ascii="宋体" w:hAnsi="宋体" w:cs="Arabic Typesetting"/>
                <w:sz w:val="21"/>
                <w:szCs w:val="21"/>
              </w:rPr>
            </w:pPr>
          </w:p>
        </w:tc>
      </w:tr>
    </w:tbl>
    <w:p>
      <w:pPr>
        <w:adjustRightInd w:val="0"/>
        <w:snapToGrid w:val="0"/>
        <w:spacing w:line="360" w:lineRule="auto"/>
        <w:rPr>
          <w:rFonts w:hint="eastAsia" w:ascii="宋体" w:hAnsi="宋体"/>
          <w:b/>
          <w:bCs/>
          <w:sz w:val="24"/>
          <w:szCs w:val="24"/>
        </w:rPr>
      </w:pPr>
      <w:r>
        <w:rPr>
          <w:rFonts w:hint="eastAsia" w:ascii="宋体" w:hAnsi="宋体"/>
          <w:b/>
          <w:bCs/>
          <w:sz w:val="24"/>
          <w:szCs w:val="24"/>
        </w:rPr>
        <w:t>注：请按以上顺序编排所需资格文件并填写页码，表后附上相关证明文件。未提供上述材料任何一项或未完整提供或无法证明是否符合资格要求的均按无效标处理。</w:t>
      </w:r>
    </w:p>
    <w:p>
      <w:pPr>
        <w:rPr>
          <w:rFonts w:hint="eastAsia" w:ascii="宋体" w:hAnsi="宋体"/>
          <w:sz w:val="24"/>
        </w:rPr>
      </w:pPr>
      <w:r>
        <w:rPr>
          <w:rFonts w:hint="eastAsia" w:ascii="宋体" w:hAnsi="宋体"/>
          <w:b/>
          <w:bCs/>
          <w:sz w:val="24"/>
          <w:szCs w:val="24"/>
        </w:rPr>
        <w:br w:type="page"/>
      </w:r>
      <w:r>
        <w:rPr>
          <w:rFonts w:hint="eastAsia" w:ascii="宋体" w:hAnsi="宋体"/>
          <w:sz w:val="24"/>
        </w:rPr>
        <w:t>附件1：符合资格条件的声明函</w:t>
      </w:r>
    </w:p>
    <w:p>
      <w:pPr>
        <w:jc w:val="center"/>
        <w:rPr>
          <w:rFonts w:hint="eastAsia" w:ascii="宋体" w:hAnsi="宋体"/>
          <w:sz w:val="24"/>
        </w:rPr>
      </w:pPr>
    </w:p>
    <w:p>
      <w:pPr>
        <w:jc w:val="center"/>
        <w:rPr>
          <w:rFonts w:hint="eastAsia" w:ascii="宋体" w:hAnsi="宋体"/>
          <w:b/>
          <w:sz w:val="32"/>
        </w:rPr>
      </w:pPr>
      <w:r>
        <w:rPr>
          <w:rFonts w:hint="eastAsia" w:ascii="宋体" w:hAnsi="宋体"/>
          <w:b/>
          <w:sz w:val="32"/>
        </w:rPr>
        <w:t>符合资格条件的声明函</w:t>
      </w:r>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b/>
          <w:bCs/>
          <w:sz w:val="30"/>
          <w:szCs w:val="30"/>
        </w:rPr>
      </w:pPr>
      <w:r>
        <w:rPr>
          <w:rFonts w:hint="eastAsia" w:ascii="宋体" w:hAnsi="宋体"/>
          <w:sz w:val="24"/>
        </w:rPr>
        <w:t>浙江省成套招标代理有限公司：</w:t>
      </w:r>
    </w:p>
    <w:p>
      <w:pPr>
        <w:spacing w:line="360" w:lineRule="auto"/>
        <w:ind w:firstLine="480" w:firstLineChars="200"/>
        <w:rPr>
          <w:rFonts w:ascii="宋体" w:hAnsi="宋体"/>
          <w:sz w:val="24"/>
          <w:szCs w:val="24"/>
        </w:rPr>
      </w:pPr>
      <w:r>
        <w:rPr>
          <w:rFonts w:hint="eastAsia" w:ascii="宋体" w:hAnsi="宋体" w:cs="宋体"/>
          <w:kern w:val="0"/>
          <w:sz w:val="24"/>
        </w:rPr>
        <w:t>我方</w:t>
      </w:r>
      <w:r>
        <w:rPr>
          <w:rFonts w:hint="eastAsia" w:ascii="宋体" w:hAnsi="宋体" w:cs="宋体"/>
          <w:kern w:val="0"/>
          <w:sz w:val="24"/>
          <w:u w:val="single"/>
        </w:rPr>
        <w:t xml:space="preserve">（供应商）          </w:t>
      </w:r>
      <w:r>
        <w:rPr>
          <w:rFonts w:hint="eastAsia" w:ascii="宋体" w:hAnsi="宋体" w:cs="宋体"/>
          <w:kern w:val="0"/>
          <w:sz w:val="24"/>
        </w:rPr>
        <w:t>郑重声明：</w:t>
      </w:r>
      <w:r>
        <w:rPr>
          <w:rFonts w:hint="eastAsia" w:ascii="宋体" w:hAnsi="宋体"/>
          <w:sz w:val="24"/>
          <w:szCs w:val="24"/>
        </w:rPr>
        <w:t>截至</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的投标截止时间，具有良好的商业信誉和健全的财务会计制度，具有履行合同所必需的设备和专业技术能力，有依法缴纳税收和社会保障资金的良好记录，在参加采购活动前三年内（新成立不满三年的公司自成立之日起算）在经营活动中没有重大违法记录（重大违法记录是指因违法经营受到刑事处罚、没有被责令停产停业、被吊销许可证或者执照、被处以较大数额罚款等行政处罚），没有因违法经营被禁止参加采购活动期限未满的情形。</w:t>
      </w:r>
    </w:p>
    <w:p>
      <w:pPr>
        <w:spacing w:line="360" w:lineRule="auto"/>
        <w:ind w:firstLine="480" w:firstLineChars="200"/>
        <w:rPr>
          <w:rFonts w:hint="eastAsia" w:ascii="宋体" w:hAnsi="宋体"/>
          <w:sz w:val="24"/>
          <w:szCs w:val="24"/>
        </w:rPr>
      </w:pPr>
      <w:r>
        <w:rPr>
          <w:rFonts w:hint="eastAsia" w:ascii="宋体" w:hAnsi="宋体"/>
          <w:sz w:val="24"/>
          <w:szCs w:val="24"/>
        </w:rPr>
        <w:t>投标截止前未被“信用中国”网站(www.creditchina.gov.cn)列入失信被执行人、重大税收违法案件当事人名单；未被“中国政府采购网”(www.ccgp.gov.cn)列入政府采购严重违法失信行为记录名单。</w:t>
      </w:r>
    </w:p>
    <w:p>
      <w:pPr>
        <w:spacing w:line="360" w:lineRule="auto"/>
        <w:ind w:firstLine="480" w:firstLineChars="200"/>
        <w:rPr>
          <w:rFonts w:hint="eastAsia" w:ascii="宋体" w:hAnsi="宋体"/>
          <w:sz w:val="24"/>
          <w:szCs w:val="24"/>
        </w:rPr>
      </w:pPr>
      <w:r>
        <w:rPr>
          <w:rFonts w:hint="eastAsia" w:ascii="宋体" w:hAnsi="宋体"/>
          <w:sz w:val="24"/>
          <w:szCs w:val="24"/>
        </w:rPr>
        <w:t>我方对上述声明的真实性负责。如有虚假，愿意承担相应责任，对此无任何异议。</w:t>
      </w:r>
    </w:p>
    <w:p>
      <w:pPr>
        <w:spacing w:line="360" w:lineRule="auto"/>
        <w:ind w:firstLine="480" w:firstLineChars="200"/>
        <w:rPr>
          <w:rFonts w:hint="eastAsia" w:ascii="宋体" w:hAnsi="宋体"/>
          <w:sz w:val="24"/>
          <w:szCs w:val="24"/>
        </w:rPr>
      </w:pPr>
      <w:r>
        <w:rPr>
          <w:rFonts w:hint="eastAsia" w:ascii="宋体" w:hAnsi="宋体"/>
          <w:sz w:val="24"/>
          <w:szCs w:val="24"/>
        </w:rPr>
        <w:t>特此声明！</w:t>
      </w: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r>
        <w:rPr>
          <w:rFonts w:hint="eastAsia" w:ascii="宋体" w:hAnsi="宋体"/>
          <w:b/>
          <w:sz w:val="24"/>
          <w:szCs w:val="24"/>
        </w:rPr>
        <w:t xml:space="preserve">投标人全称（盖单位公章或CA章）： </w:t>
      </w:r>
    </w:p>
    <w:p>
      <w:pPr>
        <w:spacing w:line="360" w:lineRule="auto"/>
        <w:ind w:firstLine="480" w:firstLineChars="200"/>
        <w:rPr>
          <w:rFonts w:hint="eastAsia" w:ascii="宋体" w:hAnsi="宋体"/>
          <w:sz w:val="24"/>
          <w:szCs w:val="24"/>
        </w:rPr>
      </w:pPr>
      <w:r>
        <w:rPr>
          <w:rFonts w:hint="eastAsia" w:ascii="宋体" w:hAnsi="宋体"/>
          <w:sz w:val="24"/>
          <w:szCs w:val="24"/>
        </w:rPr>
        <w:t xml:space="preserve">日期： 年  月  日 </w:t>
      </w:r>
    </w:p>
    <w:p>
      <w:pPr>
        <w:spacing w:line="360" w:lineRule="auto"/>
        <w:rPr>
          <w:rFonts w:hint="eastAsia" w:ascii="宋体" w:hAnsi="宋体"/>
          <w:sz w:val="24"/>
          <w:szCs w:val="24"/>
        </w:rPr>
      </w:pPr>
      <w:r>
        <w:rPr>
          <w:rFonts w:hint="eastAsia" w:ascii="宋体" w:hAnsi="宋体"/>
          <w:sz w:val="24"/>
          <w:szCs w:val="24"/>
        </w:rPr>
        <w:t xml:space="preserve">    </w:t>
      </w:r>
    </w:p>
    <w:p>
      <w:pPr>
        <w:rPr>
          <w:rFonts w:hint="eastAsia" w:ascii="宋体" w:hAnsi="宋体"/>
          <w:sz w:val="24"/>
        </w:rPr>
      </w:pPr>
      <w:r>
        <w:rPr>
          <w:rFonts w:ascii="宋体" w:hAnsi="宋体"/>
          <w:sz w:val="24"/>
        </w:rPr>
        <w:br w:type="page"/>
      </w:r>
      <w:r>
        <w:rPr>
          <w:rFonts w:hint="eastAsia" w:ascii="宋体" w:hAnsi="宋体"/>
          <w:sz w:val="24"/>
        </w:rPr>
        <w:t>附件2：与其他供应商无利害关系的声明函</w:t>
      </w:r>
    </w:p>
    <w:p>
      <w:pPr>
        <w:jc w:val="center"/>
        <w:rPr>
          <w:rFonts w:hint="eastAsia" w:ascii="宋体" w:hAnsi="宋体"/>
          <w:b/>
          <w:sz w:val="32"/>
        </w:rPr>
      </w:pPr>
    </w:p>
    <w:p>
      <w:pPr>
        <w:jc w:val="center"/>
        <w:rPr>
          <w:rFonts w:hint="eastAsia" w:ascii="宋体" w:hAnsi="宋体"/>
          <w:b/>
          <w:sz w:val="32"/>
        </w:rPr>
      </w:pPr>
      <w:r>
        <w:rPr>
          <w:rFonts w:hint="eastAsia" w:ascii="宋体" w:hAnsi="宋体"/>
          <w:b/>
          <w:sz w:val="32"/>
        </w:rPr>
        <w:t>与其他供应商无利害关系的声明函</w:t>
      </w:r>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b/>
          <w:bCs/>
          <w:sz w:val="30"/>
          <w:szCs w:val="30"/>
        </w:rPr>
      </w:pPr>
      <w:r>
        <w:rPr>
          <w:rFonts w:hint="eastAsia" w:ascii="宋体" w:hAnsi="宋体"/>
          <w:sz w:val="24"/>
        </w:rPr>
        <w:t>浙江省成套招标代理有限公司：</w:t>
      </w:r>
    </w:p>
    <w:p>
      <w:pPr>
        <w:spacing w:line="360" w:lineRule="auto"/>
        <w:ind w:firstLine="480" w:firstLineChars="200"/>
        <w:rPr>
          <w:rFonts w:hint="eastAsia" w:ascii="宋体" w:hAnsi="宋体" w:cs="Arial"/>
          <w:kern w:val="0"/>
          <w:sz w:val="24"/>
        </w:rPr>
      </w:pPr>
      <w:r>
        <w:rPr>
          <w:rFonts w:hint="eastAsia" w:ascii="宋体" w:hAnsi="宋体" w:cs="宋体"/>
          <w:kern w:val="0"/>
          <w:sz w:val="24"/>
        </w:rPr>
        <w:t>我方</w:t>
      </w:r>
      <w:r>
        <w:rPr>
          <w:rFonts w:hint="eastAsia" w:ascii="宋体" w:hAnsi="宋体" w:cs="宋体"/>
          <w:kern w:val="0"/>
          <w:sz w:val="24"/>
          <w:u w:val="single"/>
        </w:rPr>
        <w:t xml:space="preserve">（供应商）          </w:t>
      </w:r>
      <w:r>
        <w:rPr>
          <w:rFonts w:hint="eastAsia" w:ascii="宋体" w:hAnsi="宋体" w:cs="宋体"/>
          <w:kern w:val="0"/>
          <w:sz w:val="24"/>
        </w:rPr>
        <w:t>郑重声明</w:t>
      </w:r>
      <w:r>
        <w:rPr>
          <w:rFonts w:hint="eastAsia" w:ascii="宋体" w:hAnsi="宋体" w:cs="Arial"/>
          <w:kern w:val="0"/>
          <w:sz w:val="24"/>
        </w:rPr>
        <w:t>：参加</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cs="Arial"/>
          <w:kern w:val="0"/>
          <w:sz w:val="24"/>
        </w:rPr>
        <w:t>政府采购活动，与同一标项的其他供应商不存在单位负责人为同一人或存在直接控股、管理关系。</w:t>
      </w:r>
    </w:p>
    <w:p>
      <w:pPr>
        <w:spacing w:line="360" w:lineRule="auto"/>
        <w:ind w:firstLine="480" w:firstLineChars="200"/>
        <w:rPr>
          <w:rFonts w:hint="eastAsia" w:ascii="宋体" w:hAnsi="宋体"/>
          <w:sz w:val="24"/>
          <w:szCs w:val="24"/>
        </w:rPr>
      </w:pPr>
      <w:r>
        <w:rPr>
          <w:rFonts w:hint="eastAsia" w:ascii="宋体" w:hAnsi="宋体"/>
          <w:sz w:val="24"/>
          <w:szCs w:val="24"/>
        </w:rPr>
        <w:t>我方对上述声明的真实性负责。如有虚假，愿意承担相应责任，对此无任何异议。</w:t>
      </w:r>
    </w:p>
    <w:p>
      <w:pPr>
        <w:spacing w:line="360" w:lineRule="auto"/>
        <w:ind w:firstLine="480" w:firstLineChars="200"/>
        <w:rPr>
          <w:rFonts w:hint="eastAsia" w:ascii="宋体" w:hAnsi="宋体"/>
          <w:sz w:val="24"/>
          <w:szCs w:val="24"/>
        </w:rPr>
      </w:pPr>
      <w:r>
        <w:rPr>
          <w:rFonts w:hint="eastAsia" w:ascii="宋体" w:hAnsi="宋体"/>
          <w:sz w:val="24"/>
          <w:szCs w:val="24"/>
        </w:rPr>
        <w:t>特此声明！</w:t>
      </w: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r>
        <w:rPr>
          <w:rFonts w:hint="eastAsia" w:ascii="宋体" w:hAnsi="宋体"/>
          <w:b/>
          <w:sz w:val="24"/>
          <w:szCs w:val="24"/>
        </w:rPr>
        <w:t xml:space="preserve">投标人全称（盖单位公章或CA章）： </w:t>
      </w:r>
    </w:p>
    <w:p>
      <w:pPr>
        <w:spacing w:line="360" w:lineRule="auto"/>
        <w:ind w:firstLine="480" w:firstLineChars="200"/>
        <w:rPr>
          <w:rFonts w:hint="eastAsia" w:ascii="宋体" w:hAnsi="宋体"/>
          <w:sz w:val="24"/>
          <w:szCs w:val="24"/>
        </w:rPr>
      </w:pPr>
      <w:r>
        <w:rPr>
          <w:rFonts w:hint="eastAsia" w:ascii="宋体" w:hAnsi="宋体"/>
          <w:sz w:val="24"/>
          <w:szCs w:val="24"/>
        </w:rPr>
        <w:t xml:space="preserve">日期： 年  月  日 </w:t>
      </w: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sz w:val="24"/>
        </w:rPr>
      </w:pPr>
      <w:r>
        <w:rPr>
          <w:rFonts w:hint="eastAsia" w:ascii="宋体" w:hAnsi="宋体"/>
          <w:sz w:val="24"/>
        </w:rPr>
        <w:t>附件3：企业类型的声明函</w:t>
      </w:r>
    </w:p>
    <w:p>
      <w:pPr>
        <w:jc w:val="center"/>
        <w:rPr>
          <w:rFonts w:hint="eastAsia" w:ascii="宋体" w:hAnsi="宋体"/>
          <w:b/>
          <w:sz w:val="32"/>
        </w:rPr>
      </w:pPr>
    </w:p>
    <w:p>
      <w:pPr>
        <w:jc w:val="center"/>
        <w:rPr>
          <w:rFonts w:hint="eastAsia" w:ascii="宋体" w:hAnsi="宋体"/>
          <w:b/>
          <w:sz w:val="32"/>
        </w:rPr>
      </w:pPr>
      <w:r>
        <w:rPr>
          <w:rFonts w:hint="eastAsia" w:ascii="宋体" w:hAnsi="宋体"/>
          <w:b/>
          <w:sz w:val="32"/>
        </w:rPr>
        <w:t>企业类型的声明函</w:t>
      </w:r>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b/>
          <w:bCs/>
          <w:sz w:val="30"/>
          <w:szCs w:val="30"/>
        </w:rPr>
      </w:pPr>
      <w:r>
        <w:rPr>
          <w:rFonts w:hint="eastAsia" w:ascii="宋体" w:hAnsi="宋体"/>
          <w:sz w:val="24"/>
        </w:rPr>
        <w:t>浙江省成套招标代理有限公司：</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我方不属于金融、保险、通讯等特定行业的全国性企业所设立的区域性分支机构、个体工商户、个人独资企业、合伙企业。</w:t>
      </w:r>
    </w:p>
    <w:p>
      <w:pPr>
        <w:spacing w:line="360" w:lineRule="auto"/>
        <w:ind w:firstLine="480" w:firstLineChars="200"/>
        <w:rPr>
          <w:rFonts w:hint="eastAsia"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80" w:firstLineChars="200"/>
        <w:rPr>
          <w:rFonts w:hint="eastAsia" w:ascii="宋体" w:hAnsi="宋体"/>
          <w:sz w:val="24"/>
          <w:szCs w:val="24"/>
        </w:rPr>
      </w:pPr>
      <w:r>
        <w:rPr>
          <w:rFonts w:hint="eastAsia" w:ascii="宋体" w:hAnsi="宋体"/>
          <w:sz w:val="24"/>
          <w:szCs w:val="24"/>
        </w:rPr>
        <w:t>特此声明！</w:t>
      </w:r>
    </w:p>
    <w:p>
      <w:pPr>
        <w:spacing w:line="360" w:lineRule="auto"/>
        <w:rPr>
          <w:rFonts w:hint="eastAsia" w:ascii="宋体" w:hAnsi="宋体"/>
          <w:sz w:val="24"/>
          <w:szCs w:val="24"/>
        </w:rPr>
      </w:pPr>
    </w:p>
    <w:p>
      <w:pPr>
        <w:spacing w:line="360" w:lineRule="auto"/>
        <w:ind w:firstLine="482" w:firstLineChars="200"/>
        <w:rPr>
          <w:rFonts w:hint="eastAsia" w:ascii="宋体" w:hAnsi="宋体"/>
          <w:b/>
          <w:sz w:val="24"/>
          <w:szCs w:val="24"/>
        </w:rPr>
      </w:pPr>
      <w:r>
        <w:rPr>
          <w:rFonts w:hint="eastAsia" w:ascii="宋体" w:hAnsi="宋体"/>
          <w:b/>
          <w:sz w:val="24"/>
          <w:szCs w:val="24"/>
        </w:rPr>
        <w:t xml:space="preserve">投标人全称（盖单位公章或CA章）： </w:t>
      </w:r>
    </w:p>
    <w:p>
      <w:pPr>
        <w:spacing w:line="360" w:lineRule="auto"/>
        <w:ind w:firstLine="480" w:firstLineChars="200"/>
        <w:rPr>
          <w:rFonts w:ascii="宋体" w:hAnsi="宋体"/>
          <w:sz w:val="24"/>
          <w:szCs w:val="24"/>
        </w:rPr>
      </w:pPr>
      <w:r>
        <w:rPr>
          <w:rFonts w:hint="eastAsia" w:ascii="宋体" w:hAnsi="宋体"/>
          <w:sz w:val="24"/>
          <w:szCs w:val="24"/>
        </w:rPr>
        <w:t xml:space="preserve">日期： 年  月  日 </w:t>
      </w:r>
    </w:p>
    <w:p>
      <w:pPr>
        <w:spacing w:line="360" w:lineRule="auto"/>
        <w:rPr>
          <w:rFonts w:hint="eastAsia" w:ascii="宋体" w:hAnsi="宋体"/>
          <w:sz w:val="24"/>
          <w:szCs w:val="24"/>
        </w:rPr>
      </w:pPr>
    </w:p>
    <w:p>
      <w:pPr>
        <w:rPr>
          <w:rFonts w:hint="eastAsia" w:ascii="宋体" w:hAnsi="宋体"/>
          <w:sz w:val="24"/>
          <w:szCs w:val="24"/>
        </w:rPr>
      </w:pPr>
    </w:p>
    <w:p>
      <w:pPr>
        <w:rPr>
          <w:rFonts w:hint="eastAsia" w:ascii="宋体" w:hAnsi="宋体"/>
          <w:sz w:val="24"/>
        </w:rPr>
      </w:pPr>
      <w:r>
        <w:rPr>
          <w:rFonts w:hint="eastAsia" w:ascii="宋体" w:hAnsi="宋体"/>
          <w:sz w:val="24"/>
        </w:rPr>
        <w:t>附件4：不属于公益一类事业单位承诺函</w:t>
      </w:r>
    </w:p>
    <w:p>
      <w:pPr>
        <w:jc w:val="center"/>
        <w:rPr>
          <w:rFonts w:hint="eastAsia" w:ascii="宋体" w:hAnsi="宋体"/>
          <w:b/>
          <w:sz w:val="32"/>
        </w:rPr>
      </w:pPr>
    </w:p>
    <w:p>
      <w:pPr>
        <w:jc w:val="center"/>
        <w:rPr>
          <w:rFonts w:hint="eastAsia" w:ascii="宋体" w:hAnsi="宋体"/>
          <w:b/>
          <w:sz w:val="32"/>
        </w:rPr>
      </w:pPr>
      <w:r>
        <w:rPr>
          <w:rFonts w:hint="eastAsia" w:ascii="宋体" w:hAnsi="宋体"/>
          <w:b/>
          <w:sz w:val="32"/>
        </w:rPr>
        <w:t>不属于公益一类事业单位承诺函</w:t>
      </w:r>
    </w:p>
    <w:p>
      <w:pPr>
        <w:spacing w:line="360" w:lineRule="auto"/>
        <w:rPr>
          <w:rFonts w:hint="eastAsia" w:ascii="宋体" w:hAnsi="宋体"/>
          <w:sz w:val="24"/>
          <w:szCs w:val="24"/>
          <w:u w:val="single"/>
        </w:rPr>
      </w:pPr>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b/>
          <w:bCs/>
          <w:sz w:val="30"/>
          <w:szCs w:val="30"/>
        </w:rPr>
      </w:pPr>
      <w:r>
        <w:rPr>
          <w:rFonts w:hint="eastAsia" w:ascii="宋体" w:hAnsi="宋体"/>
          <w:sz w:val="24"/>
        </w:rPr>
        <w:t>浙江省成套招标代理有限公司：</w:t>
      </w:r>
    </w:p>
    <w:p>
      <w:pPr>
        <w:spacing w:line="360" w:lineRule="auto"/>
        <w:ind w:firstLine="480" w:firstLineChars="200"/>
        <w:rPr>
          <w:rFonts w:hint="eastAsia" w:ascii="宋体" w:hAnsi="宋体" w:cs="Arial"/>
          <w:kern w:val="0"/>
          <w:sz w:val="24"/>
        </w:rPr>
      </w:pPr>
      <w:r>
        <w:rPr>
          <w:rFonts w:hint="eastAsia" w:ascii="宋体" w:hAnsi="宋体"/>
          <w:sz w:val="24"/>
          <w:szCs w:val="24"/>
        </w:rPr>
        <w:t>我方</w:t>
      </w:r>
      <w:r>
        <w:rPr>
          <w:rFonts w:hint="eastAsia" w:ascii="宋体" w:hAnsi="宋体"/>
          <w:sz w:val="24"/>
          <w:szCs w:val="24"/>
          <w:u w:val="single"/>
        </w:rPr>
        <w:t xml:space="preserve">（供应商）            </w:t>
      </w:r>
      <w:r>
        <w:rPr>
          <w:rFonts w:hint="eastAsia" w:ascii="宋体" w:hAnsi="宋体" w:cs="Arial"/>
          <w:kern w:val="0"/>
          <w:sz w:val="24"/>
        </w:rPr>
        <w:t>郑重承诺：我单位不属于公益一类事业单位，可承接</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cs="Arial"/>
          <w:kern w:val="0"/>
          <w:sz w:val="24"/>
        </w:rPr>
        <w:t>的相关服务内容。如有虚假或隐瞒，愿意承担一切后果。</w:t>
      </w:r>
    </w:p>
    <w:p>
      <w:pPr>
        <w:spacing w:line="360" w:lineRule="auto"/>
        <w:ind w:firstLine="480" w:firstLineChars="200"/>
        <w:rPr>
          <w:rFonts w:hint="eastAsia" w:ascii="宋体" w:hAnsi="宋体"/>
          <w:sz w:val="24"/>
          <w:szCs w:val="24"/>
        </w:rPr>
      </w:pPr>
      <w:r>
        <w:rPr>
          <w:rFonts w:hint="eastAsia" w:ascii="宋体" w:hAnsi="宋体"/>
          <w:sz w:val="24"/>
          <w:szCs w:val="24"/>
        </w:rPr>
        <w:t xml:space="preserve">特此承诺！ </w:t>
      </w:r>
    </w:p>
    <w:p>
      <w:pPr>
        <w:spacing w:line="360" w:lineRule="auto"/>
        <w:rPr>
          <w:rFonts w:hint="eastAsia" w:ascii="宋体" w:hAnsi="宋体"/>
          <w:sz w:val="24"/>
          <w:szCs w:val="24"/>
        </w:rPr>
      </w:pPr>
    </w:p>
    <w:p>
      <w:pPr>
        <w:spacing w:line="360" w:lineRule="auto"/>
        <w:ind w:firstLine="482" w:firstLineChars="200"/>
        <w:rPr>
          <w:rFonts w:hint="eastAsia" w:ascii="宋体" w:hAnsi="宋体"/>
          <w:b/>
          <w:sz w:val="24"/>
          <w:szCs w:val="24"/>
        </w:rPr>
      </w:pPr>
      <w:r>
        <w:rPr>
          <w:rFonts w:hint="eastAsia" w:ascii="宋体" w:hAnsi="宋体"/>
          <w:b/>
          <w:sz w:val="24"/>
          <w:szCs w:val="24"/>
        </w:rPr>
        <w:t xml:space="preserve">投标人全称（盖单位公章或CA章）： </w:t>
      </w:r>
    </w:p>
    <w:p>
      <w:pPr>
        <w:spacing w:line="360" w:lineRule="auto"/>
        <w:ind w:firstLine="480" w:firstLineChars="200"/>
        <w:rPr>
          <w:rFonts w:ascii="宋体" w:hAnsi="宋体"/>
          <w:sz w:val="24"/>
          <w:szCs w:val="24"/>
        </w:rPr>
      </w:pPr>
      <w:r>
        <w:rPr>
          <w:rFonts w:hint="eastAsia" w:ascii="宋体" w:hAnsi="宋体"/>
          <w:sz w:val="24"/>
          <w:szCs w:val="24"/>
        </w:rPr>
        <w:t xml:space="preserve">日期： 年  月  日 </w:t>
      </w:r>
    </w:p>
    <w:p>
      <w:pPr>
        <w:spacing w:line="360" w:lineRule="auto"/>
        <w:rPr>
          <w:rFonts w:hint="eastAsia" w:ascii="宋体" w:hAnsi="宋体"/>
          <w:sz w:val="24"/>
          <w:szCs w:val="24"/>
        </w:rPr>
      </w:pPr>
    </w:p>
    <w:p>
      <w:pPr>
        <w:spacing w:line="360" w:lineRule="auto"/>
        <w:rPr>
          <w:rFonts w:hint="eastAsia" w:ascii="宋体" w:hAnsi="宋体"/>
          <w:sz w:val="24"/>
          <w:szCs w:val="24"/>
        </w:rPr>
      </w:pPr>
    </w:p>
    <w:p>
      <w:pPr>
        <w:rPr>
          <w:rFonts w:hint="eastAsia" w:ascii="宋体" w:hAnsi="宋体"/>
          <w:sz w:val="24"/>
          <w:szCs w:val="24"/>
        </w:rPr>
      </w:pPr>
      <w:r>
        <w:rPr>
          <w:rFonts w:hint="eastAsia" w:ascii="宋体" w:hAnsi="宋体"/>
          <w:sz w:val="24"/>
          <w:szCs w:val="24"/>
        </w:rPr>
        <w:t>附件5：非联合体的声明函</w:t>
      </w:r>
    </w:p>
    <w:p>
      <w:pPr>
        <w:jc w:val="center"/>
        <w:rPr>
          <w:rFonts w:hint="eastAsia" w:ascii="宋体" w:hAnsi="宋体"/>
          <w:b/>
          <w:sz w:val="32"/>
        </w:rPr>
      </w:pPr>
    </w:p>
    <w:p>
      <w:pPr>
        <w:jc w:val="center"/>
        <w:rPr>
          <w:rFonts w:hint="eastAsia" w:ascii="宋体" w:hAnsi="宋体"/>
          <w:b/>
          <w:sz w:val="32"/>
        </w:rPr>
      </w:pPr>
      <w:r>
        <w:rPr>
          <w:rFonts w:hint="eastAsia" w:ascii="宋体" w:hAnsi="宋体"/>
          <w:b/>
          <w:sz w:val="32"/>
        </w:rPr>
        <w:t>非联合体的声明函</w:t>
      </w:r>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b/>
          <w:bCs/>
          <w:sz w:val="30"/>
          <w:szCs w:val="30"/>
        </w:rPr>
      </w:pPr>
      <w:r>
        <w:rPr>
          <w:rFonts w:hint="eastAsia" w:ascii="宋体" w:hAnsi="宋体"/>
          <w:sz w:val="24"/>
        </w:rPr>
        <w:t>浙江省成套招标代理有限公司：</w:t>
      </w:r>
    </w:p>
    <w:p>
      <w:pPr>
        <w:spacing w:line="360" w:lineRule="auto"/>
        <w:ind w:firstLine="480" w:firstLineChars="200"/>
        <w:rPr>
          <w:rFonts w:hint="eastAsia" w:ascii="宋体" w:hAnsi="宋体" w:cs="Arial"/>
          <w:kern w:val="0"/>
          <w:sz w:val="24"/>
          <w:szCs w:val="24"/>
        </w:rPr>
      </w:pPr>
      <w:r>
        <w:rPr>
          <w:rFonts w:hint="eastAsia" w:ascii="宋体" w:hAnsi="宋体"/>
          <w:sz w:val="24"/>
          <w:szCs w:val="24"/>
        </w:rPr>
        <w:t>我方</w:t>
      </w:r>
      <w:r>
        <w:rPr>
          <w:rFonts w:hint="eastAsia" w:ascii="宋体" w:hAnsi="宋体"/>
          <w:sz w:val="24"/>
          <w:szCs w:val="24"/>
          <w:u w:val="single"/>
        </w:rPr>
        <w:t xml:space="preserve">（供应商）      </w:t>
      </w:r>
      <w:r>
        <w:rPr>
          <w:rFonts w:hint="eastAsia" w:ascii="宋体" w:hAnsi="宋体" w:cs="Arial"/>
          <w:kern w:val="0"/>
          <w:sz w:val="24"/>
          <w:szCs w:val="24"/>
        </w:rPr>
        <w:t>郑重声明：我单位可独立</w:t>
      </w:r>
      <w:r>
        <w:rPr>
          <w:rFonts w:hint="eastAsia" w:ascii="宋体" w:hAnsi="宋体" w:cs="Arial"/>
          <w:kern w:val="0"/>
          <w:sz w:val="24"/>
        </w:rPr>
        <w:t>参加</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cs="Arial"/>
          <w:kern w:val="0"/>
          <w:sz w:val="24"/>
        </w:rPr>
        <w:t>政府采购活动，</w:t>
      </w:r>
      <w:r>
        <w:rPr>
          <w:rFonts w:hint="eastAsia" w:ascii="宋体" w:hAnsi="宋体"/>
          <w:spacing w:val="2"/>
          <w:sz w:val="24"/>
          <w:szCs w:val="24"/>
        </w:rPr>
        <w:t>未与其他单位组成联</w:t>
      </w:r>
      <w:r>
        <w:rPr>
          <w:rFonts w:hint="eastAsia" w:ascii="宋体" w:hAnsi="宋体"/>
          <w:spacing w:val="-1"/>
          <w:sz w:val="24"/>
          <w:szCs w:val="24"/>
        </w:rPr>
        <w:t>合</w:t>
      </w:r>
      <w:r>
        <w:rPr>
          <w:rFonts w:hint="eastAsia" w:ascii="宋体" w:hAnsi="宋体"/>
          <w:spacing w:val="2"/>
          <w:sz w:val="24"/>
          <w:szCs w:val="24"/>
        </w:rPr>
        <w:t>体</w:t>
      </w:r>
      <w:r>
        <w:rPr>
          <w:rFonts w:hint="eastAsia" w:ascii="宋体" w:hAnsi="宋体" w:cs="Arial"/>
          <w:kern w:val="0"/>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80" w:firstLineChars="200"/>
        <w:rPr>
          <w:rFonts w:hint="eastAsia" w:ascii="宋体" w:hAnsi="宋体"/>
          <w:sz w:val="24"/>
          <w:szCs w:val="24"/>
        </w:rPr>
      </w:pPr>
      <w:r>
        <w:rPr>
          <w:rFonts w:hint="eastAsia" w:ascii="宋体" w:hAnsi="宋体"/>
          <w:sz w:val="24"/>
          <w:szCs w:val="24"/>
        </w:rPr>
        <w:t>特此声明！</w:t>
      </w:r>
    </w:p>
    <w:p>
      <w:pPr>
        <w:spacing w:line="360" w:lineRule="auto"/>
        <w:rPr>
          <w:rFonts w:hint="eastAsia" w:ascii="宋体" w:hAnsi="宋体"/>
          <w:sz w:val="24"/>
          <w:szCs w:val="24"/>
        </w:rPr>
      </w:pPr>
    </w:p>
    <w:p>
      <w:pPr>
        <w:spacing w:line="360" w:lineRule="auto"/>
        <w:ind w:firstLine="482" w:firstLineChars="200"/>
        <w:rPr>
          <w:rFonts w:hint="eastAsia" w:ascii="宋体" w:hAnsi="宋体"/>
          <w:b/>
          <w:sz w:val="24"/>
          <w:szCs w:val="24"/>
        </w:rPr>
      </w:pPr>
      <w:r>
        <w:rPr>
          <w:rFonts w:hint="eastAsia" w:ascii="宋体" w:hAnsi="宋体"/>
          <w:b/>
          <w:sz w:val="24"/>
          <w:szCs w:val="24"/>
        </w:rPr>
        <w:t xml:space="preserve">投标人全称（盖单位公章或CA章）： </w:t>
      </w:r>
    </w:p>
    <w:p>
      <w:pPr>
        <w:spacing w:line="360" w:lineRule="auto"/>
        <w:ind w:firstLine="480" w:firstLineChars="200"/>
        <w:rPr>
          <w:rFonts w:ascii="宋体" w:hAnsi="宋体"/>
          <w:sz w:val="24"/>
          <w:szCs w:val="24"/>
        </w:rPr>
      </w:pPr>
      <w:r>
        <w:rPr>
          <w:rFonts w:hint="eastAsia" w:ascii="宋体" w:hAnsi="宋体"/>
          <w:sz w:val="24"/>
          <w:szCs w:val="24"/>
        </w:rPr>
        <w:t xml:space="preserve">日期： 年  月  日 </w:t>
      </w:r>
    </w:p>
    <w:p>
      <w:pPr>
        <w:spacing w:line="360" w:lineRule="auto"/>
        <w:ind w:firstLine="480" w:firstLineChars="200"/>
        <w:rPr>
          <w:rFonts w:hint="eastAsia" w:ascii="宋体" w:hAnsi="宋体"/>
          <w:sz w:val="24"/>
          <w:szCs w:val="24"/>
        </w:rPr>
      </w:pPr>
    </w:p>
    <w:p>
      <w:pPr>
        <w:rPr>
          <w:rFonts w:hint="eastAsia" w:ascii="宋体" w:hAnsi="宋体"/>
          <w:sz w:val="24"/>
        </w:rPr>
      </w:pPr>
      <w:r>
        <w:rPr>
          <w:rFonts w:ascii="宋体" w:hAnsi="宋体"/>
          <w:sz w:val="24"/>
          <w:szCs w:val="24"/>
        </w:rPr>
        <w:br w:type="page"/>
      </w:r>
      <w:r>
        <w:rPr>
          <w:rFonts w:hint="eastAsia" w:ascii="宋体" w:hAnsi="宋体"/>
          <w:sz w:val="24"/>
        </w:rPr>
        <w:t>附件5：投标供应商不属于公益一类事业单位承诺函</w:t>
      </w:r>
    </w:p>
    <w:p>
      <w:pPr>
        <w:jc w:val="center"/>
        <w:rPr>
          <w:rFonts w:hint="eastAsia" w:ascii="宋体" w:hAnsi="宋体"/>
          <w:b/>
          <w:sz w:val="32"/>
        </w:rPr>
      </w:pPr>
    </w:p>
    <w:p>
      <w:pPr>
        <w:jc w:val="center"/>
        <w:rPr>
          <w:rFonts w:hint="eastAsia" w:ascii="宋体" w:hAnsi="宋体"/>
          <w:b/>
          <w:sz w:val="32"/>
        </w:rPr>
      </w:pPr>
      <w:r>
        <w:rPr>
          <w:rFonts w:hint="eastAsia" w:ascii="宋体" w:hAnsi="宋体"/>
          <w:b/>
          <w:sz w:val="32"/>
        </w:rPr>
        <w:t>投标供应商不属于公益一类事业单位承诺函</w:t>
      </w:r>
    </w:p>
    <w:p>
      <w:pPr>
        <w:spacing w:line="360" w:lineRule="auto"/>
        <w:rPr>
          <w:rFonts w:hint="eastAsia" w:ascii="宋体" w:hAnsi="宋体"/>
          <w:sz w:val="24"/>
          <w:szCs w:val="24"/>
          <w:u w:val="single"/>
        </w:rPr>
      </w:pPr>
    </w:p>
    <w:p>
      <w:pPr>
        <w:spacing w:line="360" w:lineRule="auto"/>
        <w:rPr>
          <w:rFonts w:hint="eastAsia" w:ascii="宋体" w:hAnsi="宋体"/>
          <w:sz w:val="24"/>
          <w:szCs w:val="24"/>
          <w:u w:val="single"/>
        </w:rPr>
      </w:pPr>
      <w:r>
        <w:rPr>
          <w:rFonts w:hint="eastAsia" w:ascii="宋体" w:hAnsi="宋体"/>
          <w:sz w:val="24"/>
          <w:szCs w:val="24"/>
          <w:u w:val="single"/>
        </w:rPr>
        <w:t xml:space="preserve">（招标人）                  </w:t>
      </w:r>
      <w:r>
        <w:rPr>
          <w:rFonts w:hint="eastAsia" w:ascii="宋体" w:hAnsi="宋体"/>
          <w:sz w:val="24"/>
          <w:szCs w:val="24"/>
        </w:rPr>
        <w:t>：</w:t>
      </w:r>
    </w:p>
    <w:p>
      <w:pPr>
        <w:spacing w:line="360" w:lineRule="auto"/>
        <w:ind w:firstLine="480" w:firstLineChars="200"/>
        <w:rPr>
          <w:rFonts w:hint="eastAsia" w:ascii="宋体" w:hAnsi="宋体" w:cs="Arial"/>
          <w:kern w:val="0"/>
          <w:sz w:val="24"/>
        </w:rPr>
      </w:pPr>
      <w:r>
        <w:rPr>
          <w:rFonts w:hint="eastAsia" w:ascii="宋体" w:hAnsi="宋体"/>
          <w:sz w:val="24"/>
          <w:szCs w:val="24"/>
        </w:rPr>
        <w:t>我方</w:t>
      </w:r>
      <w:r>
        <w:rPr>
          <w:rFonts w:hint="eastAsia" w:ascii="宋体" w:hAnsi="宋体"/>
          <w:sz w:val="24"/>
          <w:szCs w:val="24"/>
          <w:u w:val="single"/>
        </w:rPr>
        <w:t xml:space="preserve">（供应商）            </w:t>
      </w:r>
      <w:r>
        <w:rPr>
          <w:rFonts w:hint="eastAsia" w:ascii="宋体" w:hAnsi="宋体" w:cs="Arial"/>
          <w:kern w:val="0"/>
          <w:sz w:val="24"/>
        </w:rPr>
        <w:t>郑重承诺：我单位不属于公益一类事业单位，可承接</w:t>
      </w:r>
      <w:r>
        <w:rPr>
          <w:rFonts w:hint="eastAsia" w:ascii="宋体" w:hAnsi="宋体"/>
          <w:sz w:val="24"/>
          <w:szCs w:val="24"/>
          <w:u w:val="single"/>
        </w:rPr>
        <w:t xml:space="preserve">（招标人名称）           （项目名称）             </w:t>
      </w:r>
      <w:r>
        <w:rPr>
          <w:rFonts w:hint="eastAsia" w:ascii="宋体" w:hAnsi="宋体" w:cs="Arial"/>
          <w:kern w:val="0"/>
          <w:sz w:val="24"/>
        </w:rPr>
        <w:t>的相关服务内容。如有虚假或隐瞒，愿意承担一切后果。</w:t>
      </w:r>
    </w:p>
    <w:p>
      <w:pPr>
        <w:spacing w:line="360" w:lineRule="auto"/>
        <w:ind w:firstLine="480" w:firstLineChars="200"/>
        <w:rPr>
          <w:rFonts w:hint="eastAsia" w:ascii="宋体" w:hAnsi="宋体"/>
          <w:sz w:val="24"/>
          <w:szCs w:val="24"/>
        </w:rPr>
      </w:pPr>
      <w:r>
        <w:rPr>
          <w:rFonts w:hint="eastAsia" w:ascii="宋体" w:hAnsi="宋体"/>
          <w:sz w:val="24"/>
          <w:szCs w:val="24"/>
        </w:rPr>
        <w:t xml:space="preserve">特此承诺！ </w:t>
      </w:r>
    </w:p>
    <w:p>
      <w:pPr>
        <w:spacing w:line="360" w:lineRule="auto"/>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 xml:space="preserve">投标人全称（盖单位公章或CA章）： </w:t>
      </w:r>
    </w:p>
    <w:p>
      <w:pPr>
        <w:spacing w:line="360" w:lineRule="auto"/>
        <w:ind w:firstLine="480" w:firstLineChars="200"/>
        <w:rPr>
          <w:rFonts w:hint="eastAsia" w:ascii="宋体" w:hAnsi="宋体"/>
          <w:sz w:val="24"/>
          <w:szCs w:val="24"/>
        </w:rPr>
      </w:pPr>
      <w:r>
        <w:rPr>
          <w:rFonts w:hint="eastAsia" w:ascii="宋体" w:hAnsi="宋体"/>
          <w:sz w:val="24"/>
          <w:szCs w:val="24"/>
        </w:rPr>
        <w:t>日期： 年  月  日</w:t>
      </w:r>
    </w:p>
    <w:p>
      <w:pPr>
        <w:rPr>
          <w:rFonts w:hint="eastAsia" w:ascii="宋体" w:hAnsi="宋体"/>
          <w:sz w:val="24"/>
          <w:szCs w:val="24"/>
        </w:rPr>
      </w:pPr>
      <w:r>
        <w:rPr>
          <w:rFonts w:ascii="宋体" w:hAnsi="宋体"/>
          <w:sz w:val="24"/>
          <w:szCs w:val="24"/>
        </w:rPr>
        <w:br w:type="page"/>
      </w:r>
      <w:r>
        <w:rPr>
          <w:rFonts w:hint="eastAsia" w:ascii="宋体" w:hAnsi="宋体"/>
          <w:sz w:val="24"/>
          <w:szCs w:val="24"/>
        </w:rPr>
        <w:t xml:space="preserve"> </w:t>
      </w:r>
    </w:p>
    <w:p>
      <w:pPr>
        <w:pStyle w:val="4"/>
        <w:ind w:left="0" w:firstLine="0"/>
        <w:jc w:val="center"/>
        <w:rPr>
          <w:rFonts w:hint="eastAsia" w:ascii="宋体" w:hAnsi="宋体" w:eastAsia="宋体"/>
          <w:sz w:val="28"/>
          <w:szCs w:val="28"/>
        </w:rPr>
      </w:pPr>
      <w:bookmarkStart w:id="101" w:name="_Toc83910206"/>
      <w:r>
        <w:rPr>
          <w:rFonts w:hint="eastAsia" w:ascii="宋体" w:hAnsi="宋体" w:eastAsia="宋体"/>
          <w:kern w:val="0"/>
          <w:sz w:val="28"/>
          <w:szCs w:val="28"/>
        </w:rPr>
        <w:t>格式二：投标声明</w:t>
      </w:r>
      <w:r>
        <w:rPr>
          <w:rFonts w:hint="eastAsia" w:ascii="宋体" w:hAnsi="宋体" w:eastAsia="宋体"/>
          <w:sz w:val="28"/>
          <w:szCs w:val="28"/>
        </w:rPr>
        <w:t>函</w:t>
      </w:r>
      <w:bookmarkEnd w:id="101"/>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b/>
          <w:bCs/>
          <w:sz w:val="30"/>
          <w:szCs w:val="30"/>
        </w:rPr>
      </w:pPr>
      <w:r>
        <w:rPr>
          <w:rFonts w:hint="eastAsia" w:ascii="宋体" w:hAnsi="宋体"/>
          <w:sz w:val="24"/>
        </w:rPr>
        <w:t>浙江省成套招标代理有限公司：</w:t>
      </w:r>
    </w:p>
    <w:p>
      <w:pPr>
        <w:pStyle w:val="45"/>
        <w:adjustRightInd w:val="0"/>
        <w:snapToGrid w:val="0"/>
        <w:spacing w:line="360" w:lineRule="auto"/>
        <w:ind w:firstLine="480" w:firstLineChars="200"/>
        <w:rPr>
          <w:rFonts w:hint="eastAsia" w:hAnsi="宋体"/>
          <w:sz w:val="24"/>
          <w:szCs w:val="20"/>
        </w:rPr>
      </w:pPr>
      <w:r>
        <w:rPr>
          <w:rFonts w:hint="eastAsia" w:hAnsi="宋体"/>
          <w:sz w:val="24"/>
          <w:szCs w:val="20"/>
        </w:rPr>
        <w:t>本单位自愿参加杭州市西湖区城市管理局、</w:t>
      </w:r>
      <w:r>
        <w:rPr>
          <w:rFonts w:hint="eastAsia" w:hAnsi="宋体"/>
          <w:sz w:val="24"/>
          <w:szCs w:val="24"/>
        </w:rPr>
        <w:t>杭州市西湖区人民政府文新街道办事处杭州市西湖区文新街道辖区2021年度街巷清扫保洁采购项目-文二西路以南、西城广场区块</w:t>
      </w:r>
      <w:r>
        <w:rPr>
          <w:rFonts w:hint="eastAsia" w:hAnsi="宋体"/>
          <w:sz w:val="24"/>
          <w:szCs w:val="20"/>
        </w:rPr>
        <w:t>(项目编号：CTZB-2021090711)的投标，并保证投标文件中所列举的投报价文件及相关资料和公司基本情况资料是真实的、合法的，我方：</w:t>
      </w:r>
    </w:p>
    <w:p>
      <w:pPr>
        <w:adjustRightInd w:val="0"/>
        <w:snapToGrid w:val="0"/>
        <w:spacing w:line="360" w:lineRule="auto"/>
        <w:ind w:firstLine="480"/>
        <w:rPr>
          <w:rFonts w:ascii="宋体" w:hAnsi="宋体"/>
          <w:kern w:val="0"/>
          <w:sz w:val="24"/>
        </w:rPr>
      </w:pPr>
      <w:r>
        <w:rPr>
          <w:rFonts w:hint="eastAsia" w:ascii="宋体" w:hAnsi="宋体"/>
          <w:kern w:val="0"/>
          <w:sz w:val="24"/>
        </w:rPr>
        <w:t>1、</w:t>
      </w:r>
      <w:r>
        <w:rPr>
          <w:rFonts w:hint="eastAsia" w:ascii="宋体" w:hAnsi="宋体"/>
          <w:sz w:val="24"/>
        </w:rPr>
        <w:t>已详细阅读全部招标文件，包括招标文件补充文件（（如果有，包括相关的补充、更正、澄清公告和文件））、参考资料及有关附件，确认无误。我方完全理解并接受招标文件的各项规定和要求。</w:t>
      </w:r>
    </w:p>
    <w:p>
      <w:pPr>
        <w:adjustRightInd w:val="0"/>
        <w:snapToGrid w:val="0"/>
        <w:spacing w:line="360" w:lineRule="auto"/>
        <w:ind w:firstLine="480"/>
        <w:rPr>
          <w:rFonts w:ascii="宋体" w:hAnsi="宋体"/>
          <w:kern w:val="0"/>
          <w:sz w:val="24"/>
        </w:rPr>
      </w:pPr>
      <w:r>
        <w:rPr>
          <w:rFonts w:hint="eastAsia" w:ascii="宋体" w:hAnsi="宋体"/>
          <w:kern w:val="0"/>
          <w:sz w:val="24"/>
        </w:rPr>
        <w:t>2、</w:t>
      </w:r>
      <w:r>
        <w:rPr>
          <w:rFonts w:hint="eastAsia" w:ascii="宋体" w:hAnsi="宋体"/>
          <w:kern w:val="0"/>
          <w:sz w:val="24"/>
          <w:lang w:val="zh-CN"/>
        </w:rPr>
        <w:t>同意提供按照贵方可能要求的与投标有关的一切数据或资料等。</w:t>
      </w:r>
      <w:r>
        <w:rPr>
          <w:rFonts w:hint="eastAsia" w:ascii="宋体" w:hAnsi="宋体"/>
          <w:sz w:val="24"/>
        </w:rPr>
        <w:t>若贵方需要，我方愿意提供我方作出的一切承诺的证明材料。</w:t>
      </w:r>
    </w:p>
    <w:p>
      <w:pPr>
        <w:adjustRightInd w:val="0"/>
        <w:snapToGrid w:val="0"/>
        <w:spacing w:line="360" w:lineRule="auto"/>
        <w:ind w:firstLine="480"/>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如中标，保证按照招标文件要求及投标文件的承诺与招标人签订合同，保证履行合同条款并交纳履约保证金/质量保证金（如需要）。</w:t>
      </w:r>
    </w:p>
    <w:p>
      <w:pPr>
        <w:adjustRightInd w:val="0"/>
        <w:snapToGrid w:val="0"/>
        <w:spacing w:line="360" w:lineRule="auto"/>
        <w:ind w:firstLine="480" w:firstLineChars="200"/>
        <w:rPr>
          <w:rFonts w:hint="eastAsia" w:ascii="宋体" w:hAnsi="宋体"/>
          <w:sz w:val="24"/>
        </w:rPr>
      </w:pPr>
      <w:r>
        <w:rPr>
          <w:rFonts w:hint="eastAsia" w:ascii="宋体" w:hAnsi="宋体"/>
          <w:sz w:val="24"/>
        </w:rPr>
        <w:t>4、同意在招标文件中投标人</w:t>
      </w:r>
      <w:r>
        <w:rPr>
          <w:rFonts w:hint="eastAsia" w:ascii="宋体" w:hAnsi="宋体"/>
          <w:kern w:val="44"/>
          <w:sz w:val="24"/>
        </w:rPr>
        <w:t>须知</w:t>
      </w:r>
      <w:r>
        <w:rPr>
          <w:rFonts w:hint="eastAsia" w:ascii="宋体" w:hAnsi="宋体"/>
          <w:sz w:val="24"/>
        </w:rPr>
        <w:t>规定的开标日期起遵守本投标书中的承诺且在投标有效期满之前均具有约束力。</w:t>
      </w:r>
    </w:p>
    <w:p>
      <w:pPr>
        <w:adjustRightInd w:val="0"/>
        <w:snapToGrid w:val="0"/>
        <w:spacing w:line="360" w:lineRule="auto"/>
        <w:ind w:firstLine="480" w:firstLineChars="200"/>
        <w:rPr>
          <w:rFonts w:ascii="宋体" w:hAnsi="宋体"/>
          <w:sz w:val="24"/>
        </w:rPr>
      </w:pPr>
      <w:r>
        <w:rPr>
          <w:rFonts w:hint="eastAsia" w:ascii="宋体" w:hAnsi="宋体"/>
          <w:sz w:val="24"/>
        </w:rPr>
        <w:t>5、投标有效期内不撤销投标文件；强行撤销的，承诺按本项目预算金额的2%赔偿对招标人及招标代理机构造成的损失。</w:t>
      </w:r>
    </w:p>
    <w:p>
      <w:pPr>
        <w:adjustRightInd w:val="0"/>
        <w:snapToGrid w:val="0"/>
        <w:spacing w:line="360" w:lineRule="auto"/>
        <w:ind w:firstLine="480" w:firstLineChars="200"/>
        <w:rPr>
          <w:rFonts w:hint="eastAsia" w:ascii="宋体" w:hAnsi="宋体"/>
          <w:sz w:val="24"/>
        </w:rPr>
      </w:pPr>
      <w:r>
        <w:rPr>
          <w:rFonts w:hint="eastAsia" w:ascii="宋体" w:hAnsi="宋体"/>
          <w:sz w:val="24"/>
        </w:rPr>
        <w:t>6、完全理解贵方不一定要接受最低价的投标。</w:t>
      </w:r>
    </w:p>
    <w:p>
      <w:pPr>
        <w:adjustRightInd w:val="0"/>
        <w:snapToGrid w:val="0"/>
        <w:spacing w:line="360" w:lineRule="auto"/>
        <w:ind w:firstLine="480" w:firstLineChars="200"/>
        <w:rPr>
          <w:rFonts w:ascii="宋体" w:hAnsi="宋体"/>
          <w:sz w:val="24"/>
        </w:rPr>
      </w:pPr>
      <w:r>
        <w:rPr>
          <w:rFonts w:hint="eastAsia" w:ascii="宋体" w:hAnsi="宋体"/>
          <w:sz w:val="24"/>
        </w:rPr>
        <w:t>7、如中标，按招标文件规定与招标人签订合同。如拒绝签订合同，承诺按本项目预算金额的2%对招标人及招标代理机构进行赔偿；赔偿金额不足以弥补招标人损失的，承诺继续承担超过部分的损失。</w:t>
      </w:r>
    </w:p>
    <w:p>
      <w:pPr>
        <w:adjustRightInd w:val="0"/>
        <w:snapToGrid w:val="0"/>
        <w:spacing w:line="360" w:lineRule="auto"/>
        <w:ind w:firstLine="480" w:firstLineChars="200"/>
        <w:rPr>
          <w:rFonts w:hint="eastAsia" w:ascii="宋体" w:hAnsi="宋体"/>
          <w:sz w:val="24"/>
          <w:szCs w:val="24"/>
          <w:lang w:val="zh-CN"/>
        </w:rPr>
      </w:pPr>
      <w:r>
        <w:rPr>
          <w:rFonts w:hint="eastAsia" w:ascii="宋体" w:hAnsi="宋体"/>
          <w:sz w:val="24"/>
          <w:szCs w:val="24"/>
          <w:lang w:val="zh-CN"/>
        </w:rPr>
        <w:t>8、单位、法定代表人、本项目授权代表及本项目负责人在参加本项目前三年内（以法院判决书生效日期为准）均无行贿犯罪记录。</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lang w:val="zh-CN"/>
        </w:rPr>
        <w:t>9、如中标，按招标文件规定的招标代理服务费标准，承诺在签订合同前向招标代理机构支付招标代理服务费。</w:t>
      </w:r>
    </w:p>
    <w:p>
      <w:pPr>
        <w:adjustRightInd w:val="0"/>
        <w:snapToGrid w:val="0"/>
        <w:spacing w:line="360" w:lineRule="auto"/>
        <w:ind w:left="560" w:leftChars="200"/>
        <w:rPr>
          <w:rFonts w:hint="eastAsia" w:ascii="宋体" w:hAnsi="宋体"/>
          <w:sz w:val="24"/>
        </w:rPr>
      </w:pPr>
      <w:r>
        <w:rPr>
          <w:rFonts w:hint="eastAsia" w:ascii="宋体" w:hAnsi="宋体"/>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left="560" w:leftChars="200"/>
        <w:rPr>
          <w:rFonts w:hint="eastAsia" w:ascii="宋体" w:hAnsi="宋体"/>
          <w:sz w:val="24"/>
        </w:rPr>
      </w:pPr>
      <w:r>
        <w:rPr>
          <w:rFonts w:hint="eastAsia" w:ascii="宋体" w:hAnsi="宋体"/>
          <w:sz w:val="24"/>
        </w:rPr>
        <w:t>(1)提供虚假材料谋取中标、成交的；</w:t>
      </w:r>
    </w:p>
    <w:p>
      <w:pPr>
        <w:adjustRightInd w:val="0"/>
        <w:snapToGrid w:val="0"/>
        <w:spacing w:line="360" w:lineRule="auto"/>
        <w:ind w:left="560" w:leftChars="200"/>
        <w:rPr>
          <w:rFonts w:hint="eastAsia" w:ascii="宋体" w:hAnsi="宋体"/>
          <w:sz w:val="24"/>
        </w:rPr>
      </w:pPr>
      <w:r>
        <w:rPr>
          <w:rFonts w:hint="eastAsia" w:ascii="宋体" w:hAnsi="宋体"/>
          <w:sz w:val="24"/>
        </w:rPr>
        <w:t>(2)采取不正当手段诋毁、排挤其他供应商的；</w:t>
      </w:r>
    </w:p>
    <w:p>
      <w:pPr>
        <w:adjustRightInd w:val="0"/>
        <w:snapToGrid w:val="0"/>
        <w:spacing w:line="360" w:lineRule="auto"/>
        <w:ind w:left="560" w:leftChars="200"/>
        <w:rPr>
          <w:rFonts w:hint="eastAsia" w:ascii="宋体" w:hAnsi="宋体"/>
          <w:sz w:val="24"/>
        </w:rPr>
      </w:pPr>
      <w:r>
        <w:rPr>
          <w:rFonts w:hint="eastAsia" w:ascii="宋体" w:hAnsi="宋体"/>
          <w:sz w:val="24"/>
        </w:rPr>
        <w:t>(3)与招标人、其它供应商或者招标代理机构恶意串通的；</w:t>
      </w:r>
    </w:p>
    <w:p>
      <w:pPr>
        <w:adjustRightInd w:val="0"/>
        <w:snapToGrid w:val="0"/>
        <w:spacing w:line="360" w:lineRule="auto"/>
        <w:ind w:left="560" w:leftChars="200"/>
        <w:rPr>
          <w:rFonts w:hint="eastAsia" w:ascii="宋体" w:hAnsi="宋体"/>
          <w:sz w:val="24"/>
        </w:rPr>
      </w:pPr>
      <w:r>
        <w:rPr>
          <w:rFonts w:hint="eastAsia" w:ascii="宋体" w:hAnsi="宋体"/>
          <w:sz w:val="24"/>
        </w:rPr>
        <w:t>(4)向招标人、招标代理机构行贿或者提供其他不正当利益的；</w:t>
      </w:r>
    </w:p>
    <w:p>
      <w:pPr>
        <w:adjustRightInd w:val="0"/>
        <w:snapToGrid w:val="0"/>
        <w:spacing w:line="360" w:lineRule="auto"/>
        <w:ind w:left="560" w:leftChars="200"/>
        <w:rPr>
          <w:rFonts w:hint="eastAsia" w:ascii="宋体" w:hAnsi="宋体"/>
          <w:sz w:val="24"/>
        </w:rPr>
      </w:pPr>
      <w:r>
        <w:rPr>
          <w:rFonts w:hint="eastAsia" w:ascii="宋体" w:hAnsi="宋体"/>
          <w:sz w:val="24"/>
        </w:rPr>
        <w:t>(5)在招标采购过程中与招标人进行协商谈判的；</w:t>
      </w:r>
    </w:p>
    <w:p>
      <w:pPr>
        <w:adjustRightInd w:val="0"/>
        <w:snapToGrid w:val="0"/>
        <w:spacing w:line="360" w:lineRule="auto"/>
        <w:ind w:left="560" w:leftChars="200"/>
        <w:rPr>
          <w:rFonts w:hint="eastAsia" w:ascii="宋体" w:hAnsi="宋体"/>
          <w:sz w:val="24"/>
        </w:rPr>
      </w:pPr>
      <w:r>
        <w:rPr>
          <w:rFonts w:hint="eastAsia" w:ascii="宋体" w:hAnsi="宋体"/>
          <w:sz w:val="24"/>
        </w:rPr>
        <w:t>(6)拒绝有关部门监督检查或提供虚假情况的。</w:t>
      </w:r>
    </w:p>
    <w:p>
      <w:pPr>
        <w:adjustRightInd w:val="0"/>
        <w:snapToGrid w:val="0"/>
        <w:spacing w:line="360" w:lineRule="auto"/>
        <w:ind w:left="560" w:leftChars="200"/>
        <w:rPr>
          <w:rFonts w:hint="eastAsia" w:ascii="宋体" w:hAnsi="宋体" w:cs="宋体"/>
          <w:kern w:val="0"/>
          <w:sz w:val="24"/>
        </w:rPr>
      </w:pPr>
      <w:r>
        <w:rPr>
          <w:rFonts w:hint="eastAsia" w:ascii="宋体" w:hAnsi="宋体"/>
          <w:sz w:val="24"/>
        </w:rPr>
        <w:t>供应商有前款第(1)至(5)项情形之一的，中标、成交无效。</w:t>
      </w:r>
    </w:p>
    <w:p>
      <w:pPr>
        <w:spacing w:line="360" w:lineRule="auto"/>
        <w:ind w:firstLine="480" w:firstLineChars="200"/>
        <w:rPr>
          <w:rFonts w:hint="eastAsia" w:ascii="宋体" w:hAnsi="宋体" w:cs="宋体"/>
          <w:kern w:val="0"/>
          <w:sz w:val="24"/>
          <w:lang w:val="zh-CN"/>
        </w:rPr>
      </w:pPr>
    </w:p>
    <w:p>
      <w:pPr>
        <w:spacing w:line="360" w:lineRule="auto"/>
        <w:ind w:firstLine="600" w:firstLineChars="250"/>
        <w:rPr>
          <w:rFonts w:hint="eastAsia" w:ascii="宋体" w:hAnsi="宋体" w:cs="宋体"/>
          <w:kern w:val="0"/>
          <w:sz w:val="24"/>
          <w:u w:val="single"/>
          <w:lang w:val="zh-CN"/>
        </w:rPr>
      </w:pPr>
      <w:r>
        <w:rPr>
          <w:rFonts w:hint="eastAsia" w:ascii="宋体" w:hAnsi="宋体"/>
          <w:sz w:val="24"/>
        </w:rPr>
        <w:t>投标人全称（盖单位公章或CA章）：</w:t>
      </w:r>
      <w:r>
        <w:rPr>
          <w:rFonts w:hint="eastAsia" w:ascii="宋体" w:hAnsi="宋体"/>
          <w:sz w:val="24"/>
          <w:szCs w:val="24"/>
        </w:rPr>
        <w:t xml:space="preserve"> </w:t>
      </w:r>
      <w:r>
        <w:rPr>
          <w:rFonts w:hint="eastAsia" w:ascii="宋体" w:hAnsi="宋体" w:cs="宋体"/>
          <w:kern w:val="0"/>
          <w:sz w:val="24"/>
          <w:u w:val="single"/>
          <w:lang w:val="zh-CN"/>
        </w:rPr>
        <w:t xml:space="preserve">                          </w:t>
      </w:r>
    </w:p>
    <w:p>
      <w:pPr>
        <w:spacing w:line="360" w:lineRule="auto"/>
        <w:ind w:firstLine="600" w:firstLineChars="250"/>
        <w:rPr>
          <w:rFonts w:hint="eastAsia" w:ascii="宋体" w:hAnsi="宋体" w:cs="宋体"/>
          <w:kern w:val="0"/>
          <w:sz w:val="24"/>
          <w:u w:val="single"/>
          <w:lang w:val="zh-CN"/>
        </w:rPr>
      </w:pPr>
      <w:r>
        <w:rPr>
          <w:rFonts w:hint="eastAsia" w:ascii="宋体" w:hAnsi="宋体" w:cs="宋体"/>
          <w:kern w:val="0"/>
          <w:sz w:val="24"/>
          <w:lang w:val="zh-CN"/>
        </w:rPr>
        <w:t>联系</w:t>
      </w:r>
      <w:r>
        <w:rPr>
          <w:rFonts w:hint="eastAsia" w:ascii="宋体" w:hAnsi="宋体"/>
          <w:sz w:val="24"/>
        </w:rPr>
        <w:t>电话</w:t>
      </w:r>
      <w:r>
        <w:rPr>
          <w:rFonts w:hint="eastAsia" w:ascii="宋体" w:hAnsi="宋体" w:cs="宋体"/>
          <w:kern w:val="0"/>
          <w:sz w:val="24"/>
          <w:lang w:val="zh-CN"/>
        </w:rPr>
        <w:t xml:space="preserve">（手机及座机）： </w:t>
      </w:r>
      <w:r>
        <w:rPr>
          <w:rFonts w:hint="eastAsia" w:ascii="宋体" w:hAnsi="宋体" w:cs="宋体"/>
          <w:kern w:val="0"/>
          <w:sz w:val="24"/>
          <w:u w:val="single"/>
          <w:lang w:val="zh-CN"/>
        </w:rPr>
        <w:t xml:space="preserve">          </w:t>
      </w:r>
    </w:p>
    <w:p>
      <w:pPr>
        <w:adjustRightInd w:val="0"/>
        <w:snapToGrid w:val="0"/>
        <w:spacing w:line="360" w:lineRule="auto"/>
        <w:ind w:left="560" w:leftChars="200"/>
        <w:rPr>
          <w:rFonts w:hint="eastAsia" w:ascii="宋体" w:hAnsi="宋体" w:cs="宋体"/>
          <w:kern w:val="0"/>
          <w:sz w:val="24"/>
          <w:lang w:val="zh-CN"/>
        </w:rPr>
      </w:pPr>
      <w:r>
        <w:rPr>
          <w:rFonts w:hint="eastAsia" w:ascii="宋体" w:hAnsi="宋体" w:cs="宋体"/>
          <w:kern w:val="0"/>
          <w:sz w:val="24"/>
          <w:lang w:val="zh-CN"/>
        </w:rPr>
        <w:t xml:space="preserve">传真：  </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w:t>
      </w:r>
    </w:p>
    <w:p>
      <w:pPr>
        <w:adjustRightInd w:val="0"/>
        <w:snapToGrid w:val="0"/>
        <w:spacing w:line="360" w:lineRule="auto"/>
        <w:ind w:left="560" w:leftChars="200"/>
        <w:rPr>
          <w:rFonts w:hint="eastAsia" w:ascii="宋体" w:hAnsi="宋体" w:cs="宋体"/>
          <w:kern w:val="0"/>
          <w:sz w:val="24"/>
          <w:lang w:val="zh-CN"/>
        </w:rPr>
      </w:pPr>
      <w:r>
        <w:rPr>
          <w:rFonts w:hint="eastAsia" w:ascii="宋体" w:hAnsi="宋体" w:cs="宋体"/>
          <w:kern w:val="0"/>
          <w:sz w:val="24"/>
          <w:lang w:val="zh-CN"/>
        </w:rPr>
        <w:t>电子邮件：</w:t>
      </w:r>
      <w:r>
        <w:rPr>
          <w:rFonts w:hint="eastAsia" w:ascii="宋体" w:hAnsi="宋体" w:cs="宋体"/>
          <w:kern w:val="0"/>
          <w:sz w:val="24"/>
          <w:u w:val="single"/>
          <w:lang w:val="zh-CN"/>
        </w:rPr>
        <w:t xml:space="preserve">              </w:t>
      </w:r>
    </w:p>
    <w:p>
      <w:pPr>
        <w:adjustRightInd w:val="0"/>
        <w:snapToGrid w:val="0"/>
        <w:spacing w:line="360" w:lineRule="auto"/>
        <w:ind w:left="560" w:leftChars="200"/>
        <w:rPr>
          <w:rFonts w:hint="eastAsia" w:ascii="宋体" w:hAnsi="宋体" w:cs="宋体"/>
          <w:kern w:val="0"/>
          <w:sz w:val="24"/>
          <w:lang w:val="zh-CN"/>
        </w:rPr>
      </w:pPr>
      <w:r>
        <w:rPr>
          <w:rFonts w:hint="eastAsia" w:ascii="宋体" w:hAnsi="宋体" w:cs="宋体"/>
          <w:kern w:val="0"/>
          <w:sz w:val="24"/>
          <w:lang w:val="zh-CN"/>
        </w:rPr>
        <w:t>纳税人识别号：</w:t>
      </w:r>
      <w:r>
        <w:rPr>
          <w:rFonts w:hint="eastAsia" w:ascii="宋体" w:hAnsi="宋体" w:cs="宋体"/>
          <w:kern w:val="0"/>
          <w:sz w:val="24"/>
          <w:u w:val="single"/>
          <w:lang w:val="zh-CN"/>
        </w:rPr>
        <w:t xml:space="preserve">                                                </w:t>
      </w:r>
    </w:p>
    <w:p>
      <w:pPr>
        <w:adjustRightInd w:val="0"/>
        <w:snapToGrid w:val="0"/>
        <w:spacing w:line="360" w:lineRule="auto"/>
        <w:ind w:left="560" w:leftChars="200"/>
        <w:rPr>
          <w:rFonts w:hint="eastAsia" w:ascii="宋体" w:hAnsi="宋体" w:cs="宋体"/>
          <w:kern w:val="0"/>
          <w:sz w:val="24"/>
          <w:lang w:val="zh-CN"/>
        </w:rPr>
      </w:pPr>
      <w:r>
        <w:rPr>
          <w:rFonts w:hint="eastAsia" w:ascii="宋体" w:hAnsi="宋体" w:cs="宋体"/>
          <w:kern w:val="0"/>
          <w:sz w:val="24"/>
          <w:lang w:val="zh-CN"/>
        </w:rPr>
        <w:t>开户银行：</w:t>
      </w:r>
      <w:r>
        <w:rPr>
          <w:rFonts w:hint="eastAsia" w:ascii="宋体" w:hAnsi="宋体" w:cs="宋体"/>
          <w:kern w:val="0"/>
          <w:sz w:val="24"/>
          <w:u w:val="single"/>
          <w:lang w:val="zh-CN"/>
        </w:rPr>
        <w:t xml:space="preserve">                                                    </w:t>
      </w:r>
    </w:p>
    <w:p>
      <w:pPr>
        <w:adjustRightInd w:val="0"/>
        <w:snapToGrid w:val="0"/>
        <w:spacing w:line="360" w:lineRule="auto"/>
        <w:ind w:left="560" w:leftChars="200"/>
        <w:rPr>
          <w:rFonts w:hint="eastAsia" w:ascii="宋体" w:hAnsi="宋体" w:cs="宋体"/>
          <w:kern w:val="0"/>
          <w:sz w:val="24"/>
          <w:lang w:val="zh-CN"/>
        </w:rPr>
      </w:pPr>
      <w:r>
        <w:rPr>
          <w:rFonts w:hint="eastAsia" w:ascii="宋体" w:hAnsi="宋体" w:cs="宋体"/>
          <w:kern w:val="0"/>
          <w:sz w:val="24"/>
          <w:lang w:val="zh-CN"/>
        </w:rPr>
        <w:t>银行账号：</w:t>
      </w:r>
      <w:r>
        <w:rPr>
          <w:rFonts w:hint="eastAsia" w:ascii="宋体" w:hAnsi="宋体" w:cs="宋体"/>
          <w:kern w:val="0"/>
          <w:sz w:val="24"/>
          <w:u w:val="single"/>
          <w:lang w:val="zh-CN"/>
        </w:rPr>
        <w:t xml:space="preserve">                                                    </w:t>
      </w:r>
    </w:p>
    <w:p>
      <w:pPr>
        <w:adjustRightInd w:val="0"/>
        <w:snapToGrid w:val="0"/>
        <w:spacing w:line="360" w:lineRule="auto"/>
        <w:ind w:left="560" w:leftChars="200"/>
        <w:rPr>
          <w:rFonts w:hint="eastAsia" w:ascii="宋体" w:hAnsi="宋体" w:cs="宋体"/>
          <w:kern w:val="0"/>
          <w:sz w:val="24"/>
        </w:rPr>
      </w:pPr>
      <w:r>
        <w:rPr>
          <w:rFonts w:hint="eastAsia" w:ascii="宋体" w:hAnsi="宋体" w:cs="宋体"/>
          <w:kern w:val="0"/>
          <w:sz w:val="24"/>
          <w:lang w:val="zh-CN"/>
        </w:rPr>
        <w:t>联系地址：</w:t>
      </w:r>
      <w:r>
        <w:rPr>
          <w:rFonts w:hint="eastAsia" w:ascii="宋体" w:hAnsi="宋体" w:cs="宋体"/>
          <w:kern w:val="0"/>
          <w:sz w:val="24"/>
          <w:u w:val="single"/>
          <w:lang w:val="zh-CN"/>
        </w:rPr>
        <w:t xml:space="preserve">                                                    </w:t>
      </w:r>
    </w:p>
    <w:p>
      <w:pPr>
        <w:adjustRightInd w:val="0"/>
        <w:snapToGrid w:val="0"/>
        <w:spacing w:line="360" w:lineRule="auto"/>
        <w:ind w:firstLine="540" w:firstLineChars="225"/>
        <w:rPr>
          <w:rFonts w:hint="eastAsia" w:ascii="宋体" w:hAnsi="宋体" w:cs="宋体"/>
          <w:kern w:val="0"/>
          <w:sz w:val="24"/>
        </w:rPr>
      </w:pPr>
      <w:r>
        <w:rPr>
          <w:rFonts w:hint="eastAsia" w:ascii="宋体" w:hAnsi="宋体" w:cs="宋体"/>
          <w:kern w:val="0"/>
          <w:sz w:val="24"/>
          <w:lang w:val="zh-CN"/>
        </w:rPr>
        <w:t>日</w:t>
      </w:r>
      <w:r>
        <w:rPr>
          <w:rFonts w:hint="eastAsia" w:ascii="宋体" w:hAnsi="宋体" w:cs="宋体"/>
          <w:kern w:val="0"/>
          <w:sz w:val="24"/>
        </w:rPr>
        <w:t xml:space="preserve">    </w:t>
      </w:r>
      <w:r>
        <w:rPr>
          <w:rFonts w:hint="eastAsia" w:ascii="宋体" w:hAnsi="宋体" w:cs="宋体"/>
          <w:kern w:val="0"/>
          <w:sz w:val="24"/>
          <w:lang w:val="zh-CN"/>
        </w:rPr>
        <w:t>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rPr>
        <w:tab/>
      </w:r>
      <w:r>
        <w:rPr>
          <w:rFonts w:hint="eastAsia" w:ascii="宋体" w:hAnsi="宋体" w:cs="宋体"/>
          <w:kern w:val="0"/>
          <w:sz w:val="24"/>
        </w:rPr>
        <w:t xml:space="preserve"> </w:t>
      </w:r>
      <w:r>
        <w:rPr>
          <w:rFonts w:hint="eastAsia" w:ascii="宋体" w:hAnsi="宋体" w:cs="宋体"/>
          <w:kern w:val="0"/>
          <w:sz w:val="24"/>
          <w:lang w:val="zh-CN"/>
        </w:rPr>
        <w:t>月    日</w:t>
      </w:r>
    </w:p>
    <w:p>
      <w:pPr>
        <w:adjustRightInd w:val="0"/>
        <w:snapToGrid w:val="0"/>
        <w:spacing w:line="360" w:lineRule="auto"/>
        <w:rPr>
          <w:rFonts w:hint="eastAsia" w:ascii="宋体" w:hAnsi="宋体"/>
          <w:b/>
          <w:kern w:val="0"/>
          <w:sz w:val="24"/>
          <w:lang w:val="zh-CN"/>
        </w:rPr>
      </w:pPr>
      <w:r>
        <w:rPr>
          <w:rFonts w:hint="eastAsia" w:ascii="宋体" w:hAnsi="宋体"/>
          <w:b/>
          <w:kern w:val="0"/>
          <w:sz w:val="24"/>
          <w:lang w:val="zh-CN"/>
        </w:rPr>
        <w:t>注：未按照本投标声明函要求填报的将被视为非实质性响应，从而可能导致该投标文件被拒绝。</w:t>
      </w:r>
    </w:p>
    <w:p>
      <w:pPr>
        <w:adjustRightInd w:val="0"/>
        <w:snapToGrid w:val="0"/>
        <w:spacing w:line="360" w:lineRule="auto"/>
        <w:rPr>
          <w:rFonts w:hint="eastAsia" w:ascii="宋体" w:hAnsi="宋体"/>
          <w:b/>
          <w:kern w:val="0"/>
          <w:sz w:val="24"/>
          <w:lang w:val="zh-CN"/>
        </w:rPr>
        <w:sectPr>
          <w:footerReference r:id="rId12" w:type="default"/>
          <w:pgSz w:w="11906" w:h="16838"/>
          <w:pgMar w:top="1440" w:right="1440" w:bottom="1440" w:left="1440" w:header="851" w:footer="851" w:gutter="0"/>
          <w:cols w:space="720" w:num="1"/>
          <w:titlePg/>
          <w:docGrid w:linePitch="381" w:charSpace="0"/>
        </w:sectPr>
      </w:pPr>
      <w:r>
        <w:rPr>
          <w:rFonts w:ascii="宋体" w:hAnsi="宋体"/>
          <w:b/>
          <w:kern w:val="0"/>
          <w:sz w:val="24"/>
          <w:lang w:val="zh-CN"/>
        </w:rPr>
        <w:t>如联合体投标，投标人全称应填“联合体主办方（单位名称）和成员单位（单位全称）的联合体”</w:t>
      </w:r>
      <w:r>
        <w:rPr>
          <w:rFonts w:hint="eastAsia" w:ascii="宋体" w:hAnsi="宋体"/>
          <w:b/>
          <w:kern w:val="0"/>
          <w:sz w:val="24"/>
          <w:lang w:val="zh-CN"/>
        </w:rPr>
        <w:t>。(资格条件允许的情况下)</w:t>
      </w:r>
    </w:p>
    <w:p>
      <w:pPr>
        <w:pStyle w:val="45"/>
        <w:adjustRightInd w:val="0"/>
        <w:snapToGrid w:val="0"/>
        <w:spacing w:line="360" w:lineRule="auto"/>
        <w:outlineLvl w:val="1"/>
        <w:rPr>
          <w:rFonts w:hint="eastAsia" w:hAnsi="宋体"/>
          <w:b/>
          <w:sz w:val="28"/>
          <w:szCs w:val="28"/>
        </w:rPr>
      </w:pPr>
      <w:bookmarkStart w:id="102" w:name="_Toc83910207"/>
      <w:r>
        <w:rPr>
          <w:rFonts w:hint="eastAsia" w:hAnsi="宋体" w:cs="仿宋_GB2312"/>
          <w:b/>
          <w:kern w:val="0"/>
          <w:sz w:val="30"/>
          <w:szCs w:val="30"/>
          <w:lang w:val="zh-CN"/>
        </w:rPr>
        <w:t>格式三：</w:t>
      </w:r>
      <w:r>
        <w:rPr>
          <w:rFonts w:hint="eastAsia" w:hAnsi="宋体"/>
          <w:b/>
          <w:sz w:val="28"/>
          <w:szCs w:val="28"/>
        </w:rPr>
        <w:t>法定代表人身份证明或法定代表人身份证明及授权委托书</w:t>
      </w:r>
      <w:bookmarkEnd w:id="102"/>
    </w:p>
    <w:p>
      <w:pPr>
        <w:pStyle w:val="499"/>
        <w:adjustRightInd w:val="0"/>
        <w:snapToGrid w:val="0"/>
        <w:spacing w:line="360" w:lineRule="auto"/>
        <w:ind w:firstLine="482"/>
        <w:jc w:val="center"/>
        <w:rPr>
          <w:rFonts w:hAnsi="宋体"/>
          <w:b/>
          <w:sz w:val="21"/>
        </w:rPr>
      </w:pPr>
      <w:r>
        <w:rPr>
          <w:rFonts w:hint="eastAsia" w:hAnsi="宋体"/>
          <w:b/>
          <w:sz w:val="21"/>
        </w:rPr>
        <w:t>法定代表人直接参加投标，只提供3-1即可，若法定代表人授权其在职人员前来投标，需同时提供3-1和3-2）</w:t>
      </w:r>
    </w:p>
    <w:p>
      <w:pPr>
        <w:pStyle w:val="45"/>
        <w:adjustRightInd w:val="0"/>
        <w:snapToGrid w:val="0"/>
        <w:spacing w:line="360" w:lineRule="auto"/>
        <w:jc w:val="center"/>
        <w:rPr>
          <w:rFonts w:hint="eastAsia" w:hAnsi="宋体"/>
          <w:b/>
          <w:sz w:val="28"/>
          <w:szCs w:val="28"/>
        </w:rPr>
      </w:pPr>
    </w:p>
    <w:p>
      <w:pPr>
        <w:pStyle w:val="45"/>
        <w:adjustRightInd w:val="0"/>
        <w:snapToGrid w:val="0"/>
        <w:spacing w:line="360" w:lineRule="auto"/>
        <w:jc w:val="center"/>
        <w:rPr>
          <w:rFonts w:hint="eastAsia" w:hAnsi="宋体" w:cs="仿宋_GB2312"/>
          <w:b/>
          <w:kern w:val="0"/>
          <w:sz w:val="30"/>
          <w:szCs w:val="30"/>
          <w:lang w:val="zh-CN"/>
        </w:rPr>
      </w:pPr>
      <w:r>
        <w:rPr>
          <w:rFonts w:hint="eastAsia" w:hAnsi="宋体"/>
          <w:b/>
          <w:sz w:val="28"/>
          <w:szCs w:val="28"/>
        </w:rPr>
        <w:t>3-1法定代表人身份证明</w:t>
      </w:r>
    </w:p>
    <w:p>
      <w:pPr>
        <w:adjustRightInd w:val="0"/>
        <w:snapToGrid w:val="0"/>
        <w:spacing w:line="360" w:lineRule="auto"/>
        <w:rPr>
          <w:rFonts w:hint="eastAsia" w:ascii="宋体" w:hAnsi="宋体"/>
          <w:sz w:val="24"/>
        </w:rPr>
      </w:pP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adjustRightInd w:val="0"/>
        <w:snapToGrid w:val="0"/>
        <w:spacing w:line="360" w:lineRule="auto"/>
        <w:ind w:firstLine="56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特此证明。</w:t>
      </w:r>
    </w:p>
    <w:p>
      <w:pPr>
        <w:adjustRightInd w:val="0"/>
        <w:snapToGrid w:val="0"/>
        <w:spacing w:line="360" w:lineRule="auto"/>
        <w:rPr>
          <w:rFonts w:hint="eastAsia" w:ascii="宋体" w:hAnsi="宋体"/>
          <w:sz w:val="24"/>
        </w:rPr>
      </w:pPr>
      <w:r>
        <w:rPr>
          <w:rFonts w:hint="eastAsia" w:ascii="宋体" w:hAnsi="宋体"/>
          <w:sz w:val="24"/>
        </w:rPr>
        <w:t>附：法定代表人身份证复制件</w:t>
      </w:r>
    </w:p>
    <w:p>
      <w:pPr>
        <w:adjustRightInd w:val="0"/>
        <w:snapToGrid w:val="0"/>
        <w:spacing w:line="360" w:lineRule="auto"/>
        <w:rPr>
          <w:rFonts w:hint="eastAsia" w:ascii="宋体" w:hAnsi="宋体"/>
          <w:sz w:val="24"/>
        </w:rPr>
      </w:pPr>
    </w:p>
    <w:p>
      <w:pPr>
        <w:wordWrap w:val="0"/>
        <w:adjustRightInd w:val="0"/>
        <w:snapToGrid w:val="0"/>
        <w:spacing w:line="360" w:lineRule="auto"/>
        <w:ind w:right="1200"/>
        <w:rPr>
          <w:rFonts w:hint="eastAsia" w:ascii="宋体" w:hAnsi="宋体"/>
          <w:sz w:val="24"/>
        </w:rPr>
      </w:pPr>
      <w:r>
        <w:rPr>
          <w:rFonts w:hint="eastAsia" w:ascii="宋体" w:hAnsi="宋体"/>
          <w:sz w:val="24"/>
        </w:rPr>
        <w:t xml:space="preserve">投标人全称（盖单位公章或CA章）：     </w:t>
      </w:r>
    </w:p>
    <w:p>
      <w:pPr>
        <w:adjustRightInd w:val="0"/>
        <w:snapToGrid w:val="0"/>
        <w:spacing w:line="360" w:lineRule="auto"/>
        <w:ind w:right="1200"/>
        <w:rPr>
          <w:rFonts w:hint="eastAsia" w:ascii="宋体" w:hAnsi="宋体"/>
          <w:b/>
          <w:sz w:val="24"/>
        </w:rPr>
      </w:pPr>
      <w:r>
        <w:rPr>
          <w:rFonts w:hint="eastAsia" w:ascii="宋体" w:hAnsi="宋体"/>
          <w:sz w:val="24"/>
        </w:rPr>
        <w:t>日期：   年    月    日</w:t>
      </w:r>
    </w:p>
    <w:p>
      <w:pPr>
        <w:adjustRightInd w:val="0"/>
        <w:snapToGrid w:val="0"/>
        <w:spacing w:line="360" w:lineRule="auto"/>
        <w:rPr>
          <w:rFonts w:hint="eastAsia" w:ascii="宋体" w:hAnsi="宋体"/>
          <w:szCs w:val="21"/>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4" w:hRule="atLeast"/>
          <w:jc w:val="center"/>
        </w:trPr>
        <w:tc>
          <w:tcPr>
            <w:tcW w:w="7769"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法定代表人身份证复制件粘贴处（正、反面）</w:t>
            </w:r>
          </w:p>
        </w:tc>
      </w:tr>
    </w:tbl>
    <w:p>
      <w:pPr>
        <w:adjustRightInd w:val="0"/>
        <w:snapToGrid w:val="0"/>
        <w:spacing w:line="360" w:lineRule="auto"/>
        <w:jc w:val="center"/>
        <w:rPr>
          <w:rFonts w:hint="eastAsia" w:ascii="宋体" w:hAnsi="宋体"/>
          <w:szCs w:val="21"/>
        </w:rPr>
      </w:pPr>
    </w:p>
    <w:p>
      <w:pPr>
        <w:rPr>
          <w:rFonts w:hint="eastAsia" w:ascii="宋体" w:hAnsi="宋体"/>
        </w:rPr>
      </w:pPr>
    </w:p>
    <w:p>
      <w:pPr>
        <w:spacing w:before="120" w:beforeLines="50" w:line="360" w:lineRule="auto"/>
        <w:jc w:val="center"/>
        <w:rPr>
          <w:rFonts w:hint="eastAsia" w:ascii="宋体" w:hAnsi="宋体"/>
          <w:b/>
          <w:szCs w:val="28"/>
        </w:rPr>
      </w:pPr>
      <w:r>
        <w:rPr>
          <w:rFonts w:ascii="宋体" w:hAnsi="宋体"/>
          <w:b/>
          <w:szCs w:val="28"/>
        </w:rPr>
        <w:br w:type="page"/>
      </w:r>
      <w:r>
        <w:rPr>
          <w:rFonts w:hint="eastAsia" w:ascii="宋体" w:hAnsi="宋体"/>
          <w:b/>
          <w:szCs w:val="28"/>
        </w:rPr>
        <w:t>3-2法定代表人授权委托书</w:t>
      </w:r>
    </w:p>
    <w:p>
      <w:pPr>
        <w:spacing w:line="360" w:lineRule="auto"/>
        <w:rPr>
          <w:rFonts w:hint="eastAsia" w:ascii="宋体" w:hAnsi="宋体"/>
          <w:sz w:val="24"/>
          <w:szCs w:val="24"/>
        </w:rPr>
      </w:pPr>
      <w:r>
        <w:rPr>
          <w:rFonts w:hint="eastAsia" w:ascii="宋体" w:hAnsi="宋体"/>
          <w:sz w:val="24"/>
          <w:szCs w:val="24"/>
        </w:rPr>
        <w:t>杭州市西湖区城市管理局：</w:t>
      </w:r>
    </w:p>
    <w:p>
      <w:pPr>
        <w:spacing w:line="360" w:lineRule="auto"/>
        <w:rPr>
          <w:rFonts w:hint="eastAsia" w:ascii="宋体" w:hAnsi="宋体"/>
          <w:kern w:val="0"/>
          <w:sz w:val="24"/>
          <w:szCs w:val="24"/>
          <w:lang w:val="zh-CN"/>
        </w:rPr>
      </w:pPr>
      <w:r>
        <w:rPr>
          <w:rFonts w:hint="eastAsia" w:ascii="宋体" w:hAnsi="宋体"/>
          <w:sz w:val="24"/>
          <w:szCs w:val="24"/>
        </w:rPr>
        <w:t>杭州市西湖区人民政府文新街道办事处</w:t>
      </w:r>
      <w:r>
        <w:rPr>
          <w:rFonts w:hint="eastAsia" w:ascii="宋体" w:hAnsi="宋体"/>
          <w:kern w:val="0"/>
          <w:sz w:val="24"/>
          <w:szCs w:val="24"/>
          <w:lang w:val="zh-CN"/>
        </w:rPr>
        <w:t>：</w:t>
      </w:r>
    </w:p>
    <w:p>
      <w:pPr>
        <w:adjustRightInd w:val="0"/>
        <w:snapToGrid w:val="0"/>
        <w:spacing w:line="360" w:lineRule="auto"/>
        <w:rPr>
          <w:rFonts w:hint="eastAsia" w:ascii="宋体" w:hAnsi="宋体"/>
          <w:sz w:val="24"/>
        </w:rPr>
      </w:pPr>
      <w:r>
        <w:rPr>
          <w:rFonts w:hint="eastAsia" w:ascii="宋体" w:hAnsi="宋体"/>
          <w:kern w:val="0"/>
          <w:sz w:val="24"/>
          <w:szCs w:val="24"/>
          <w:lang w:val="zh-CN"/>
        </w:rPr>
        <w:t>浙江省成套招标代理有限公司：</w:t>
      </w:r>
    </w:p>
    <w:p>
      <w:pPr>
        <w:adjustRightInd w:val="0"/>
        <w:snapToGrid w:val="0"/>
        <w:spacing w:line="360" w:lineRule="auto"/>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（姓名）</w:t>
      </w:r>
      <w:r>
        <w:rPr>
          <w:rFonts w:hint="eastAsia" w:ascii="宋体" w:hAnsi="宋体"/>
          <w:sz w:val="24"/>
        </w:rPr>
        <w:t>系</w:t>
      </w:r>
      <w:r>
        <w:rPr>
          <w:rFonts w:hint="eastAsia" w:ascii="宋体" w:hAnsi="宋体"/>
          <w:sz w:val="24"/>
          <w:u w:val="single"/>
        </w:rPr>
        <w:t xml:space="preserve">        （投标人名称）</w:t>
      </w:r>
      <w:r>
        <w:rPr>
          <w:rFonts w:hint="eastAsia" w:ascii="宋体" w:hAnsi="宋体"/>
          <w:sz w:val="24"/>
        </w:rPr>
        <w:t>的法定代表人，现委托</w:t>
      </w:r>
      <w:r>
        <w:rPr>
          <w:rFonts w:hint="eastAsia" w:ascii="宋体" w:hAnsi="宋体"/>
          <w:sz w:val="24"/>
          <w:u w:val="single"/>
        </w:rPr>
        <w:t xml:space="preserve">      （姓名）  （职务）</w:t>
      </w:r>
      <w:r>
        <w:rPr>
          <w:rFonts w:hint="eastAsia" w:ascii="宋体" w:hAnsi="宋体"/>
          <w:sz w:val="24"/>
        </w:rPr>
        <w:t>为我方授权代表，以我方名义签署、澄清、说明、补正、递交、撤回、修改</w:t>
      </w:r>
      <w:r>
        <w:rPr>
          <w:rFonts w:hint="eastAsia" w:ascii="宋体" w:hAnsi="宋体"/>
          <w:sz w:val="24"/>
          <w:u w:val="single"/>
        </w:rPr>
        <w:t>杭州市西湖区城市管理局、</w:t>
      </w:r>
      <w:r>
        <w:rPr>
          <w:rFonts w:hint="eastAsia" w:ascii="宋体" w:hAnsi="宋体"/>
          <w:sz w:val="24"/>
          <w:szCs w:val="24"/>
          <w:u w:val="single"/>
        </w:rPr>
        <w:t>杭州市西湖区人民政府文新街道办事处杭州市西湖区文新街道辖区2021年度街巷清扫保洁采购项目-文二西路以南、西城广场区块</w:t>
      </w:r>
      <w:r>
        <w:rPr>
          <w:rFonts w:hint="eastAsia" w:ascii="宋体" w:hAnsi="宋体"/>
          <w:sz w:val="24"/>
        </w:rPr>
        <w:t>投标文件、签订合同和处理有关事宜，其法律后果由我方承担。</w:t>
      </w:r>
    </w:p>
    <w:p>
      <w:pPr>
        <w:adjustRightInd w:val="0"/>
        <w:snapToGrid w:val="0"/>
        <w:spacing w:line="360" w:lineRule="auto"/>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rFonts w:hint="eastAsia" w:ascii="宋体" w:hAnsi="宋体"/>
          <w:sz w:val="24"/>
        </w:rPr>
      </w:pPr>
      <w:r>
        <w:rPr>
          <w:rFonts w:hint="eastAsia" w:ascii="宋体" w:hAnsi="宋体"/>
          <w:sz w:val="24"/>
        </w:rPr>
        <w:t>该授权代表无转委托权，特此委托。</w:t>
      </w:r>
    </w:p>
    <w:p>
      <w:pPr>
        <w:adjustRightInd w:val="0"/>
        <w:snapToGrid w:val="0"/>
        <w:spacing w:line="360" w:lineRule="auto"/>
        <w:ind w:firstLine="480" w:firstLineChars="200"/>
        <w:rPr>
          <w:rFonts w:hint="eastAsia" w:ascii="宋体" w:hAnsi="宋体"/>
          <w:sz w:val="24"/>
        </w:rPr>
      </w:pPr>
      <w:r>
        <w:rPr>
          <w:rFonts w:hint="eastAsia" w:ascii="宋体" w:hAnsi="宋体"/>
          <w:sz w:val="24"/>
        </w:rPr>
        <w:t>附：</w:t>
      </w:r>
    </w:p>
    <w:p>
      <w:pPr>
        <w:adjustRightInd w:val="0"/>
        <w:snapToGrid w:val="0"/>
        <w:spacing w:line="360" w:lineRule="auto"/>
        <w:ind w:firstLine="480" w:firstLineChars="200"/>
        <w:rPr>
          <w:rFonts w:hint="eastAsia" w:ascii="宋体" w:hAnsi="宋体"/>
          <w:sz w:val="24"/>
        </w:rPr>
      </w:pPr>
      <w:r>
        <w:rPr>
          <w:rFonts w:hint="eastAsia" w:ascii="宋体" w:hAnsi="宋体"/>
          <w:sz w:val="24"/>
        </w:rPr>
        <w:t>1、委托代理人身份证复制件</w:t>
      </w:r>
    </w:p>
    <w:p>
      <w:pPr>
        <w:adjustRightInd w:val="0"/>
        <w:snapToGrid w:val="0"/>
        <w:spacing w:line="360" w:lineRule="auto"/>
        <w:ind w:firstLine="480" w:firstLineChars="200"/>
        <w:rPr>
          <w:rFonts w:hint="eastAsia" w:ascii="宋体" w:hAnsi="宋体"/>
          <w:sz w:val="24"/>
        </w:rPr>
      </w:pPr>
      <w:r>
        <w:rPr>
          <w:rFonts w:hint="eastAsia" w:ascii="宋体" w:hAnsi="宋体"/>
          <w:sz w:val="24"/>
        </w:rPr>
        <w:t>2、授权代表为投标人在职员工的证明文件（投标人为其缴纳的社保记录或劳务合同等）。</w:t>
      </w: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投标人全称（盖单位公章或CA章）：</w:t>
      </w:r>
    </w:p>
    <w:p>
      <w:pPr>
        <w:adjustRightInd w:val="0"/>
        <w:snapToGrid w:val="0"/>
        <w:spacing w:line="360" w:lineRule="auto"/>
        <w:ind w:firstLine="5160" w:firstLineChars="2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11" w:hRule="atLeast"/>
          <w:jc w:val="center"/>
        </w:trPr>
        <w:tc>
          <w:tcPr>
            <w:tcW w:w="924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授权代表身份证复制件粘贴处（正、反面）</w:t>
            </w:r>
          </w:p>
        </w:tc>
      </w:tr>
    </w:tbl>
    <w:p>
      <w:pPr>
        <w:adjustRightInd w:val="0"/>
        <w:snapToGrid w:val="0"/>
        <w:spacing w:line="360" w:lineRule="auto"/>
        <w:rPr>
          <w:rFonts w:hint="eastAsia" w:ascii="宋体" w:hAnsi="宋体"/>
          <w:b/>
          <w:bCs/>
          <w:sz w:val="24"/>
          <w:szCs w:val="24"/>
        </w:rPr>
      </w:pPr>
      <w:r>
        <w:rPr>
          <w:rFonts w:hint="eastAsia" w:ascii="宋体" w:hAnsi="宋体"/>
          <w:b/>
          <w:bCs/>
          <w:sz w:val="24"/>
          <w:szCs w:val="24"/>
        </w:rPr>
        <w:t>注：授权委托书必须加盖单位公章或CA章，否则视为无效投标文件。</w:t>
      </w:r>
    </w:p>
    <w:bookmarkEnd w:id="99"/>
    <w:p>
      <w:pPr>
        <w:adjustRightInd w:val="0"/>
        <w:snapToGrid w:val="0"/>
        <w:spacing w:line="360" w:lineRule="auto"/>
        <w:rPr>
          <w:rFonts w:hint="eastAsia" w:ascii="宋体" w:hAnsi="宋体"/>
          <w:b/>
          <w:bCs/>
          <w:sz w:val="24"/>
          <w:szCs w:val="24"/>
        </w:rPr>
      </w:pPr>
      <w:bookmarkStart w:id="103" w:name="_Toc354859475"/>
      <w:bookmarkStart w:id="104" w:name="_Toc354859632"/>
      <w:bookmarkStart w:id="105" w:name="_Toc233618991"/>
      <w:bookmarkStart w:id="106" w:name="_Toc391277571"/>
      <w:bookmarkStart w:id="107" w:name="_Toc354859551"/>
    </w:p>
    <w:p>
      <w:pPr>
        <w:pStyle w:val="45"/>
        <w:adjustRightInd w:val="0"/>
        <w:snapToGrid w:val="0"/>
        <w:spacing w:line="360" w:lineRule="auto"/>
        <w:jc w:val="center"/>
        <w:outlineLvl w:val="1"/>
        <w:rPr>
          <w:rFonts w:hint="eastAsia" w:hAnsi="宋体" w:cs="仿宋_GB2312"/>
          <w:b/>
          <w:kern w:val="0"/>
          <w:sz w:val="30"/>
          <w:szCs w:val="30"/>
          <w:lang w:val="zh-CN"/>
        </w:rPr>
      </w:pPr>
      <w:r>
        <w:rPr>
          <w:rFonts w:hAnsi="宋体" w:cs="仿宋_GB2312"/>
          <w:b/>
          <w:kern w:val="0"/>
          <w:sz w:val="30"/>
          <w:szCs w:val="30"/>
          <w:lang w:val="zh-CN"/>
        </w:rPr>
        <w:br w:type="page"/>
      </w:r>
      <w:bookmarkStart w:id="108" w:name="_Toc83910208"/>
      <w:r>
        <w:rPr>
          <w:rFonts w:hint="eastAsia" w:hAnsi="宋体" w:cs="仿宋_GB2312"/>
          <w:b/>
          <w:kern w:val="0"/>
          <w:sz w:val="30"/>
          <w:szCs w:val="30"/>
          <w:lang w:val="zh-CN"/>
        </w:rPr>
        <w:t>格式四：以往业绩情况表</w:t>
      </w:r>
      <w:bookmarkEnd w:id="108"/>
    </w:p>
    <w:p>
      <w:pPr>
        <w:adjustRightInd w:val="0"/>
        <w:snapToGrid w:val="0"/>
        <w:spacing w:line="360" w:lineRule="auto"/>
        <w:jc w:val="center"/>
        <w:rPr>
          <w:rFonts w:hint="eastAsia" w:ascii="宋体" w:hAnsi="宋体"/>
          <w:b/>
          <w:sz w:val="24"/>
        </w:rPr>
      </w:pPr>
      <w:r>
        <w:rPr>
          <w:rFonts w:hint="eastAsia" w:ascii="宋体" w:hAnsi="宋体"/>
          <w:b/>
          <w:sz w:val="24"/>
        </w:rPr>
        <w:t>（一）201_年_月以来业绩情况汇总表</w:t>
      </w:r>
    </w:p>
    <w:tbl>
      <w:tblPr>
        <w:tblStyle w:val="88"/>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065"/>
        <w:gridCol w:w="2042"/>
        <w:gridCol w:w="1109"/>
        <w:gridCol w:w="1442"/>
        <w:gridCol w:w="103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序号</w:t>
            </w:r>
          </w:p>
        </w:tc>
        <w:tc>
          <w:tcPr>
            <w:tcW w:w="3065"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项目名称</w:t>
            </w:r>
          </w:p>
        </w:tc>
        <w:tc>
          <w:tcPr>
            <w:tcW w:w="2042"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sz w:val="24"/>
                <w:szCs w:val="24"/>
              </w:rPr>
              <w:t>合同内容</w:t>
            </w:r>
          </w:p>
        </w:tc>
        <w:tc>
          <w:tcPr>
            <w:tcW w:w="1109"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合同价</w:t>
            </w:r>
          </w:p>
        </w:tc>
        <w:tc>
          <w:tcPr>
            <w:tcW w:w="1442"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签订日期</w:t>
            </w:r>
          </w:p>
        </w:tc>
        <w:tc>
          <w:tcPr>
            <w:tcW w:w="1030"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1</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2</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3</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4"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3065" w:type="dxa"/>
            <w:noWrap w:val="0"/>
            <w:vAlign w:val="center"/>
          </w:tcPr>
          <w:p>
            <w:pPr>
              <w:autoSpaceDE w:val="0"/>
              <w:autoSpaceDN w:val="0"/>
              <w:adjustRightInd w:val="0"/>
              <w:rPr>
                <w:rFonts w:hint="eastAsia" w:ascii="宋体" w:hAnsi="宋体"/>
                <w:kern w:val="0"/>
                <w:sz w:val="24"/>
                <w:szCs w:val="24"/>
              </w:rPr>
            </w:pPr>
          </w:p>
        </w:tc>
        <w:tc>
          <w:tcPr>
            <w:tcW w:w="2042" w:type="dxa"/>
            <w:noWrap w:val="0"/>
            <w:vAlign w:val="center"/>
          </w:tcPr>
          <w:p>
            <w:pPr>
              <w:autoSpaceDE w:val="0"/>
              <w:autoSpaceDN w:val="0"/>
              <w:adjustRightInd w:val="0"/>
              <w:rPr>
                <w:rFonts w:hint="eastAsia" w:ascii="宋体" w:hAnsi="宋体"/>
                <w:kern w:val="0"/>
                <w:sz w:val="24"/>
                <w:szCs w:val="24"/>
              </w:rPr>
            </w:pPr>
          </w:p>
        </w:tc>
        <w:tc>
          <w:tcPr>
            <w:tcW w:w="1109" w:type="dxa"/>
            <w:noWrap w:val="0"/>
            <w:vAlign w:val="center"/>
          </w:tcPr>
          <w:p>
            <w:pPr>
              <w:autoSpaceDE w:val="0"/>
              <w:autoSpaceDN w:val="0"/>
              <w:adjustRightInd w:val="0"/>
              <w:rPr>
                <w:rFonts w:hint="eastAsia" w:ascii="宋体" w:hAnsi="宋体"/>
                <w:kern w:val="0"/>
                <w:sz w:val="24"/>
                <w:szCs w:val="24"/>
              </w:rPr>
            </w:pPr>
          </w:p>
        </w:tc>
        <w:tc>
          <w:tcPr>
            <w:tcW w:w="1442" w:type="dxa"/>
            <w:noWrap w:val="0"/>
            <w:vAlign w:val="center"/>
          </w:tcPr>
          <w:p>
            <w:pPr>
              <w:autoSpaceDE w:val="0"/>
              <w:autoSpaceDN w:val="0"/>
              <w:adjustRightInd w:val="0"/>
              <w:rPr>
                <w:rFonts w:hint="eastAsia" w:ascii="宋体" w:hAnsi="宋体"/>
                <w:kern w:val="0"/>
                <w:sz w:val="24"/>
                <w:szCs w:val="24"/>
              </w:rPr>
            </w:pPr>
          </w:p>
        </w:tc>
        <w:tc>
          <w:tcPr>
            <w:tcW w:w="1030" w:type="dxa"/>
            <w:noWrap w:val="0"/>
            <w:vAlign w:val="center"/>
          </w:tcPr>
          <w:p>
            <w:pPr>
              <w:autoSpaceDE w:val="0"/>
              <w:autoSpaceDN w:val="0"/>
              <w:adjustRightInd w:val="0"/>
              <w:rPr>
                <w:rFonts w:hint="eastAsia" w:ascii="宋体" w:hAnsi="宋体"/>
                <w:kern w:val="0"/>
                <w:sz w:val="24"/>
                <w:szCs w:val="24"/>
              </w:rPr>
            </w:pPr>
          </w:p>
        </w:tc>
      </w:tr>
    </w:tbl>
    <w:p>
      <w:pPr>
        <w:adjustRightInd w:val="0"/>
        <w:snapToGrid w:val="0"/>
        <w:spacing w:line="360" w:lineRule="auto"/>
        <w:rPr>
          <w:rFonts w:hint="eastAsia" w:ascii="宋体" w:hAnsi="宋体"/>
          <w:sz w:val="24"/>
        </w:rPr>
      </w:pPr>
      <w:r>
        <w:rPr>
          <w:rFonts w:hint="eastAsia" w:ascii="宋体" w:hAnsi="宋体"/>
          <w:b/>
          <w:kern w:val="0"/>
          <w:sz w:val="24"/>
          <w:szCs w:val="24"/>
        </w:rPr>
        <w:t>注：本表后附对应的业绩详细情况表及评分办法中要求的证明材料。</w:t>
      </w:r>
    </w:p>
    <w:p>
      <w:pPr>
        <w:adjustRightInd w:val="0"/>
        <w:snapToGrid w:val="0"/>
        <w:spacing w:line="360" w:lineRule="auto"/>
        <w:jc w:val="center"/>
        <w:rPr>
          <w:rFonts w:hint="eastAsia" w:ascii="宋体" w:hAnsi="宋体"/>
          <w:b/>
          <w:sz w:val="24"/>
        </w:rPr>
      </w:pPr>
    </w:p>
    <w:p>
      <w:pPr>
        <w:adjustRightInd w:val="0"/>
        <w:snapToGrid w:val="0"/>
        <w:spacing w:line="360" w:lineRule="auto"/>
        <w:jc w:val="center"/>
        <w:rPr>
          <w:rFonts w:hint="eastAsia" w:ascii="宋体" w:hAnsi="宋体"/>
          <w:b/>
          <w:sz w:val="24"/>
        </w:rPr>
      </w:pPr>
      <w:r>
        <w:rPr>
          <w:rFonts w:hint="eastAsia" w:ascii="宋体" w:hAnsi="宋体"/>
          <w:b/>
          <w:sz w:val="24"/>
        </w:rPr>
        <w:t>（二）201_年_月以来业绩详细情况表</w:t>
      </w:r>
    </w:p>
    <w:tbl>
      <w:tblPr>
        <w:tblStyle w:val="88"/>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3031"/>
        <w:gridCol w:w="621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序号</w:t>
            </w:r>
          </w:p>
        </w:tc>
        <w:tc>
          <w:tcPr>
            <w:tcW w:w="6211" w:type="dxa"/>
            <w:noWrap w:val="0"/>
            <w:vAlign w:val="center"/>
          </w:tcPr>
          <w:p>
            <w:pPr>
              <w:widowControl/>
              <w:jc w:val="center"/>
              <w:rPr>
                <w:rFonts w:hint="eastAsia" w:ascii="宋体" w:hAnsi="宋体"/>
                <w:sz w:val="24"/>
                <w:szCs w:val="24"/>
              </w:rPr>
            </w:pPr>
            <w:r>
              <w:rPr>
                <w:rFonts w:hint="eastAsia" w:ascii="宋体" w:hAnsi="宋体"/>
                <w:sz w:val="24"/>
                <w:szCs w:val="24"/>
              </w:rPr>
              <w:t>（对应业绩汇总表中的序号）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项目名称</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项目所在地</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甲方（买方）名称</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甲方（买方）地址</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甲方（买方）联系人姓名</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甲方（买方）联系人职务</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甲方（买方）联系人电话</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合同内容</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合同价格</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签订日期</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23" w:hRule="atLeast"/>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项目描述</w:t>
            </w:r>
          </w:p>
        </w:tc>
        <w:tc>
          <w:tcPr>
            <w:tcW w:w="6211" w:type="dxa"/>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3031" w:type="dxa"/>
            <w:noWrap w:val="0"/>
            <w:vAlign w:val="center"/>
          </w:tcPr>
          <w:p>
            <w:pPr>
              <w:widowControl/>
              <w:jc w:val="left"/>
              <w:rPr>
                <w:rFonts w:hint="eastAsia" w:ascii="宋体" w:hAnsi="宋体"/>
                <w:b/>
                <w:sz w:val="24"/>
                <w:szCs w:val="24"/>
              </w:rPr>
            </w:pPr>
            <w:r>
              <w:rPr>
                <w:rFonts w:hint="eastAsia" w:ascii="宋体" w:hAnsi="宋体"/>
                <w:b/>
                <w:sz w:val="24"/>
                <w:szCs w:val="24"/>
              </w:rPr>
              <w:t>备注</w:t>
            </w:r>
          </w:p>
        </w:tc>
        <w:tc>
          <w:tcPr>
            <w:tcW w:w="6211" w:type="dxa"/>
            <w:noWrap w:val="0"/>
            <w:vAlign w:val="center"/>
          </w:tcPr>
          <w:p>
            <w:pPr>
              <w:widowControl/>
              <w:jc w:val="center"/>
              <w:rPr>
                <w:rFonts w:hint="eastAsia" w:ascii="宋体" w:hAnsi="宋体"/>
                <w:sz w:val="24"/>
                <w:szCs w:val="24"/>
              </w:rPr>
            </w:pPr>
          </w:p>
        </w:tc>
      </w:tr>
    </w:tbl>
    <w:p>
      <w:pPr>
        <w:adjustRightInd w:val="0"/>
        <w:snapToGrid w:val="0"/>
        <w:spacing w:line="360" w:lineRule="auto"/>
        <w:rPr>
          <w:rFonts w:hint="eastAsia" w:ascii="宋体" w:hAnsi="宋体"/>
          <w:sz w:val="24"/>
        </w:rPr>
      </w:pPr>
      <w:r>
        <w:rPr>
          <w:rFonts w:hint="eastAsia" w:ascii="宋体" w:hAnsi="宋体"/>
          <w:b/>
          <w:sz w:val="24"/>
          <w:szCs w:val="24"/>
        </w:rPr>
        <w:t>注：本表后附对应的证明材料，具体内容见评分办法。</w:t>
      </w:r>
    </w:p>
    <w:p>
      <w:pPr>
        <w:pStyle w:val="45"/>
        <w:adjustRightInd w:val="0"/>
        <w:snapToGrid w:val="0"/>
        <w:spacing w:line="360" w:lineRule="auto"/>
        <w:jc w:val="center"/>
        <w:outlineLvl w:val="1"/>
        <w:rPr>
          <w:rFonts w:hint="eastAsia" w:hAnsi="宋体"/>
          <w:b/>
          <w:bCs/>
          <w:sz w:val="28"/>
          <w:szCs w:val="28"/>
        </w:rPr>
      </w:pPr>
      <w:r>
        <w:rPr>
          <w:rFonts w:hint="eastAsia" w:hAnsi="宋体"/>
          <w:b/>
          <w:kern w:val="0"/>
          <w:sz w:val="30"/>
          <w:szCs w:val="30"/>
        </w:rPr>
        <w:br w:type="page"/>
      </w:r>
      <w:bookmarkStart w:id="109" w:name="_Toc83910209"/>
      <w:r>
        <w:rPr>
          <w:rFonts w:hint="eastAsia" w:hAnsi="宋体"/>
          <w:b/>
          <w:bCs/>
          <w:sz w:val="28"/>
          <w:szCs w:val="28"/>
        </w:rPr>
        <w:t>格式五：商务/技术偏离表</w:t>
      </w:r>
      <w:bookmarkEnd w:id="109"/>
    </w:p>
    <w:tbl>
      <w:tblPr>
        <w:tblStyle w:val="88"/>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800"/>
        <w:gridCol w:w="147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djustRightInd w:val="0"/>
              <w:snapToGrid w:val="0"/>
              <w:jc w:val="center"/>
              <w:rPr>
                <w:rFonts w:hint="eastAsia" w:ascii="宋体" w:hAnsi="宋体"/>
                <w:b/>
                <w:sz w:val="24"/>
              </w:rPr>
            </w:pPr>
            <w:r>
              <w:rPr>
                <w:rFonts w:hint="eastAsia" w:ascii="宋体" w:hAnsi="宋体"/>
                <w:b/>
                <w:sz w:val="24"/>
              </w:rPr>
              <w:t>序号</w:t>
            </w:r>
          </w:p>
        </w:tc>
        <w:tc>
          <w:tcPr>
            <w:tcW w:w="2693" w:type="dxa"/>
            <w:noWrap w:val="0"/>
            <w:vAlign w:val="center"/>
          </w:tcPr>
          <w:p>
            <w:pPr>
              <w:adjustRightInd w:val="0"/>
              <w:snapToGrid w:val="0"/>
              <w:jc w:val="center"/>
              <w:rPr>
                <w:rFonts w:hint="eastAsia" w:ascii="宋体" w:hAnsi="宋体"/>
                <w:b/>
                <w:sz w:val="24"/>
              </w:rPr>
            </w:pPr>
            <w:r>
              <w:rPr>
                <w:rFonts w:hint="eastAsia" w:ascii="宋体" w:hAnsi="宋体"/>
                <w:b/>
                <w:sz w:val="24"/>
              </w:rPr>
              <w:t>招标文件要求</w:t>
            </w:r>
          </w:p>
        </w:tc>
        <w:tc>
          <w:tcPr>
            <w:tcW w:w="2593" w:type="dxa"/>
            <w:noWrap w:val="0"/>
            <w:vAlign w:val="center"/>
          </w:tcPr>
          <w:p>
            <w:pPr>
              <w:adjustRightInd w:val="0"/>
              <w:snapToGrid w:val="0"/>
              <w:jc w:val="center"/>
              <w:rPr>
                <w:rFonts w:hint="eastAsia" w:ascii="宋体" w:hAnsi="宋体"/>
                <w:b/>
                <w:sz w:val="24"/>
              </w:rPr>
            </w:pPr>
            <w:r>
              <w:rPr>
                <w:rFonts w:hint="eastAsia" w:ascii="宋体" w:hAnsi="宋体"/>
                <w:b/>
                <w:sz w:val="24"/>
              </w:rPr>
              <w:t>投标文件响应</w:t>
            </w:r>
          </w:p>
        </w:tc>
        <w:tc>
          <w:tcPr>
            <w:tcW w:w="1800" w:type="dxa"/>
            <w:noWrap w:val="0"/>
            <w:vAlign w:val="center"/>
          </w:tcPr>
          <w:p>
            <w:pPr>
              <w:adjustRightInd w:val="0"/>
              <w:snapToGrid w:val="0"/>
              <w:jc w:val="center"/>
              <w:rPr>
                <w:rFonts w:hint="eastAsia" w:ascii="宋体" w:hAnsi="宋体"/>
                <w:b/>
                <w:sz w:val="24"/>
              </w:rPr>
            </w:pPr>
            <w:r>
              <w:rPr>
                <w:rFonts w:hint="eastAsia" w:ascii="宋体" w:hAnsi="宋体"/>
                <w:b/>
                <w:sz w:val="24"/>
              </w:rPr>
              <w:t>正/负/无偏离</w:t>
            </w:r>
          </w:p>
        </w:tc>
        <w:tc>
          <w:tcPr>
            <w:tcW w:w="1479" w:type="dxa"/>
            <w:noWrap w:val="0"/>
            <w:vAlign w:val="center"/>
          </w:tcPr>
          <w:p>
            <w:pPr>
              <w:adjustRightInd w:val="0"/>
              <w:snapToGrid w:val="0"/>
              <w:jc w:val="center"/>
              <w:rPr>
                <w:rFonts w:hint="eastAsia" w:ascii="宋体" w:hAnsi="宋体"/>
                <w:b/>
                <w:sz w:val="24"/>
              </w:rPr>
            </w:pPr>
            <w:r>
              <w:rPr>
                <w:rFonts w:hint="eastAsia" w:ascii="宋体" w:hAnsi="宋体"/>
                <w:b/>
                <w:sz w:val="24"/>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1</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2</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3</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7" w:type="dxa"/>
            <w:noWrap w:val="0"/>
            <w:vAlign w:val="center"/>
          </w:tcPr>
          <w:p>
            <w:pPr>
              <w:adjustRightInd w:val="0"/>
              <w:snapToGrid w:val="0"/>
              <w:jc w:val="center"/>
              <w:rPr>
                <w:rFonts w:hint="eastAsia" w:ascii="宋体" w:hAnsi="宋体"/>
                <w:sz w:val="24"/>
              </w:rPr>
            </w:pPr>
            <w:r>
              <w:rPr>
                <w:rFonts w:hint="eastAsia" w:ascii="宋体" w:hAnsi="宋体"/>
                <w:kern w:val="0"/>
                <w:sz w:val="24"/>
                <w:szCs w:val="24"/>
              </w:rPr>
              <w:t>…</w:t>
            </w:r>
          </w:p>
        </w:tc>
        <w:tc>
          <w:tcPr>
            <w:tcW w:w="2693" w:type="dxa"/>
            <w:noWrap w:val="0"/>
            <w:vAlign w:val="center"/>
          </w:tcPr>
          <w:p>
            <w:pPr>
              <w:adjustRightInd w:val="0"/>
              <w:snapToGrid w:val="0"/>
              <w:jc w:val="center"/>
              <w:rPr>
                <w:rFonts w:hint="eastAsia" w:ascii="宋体" w:hAnsi="宋体"/>
                <w:sz w:val="24"/>
              </w:rPr>
            </w:pPr>
          </w:p>
        </w:tc>
        <w:tc>
          <w:tcPr>
            <w:tcW w:w="2593" w:type="dxa"/>
            <w:noWrap w:val="0"/>
            <w:vAlign w:val="center"/>
          </w:tcPr>
          <w:p>
            <w:pPr>
              <w:adjustRightInd w:val="0"/>
              <w:snapToGrid w:val="0"/>
              <w:jc w:val="center"/>
              <w:rPr>
                <w:rFonts w:hint="eastAsia" w:ascii="宋体" w:hAnsi="宋体"/>
                <w:sz w:val="24"/>
              </w:rPr>
            </w:pPr>
          </w:p>
        </w:tc>
        <w:tc>
          <w:tcPr>
            <w:tcW w:w="1800" w:type="dxa"/>
            <w:noWrap w:val="0"/>
            <w:vAlign w:val="center"/>
          </w:tcPr>
          <w:p>
            <w:pPr>
              <w:adjustRightInd w:val="0"/>
              <w:snapToGrid w:val="0"/>
              <w:jc w:val="center"/>
              <w:rPr>
                <w:rFonts w:hint="eastAsia" w:ascii="宋体" w:hAnsi="宋体"/>
                <w:sz w:val="24"/>
              </w:rPr>
            </w:pPr>
          </w:p>
        </w:tc>
        <w:tc>
          <w:tcPr>
            <w:tcW w:w="1479" w:type="dxa"/>
            <w:noWrap w:val="0"/>
            <w:vAlign w:val="center"/>
          </w:tcPr>
          <w:p>
            <w:pPr>
              <w:adjustRightInd w:val="0"/>
              <w:snapToGrid w:val="0"/>
              <w:jc w:val="center"/>
              <w:rPr>
                <w:rFonts w:hint="eastAsia" w:ascii="宋体" w:hAnsi="宋体"/>
                <w:sz w:val="24"/>
              </w:rPr>
            </w:pPr>
          </w:p>
        </w:tc>
      </w:tr>
    </w:tbl>
    <w:p>
      <w:pPr>
        <w:autoSpaceDE w:val="0"/>
        <w:autoSpaceDN w:val="0"/>
        <w:adjustRightInd w:val="0"/>
        <w:spacing w:line="360" w:lineRule="auto"/>
        <w:ind w:firstLine="5160" w:firstLineChars="2150"/>
        <w:rPr>
          <w:rFonts w:hint="eastAsia" w:ascii="宋体" w:hAnsi="宋体" w:cs="仿宋_GB2312"/>
          <w:kern w:val="0"/>
          <w:sz w:val="24"/>
          <w:lang w:val="zh-CN"/>
        </w:rPr>
      </w:pPr>
    </w:p>
    <w:p>
      <w:pPr>
        <w:adjustRightInd w:val="0"/>
        <w:snapToGrid w:val="0"/>
        <w:spacing w:line="360" w:lineRule="auto"/>
        <w:rPr>
          <w:rFonts w:hint="eastAsia" w:ascii="宋体" w:hAnsi="宋体" w:cs="宋体"/>
          <w:b/>
          <w:kern w:val="0"/>
          <w:sz w:val="24"/>
          <w:lang w:val="zh-CN"/>
        </w:rPr>
      </w:pPr>
      <w:r>
        <w:rPr>
          <w:rFonts w:hint="eastAsia" w:ascii="宋体" w:hAnsi="宋体" w:cs="宋体"/>
          <w:b/>
          <w:kern w:val="0"/>
          <w:sz w:val="24"/>
          <w:lang w:val="zh-CN"/>
        </w:rPr>
        <w:t>注：</w:t>
      </w:r>
    </w:p>
    <w:p>
      <w:pPr>
        <w:adjustRightInd w:val="0"/>
        <w:snapToGrid w:val="0"/>
        <w:spacing w:line="360" w:lineRule="auto"/>
        <w:rPr>
          <w:rFonts w:hint="eastAsia" w:ascii="宋体" w:hAnsi="宋体" w:cs="宋体"/>
          <w:b/>
          <w:kern w:val="0"/>
          <w:sz w:val="24"/>
          <w:lang w:val="zh-CN"/>
        </w:rPr>
      </w:pPr>
      <w:r>
        <w:rPr>
          <w:rFonts w:hint="eastAsia" w:ascii="宋体" w:hAnsi="宋体" w:cs="宋体"/>
          <w:b/>
          <w:kern w:val="0"/>
          <w:sz w:val="24"/>
          <w:lang w:val="zh-CN"/>
        </w:rPr>
        <w:t>1、“商务偏离”是指对“商务部分”中条款（项目完成时间、付款方式等）的偏离，“技术偏离”是指对“第三部分  项目技术及服务要求”中条款的偏离。本表仅在有偏离时填写，注明是正/负</w:t>
      </w:r>
      <w:r>
        <w:rPr>
          <w:rFonts w:hint="eastAsia" w:ascii="宋体" w:hAnsi="宋体"/>
          <w:b/>
          <w:sz w:val="24"/>
        </w:rPr>
        <w:t>/无</w:t>
      </w:r>
      <w:r>
        <w:rPr>
          <w:rFonts w:hint="eastAsia" w:ascii="宋体" w:hAnsi="宋体" w:cs="宋体"/>
          <w:b/>
          <w:kern w:val="0"/>
          <w:sz w:val="24"/>
          <w:lang w:val="zh-CN"/>
        </w:rPr>
        <w:t>偏离，并说明理由。“投标文件响应”复制“招标文件要求”内容，未填写视为无偏离。</w:t>
      </w:r>
    </w:p>
    <w:p>
      <w:pPr>
        <w:adjustRightInd w:val="0"/>
        <w:snapToGrid w:val="0"/>
        <w:spacing w:line="360" w:lineRule="auto"/>
        <w:rPr>
          <w:rFonts w:hint="eastAsia" w:ascii="宋体" w:hAnsi="宋体" w:cs="宋体"/>
          <w:kern w:val="0"/>
          <w:sz w:val="24"/>
          <w:lang w:val="zh-CN"/>
        </w:rPr>
      </w:pPr>
    </w:p>
    <w:p>
      <w:pPr>
        <w:adjustRightInd w:val="0"/>
        <w:snapToGrid w:val="0"/>
        <w:spacing w:line="360" w:lineRule="auto"/>
        <w:rPr>
          <w:rFonts w:hint="eastAsia" w:ascii="宋体" w:hAnsi="宋体" w:cs="宋体"/>
          <w:kern w:val="0"/>
          <w:sz w:val="24"/>
        </w:rPr>
      </w:pPr>
    </w:p>
    <w:p>
      <w:pPr>
        <w:adjustRightInd w:val="0"/>
        <w:snapToGrid w:val="0"/>
        <w:spacing w:line="360" w:lineRule="auto"/>
        <w:rPr>
          <w:rFonts w:hint="eastAsia" w:ascii="宋体" w:hAnsi="宋体" w:cs="宋体"/>
          <w:kern w:val="0"/>
          <w:sz w:val="24"/>
          <w:u w:val="single"/>
          <w:lang w:val="zh-CN"/>
        </w:rPr>
      </w:pPr>
      <w:r>
        <w:rPr>
          <w:rFonts w:hint="eastAsia" w:ascii="宋体" w:hAnsi="宋体" w:cs="宋体"/>
          <w:kern w:val="0"/>
          <w:sz w:val="24"/>
          <w:lang w:val="zh-CN"/>
        </w:rPr>
        <w:t>投标人全称（盖单位公章或CA章）：</w:t>
      </w:r>
      <w:r>
        <w:rPr>
          <w:rFonts w:hint="eastAsia" w:ascii="宋体" w:hAnsi="宋体" w:cs="宋体"/>
          <w:kern w:val="0"/>
          <w:sz w:val="24"/>
          <w:u w:val="single"/>
          <w:lang w:val="zh-CN"/>
        </w:rPr>
        <w:t xml:space="preserve">         </w:t>
      </w:r>
    </w:p>
    <w:p>
      <w:pPr>
        <w:adjustRightInd w:val="0"/>
        <w:snapToGrid w:val="0"/>
        <w:spacing w:line="360" w:lineRule="auto"/>
        <w:rPr>
          <w:rFonts w:hint="eastAsia" w:ascii="宋体" w:hAnsi="宋体" w:cs="宋体"/>
          <w:kern w:val="0"/>
          <w:sz w:val="24"/>
          <w:u w:val="single"/>
        </w:rPr>
      </w:pPr>
      <w:r>
        <w:rPr>
          <w:rFonts w:hint="eastAsia" w:ascii="宋体" w:hAnsi="宋体" w:cs="宋体"/>
          <w:kern w:val="0"/>
          <w:sz w:val="24"/>
          <w:lang w:val="zh-CN"/>
        </w:rPr>
        <w:t>日</w:t>
      </w:r>
      <w:r>
        <w:rPr>
          <w:rFonts w:hint="eastAsia" w:ascii="宋体" w:hAnsi="宋体" w:cs="宋体"/>
          <w:kern w:val="0"/>
          <w:sz w:val="24"/>
        </w:rPr>
        <w:t xml:space="preserve">    </w:t>
      </w:r>
      <w:r>
        <w:rPr>
          <w:rFonts w:hint="eastAsia" w:ascii="宋体" w:hAnsi="宋体" w:cs="宋体"/>
          <w:kern w:val="0"/>
          <w:sz w:val="24"/>
          <w:lang w:val="zh-CN"/>
        </w:rPr>
        <w:t>期</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w:t>
      </w:r>
    </w:p>
    <w:p>
      <w:pPr>
        <w:autoSpaceDE w:val="0"/>
        <w:autoSpaceDN w:val="0"/>
        <w:adjustRightInd w:val="0"/>
        <w:spacing w:line="360" w:lineRule="auto"/>
        <w:rPr>
          <w:rFonts w:hint="eastAsia" w:ascii="宋体" w:hAnsi="宋体" w:cs="仿宋_GB2312"/>
          <w:kern w:val="0"/>
          <w:sz w:val="24"/>
        </w:rPr>
      </w:pPr>
    </w:p>
    <w:p>
      <w:pPr>
        <w:pStyle w:val="45"/>
        <w:adjustRightInd w:val="0"/>
        <w:snapToGrid w:val="0"/>
        <w:spacing w:line="360" w:lineRule="auto"/>
        <w:jc w:val="center"/>
        <w:outlineLvl w:val="1"/>
        <w:rPr>
          <w:rFonts w:hint="eastAsia" w:hAnsi="宋体"/>
          <w:b/>
          <w:bCs/>
          <w:sz w:val="28"/>
          <w:szCs w:val="28"/>
        </w:rPr>
      </w:pPr>
      <w:bookmarkStart w:id="110" w:name="_Toc510604627"/>
      <w:r>
        <w:rPr>
          <w:rFonts w:hAnsi="宋体"/>
          <w:b/>
          <w:bCs/>
          <w:sz w:val="28"/>
          <w:szCs w:val="28"/>
        </w:rPr>
        <w:br w:type="page"/>
      </w:r>
      <w:bookmarkStart w:id="111" w:name="_Toc83910210"/>
      <w:r>
        <w:rPr>
          <w:rFonts w:hint="eastAsia" w:hAnsi="宋体"/>
          <w:b/>
          <w:bCs/>
          <w:sz w:val="28"/>
          <w:szCs w:val="28"/>
        </w:rPr>
        <w:t>格式六：</w:t>
      </w:r>
      <w:bookmarkEnd w:id="110"/>
      <w:r>
        <w:rPr>
          <w:rFonts w:hint="eastAsia" w:hAnsi="宋体"/>
          <w:b/>
          <w:bCs/>
          <w:sz w:val="28"/>
          <w:szCs w:val="28"/>
        </w:rPr>
        <w:t>货物清单（不含报价）（货物项目提供，服务项目则不用）</w:t>
      </w:r>
      <w:bookmarkEnd w:id="111"/>
    </w:p>
    <w:p>
      <w:pPr>
        <w:adjustRightInd w:val="0"/>
        <w:snapToGrid w:val="0"/>
        <w:spacing w:line="360" w:lineRule="auto"/>
        <w:ind w:firstLine="482" w:firstLineChars="200"/>
        <w:rPr>
          <w:rFonts w:ascii="宋体" w:hAnsi="宋体"/>
          <w:b/>
          <w:bCs/>
          <w:sz w:val="24"/>
        </w:rPr>
      </w:pPr>
      <w:r>
        <w:rPr>
          <w:rFonts w:hint="eastAsia" w:ascii="宋体" w:hAnsi="宋体"/>
          <w:b/>
          <w:bCs/>
          <w:sz w:val="24"/>
        </w:rPr>
        <w:t>项目名称：</w:t>
      </w:r>
    </w:p>
    <w:p>
      <w:pPr>
        <w:adjustRightInd w:val="0"/>
        <w:snapToGrid w:val="0"/>
        <w:spacing w:line="360" w:lineRule="auto"/>
        <w:ind w:firstLine="482" w:firstLineChars="200"/>
        <w:rPr>
          <w:rFonts w:ascii="宋体" w:hAnsi="宋体"/>
          <w:b/>
          <w:bCs/>
          <w:sz w:val="24"/>
        </w:rPr>
      </w:pPr>
      <w:r>
        <w:rPr>
          <w:rFonts w:hint="eastAsia" w:ascii="宋体" w:hAnsi="宋体"/>
          <w:b/>
          <w:bCs/>
          <w:sz w:val="24"/>
        </w:rPr>
        <w:t>项目编号：</w:t>
      </w:r>
    </w:p>
    <w:p>
      <w:pPr>
        <w:adjustRightInd w:val="0"/>
        <w:snapToGrid w:val="0"/>
        <w:spacing w:line="360" w:lineRule="auto"/>
        <w:ind w:firstLine="482" w:firstLineChars="200"/>
        <w:rPr>
          <w:rFonts w:ascii="宋体" w:hAnsi="宋体"/>
          <w:b/>
          <w:bCs/>
          <w:sz w:val="24"/>
        </w:rPr>
      </w:pPr>
      <w:r>
        <w:rPr>
          <w:rFonts w:hint="eastAsia" w:ascii="宋体" w:hAnsi="宋体"/>
          <w:b/>
          <w:bCs/>
          <w:sz w:val="24"/>
        </w:rPr>
        <w:t>单位：人民币元</w:t>
      </w:r>
    </w:p>
    <w:tbl>
      <w:tblPr>
        <w:tblStyle w:val="88"/>
        <w:tblW w:w="0" w:type="auto"/>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2447"/>
        <w:gridCol w:w="2560"/>
        <w:gridCol w:w="1563"/>
        <w:gridCol w:w="1559"/>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序号</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名称</w:t>
            </w: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hint="eastAsia" w:ascii="宋体" w:hAnsi="宋体"/>
                <w:b/>
                <w:bCs/>
                <w:sz w:val="24"/>
              </w:rPr>
              <w:t>品牌及</w:t>
            </w:r>
            <w:r>
              <w:rPr>
                <w:rFonts w:ascii="宋体" w:hAnsi="宋体"/>
                <w:b/>
                <w:bCs/>
                <w:sz w:val="24"/>
              </w:rPr>
              <w:t>规格型号</w:t>
            </w:r>
          </w:p>
        </w:tc>
        <w:tc>
          <w:tcPr>
            <w:tcW w:w="1563" w:type="dxa"/>
            <w:noWrap w:val="0"/>
            <w:vAlign w:val="top"/>
          </w:tcPr>
          <w:p>
            <w:pPr>
              <w:adjustRightInd w:val="0"/>
              <w:snapToGrid w:val="0"/>
              <w:spacing w:line="360" w:lineRule="auto"/>
              <w:jc w:val="center"/>
              <w:rPr>
                <w:rFonts w:ascii="宋体" w:hAnsi="宋体"/>
                <w:b/>
                <w:bCs/>
                <w:sz w:val="24"/>
              </w:rPr>
            </w:pPr>
            <w:r>
              <w:rPr>
                <w:rFonts w:hint="eastAsia" w:ascii="宋体" w:hAnsi="宋体"/>
                <w:b/>
                <w:bCs/>
                <w:sz w:val="24"/>
              </w:rPr>
              <w:t>产地</w:t>
            </w: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数量</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9129" w:type="dxa"/>
            <w:gridSpan w:val="5"/>
            <w:noWrap w:val="0"/>
            <w:tcMar>
              <w:top w:w="0" w:type="dxa"/>
              <w:left w:w="80" w:type="dxa"/>
              <w:bottom w:w="0" w:type="dxa"/>
              <w:right w:w="0" w:type="dxa"/>
            </w:tcMar>
            <w:vAlign w:val="center"/>
          </w:tcPr>
          <w:p>
            <w:pPr>
              <w:adjustRightInd w:val="0"/>
              <w:snapToGrid w:val="0"/>
              <w:spacing w:line="360" w:lineRule="auto"/>
              <w:jc w:val="left"/>
              <w:rPr>
                <w:rFonts w:ascii="宋体" w:hAnsi="宋体"/>
                <w:b/>
                <w:bCs/>
                <w:sz w:val="24"/>
              </w:rPr>
            </w:pPr>
            <w:r>
              <w:rPr>
                <w:rFonts w:hint="eastAsia" w:ascii="宋体" w:hAnsi="宋体"/>
                <w:b/>
                <w:bCs/>
                <w:sz w:val="24"/>
              </w:rPr>
              <w:t>货物（设备）</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1</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2</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3</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hint="eastAsia" w:ascii="宋体" w:hAnsi="宋体"/>
                <w:sz w:val="24"/>
              </w:rPr>
              <w:t>…</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129" w:type="dxa"/>
            <w:gridSpan w:val="5"/>
            <w:noWrap w:val="0"/>
            <w:tcMar>
              <w:top w:w="0" w:type="dxa"/>
              <w:left w:w="80" w:type="dxa"/>
              <w:bottom w:w="0" w:type="dxa"/>
              <w:right w:w="0" w:type="dxa"/>
            </w:tcMar>
            <w:vAlign w:val="center"/>
          </w:tcPr>
          <w:p>
            <w:pPr>
              <w:adjustRightInd w:val="0"/>
              <w:snapToGrid w:val="0"/>
              <w:spacing w:line="360" w:lineRule="auto"/>
              <w:jc w:val="left"/>
              <w:rPr>
                <w:rFonts w:ascii="宋体" w:hAnsi="宋体"/>
                <w:b/>
                <w:sz w:val="24"/>
              </w:rPr>
            </w:pPr>
            <w:r>
              <w:rPr>
                <w:rFonts w:hint="eastAsia" w:ascii="宋体" w:hAnsi="宋体"/>
                <w:b/>
                <w:sz w:val="24"/>
              </w:rPr>
              <w:t>随货物一同交付的备品备件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1</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2</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ascii="宋体" w:hAnsi="宋体"/>
                <w:b/>
                <w:bCs/>
                <w:sz w:val="24"/>
              </w:rPr>
              <w:t>3</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hint="eastAsia" w:ascii="宋体" w:hAnsi="宋体"/>
                <w:sz w:val="24"/>
              </w:rPr>
              <w:t>…</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129" w:type="dxa"/>
            <w:gridSpan w:val="5"/>
            <w:noWrap w:val="0"/>
            <w:tcMar>
              <w:top w:w="0" w:type="dxa"/>
              <w:left w:w="80" w:type="dxa"/>
              <w:bottom w:w="0" w:type="dxa"/>
              <w:right w:w="0" w:type="dxa"/>
            </w:tcMar>
            <w:vAlign w:val="center"/>
          </w:tcPr>
          <w:p>
            <w:pPr>
              <w:adjustRightInd w:val="0"/>
              <w:snapToGrid w:val="0"/>
              <w:spacing w:line="360" w:lineRule="auto"/>
              <w:rPr>
                <w:rFonts w:ascii="宋体" w:hAnsi="宋体"/>
                <w:b/>
                <w:sz w:val="24"/>
              </w:rPr>
            </w:pPr>
            <w:r>
              <w:rPr>
                <w:rFonts w:hint="eastAsia" w:ascii="宋体" w:hAnsi="宋体"/>
                <w:b/>
                <w:sz w:val="24"/>
              </w:rPr>
              <w:t>其他</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hint="eastAsia" w:ascii="宋体" w:hAnsi="宋体"/>
                <w:sz w:val="24"/>
              </w:rPr>
              <w:t>…</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r>
              <w:rPr>
                <w:rFonts w:hint="eastAsia" w:ascii="宋体" w:hAnsi="宋体"/>
                <w:sz w:val="24"/>
              </w:rPr>
              <w:t>…</w:t>
            </w:r>
          </w:p>
        </w:tc>
        <w:tc>
          <w:tcPr>
            <w:tcW w:w="2447"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2560"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c>
          <w:tcPr>
            <w:tcW w:w="1563" w:type="dxa"/>
            <w:noWrap w:val="0"/>
            <w:vAlign w:val="top"/>
          </w:tcPr>
          <w:p>
            <w:pPr>
              <w:adjustRightInd w:val="0"/>
              <w:snapToGrid w:val="0"/>
              <w:spacing w:line="360" w:lineRule="auto"/>
              <w:jc w:val="center"/>
              <w:rPr>
                <w:rFonts w:ascii="宋体" w:hAnsi="宋体"/>
                <w:sz w:val="24"/>
              </w:rPr>
            </w:pPr>
          </w:p>
        </w:tc>
        <w:tc>
          <w:tcPr>
            <w:tcW w:w="1559" w:type="dxa"/>
            <w:noWrap w:val="0"/>
            <w:tcMar>
              <w:top w:w="0" w:type="dxa"/>
              <w:left w:w="80" w:type="dxa"/>
              <w:bottom w:w="0" w:type="dxa"/>
              <w:right w:w="0" w:type="dxa"/>
            </w:tcMar>
            <w:vAlign w:val="center"/>
          </w:tcPr>
          <w:p>
            <w:pPr>
              <w:adjustRightInd w:val="0"/>
              <w:snapToGrid w:val="0"/>
              <w:spacing w:line="360" w:lineRule="auto"/>
              <w:jc w:val="center"/>
              <w:rPr>
                <w:rFonts w:ascii="宋体" w:hAnsi="宋体"/>
                <w:sz w:val="24"/>
              </w:rPr>
            </w:pPr>
          </w:p>
        </w:tc>
      </w:tr>
    </w:tbl>
    <w:p>
      <w:pPr>
        <w:pStyle w:val="45"/>
        <w:adjustRightInd w:val="0"/>
        <w:snapToGrid w:val="0"/>
        <w:spacing w:line="360" w:lineRule="auto"/>
        <w:jc w:val="center"/>
        <w:outlineLvl w:val="1"/>
        <w:rPr>
          <w:rFonts w:hint="eastAsia" w:hAnsi="宋体"/>
          <w:b/>
          <w:bCs/>
          <w:sz w:val="28"/>
          <w:szCs w:val="28"/>
        </w:rPr>
      </w:pPr>
      <w:r>
        <w:rPr>
          <w:rFonts w:hint="eastAsia" w:hAnsi="宋体"/>
          <w:b/>
          <w:bCs/>
          <w:sz w:val="28"/>
          <w:szCs w:val="28"/>
        </w:rPr>
        <w:br w:type="page"/>
      </w:r>
      <w:bookmarkStart w:id="112" w:name="_Toc83910211"/>
      <w:r>
        <w:rPr>
          <w:rFonts w:hint="eastAsia" w:hAnsi="宋体"/>
          <w:b/>
          <w:bCs/>
          <w:sz w:val="28"/>
          <w:szCs w:val="28"/>
        </w:rPr>
        <w:t>格式七：拟投入本项目的服务团队情况表</w:t>
      </w:r>
      <w:bookmarkEnd w:id="112"/>
    </w:p>
    <w:p>
      <w:pPr>
        <w:adjustRightInd w:val="0"/>
        <w:snapToGrid w:val="0"/>
        <w:spacing w:line="360" w:lineRule="auto"/>
        <w:jc w:val="center"/>
        <w:rPr>
          <w:rFonts w:hint="eastAsia" w:ascii="宋体" w:hAnsi="宋体"/>
          <w:b/>
          <w:sz w:val="24"/>
        </w:rPr>
      </w:pPr>
      <w:r>
        <w:rPr>
          <w:rFonts w:hint="eastAsia" w:ascii="宋体" w:hAnsi="宋体"/>
          <w:b/>
          <w:sz w:val="24"/>
        </w:rPr>
        <w:t>（一）拟投入本项目的服务团队人员汇总表</w:t>
      </w:r>
    </w:p>
    <w:tbl>
      <w:tblPr>
        <w:tblStyle w:val="88"/>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6"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序号</w:t>
            </w:r>
          </w:p>
        </w:tc>
        <w:tc>
          <w:tcPr>
            <w:tcW w:w="1255"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姓名</w:t>
            </w:r>
          </w:p>
        </w:tc>
        <w:tc>
          <w:tcPr>
            <w:tcW w:w="3399"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职称及相关专业认证（或执业资格）情况（如评分需要）</w:t>
            </w:r>
          </w:p>
        </w:tc>
        <w:tc>
          <w:tcPr>
            <w:tcW w:w="1420"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在本单位工作年限</w:t>
            </w:r>
          </w:p>
        </w:tc>
        <w:tc>
          <w:tcPr>
            <w:tcW w:w="1558"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在本项目中拟担任职务</w:t>
            </w:r>
          </w:p>
        </w:tc>
        <w:tc>
          <w:tcPr>
            <w:tcW w:w="1054" w:type="dxa"/>
            <w:noWrap w:val="0"/>
            <w:vAlign w:val="center"/>
          </w:tcPr>
          <w:p>
            <w:pPr>
              <w:autoSpaceDE w:val="0"/>
              <w:autoSpaceDN w:val="0"/>
              <w:adjustRightInd w:val="0"/>
              <w:jc w:val="center"/>
              <w:rPr>
                <w:rFonts w:hint="eastAsia" w:ascii="宋体" w:hAnsi="宋体"/>
                <w:b/>
                <w:kern w:val="0"/>
                <w:sz w:val="24"/>
                <w:szCs w:val="24"/>
              </w:rPr>
            </w:pPr>
            <w:r>
              <w:rPr>
                <w:rFonts w:hint="eastAsia" w:ascii="宋体" w:hAnsi="宋体"/>
                <w:b/>
                <w:kern w:val="0"/>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6"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1</w:t>
            </w:r>
          </w:p>
        </w:tc>
        <w:tc>
          <w:tcPr>
            <w:tcW w:w="1255" w:type="dxa"/>
            <w:noWrap w:val="0"/>
            <w:vAlign w:val="center"/>
          </w:tcPr>
          <w:p>
            <w:pPr>
              <w:autoSpaceDE w:val="0"/>
              <w:autoSpaceDN w:val="0"/>
              <w:adjustRightInd w:val="0"/>
              <w:rPr>
                <w:rFonts w:hint="eastAsia" w:ascii="宋体" w:hAnsi="宋体"/>
                <w:kern w:val="0"/>
                <w:sz w:val="24"/>
                <w:szCs w:val="24"/>
              </w:rPr>
            </w:pPr>
          </w:p>
        </w:tc>
        <w:tc>
          <w:tcPr>
            <w:tcW w:w="3399" w:type="dxa"/>
            <w:noWrap w:val="0"/>
            <w:vAlign w:val="center"/>
          </w:tcPr>
          <w:p>
            <w:pPr>
              <w:autoSpaceDE w:val="0"/>
              <w:autoSpaceDN w:val="0"/>
              <w:adjustRightInd w:val="0"/>
              <w:rPr>
                <w:rFonts w:hint="eastAsia" w:ascii="宋体" w:hAnsi="宋体"/>
                <w:kern w:val="0"/>
                <w:sz w:val="24"/>
                <w:szCs w:val="24"/>
              </w:rPr>
            </w:pPr>
          </w:p>
        </w:tc>
        <w:tc>
          <w:tcPr>
            <w:tcW w:w="1420" w:type="dxa"/>
            <w:noWrap w:val="0"/>
            <w:vAlign w:val="center"/>
          </w:tcPr>
          <w:p>
            <w:pPr>
              <w:autoSpaceDE w:val="0"/>
              <w:autoSpaceDN w:val="0"/>
              <w:adjustRightInd w:val="0"/>
              <w:rPr>
                <w:rFonts w:hint="eastAsia" w:ascii="宋体" w:hAnsi="宋体"/>
                <w:kern w:val="0"/>
                <w:sz w:val="24"/>
                <w:szCs w:val="24"/>
              </w:rPr>
            </w:pPr>
          </w:p>
        </w:tc>
        <w:tc>
          <w:tcPr>
            <w:tcW w:w="1558" w:type="dxa"/>
            <w:noWrap w:val="0"/>
            <w:vAlign w:val="center"/>
          </w:tcPr>
          <w:p>
            <w:pPr>
              <w:autoSpaceDE w:val="0"/>
              <w:autoSpaceDN w:val="0"/>
              <w:adjustRightInd w:val="0"/>
              <w:rPr>
                <w:rFonts w:hint="eastAsia" w:ascii="宋体" w:hAnsi="宋体"/>
                <w:kern w:val="0"/>
                <w:sz w:val="24"/>
                <w:szCs w:val="24"/>
              </w:rPr>
            </w:pPr>
            <w:r>
              <w:rPr>
                <w:rFonts w:hint="eastAsia" w:ascii="宋体" w:hAnsi="宋体"/>
                <w:kern w:val="0"/>
                <w:sz w:val="24"/>
                <w:szCs w:val="24"/>
              </w:rPr>
              <w:t>项目负责人</w:t>
            </w:r>
          </w:p>
        </w:tc>
        <w:tc>
          <w:tcPr>
            <w:tcW w:w="1054"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6"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2</w:t>
            </w:r>
          </w:p>
        </w:tc>
        <w:tc>
          <w:tcPr>
            <w:tcW w:w="1255" w:type="dxa"/>
            <w:noWrap w:val="0"/>
            <w:vAlign w:val="center"/>
          </w:tcPr>
          <w:p>
            <w:pPr>
              <w:autoSpaceDE w:val="0"/>
              <w:autoSpaceDN w:val="0"/>
              <w:adjustRightInd w:val="0"/>
              <w:rPr>
                <w:rFonts w:hint="eastAsia" w:ascii="宋体" w:hAnsi="宋体"/>
                <w:kern w:val="0"/>
                <w:sz w:val="24"/>
                <w:szCs w:val="24"/>
              </w:rPr>
            </w:pPr>
          </w:p>
        </w:tc>
        <w:tc>
          <w:tcPr>
            <w:tcW w:w="3399" w:type="dxa"/>
            <w:noWrap w:val="0"/>
            <w:vAlign w:val="center"/>
          </w:tcPr>
          <w:p>
            <w:pPr>
              <w:autoSpaceDE w:val="0"/>
              <w:autoSpaceDN w:val="0"/>
              <w:adjustRightInd w:val="0"/>
              <w:rPr>
                <w:rFonts w:hint="eastAsia" w:ascii="宋体" w:hAnsi="宋体"/>
                <w:kern w:val="0"/>
                <w:sz w:val="24"/>
                <w:szCs w:val="24"/>
              </w:rPr>
            </w:pPr>
          </w:p>
        </w:tc>
        <w:tc>
          <w:tcPr>
            <w:tcW w:w="1420" w:type="dxa"/>
            <w:noWrap w:val="0"/>
            <w:vAlign w:val="center"/>
          </w:tcPr>
          <w:p>
            <w:pPr>
              <w:autoSpaceDE w:val="0"/>
              <w:autoSpaceDN w:val="0"/>
              <w:adjustRightInd w:val="0"/>
              <w:rPr>
                <w:rFonts w:hint="eastAsia" w:ascii="宋体" w:hAnsi="宋体"/>
                <w:kern w:val="0"/>
                <w:sz w:val="24"/>
                <w:szCs w:val="24"/>
              </w:rPr>
            </w:pPr>
          </w:p>
        </w:tc>
        <w:tc>
          <w:tcPr>
            <w:tcW w:w="1558" w:type="dxa"/>
            <w:noWrap w:val="0"/>
            <w:vAlign w:val="center"/>
          </w:tcPr>
          <w:p>
            <w:pPr>
              <w:autoSpaceDE w:val="0"/>
              <w:autoSpaceDN w:val="0"/>
              <w:adjustRightInd w:val="0"/>
              <w:rPr>
                <w:rFonts w:hint="eastAsia" w:ascii="宋体" w:hAnsi="宋体"/>
                <w:kern w:val="0"/>
                <w:sz w:val="24"/>
                <w:szCs w:val="24"/>
              </w:rPr>
            </w:pPr>
          </w:p>
        </w:tc>
        <w:tc>
          <w:tcPr>
            <w:tcW w:w="1054"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6"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3</w:t>
            </w:r>
          </w:p>
        </w:tc>
        <w:tc>
          <w:tcPr>
            <w:tcW w:w="1255" w:type="dxa"/>
            <w:noWrap w:val="0"/>
            <w:vAlign w:val="center"/>
          </w:tcPr>
          <w:p>
            <w:pPr>
              <w:autoSpaceDE w:val="0"/>
              <w:autoSpaceDN w:val="0"/>
              <w:adjustRightInd w:val="0"/>
              <w:rPr>
                <w:rFonts w:hint="eastAsia" w:ascii="宋体" w:hAnsi="宋体"/>
                <w:kern w:val="0"/>
                <w:sz w:val="24"/>
                <w:szCs w:val="24"/>
              </w:rPr>
            </w:pPr>
          </w:p>
        </w:tc>
        <w:tc>
          <w:tcPr>
            <w:tcW w:w="3399" w:type="dxa"/>
            <w:noWrap w:val="0"/>
            <w:vAlign w:val="center"/>
          </w:tcPr>
          <w:p>
            <w:pPr>
              <w:autoSpaceDE w:val="0"/>
              <w:autoSpaceDN w:val="0"/>
              <w:adjustRightInd w:val="0"/>
              <w:rPr>
                <w:rFonts w:hint="eastAsia" w:ascii="宋体" w:hAnsi="宋体"/>
                <w:kern w:val="0"/>
                <w:sz w:val="24"/>
                <w:szCs w:val="24"/>
              </w:rPr>
            </w:pPr>
          </w:p>
        </w:tc>
        <w:tc>
          <w:tcPr>
            <w:tcW w:w="1420" w:type="dxa"/>
            <w:noWrap w:val="0"/>
            <w:vAlign w:val="center"/>
          </w:tcPr>
          <w:p>
            <w:pPr>
              <w:autoSpaceDE w:val="0"/>
              <w:autoSpaceDN w:val="0"/>
              <w:adjustRightInd w:val="0"/>
              <w:rPr>
                <w:rFonts w:hint="eastAsia" w:ascii="宋体" w:hAnsi="宋体"/>
                <w:kern w:val="0"/>
                <w:sz w:val="24"/>
                <w:szCs w:val="24"/>
              </w:rPr>
            </w:pPr>
          </w:p>
        </w:tc>
        <w:tc>
          <w:tcPr>
            <w:tcW w:w="1558" w:type="dxa"/>
            <w:noWrap w:val="0"/>
            <w:vAlign w:val="center"/>
          </w:tcPr>
          <w:p>
            <w:pPr>
              <w:autoSpaceDE w:val="0"/>
              <w:autoSpaceDN w:val="0"/>
              <w:adjustRightInd w:val="0"/>
              <w:rPr>
                <w:rFonts w:hint="eastAsia" w:ascii="宋体" w:hAnsi="宋体"/>
                <w:kern w:val="0"/>
                <w:sz w:val="24"/>
                <w:szCs w:val="24"/>
              </w:rPr>
            </w:pPr>
          </w:p>
        </w:tc>
        <w:tc>
          <w:tcPr>
            <w:tcW w:w="1054"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6" w:type="dxa"/>
            <w:noWrap w:val="0"/>
            <w:vAlign w:val="center"/>
          </w:tcPr>
          <w:p>
            <w:pPr>
              <w:autoSpaceDE w:val="0"/>
              <w:autoSpaceDN w:val="0"/>
              <w:adjustRightInd w:val="0"/>
              <w:jc w:val="center"/>
              <w:rPr>
                <w:rFonts w:hint="eastAsia" w:ascii="宋体" w:hAnsi="宋体"/>
                <w:kern w:val="0"/>
                <w:sz w:val="24"/>
                <w:szCs w:val="24"/>
              </w:rPr>
            </w:pPr>
            <w:r>
              <w:rPr>
                <w:rFonts w:hint="eastAsia" w:ascii="宋体" w:hAnsi="宋体"/>
                <w:kern w:val="0"/>
                <w:sz w:val="24"/>
                <w:szCs w:val="24"/>
              </w:rPr>
              <w:t>…</w:t>
            </w:r>
          </w:p>
        </w:tc>
        <w:tc>
          <w:tcPr>
            <w:tcW w:w="1255" w:type="dxa"/>
            <w:noWrap w:val="0"/>
            <w:vAlign w:val="center"/>
          </w:tcPr>
          <w:p>
            <w:pPr>
              <w:autoSpaceDE w:val="0"/>
              <w:autoSpaceDN w:val="0"/>
              <w:adjustRightInd w:val="0"/>
              <w:rPr>
                <w:rFonts w:hint="eastAsia" w:ascii="宋体" w:hAnsi="宋体"/>
                <w:kern w:val="0"/>
                <w:sz w:val="24"/>
                <w:szCs w:val="24"/>
              </w:rPr>
            </w:pPr>
          </w:p>
        </w:tc>
        <w:tc>
          <w:tcPr>
            <w:tcW w:w="3399" w:type="dxa"/>
            <w:noWrap w:val="0"/>
            <w:vAlign w:val="center"/>
          </w:tcPr>
          <w:p>
            <w:pPr>
              <w:autoSpaceDE w:val="0"/>
              <w:autoSpaceDN w:val="0"/>
              <w:adjustRightInd w:val="0"/>
              <w:rPr>
                <w:rFonts w:hint="eastAsia" w:ascii="宋体" w:hAnsi="宋体"/>
                <w:kern w:val="0"/>
                <w:sz w:val="24"/>
                <w:szCs w:val="24"/>
              </w:rPr>
            </w:pPr>
          </w:p>
        </w:tc>
        <w:tc>
          <w:tcPr>
            <w:tcW w:w="1420" w:type="dxa"/>
            <w:noWrap w:val="0"/>
            <w:vAlign w:val="center"/>
          </w:tcPr>
          <w:p>
            <w:pPr>
              <w:autoSpaceDE w:val="0"/>
              <w:autoSpaceDN w:val="0"/>
              <w:adjustRightInd w:val="0"/>
              <w:rPr>
                <w:rFonts w:hint="eastAsia" w:ascii="宋体" w:hAnsi="宋体"/>
                <w:kern w:val="0"/>
                <w:sz w:val="24"/>
                <w:szCs w:val="24"/>
              </w:rPr>
            </w:pPr>
          </w:p>
        </w:tc>
        <w:tc>
          <w:tcPr>
            <w:tcW w:w="1558" w:type="dxa"/>
            <w:noWrap w:val="0"/>
            <w:vAlign w:val="center"/>
          </w:tcPr>
          <w:p>
            <w:pPr>
              <w:autoSpaceDE w:val="0"/>
              <w:autoSpaceDN w:val="0"/>
              <w:adjustRightInd w:val="0"/>
              <w:rPr>
                <w:rFonts w:hint="eastAsia" w:ascii="宋体" w:hAnsi="宋体"/>
                <w:kern w:val="0"/>
                <w:sz w:val="24"/>
                <w:szCs w:val="24"/>
              </w:rPr>
            </w:pPr>
          </w:p>
        </w:tc>
        <w:tc>
          <w:tcPr>
            <w:tcW w:w="1054" w:type="dxa"/>
            <w:noWrap w:val="0"/>
            <w:vAlign w:val="center"/>
          </w:tcPr>
          <w:p>
            <w:pPr>
              <w:autoSpaceDE w:val="0"/>
              <w:autoSpaceDN w:val="0"/>
              <w:adjustRightInd w:val="0"/>
              <w:rPr>
                <w:rFonts w:hint="eastAsia" w:ascii="宋体" w:hAnsi="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42" w:type="dxa"/>
            <w:gridSpan w:val="6"/>
            <w:noWrap w:val="0"/>
            <w:vAlign w:val="center"/>
          </w:tcPr>
          <w:p>
            <w:pPr>
              <w:autoSpaceDE w:val="0"/>
              <w:autoSpaceDN w:val="0"/>
              <w:adjustRightInd w:val="0"/>
              <w:rPr>
                <w:rFonts w:hint="eastAsia" w:ascii="宋体" w:hAnsi="宋体"/>
                <w:b/>
                <w:kern w:val="0"/>
                <w:sz w:val="24"/>
                <w:szCs w:val="24"/>
              </w:rPr>
            </w:pPr>
            <w:r>
              <w:rPr>
                <w:rFonts w:hint="eastAsia" w:ascii="宋体" w:hAnsi="宋体"/>
                <w:b/>
                <w:kern w:val="0"/>
                <w:sz w:val="24"/>
                <w:szCs w:val="24"/>
              </w:rPr>
              <w:t>其他说明：（如有）</w:t>
            </w:r>
          </w:p>
        </w:tc>
      </w:tr>
    </w:tbl>
    <w:p>
      <w:pPr>
        <w:adjustRightInd w:val="0"/>
        <w:snapToGrid w:val="0"/>
        <w:spacing w:line="360" w:lineRule="auto"/>
        <w:rPr>
          <w:rFonts w:hint="eastAsia" w:ascii="宋体" w:hAnsi="宋体"/>
          <w:sz w:val="24"/>
        </w:rPr>
      </w:pPr>
      <w:r>
        <w:rPr>
          <w:rFonts w:hint="eastAsia" w:ascii="宋体" w:hAnsi="宋体"/>
          <w:b/>
          <w:kern w:val="0"/>
          <w:sz w:val="24"/>
          <w:szCs w:val="24"/>
        </w:rPr>
        <w:t>注：本表后附对应的人员详细情况表及其为投标人正式员工的证明文件（投标人为其缴纳的社保记录或劳务合同等证明文件，其中社保记录可在资格审查材料中勾注，劳务合同可附在对应的人员详细情况表后）。</w:t>
      </w:r>
    </w:p>
    <w:p>
      <w:pPr>
        <w:adjustRightInd w:val="0"/>
        <w:snapToGrid w:val="0"/>
        <w:spacing w:line="360" w:lineRule="auto"/>
        <w:jc w:val="center"/>
        <w:rPr>
          <w:rFonts w:hint="eastAsia" w:ascii="宋体" w:hAnsi="宋体"/>
          <w:b/>
          <w:sz w:val="24"/>
        </w:rPr>
      </w:pPr>
    </w:p>
    <w:p>
      <w:pPr>
        <w:adjustRightInd w:val="0"/>
        <w:snapToGrid w:val="0"/>
        <w:spacing w:line="360" w:lineRule="auto"/>
        <w:jc w:val="center"/>
        <w:rPr>
          <w:rFonts w:hint="eastAsia" w:ascii="宋体" w:hAnsi="宋体"/>
          <w:b/>
          <w:sz w:val="24"/>
        </w:rPr>
      </w:pPr>
      <w:r>
        <w:rPr>
          <w:rFonts w:hint="eastAsia" w:ascii="宋体" w:hAnsi="宋体"/>
          <w:b/>
          <w:sz w:val="24"/>
        </w:rPr>
        <w:t>（二）拟投入本项目的服务团队人员详细情况表</w:t>
      </w:r>
    </w:p>
    <w:tbl>
      <w:tblPr>
        <w:tblStyle w:val="88"/>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682"/>
        <w:gridCol w:w="1981"/>
        <w:gridCol w:w="1701"/>
        <w:gridCol w:w="994"/>
        <w:gridCol w:w="1420"/>
        <w:gridCol w:w="90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序号</w:t>
            </w:r>
          </w:p>
        </w:tc>
        <w:tc>
          <w:tcPr>
            <w:tcW w:w="7005" w:type="dxa"/>
            <w:gridSpan w:val="5"/>
            <w:noWrap w:val="0"/>
            <w:vAlign w:val="center"/>
          </w:tcPr>
          <w:p>
            <w:pPr>
              <w:widowControl/>
              <w:jc w:val="center"/>
              <w:rPr>
                <w:rFonts w:hint="eastAsia" w:ascii="宋体" w:hAnsi="宋体"/>
                <w:b/>
                <w:sz w:val="24"/>
                <w:szCs w:val="24"/>
              </w:rPr>
            </w:pPr>
            <w:r>
              <w:rPr>
                <w:rFonts w:hint="eastAsia" w:ascii="宋体" w:hAnsi="宋体"/>
                <w:sz w:val="24"/>
                <w:szCs w:val="24"/>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6913" w:type="dxa"/>
            <w:gridSpan w:val="5"/>
            <w:tcBorders>
              <w:right w:val="single" w:color="000000" w:sz="4" w:space="0"/>
            </w:tcBorders>
            <w:noWrap w:val="0"/>
            <w:vAlign w:val="center"/>
          </w:tcPr>
          <w:p>
            <w:pPr>
              <w:widowControl/>
              <w:jc w:val="center"/>
              <w:rPr>
                <w:rFonts w:hint="eastAsia" w:ascii="宋体" w:hAnsi="宋体"/>
                <w:sz w:val="24"/>
                <w:szCs w:val="24"/>
              </w:rPr>
            </w:pPr>
            <w:r>
              <w:rPr>
                <w:rFonts w:hint="eastAsia" w:ascii="宋体" w:hAnsi="宋体"/>
                <w:b/>
                <w:sz w:val="24"/>
                <w:szCs w:val="24"/>
              </w:rPr>
              <w:t xml:space="preserve">                   一般情况</w:t>
            </w:r>
          </w:p>
        </w:tc>
        <w:tc>
          <w:tcPr>
            <w:tcW w:w="1420" w:type="dxa"/>
            <w:tcBorders>
              <w:left w:val="single" w:color="000000" w:sz="4" w:space="0"/>
              <w:right w:val="single" w:color="000000" w:sz="4" w:space="0"/>
            </w:tcBorders>
            <w:noWrap w:val="0"/>
            <w:vAlign w:val="center"/>
          </w:tcPr>
          <w:p>
            <w:pPr>
              <w:widowControl/>
              <w:jc w:val="center"/>
              <w:rPr>
                <w:rFonts w:hint="eastAsia" w:ascii="宋体" w:hAnsi="宋体"/>
                <w:b/>
                <w:sz w:val="24"/>
                <w:szCs w:val="24"/>
              </w:rPr>
            </w:pPr>
            <w:r>
              <w:rPr>
                <w:rFonts w:hint="eastAsia" w:ascii="宋体" w:hAnsi="宋体"/>
                <w:b/>
                <w:sz w:val="24"/>
                <w:szCs w:val="24"/>
              </w:rPr>
              <w:t>证明材料</w:t>
            </w:r>
          </w:p>
        </w:tc>
        <w:tc>
          <w:tcPr>
            <w:tcW w:w="909" w:type="dxa"/>
            <w:tcBorders>
              <w:left w:val="single" w:color="000000" w:sz="4" w:space="0"/>
            </w:tcBorders>
            <w:noWrap w:val="0"/>
            <w:vAlign w:val="center"/>
          </w:tcPr>
          <w:p>
            <w:pPr>
              <w:widowControl/>
              <w:jc w:val="center"/>
              <w:rPr>
                <w:rFonts w:hint="eastAsia" w:ascii="宋体" w:hAnsi="宋体"/>
                <w:b/>
                <w:sz w:val="24"/>
                <w:szCs w:val="24"/>
              </w:rPr>
            </w:pPr>
            <w:r>
              <w:rPr>
                <w:rFonts w:hint="eastAsia" w:ascii="宋体" w:hAnsi="宋体"/>
                <w:b/>
                <w:sz w:val="24"/>
                <w:szCs w:val="24"/>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姓名</w:t>
            </w:r>
          </w:p>
        </w:tc>
        <w:tc>
          <w:tcPr>
            <w:tcW w:w="4676" w:type="dxa"/>
            <w:gridSpan w:val="3"/>
            <w:tcBorders>
              <w:right w:val="single" w:color="000000" w:sz="4" w:space="0"/>
            </w:tcBorders>
            <w:noWrap w:val="0"/>
            <w:vAlign w:val="center"/>
          </w:tcPr>
          <w:p>
            <w:pPr>
              <w:widowControl/>
              <w:jc w:val="center"/>
              <w:rPr>
                <w:rFonts w:hint="eastAsia" w:ascii="宋体" w:hAnsi="宋体"/>
                <w:sz w:val="24"/>
                <w:szCs w:val="24"/>
              </w:rPr>
            </w:pPr>
          </w:p>
        </w:tc>
        <w:tc>
          <w:tcPr>
            <w:tcW w:w="1420" w:type="dxa"/>
            <w:vMerge w:val="restart"/>
            <w:tcBorders>
              <w:left w:val="single" w:color="000000" w:sz="4" w:space="0"/>
              <w:right w:val="single" w:color="000000" w:sz="4" w:space="0"/>
            </w:tcBorders>
            <w:noWrap w:val="0"/>
            <w:vAlign w:val="center"/>
          </w:tcPr>
          <w:p>
            <w:pPr>
              <w:widowControl/>
              <w:jc w:val="left"/>
              <w:rPr>
                <w:rFonts w:hint="eastAsia" w:ascii="宋体" w:hAnsi="宋体"/>
                <w:sz w:val="24"/>
                <w:szCs w:val="24"/>
              </w:rPr>
            </w:pPr>
            <w:r>
              <w:rPr>
                <w:rFonts w:hint="eastAsia" w:ascii="宋体" w:hAnsi="宋体"/>
                <w:sz w:val="24"/>
                <w:szCs w:val="24"/>
              </w:rPr>
              <w:t>身份证复制件</w:t>
            </w:r>
          </w:p>
        </w:tc>
        <w:tc>
          <w:tcPr>
            <w:tcW w:w="909" w:type="dxa"/>
            <w:vMerge w:val="restart"/>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年龄</w:t>
            </w:r>
          </w:p>
        </w:tc>
        <w:tc>
          <w:tcPr>
            <w:tcW w:w="4676" w:type="dxa"/>
            <w:gridSpan w:val="3"/>
            <w:tcBorders>
              <w:right w:val="single" w:color="000000" w:sz="4" w:space="0"/>
            </w:tcBorders>
            <w:noWrap w:val="0"/>
            <w:vAlign w:val="center"/>
          </w:tcPr>
          <w:p>
            <w:pPr>
              <w:widowControl/>
              <w:jc w:val="center"/>
              <w:rPr>
                <w:rFonts w:hint="eastAsia" w:ascii="宋体" w:hAnsi="宋体"/>
                <w:sz w:val="24"/>
                <w:szCs w:val="24"/>
              </w:rPr>
            </w:pPr>
          </w:p>
        </w:tc>
        <w:tc>
          <w:tcPr>
            <w:tcW w:w="1420"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c>
          <w:tcPr>
            <w:tcW w:w="909" w:type="dxa"/>
            <w:vMerge w:val="continue"/>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是否为正式员工</w:t>
            </w:r>
          </w:p>
        </w:tc>
        <w:tc>
          <w:tcPr>
            <w:tcW w:w="4676" w:type="dxa"/>
            <w:gridSpan w:val="3"/>
            <w:tcBorders>
              <w:right w:val="single" w:color="000000" w:sz="4" w:space="0"/>
            </w:tcBorders>
            <w:noWrap w:val="0"/>
            <w:vAlign w:val="center"/>
          </w:tcPr>
          <w:p>
            <w:pPr>
              <w:widowControl/>
              <w:jc w:val="center"/>
              <w:rPr>
                <w:rFonts w:hint="eastAsia" w:ascii="宋体" w:hAnsi="宋体"/>
                <w:sz w:val="24"/>
                <w:szCs w:val="24"/>
              </w:rPr>
            </w:pPr>
          </w:p>
        </w:tc>
        <w:tc>
          <w:tcPr>
            <w:tcW w:w="1420" w:type="dxa"/>
            <w:vMerge w:val="restart"/>
            <w:tcBorders>
              <w:left w:val="single" w:color="000000" w:sz="4" w:space="0"/>
              <w:right w:val="single" w:color="000000" w:sz="4" w:space="0"/>
            </w:tcBorders>
            <w:noWrap w:val="0"/>
            <w:vAlign w:val="center"/>
          </w:tcPr>
          <w:p>
            <w:pPr>
              <w:jc w:val="left"/>
              <w:rPr>
                <w:rFonts w:hint="eastAsia" w:ascii="宋体" w:hAnsi="宋体"/>
                <w:sz w:val="24"/>
                <w:szCs w:val="24"/>
              </w:rPr>
            </w:pPr>
            <w:r>
              <w:rPr>
                <w:rFonts w:hint="eastAsia" w:ascii="宋体" w:hAnsi="宋体"/>
                <w:sz w:val="24"/>
                <w:szCs w:val="24"/>
              </w:rPr>
              <w:t>社保记录或劳务合同等</w:t>
            </w:r>
          </w:p>
        </w:tc>
        <w:tc>
          <w:tcPr>
            <w:tcW w:w="909" w:type="dxa"/>
            <w:vMerge w:val="restart"/>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在本单位任职时间</w:t>
            </w:r>
          </w:p>
        </w:tc>
        <w:tc>
          <w:tcPr>
            <w:tcW w:w="4676" w:type="dxa"/>
            <w:gridSpan w:val="3"/>
            <w:tcBorders>
              <w:right w:val="single" w:color="000000" w:sz="4" w:space="0"/>
            </w:tcBorders>
            <w:noWrap w:val="0"/>
            <w:vAlign w:val="center"/>
          </w:tcPr>
          <w:p>
            <w:pPr>
              <w:widowControl/>
              <w:jc w:val="center"/>
              <w:rPr>
                <w:rFonts w:hint="eastAsia" w:ascii="宋体" w:hAnsi="宋体"/>
                <w:sz w:val="24"/>
                <w:szCs w:val="24"/>
              </w:rPr>
            </w:pPr>
          </w:p>
        </w:tc>
        <w:tc>
          <w:tcPr>
            <w:tcW w:w="1420"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c>
          <w:tcPr>
            <w:tcW w:w="909" w:type="dxa"/>
            <w:vMerge w:val="continue"/>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职务（本单位）</w:t>
            </w:r>
          </w:p>
        </w:tc>
        <w:tc>
          <w:tcPr>
            <w:tcW w:w="4676" w:type="dxa"/>
            <w:gridSpan w:val="3"/>
            <w:tcBorders>
              <w:right w:val="single" w:color="000000" w:sz="4" w:space="0"/>
            </w:tcBorders>
            <w:noWrap w:val="0"/>
            <w:vAlign w:val="center"/>
          </w:tcPr>
          <w:p>
            <w:pPr>
              <w:widowControl/>
              <w:jc w:val="center"/>
              <w:rPr>
                <w:rFonts w:hint="eastAsia" w:ascii="宋体" w:hAnsi="宋体"/>
                <w:sz w:val="24"/>
                <w:szCs w:val="24"/>
              </w:rPr>
            </w:pPr>
          </w:p>
        </w:tc>
        <w:tc>
          <w:tcPr>
            <w:tcW w:w="1420" w:type="dxa"/>
            <w:vMerge w:val="restart"/>
            <w:tcBorders>
              <w:left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w:t>
            </w:r>
          </w:p>
        </w:tc>
        <w:tc>
          <w:tcPr>
            <w:tcW w:w="909" w:type="dxa"/>
            <w:vMerge w:val="restart"/>
            <w:tcBorders>
              <w:lef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职务/职责（本项目）</w:t>
            </w:r>
          </w:p>
        </w:tc>
        <w:tc>
          <w:tcPr>
            <w:tcW w:w="4676" w:type="dxa"/>
            <w:gridSpan w:val="3"/>
            <w:tcBorders>
              <w:right w:val="single" w:color="000000" w:sz="4" w:space="0"/>
            </w:tcBorders>
            <w:noWrap w:val="0"/>
            <w:vAlign w:val="center"/>
          </w:tcPr>
          <w:p>
            <w:pPr>
              <w:widowControl/>
              <w:jc w:val="center"/>
              <w:rPr>
                <w:rFonts w:hint="eastAsia" w:ascii="宋体" w:hAnsi="宋体"/>
                <w:sz w:val="24"/>
                <w:szCs w:val="24"/>
              </w:rPr>
            </w:pPr>
          </w:p>
        </w:tc>
        <w:tc>
          <w:tcPr>
            <w:tcW w:w="1420"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09" w:type="dxa"/>
            <w:vMerge w:val="continue"/>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学历</w:t>
            </w:r>
          </w:p>
        </w:tc>
        <w:tc>
          <w:tcPr>
            <w:tcW w:w="4676" w:type="dxa"/>
            <w:gridSpan w:val="3"/>
            <w:tcBorders>
              <w:right w:val="single" w:color="000000" w:sz="4" w:space="0"/>
            </w:tcBorders>
            <w:noWrap w:val="0"/>
            <w:vAlign w:val="center"/>
          </w:tcPr>
          <w:p>
            <w:pPr>
              <w:widowControl/>
              <w:jc w:val="center"/>
              <w:rPr>
                <w:rFonts w:hint="eastAsia" w:ascii="宋体" w:hAnsi="宋体"/>
                <w:sz w:val="24"/>
                <w:szCs w:val="24"/>
              </w:rPr>
            </w:pPr>
          </w:p>
        </w:tc>
        <w:tc>
          <w:tcPr>
            <w:tcW w:w="1420" w:type="dxa"/>
            <w:vMerge w:val="restart"/>
            <w:tcBorders>
              <w:left w:val="single" w:color="000000" w:sz="4" w:space="0"/>
              <w:right w:val="single" w:color="000000" w:sz="4" w:space="0"/>
            </w:tcBorders>
            <w:noWrap w:val="0"/>
            <w:vAlign w:val="center"/>
          </w:tcPr>
          <w:p>
            <w:pPr>
              <w:widowControl/>
              <w:jc w:val="left"/>
              <w:rPr>
                <w:rFonts w:hint="eastAsia" w:ascii="宋体" w:hAnsi="宋体"/>
                <w:sz w:val="24"/>
                <w:szCs w:val="24"/>
              </w:rPr>
            </w:pPr>
            <w:r>
              <w:rPr>
                <w:rFonts w:hint="eastAsia" w:ascii="宋体" w:hAnsi="宋体"/>
                <w:sz w:val="24"/>
                <w:szCs w:val="24"/>
              </w:rPr>
              <w:t>相关证书复制件</w:t>
            </w:r>
          </w:p>
        </w:tc>
        <w:tc>
          <w:tcPr>
            <w:tcW w:w="909" w:type="dxa"/>
            <w:vMerge w:val="restart"/>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2237" w:type="dxa"/>
            <w:gridSpan w:val="2"/>
            <w:noWrap w:val="0"/>
            <w:vAlign w:val="center"/>
          </w:tcPr>
          <w:p>
            <w:pPr>
              <w:widowControl/>
              <w:jc w:val="left"/>
              <w:rPr>
                <w:rFonts w:hint="eastAsia" w:ascii="宋体" w:hAnsi="宋体"/>
                <w:b/>
                <w:sz w:val="24"/>
                <w:szCs w:val="24"/>
              </w:rPr>
            </w:pPr>
            <w:r>
              <w:rPr>
                <w:rFonts w:hint="eastAsia" w:ascii="宋体" w:hAnsi="宋体"/>
                <w:b/>
                <w:sz w:val="24"/>
                <w:szCs w:val="24"/>
              </w:rPr>
              <w:t>职称及相关专业认证（或执业资格）</w:t>
            </w:r>
          </w:p>
        </w:tc>
        <w:tc>
          <w:tcPr>
            <w:tcW w:w="4676" w:type="dxa"/>
            <w:gridSpan w:val="3"/>
            <w:tcBorders>
              <w:right w:val="single" w:color="000000" w:sz="4" w:space="0"/>
            </w:tcBorders>
            <w:noWrap w:val="0"/>
            <w:vAlign w:val="center"/>
          </w:tcPr>
          <w:p>
            <w:pPr>
              <w:widowControl/>
              <w:jc w:val="center"/>
              <w:rPr>
                <w:rFonts w:hint="eastAsia" w:ascii="宋体" w:hAnsi="宋体"/>
                <w:sz w:val="24"/>
                <w:szCs w:val="24"/>
              </w:rPr>
            </w:pPr>
          </w:p>
        </w:tc>
        <w:tc>
          <w:tcPr>
            <w:tcW w:w="1420"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09" w:type="dxa"/>
            <w:vMerge w:val="continue"/>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9242" w:type="dxa"/>
            <w:gridSpan w:val="7"/>
            <w:noWrap w:val="0"/>
            <w:vAlign w:val="center"/>
          </w:tcPr>
          <w:p>
            <w:pPr>
              <w:widowControl/>
              <w:jc w:val="center"/>
              <w:rPr>
                <w:rFonts w:hint="eastAsia" w:ascii="宋体" w:hAnsi="宋体"/>
                <w:b/>
                <w:sz w:val="24"/>
                <w:szCs w:val="24"/>
              </w:rPr>
            </w:pPr>
            <w:r>
              <w:rPr>
                <w:rFonts w:hint="eastAsia" w:ascii="宋体" w:hAnsi="宋体"/>
                <w:b/>
                <w:sz w:val="24"/>
                <w:szCs w:val="24"/>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555" w:type="dxa"/>
            <w:tcBorders>
              <w:right w:val="single" w:color="000000" w:sz="4" w:space="0"/>
            </w:tcBorders>
            <w:noWrap w:val="0"/>
            <w:vAlign w:val="center"/>
          </w:tcPr>
          <w:p>
            <w:pPr>
              <w:widowControl/>
              <w:jc w:val="left"/>
              <w:rPr>
                <w:rFonts w:hint="eastAsia" w:ascii="宋体" w:hAnsi="宋体"/>
                <w:b/>
                <w:sz w:val="24"/>
                <w:szCs w:val="24"/>
              </w:rPr>
            </w:pPr>
            <w:r>
              <w:rPr>
                <w:rFonts w:hint="eastAsia" w:ascii="宋体" w:hAnsi="宋体"/>
                <w:b/>
                <w:sz w:val="24"/>
                <w:szCs w:val="24"/>
              </w:rPr>
              <w:t>序号</w:t>
            </w:r>
          </w:p>
        </w:tc>
        <w:tc>
          <w:tcPr>
            <w:tcW w:w="3663" w:type="dxa"/>
            <w:gridSpan w:val="2"/>
            <w:tcBorders>
              <w:left w:val="single" w:color="000000" w:sz="4" w:space="0"/>
              <w:right w:val="single" w:color="000000" w:sz="4" w:space="0"/>
            </w:tcBorders>
            <w:noWrap w:val="0"/>
            <w:vAlign w:val="center"/>
          </w:tcPr>
          <w:p>
            <w:pPr>
              <w:widowControl/>
              <w:jc w:val="center"/>
              <w:rPr>
                <w:rFonts w:hint="eastAsia" w:ascii="宋体" w:hAnsi="宋体"/>
                <w:b/>
                <w:sz w:val="24"/>
                <w:szCs w:val="24"/>
              </w:rPr>
            </w:pPr>
            <w:r>
              <w:rPr>
                <w:rFonts w:hint="eastAsia" w:ascii="宋体" w:hAnsi="宋体"/>
                <w:b/>
                <w:sz w:val="24"/>
                <w:szCs w:val="24"/>
              </w:rPr>
              <w:t>项目名称</w:t>
            </w:r>
          </w:p>
        </w:tc>
        <w:tc>
          <w:tcPr>
            <w:tcW w:w="1701" w:type="dxa"/>
            <w:tcBorders>
              <w:left w:val="single" w:color="000000" w:sz="4" w:space="0"/>
              <w:right w:val="single" w:color="000000" w:sz="4" w:space="0"/>
            </w:tcBorders>
            <w:noWrap w:val="0"/>
            <w:vAlign w:val="center"/>
          </w:tcPr>
          <w:p>
            <w:pPr>
              <w:widowControl/>
              <w:jc w:val="center"/>
              <w:rPr>
                <w:rFonts w:hint="eastAsia" w:ascii="宋体" w:hAnsi="宋体"/>
                <w:b/>
                <w:sz w:val="24"/>
                <w:szCs w:val="24"/>
              </w:rPr>
            </w:pPr>
            <w:r>
              <w:rPr>
                <w:rFonts w:hint="eastAsia" w:ascii="宋体" w:hAnsi="宋体"/>
                <w:b/>
                <w:sz w:val="24"/>
                <w:szCs w:val="24"/>
              </w:rPr>
              <w:t>合同签订时间</w:t>
            </w:r>
          </w:p>
        </w:tc>
        <w:tc>
          <w:tcPr>
            <w:tcW w:w="994" w:type="dxa"/>
            <w:tcBorders>
              <w:left w:val="single" w:color="000000" w:sz="4" w:space="0"/>
              <w:right w:val="single" w:color="000000" w:sz="4" w:space="0"/>
            </w:tcBorders>
            <w:noWrap w:val="0"/>
            <w:vAlign w:val="center"/>
          </w:tcPr>
          <w:p>
            <w:pPr>
              <w:widowControl/>
              <w:jc w:val="center"/>
              <w:rPr>
                <w:rFonts w:hint="eastAsia" w:ascii="宋体" w:hAnsi="宋体"/>
                <w:b/>
                <w:sz w:val="24"/>
                <w:szCs w:val="24"/>
              </w:rPr>
            </w:pPr>
            <w:r>
              <w:rPr>
                <w:rFonts w:hint="eastAsia" w:ascii="宋体" w:hAnsi="宋体"/>
                <w:b/>
                <w:sz w:val="24"/>
                <w:szCs w:val="24"/>
              </w:rPr>
              <w:t>该项目中任职</w:t>
            </w:r>
          </w:p>
        </w:tc>
        <w:tc>
          <w:tcPr>
            <w:tcW w:w="1420" w:type="dxa"/>
            <w:tcBorders>
              <w:left w:val="single" w:color="000000" w:sz="4" w:space="0"/>
              <w:right w:val="single" w:color="000000" w:sz="4" w:space="0"/>
            </w:tcBorders>
            <w:noWrap w:val="0"/>
            <w:vAlign w:val="center"/>
          </w:tcPr>
          <w:p>
            <w:pPr>
              <w:widowControl/>
              <w:jc w:val="center"/>
              <w:rPr>
                <w:rFonts w:hint="eastAsia" w:ascii="宋体" w:hAnsi="宋体"/>
                <w:b/>
                <w:sz w:val="24"/>
                <w:szCs w:val="24"/>
              </w:rPr>
            </w:pPr>
            <w:r>
              <w:rPr>
                <w:rFonts w:hint="eastAsia" w:ascii="宋体" w:hAnsi="宋体"/>
                <w:b/>
                <w:sz w:val="24"/>
                <w:szCs w:val="24"/>
              </w:rPr>
              <w:t>证明材料</w:t>
            </w:r>
          </w:p>
        </w:tc>
        <w:tc>
          <w:tcPr>
            <w:tcW w:w="909" w:type="dxa"/>
            <w:tcBorders>
              <w:left w:val="single" w:color="000000" w:sz="4" w:space="0"/>
            </w:tcBorders>
            <w:noWrap w:val="0"/>
            <w:vAlign w:val="center"/>
          </w:tcPr>
          <w:p>
            <w:pPr>
              <w:widowControl/>
              <w:jc w:val="center"/>
              <w:rPr>
                <w:rFonts w:hint="eastAsia" w:ascii="宋体" w:hAnsi="宋体"/>
                <w:b/>
                <w:sz w:val="24"/>
                <w:szCs w:val="24"/>
              </w:rPr>
            </w:pPr>
            <w:r>
              <w:rPr>
                <w:rFonts w:hint="eastAsia" w:ascii="宋体" w:hAnsi="宋体"/>
                <w:b/>
                <w:sz w:val="24"/>
                <w:szCs w:val="24"/>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555" w:type="dxa"/>
            <w:tcBorders>
              <w:right w:val="single" w:color="000000" w:sz="4" w:space="0"/>
            </w:tcBorders>
            <w:noWrap w:val="0"/>
            <w:vAlign w:val="center"/>
          </w:tcPr>
          <w:p>
            <w:pPr>
              <w:widowControl/>
              <w:jc w:val="left"/>
              <w:rPr>
                <w:rFonts w:hint="eastAsia" w:ascii="宋体" w:hAnsi="宋体"/>
                <w:b/>
                <w:sz w:val="24"/>
                <w:szCs w:val="24"/>
              </w:rPr>
            </w:pPr>
          </w:p>
        </w:tc>
        <w:tc>
          <w:tcPr>
            <w:tcW w:w="3663" w:type="dxa"/>
            <w:gridSpan w:val="2"/>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701"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94"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420" w:type="dxa"/>
            <w:vMerge w:val="restart"/>
            <w:tcBorders>
              <w:left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按评分办法要求提供合同复制件等</w:t>
            </w:r>
          </w:p>
        </w:tc>
        <w:tc>
          <w:tcPr>
            <w:tcW w:w="909" w:type="dxa"/>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555" w:type="dxa"/>
            <w:tcBorders>
              <w:right w:val="single" w:color="000000" w:sz="4" w:space="0"/>
            </w:tcBorders>
            <w:noWrap w:val="0"/>
            <w:vAlign w:val="center"/>
          </w:tcPr>
          <w:p>
            <w:pPr>
              <w:widowControl/>
              <w:jc w:val="left"/>
              <w:rPr>
                <w:rFonts w:hint="eastAsia" w:ascii="宋体" w:hAnsi="宋体"/>
                <w:b/>
                <w:sz w:val="24"/>
                <w:szCs w:val="24"/>
              </w:rPr>
            </w:pPr>
          </w:p>
        </w:tc>
        <w:tc>
          <w:tcPr>
            <w:tcW w:w="3663" w:type="dxa"/>
            <w:gridSpan w:val="2"/>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701"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94"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420"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09" w:type="dxa"/>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555" w:type="dxa"/>
            <w:tcBorders>
              <w:right w:val="single" w:color="000000" w:sz="4" w:space="0"/>
            </w:tcBorders>
            <w:noWrap w:val="0"/>
            <w:vAlign w:val="center"/>
          </w:tcPr>
          <w:p>
            <w:pPr>
              <w:widowControl/>
              <w:jc w:val="left"/>
              <w:rPr>
                <w:rFonts w:hint="eastAsia" w:ascii="宋体" w:hAnsi="宋体"/>
                <w:b/>
                <w:sz w:val="24"/>
                <w:szCs w:val="24"/>
              </w:rPr>
            </w:pPr>
          </w:p>
        </w:tc>
        <w:tc>
          <w:tcPr>
            <w:tcW w:w="3663" w:type="dxa"/>
            <w:gridSpan w:val="2"/>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701"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94"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420"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09" w:type="dxa"/>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555" w:type="dxa"/>
            <w:tcBorders>
              <w:right w:val="single" w:color="000000" w:sz="4" w:space="0"/>
            </w:tcBorders>
            <w:noWrap w:val="0"/>
            <w:vAlign w:val="center"/>
          </w:tcPr>
          <w:p>
            <w:pPr>
              <w:widowControl/>
              <w:jc w:val="left"/>
              <w:rPr>
                <w:rFonts w:hint="eastAsia" w:ascii="宋体" w:hAnsi="宋体"/>
                <w:b/>
                <w:sz w:val="24"/>
                <w:szCs w:val="24"/>
              </w:rPr>
            </w:pPr>
          </w:p>
        </w:tc>
        <w:tc>
          <w:tcPr>
            <w:tcW w:w="3663" w:type="dxa"/>
            <w:gridSpan w:val="2"/>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701"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94"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420"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09" w:type="dxa"/>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555" w:type="dxa"/>
            <w:tcBorders>
              <w:right w:val="single" w:color="000000" w:sz="4" w:space="0"/>
            </w:tcBorders>
            <w:noWrap w:val="0"/>
            <w:vAlign w:val="center"/>
          </w:tcPr>
          <w:p>
            <w:pPr>
              <w:widowControl/>
              <w:jc w:val="left"/>
              <w:rPr>
                <w:rFonts w:hint="eastAsia" w:ascii="宋体" w:hAnsi="宋体"/>
                <w:b/>
                <w:sz w:val="24"/>
                <w:szCs w:val="24"/>
              </w:rPr>
            </w:pPr>
          </w:p>
        </w:tc>
        <w:tc>
          <w:tcPr>
            <w:tcW w:w="3663" w:type="dxa"/>
            <w:gridSpan w:val="2"/>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701"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94" w:type="dxa"/>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1420"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909" w:type="dxa"/>
            <w:tcBorders>
              <w:left w:val="single" w:color="000000" w:sz="4" w:space="0"/>
            </w:tcBorders>
            <w:noWrap w:val="0"/>
            <w:vAlign w:val="center"/>
          </w:tcPr>
          <w:p>
            <w:pPr>
              <w:widowControl/>
              <w:jc w:val="center"/>
              <w:rPr>
                <w:rFonts w:hint="eastAsia" w:ascii="宋体" w:hAns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9242" w:type="dxa"/>
            <w:gridSpan w:val="7"/>
            <w:noWrap w:val="0"/>
            <w:vAlign w:val="center"/>
          </w:tcPr>
          <w:p>
            <w:pPr>
              <w:widowControl/>
              <w:jc w:val="left"/>
              <w:rPr>
                <w:rFonts w:hint="eastAsia" w:ascii="宋体" w:hAnsi="宋体"/>
                <w:sz w:val="24"/>
                <w:szCs w:val="24"/>
              </w:rPr>
            </w:pPr>
            <w:r>
              <w:rPr>
                <w:rFonts w:hint="eastAsia" w:ascii="宋体" w:hAnsi="宋体"/>
                <w:b/>
                <w:sz w:val="24"/>
                <w:szCs w:val="24"/>
              </w:rPr>
              <w:t>备注：</w:t>
            </w:r>
          </w:p>
        </w:tc>
      </w:tr>
    </w:tbl>
    <w:p>
      <w:pPr>
        <w:adjustRightInd w:val="0"/>
        <w:snapToGrid w:val="0"/>
        <w:spacing w:line="360" w:lineRule="auto"/>
        <w:rPr>
          <w:rFonts w:hint="eastAsia" w:ascii="宋体" w:hAnsi="宋体"/>
          <w:sz w:val="24"/>
        </w:rPr>
      </w:pPr>
      <w:r>
        <w:rPr>
          <w:rFonts w:hint="eastAsia" w:ascii="宋体" w:hAnsi="宋体"/>
          <w:b/>
          <w:sz w:val="24"/>
          <w:szCs w:val="24"/>
        </w:rPr>
        <w:t>注：本表后附对应的证明材料；“职称及相关专业认证”、“以往经验”仅在评分办法有对应评分项时填写；具体内容见评分办法。</w:t>
      </w:r>
    </w:p>
    <w:p>
      <w:pPr>
        <w:pStyle w:val="4"/>
        <w:ind w:left="0" w:firstLine="0"/>
        <w:jc w:val="center"/>
        <w:rPr>
          <w:rFonts w:hint="eastAsia" w:ascii="宋体" w:hAnsi="宋体" w:eastAsia="宋体"/>
          <w:kern w:val="0"/>
          <w:sz w:val="28"/>
          <w:szCs w:val="28"/>
        </w:rPr>
      </w:pPr>
      <w:r>
        <w:rPr>
          <w:rFonts w:hint="eastAsia" w:ascii="宋体" w:hAnsi="宋体" w:eastAsia="宋体"/>
          <w:b w:val="0"/>
          <w:kern w:val="0"/>
          <w:sz w:val="30"/>
          <w:szCs w:val="30"/>
        </w:rPr>
        <w:br w:type="page"/>
      </w:r>
      <w:bookmarkStart w:id="113" w:name="_Toc83910212"/>
      <w:r>
        <w:rPr>
          <w:rFonts w:hint="eastAsia" w:ascii="宋体" w:hAnsi="宋体" w:eastAsia="宋体"/>
          <w:kern w:val="0"/>
          <w:sz w:val="28"/>
          <w:szCs w:val="28"/>
        </w:rPr>
        <w:t>格式八：开标一览表</w:t>
      </w:r>
      <w:bookmarkEnd w:id="103"/>
      <w:bookmarkEnd w:id="104"/>
      <w:bookmarkEnd w:id="105"/>
      <w:bookmarkEnd w:id="106"/>
      <w:bookmarkEnd w:id="107"/>
      <w:bookmarkEnd w:id="113"/>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b/>
          <w:bCs/>
          <w:sz w:val="30"/>
          <w:szCs w:val="30"/>
        </w:rPr>
      </w:pPr>
      <w:r>
        <w:rPr>
          <w:rFonts w:hint="eastAsia" w:ascii="宋体" w:hAnsi="宋体"/>
          <w:sz w:val="24"/>
        </w:rPr>
        <w:t>浙江省成套招标代理有限公司：</w:t>
      </w:r>
    </w:p>
    <w:p>
      <w:pPr>
        <w:spacing w:before="24" w:beforeLines="10" w:line="360" w:lineRule="auto"/>
        <w:ind w:firstLine="480" w:firstLineChars="200"/>
        <w:rPr>
          <w:rFonts w:hint="eastAsia" w:ascii="宋体" w:hAnsi="宋体"/>
          <w:kern w:val="0"/>
          <w:sz w:val="24"/>
          <w:lang w:val="zh-CN"/>
        </w:rPr>
      </w:pPr>
      <w:r>
        <w:rPr>
          <w:rFonts w:hint="eastAsia" w:ascii="宋体" w:hAnsi="宋体"/>
          <w:kern w:val="0"/>
          <w:sz w:val="24"/>
          <w:lang w:val="zh-CN"/>
        </w:rPr>
        <w:t>按贵方招标文件要求，如你方接受本投标文件，我方承诺按照如下开标一览表的价格完成</w:t>
      </w:r>
      <w:r>
        <w:rPr>
          <w:rFonts w:hint="eastAsia" w:ascii="宋体" w:hAnsi="宋体"/>
          <w:sz w:val="24"/>
        </w:rPr>
        <w:t>杭州市西湖区城市管理局、杭州市西湖区人民政府文新街道办事处杭州市西湖区文新街道辖区2021年度街巷清扫保洁采购项目-文二西路以南、西城广场区块(</w:t>
      </w:r>
      <w:r>
        <w:rPr>
          <w:rFonts w:hint="eastAsia" w:ascii="宋体" w:hAnsi="宋体"/>
          <w:kern w:val="0"/>
          <w:sz w:val="24"/>
          <w:lang w:val="zh-CN"/>
        </w:rPr>
        <w:t>项目编号:</w:t>
      </w:r>
      <w:r>
        <w:rPr>
          <w:rFonts w:hint="eastAsia" w:ascii="宋体" w:hAnsi="宋体"/>
          <w:sz w:val="24"/>
        </w:rPr>
        <w:t>CTZB-2021090711)</w:t>
      </w:r>
      <w:r>
        <w:rPr>
          <w:rFonts w:hint="eastAsia" w:ascii="宋体" w:hAnsi="宋体"/>
          <w:kern w:val="0"/>
          <w:sz w:val="24"/>
          <w:lang w:val="zh-CN"/>
        </w:rPr>
        <w:t>的实施。</w:t>
      </w:r>
    </w:p>
    <w:p>
      <w:pPr>
        <w:adjustRightInd w:val="0"/>
        <w:snapToGrid w:val="0"/>
        <w:spacing w:line="360" w:lineRule="auto"/>
        <w:ind w:right="480"/>
        <w:jc w:val="center"/>
        <w:rPr>
          <w:rFonts w:hint="eastAsia" w:ascii="宋体" w:hAnsi="宋体"/>
          <w:b/>
          <w:kern w:val="0"/>
          <w:sz w:val="24"/>
          <w:lang w:val="zh-CN"/>
        </w:rPr>
      </w:pPr>
      <w:r>
        <w:rPr>
          <w:rFonts w:hint="eastAsia" w:ascii="宋体" w:hAnsi="宋体"/>
          <w:b/>
          <w:kern w:val="0"/>
          <w:sz w:val="24"/>
          <w:lang w:val="zh-CN"/>
        </w:rPr>
        <w:t xml:space="preserve">                                              货币单位：人民币元</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27"/>
        <w:gridCol w:w="2268"/>
        <w:gridCol w:w="37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0" w:hRule="atLeast"/>
          <w:tblHeader/>
          <w:jc w:val="center"/>
        </w:trPr>
        <w:tc>
          <w:tcPr>
            <w:tcW w:w="3227" w:type="dxa"/>
            <w:tcBorders>
              <w:top w:val="single" w:color="auto" w:sz="4" w:space="0"/>
              <w:right w:val="single" w:color="auto" w:sz="4" w:space="0"/>
            </w:tcBorders>
            <w:noWrap w:val="0"/>
            <w:vAlign w:val="center"/>
          </w:tcPr>
          <w:p>
            <w:pPr>
              <w:spacing w:line="360" w:lineRule="auto"/>
              <w:jc w:val="center"/>
              <w:rPr>
                <w:rFonts w:ascii="宋体" w:hAnsi="宋体"/>
                <w:b/>
                <w:sz w:val="24"/>
                <w:lang w:val="en-GB"/>
              </w:rPr>
            </w:pPr>
            <w:r>
              <w:rPr>
                <w:rFonts w:hint="eastAsia" w:ascii="宋体" w:hAnsi="宋体"/>
                <w:b/>
                <w:sz w:val="24"/>
                <w:lang w:val="en-GB"/>
              </w:rPr>
              <w:t>项目名称</w:t>
            </w:r>
          </w:p>
        </w:tc>
        <w:tc>
          <w:tcPr>
            <w:tcW w:w="2268" w:type="dxa"/>
            <w:tcBorders>
              <w:top w:val="single" w:color="auto" w:sz="4" w:space="0"/>
              <w:left w:val="single" w:color="auto" w:sz="4" w:space="0"/>
            </w:tcBorders>
            <w:noWrap w:val="0"/>
            <w:vAlign w:val="center"/>
          </w:tcPr>
          <w:p>
            <w:pPr>
              <w:spacing w:line="360" w:lineRule="auto"/>
              <w:jc w:val="center"/>
              <w:rPr>
                <w:rFonts w:ascii="宋体" w:hAnsi="宋体"/>
                <w:b/>
                <w:sz w:val="24"/>
                <w:lang w:val="en-GB"/>
              </w:rPr>
            </w:pPr>
            <w:r>
              <w:rPr>
                <w:rFonts w:hint="eastAsia" w:ascii="宋体" w:hAnsi="宋体"/>
                <w:b/>
                <w:sz w:val="24"/>
                <w:lang w:val="en-GB"/>
              </w:rPr>
              <w:t>项目编号</w:t>
            </w:r>
          </w:p>
        </w:tc>
        <w:tc>
          <w:tcPr>
            <w:tcW w:w="3747" w:type="dxa"/>
            <w:tcBorders>
              <w:right w:val="single" w:color="auto" w:sz="4" w:space="0"/>
            </w:tcBorders>
            <w:noWrap w:val="0"/>
            <w:vAlign w:val="center"/>
          </w:tcPr>
          <w:p>
            <w:pPr>
              <w:spacing w:line="360" w:lineRule="auto"/>
              <w:jc w:val="center"/>
              <w:rPr>
                <w:rFonts w:ascii="宋体" w:hAnsi="宋体"/>
                <w:b/>
                <w:sz w:val="24"/>
                <w:lang w:val="en-GB"/>
              </w:rPr>
            </w:pPr>
            <w:r>
              <w:rPr>
                <w:rFonts w:hint="eastAsia" w:ascii="宋体" w:hAnsi="宋体"/>
                <w:b/>
                <w:sz w:val="24"/>
                <w:lang w:val="en-GB"/>
              </w:rPr>
              <w:t>投标总价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0" w:hRule="atLeast"/>
          <w:jc w:val="center"/>
        </w:trPr>
        <w:tc>
          <w:tcPr>
            <w:tcW w:w="3227"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杭州市西湖区文新街道辖区2021年度街巷清扫保洁采购项目-文二西路以南、西城广场区块</w:t>
            </w:r>
          </w:p>
        </w:tc>
        <w:tc>
          <w:tcPr>
            <w:tcW w:w="2268" w:type="dxa"/>
            <w:tcBorders>
              <w:top w:val="single" w:color="auto" w:sz="4" w:space="0"/>
              <w:left w:val="single" w:color="auto" w:sz="4" w:space="0"/>
              <w:bottom w:val="single" w:color="auto" w:sz="4" w:space="0"/>
            </w:tcBorders>
            <w:noWrap w:val="0"/>
            <w:vAlign w:val="center"/>
          </w:tcPr>
          <w:p>
            <w:pPr>
              <w:jc w:val="left"/>
              <w:rPr>
                <w:rFonts w:ascii="宋体" w:hAnsi="宋体" w:cs="宋体"/>
                <w:bCs/>
                <w:kern w:val="0"/>
                <w:sz w:val="24"/>
                <w:szCs w:val="24"/>
              </w:rPr>
            </w:pPr>
            <w:r>
              <w:rPr>
                <w:rFonts w:hint="eastAsia" w:ascii="宋体" w:hAnsi="宋体"/>
                <w:sz w:val="24"/>
              </w:rPr>
              <w:t>CTZB-2021090711</w:t>
            </w:r>
          </w:p>
        </w:tc>
        <w:tc>
          <w:tcPr>
            <w:tcW w:w="3747" w:type="dxa"/>
            <w:tcBorders>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t>（小写）：</w:t>
            </w:r>
          </w:p>
          <w:p>
            <w:pPr>
              <w:spacing w:line="360" w:lineRule="auto"/>
              <w:rPr>
                <w:rFonts w:ascii="宋体" w:hAnsi="宋体"/>
                <w:sz w:val="24"/>
              </w:rPr>
            </w:pPr>
            <w:r>
              <w:rPr>
                <w:rFonts w:hint="eastAsia" w:ascii="宋体" w:hAnsi="宋体"/>
                <w:sz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0" w:hRule="atLeast"/>
          <w:jc w:val="center"/>
        </w:trPr>
        <w:tc>
          <w:tcPr>
            <w:tcW w:w="9242" w:type="dxa"/>
            <w:gridSpan w:val="3"/>
            <w:tcBorders>
              <w:right w:val="single" w:color="auto" w:sz="4" w:space="0"/>
            </w:tcBorders>
            <w:noWrap w:val="0"/>
            <w:vAlign w:val="center"/>
          </w:tcPr>
          <w:p>
            <w:pPr>
              <w:spacing w:line="360" w:lineRule="auto"/>
              <w:rPr>
                <w:rFonts w:ascii="宋体" w:hAnsi="宋体"/>
                <w:sz w:val="24"/>
              </w:rPr>
            </w:pPr>
            <w:r>
              <w:rPr>
                <w:rFonts w:hint="eastAsia" w:ascii="宋体" w:hAnsi="宋体"/>
                <w:sz w:val="24"/>
              </w:rPr>
              <w:t>本报价已包含招标文件“第二部分 投标人须知 \三、投标文件\（六）投标报价”要求的全部内容。</w:t>
            </w:r>
          </w:p>
        </w:tc>
      </w:tr>
    </w:tbl>
    <w:p>
      <w:pPr>
        <w:adjustRightInd w:val="0"/>
        <w:snapToGrid w:val="0"/>
        <w:spacing w:line="360" w:lineRule="auto"/>
        <w:ind w:firstLine="360" w:firstLineChars="150"/>
        <w:rPr>
          <w:rFonts w:hint="eastAsia" w:ascii="宋体" w:hAnsi="宋体"/>
          <w:kern w:val="0"/>
          <w:sz w:val="24"/>
          <w:lang w:val="zh-CN"/>
        </w:rPr>
      </w:pPr>
    </w:p>
    <w:p>
      <w:pPr>
        <w:adjustRightInd w:val="0"/>
        <w:snapToGrid w:val="0"/>
        <w:spacing w:line="360" w:lineRule="auto"/>
        <w:rPr>
          <w:rFonts w:hint="eastAsia" w:ascii="宋体" w:hAnsi="宋体" w:cs="宋体"/>
          <w:kern w:val="0"/>
          <w:sz w:val="24"/>
          <w:u w:val="single"/>
          <w:lang w:val="zh-CN"/>
        </w:rPr>
      </w:pPr>
      <w:r>
        <w:rPr>
          <w:rFonts w:hint="eastAsia" w:ascii="宋体" w:hAnsi="宋体" w:cs="宋体"/>
          <w:kern w:val="0"/>
          <w:sz w:val="24"/>
          <w:lang w:val="zh-CN"/>
        </w:rPr>
        <w:t>投标人全称（盖单位公章或CA章）：</w:t>
      </w:r>
      <w:r>
        <w:rPr>
          <w:rFonts w:hint="eastAsia" w:ascii="宋体" w:hAnsi="宋体" w:cs="宋体"/>
          <w:kern w:val="0"/>
          <w:sz w:val="24"/>
          <w:u w:val="single"/>
          <w:lang w:val="zh-CN"/>
        </w:rPr>
        <w:t xml:space="preserve">         </w:t>
      </w:r>
    </w:p>
    <w:p>
      <w:pPr>
        <w:adjustRightInd w:val="0"/>
        <w:snapToGrid w:val="0"/>
        <w:spacing w:line="360" w:lineRule="auto"/>
        <w:rPr>
          <w:rFonts w:hint="eastAsia" w:ascii="宋体" w:hAnsi="宋体" w:cs="宋体"/>
          <w:kern w:val="0"/>
          <w:sz w:val="24"/>
          <w:u w:val="single"/>
        </w:rPr>
      </w:pPr>
      <w:r>
        <w:rPr>
          <w:rFonts w:hint="eastAsia" w:ascii="宋体" w:hAnsi="宋体" w:cs="宋体"/>
          <w:kern w:val="0"/>
          <w:sz w:val="24"/>
          <w:lang w:val="zh-CN"/>
        </w:rPr>
        <w:t>日</w:t>
      </w:r>
      <w:r>
        <w:rPr>
          <w:rFonts w:hint="eastAsia" w:ascii="宋体" w:hAnsi="宋体" w:cs="宋体"/>
          <w:kern w:val="0"/>
          <w:sz w:val="24"/>
        </w:rPr>
        <w:t xml:space="preserve">    </w:t>
      </w:r>
      <w:r>
        <w:rPr>
          <w:rFonts w:hint="eastAsia" w:ascii="宋体" w:hAnsi="宋体" w:cs="宋体"/>
          <w:kern w:val="0"/>
          <w:sz w:val="24"/>
          <w:lang w:val="zh-CN"/>
        </w:rPr>
        <w:t>期</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w:t>
      </w:r>
    </w:p>
    <w:p>
      <w:pPr>
        <w:pStyle w:val="45"/>
        <w:adjustRightInd w:val="0"/>
        <w:snapToGrid w:val="0"/>
        <w:spacing w:line="360" w:lineRule="auto"/>
        <w:ind w:firstLine="602" w:firstLineChars="200"/>
        <w:jc w:val="center"/>
        <w:outlineLvl w:val="1"/>
        <w:rPr>
          <w:rFonts w:hint="eastAsia" w:hAnsi="宋体"/>
          <w:b/>
          <w:sz w:val="28"/>
          <w:szCs w:val="28"/>
        </w:rPr>
      </w:pPr>
      <w:r>
        <w:rPr>
          <w:rFonts w:hint="eastAsia" w:hAnsi="宋体"/>
          <w:b/>
          <w:bCs/>
          <w:sz w:val="30"/>
          <w:szCs w:val="30"/>
        </w:rPr>
        <w:br w:type="page"/>
      </w:r>
      <w:bookmarkStart w:id="114" w:name="_Toc83910213"/>
      <w:r>
        <w:rPr>
          <w:rFonts w:hint="eastAsia" w:hAnsi="宋体"/>
          <w:b/>
          <w:bCs/>
          <w:sz w:val="28"/>
          <w:szCs w:val="28"/>
        </w:rPr>
        <w:t>格式九：</w:t>
      </w:r>
      <w:r>
        <w:rPr>
          <w:rFonts w:hint="eastAsia" w:hAnsi="宋体"/>
          <w:b/>
          <w:sz w:val="28"/>
          <w:szCs w:val="28"/>
        </w:rPr>
        <w:t>报价明细表</w:t>
      </w:r>
      <w:bookmarkEnd w:id="114"/>
    </w:p>
    <w:p>
      <w:pPr>
        <w:adjustRightInd w:val="0"/>
        <w:snapToGrid w:val="0"/>
        <w:spacing w:line="360" w:lineRule="auto"/>
        <w:ind w:firstLine="482" w:firstLineChars="200"/>
        <w:rPr>
          <w:rFonts w:ascii="宋体" w:hAnsi="宋体"/>
          <w:b/>
          <w:bCs/>
          <w:sz w:val="24"/>
        </w:rPr>
      </w:pPr>
      <w:r>
        <w:rPr>
          <w:rFonts w:hint="eastAsia" w:ascii="宋体" w:hAnsi="宋体"/>
          <w:b/>
          <w:bCs/>
          <w:sz w:val="24"/>
        </w:rPr>
        <w:t>项目名称：</w:t>
      </w:r>
    </w:p>
    <w:p>
      <w:pPr>
        <w:adjustRightInd w:val="0"/>
        <w:snapToGrid w:val="0"/>
        <w:spacing w:line="360" w:lineRule="auto"/>
        <w:ind w:firstLine="482" w:firstLineChars="200"/>
        <w:rPr>
          <w:rFonts w:ascii="宋体" w:hAnsi="宋体"/>
          <w:b/>
          <w:bCs/>
          <w:sz w:val="24"/>
        </w:rPr>
      </w:pPr>
      <w:r>
        <w:rPr>
          <w:rFonts w:hint="eastAsia" w:ascii="宋体" w:hAnsi="宋体"/>
          <w:b/>
          <w:bCs/>
          <w:sz w:val="24"/>
        </w:rPr>
        <w:t>项目编号：</w:t>
      </w:r>
    </w:p>
    <w:p>
      <w:pPr>
        <w:adjustRightInd w:val="0"/>
        <w:snapToGrid w:val="0"/>
        <w:spacing w:line="360" w:lineRule="auto"/>
        <w:ind w:firstLine="482" w:firstLineChars="200"/>
        <w:rPr>
          <w:rFonts w:ascii="宋体" w:hAnsi="宋体"/>
          <w:b/>
          <w:bCs/>
          <w:sz w:val="24"/>
        </w:rPr>
      </w:pPr>
      <w:r>
        <w:rPr>
          <w:rFonts w:hint="eastAsia" w:ascii="宋体" w:hAnsi="宋体"/>
          <w:b/>
          <w:bCs/>
          <w:sz w:val="24"/>
        </w:rPr>
        <w:t>单位：人民币元</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2473"/>
        <w:gridCol w:w="1944"/>
        <w:gridCol w:w="1672"/>
        <w:gridCol w:w="1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49" w:hRule="atLeast"/>
          <w:tblHeader/>
          <w:jc w:val="center"/>
        </w:trPr>
        <w:tc>
          <w:tcPr>
            <w:tcW w:w="895" w:type="dxa"/>
            <w:noWrap w:val="0"/>
            <w:vAlign w:val="center"/>
          </w:tcPr>
          <w:p>
            <w:pPr>
              <w:spacing w:line="360" w:lineRule="auto"/>
              <w:jc w:val="center"/>
              <w:rPr>
                <w:rFonts w:hint="eastAsia" w:ascii="宋体" w:hAnsi="宋体"/>
                <w:b/>
                <w:sz w:val="24"/>
                <w:szCs w:val="24"/>
                <w:lang w:val="en-GB"/>
              </w:rPr>
            </w:pPr>
            <w:r>
              <w:rPr>
                <w:rFonts w:hint="eastAsia" w:ascii="宋体" w:hAnsi="宋体"/>
                <w:b/>
                <w:sz w:val="24"/>
                <w:szCs w:val="24"/>
                <w:lang w:val="en-GB"/>
              </w:rPr>
              <w:t>序号</w:t>
            </w:r>
          </w:p>
        </w:tc>
        <w:tc>
          <w:tcPr>
            <w:tcW w:w="2473" w:type="dxa"/>
            <w:noWrap w:val="0"/>
            <w:vAlign w:val="center"/>
          </w:tcPr>
          <w:p>
            <w:pPr>
              <w:spacing w:line="360" w:lineRule="auto"/>
              <w:jc w:val="center"/>
              <w:rPr>
                <w:rFonts w:hint="eastAsia" w:ascii="宋体" w:hAnsi="宋体"/>
                <w:b/>
                <w:sz w:val="24"/>
                <w:szCs w:val="24"/>
                <w:lang w:val="en-GB"/>
              </w:rPr>
            </w:pPr>
            <w:r>
              <w:rPr>
                <w:rFonts w:hint="eastAsia" w:ascii="宋体" w:hAnsi="宋体"/>
                <w:b/>
                <w:sz w:val="24"/>
                <w:szCs w:val="24"/>
                <w:lang w:val="en-GB"/>
              </w:rPr>
              <w:t>类别</w:t>
            </w:r>
          </w:p>
        </w:tc>
        <w:tc>
          <w:tcPr>
            <w:tcW w:w="1944" w:type="dxa"/>
            <w:noWrap w:val="0"/>
            <w:vAlign w:val="center"/>
          </w:tcPr>
          <w:p>
            <w:pPr>
              <w:spacing w:line="360" w:lineRule="auto"/>
              <w:jc w:val="center"/>
              <w:rPr>
                <w:rFonts w:hint="eastAsia" w:ascii="宋体" w:hAnsi="宋体"/>
                <w:b/>
                <w:sz w:val="24"/>
                <w:szCs w:val="24"/>
                <w:lang w:val="en-GB"/>
              </w:rPr>
            </w:pPr>
            <w:r>
              <w:rPr>
                <w:rFonts w:hint="eastAsia" w:ascii="宋体" w:hAnsi="宋体"/>
                <w:b/>
                <w:sz w:val="24"/>
                <w:szCs w:val="24"/>
                <w:lang w:val="en-GB"/>
              </w:rPr>
              <w:t>名称</w:t>
            </w:r>
          </w:p>
        </w:tc>
        <w:tc>
          <w:tcPr>
            <w:tcW w:w="1672" w:type="dxa"/>
            <w:noWrap w:val="0"/>
            <w:vAlign w:val="center"/>
          </w:tcPr>
          <w:p>
            <w:pPr>
              <w:spacing w:line="360" w:lineRule="auto"/>
              <w:jc w:val="center"/>
              <w:rPr>
                <w:rFonts w:hint="eastAsia" w:ascii="宋体" w:hAnsi="宋体"/>
                <w:b/>
                <w:sz w:val="24"/>
                <w:szCs w:val="24"/>
                <w:lang w:val="en-GB"/>
              </w:rPr>
            </w:pPr>
            <w:r>
              <w:rPr>
                <w:rFonts w:hint="eastAsia" w:ascii="宋体" w:hAnsi="宋体"/>
                <w:b/>
                <w:sz w:val="24"/>
                <w:szCs w:val="24"/>
                <w:lang w:val="en-GB"/>
              </w:rPr>
              <w:t>金额</w:t>
            </w:r>
          </w:p>
        </w:tc>
        <w:tc>
          <w:tcPr>
            <w:tcW w:w="1519" w:type="dxa"/>
            <w:noWrap w:val="0"/>
            <w:vAlign w:val="center"/>
          </w:tcPr>
          <w:p>
            <w:pPr>
              <w:spacing w:line="360" w:lineRule="auto"/>
              <w:jc w:val="center"/>
              <w:rPr>
                <w:rFonts w:hint="eastAsia" w:ascii="宋体" w:hAnsi="宋体"/>
                <w:b/>
                <w:sz w:val="24"/>
                <w:szCs w:val="24"/>
                <w:lang w:val="en-GB"/>
              </w:rPr>
            </w:pPr>
            <w:r>
              <w:rPr>
                <w:rFonts w:hint="eastAsia" w:ascii="宋体" w:hAnsi="宋体"/>
                <w:b/>
                <w:sz w:val="24"/>
                <w:szCs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65" w:hRule="atLeast"/>
          <w:jc w:val="center"/>
        </w:trPr>
        <w:tc>
          <w:tcPr>
            <w:tcW w:w="895" w:type="dxa"/>
            <w:tcBorders>
              <w:top w:val="single" w:color="auto" w:sz="4" w:space="0"/>
            </w:tcBorders>
            <w:noWrap w:val="0"/>
            <w:vAlign w:val="center"/>
          </w:tcPr>
          <w:p>
            <w:pPr>
              <w:spacing w:line="360" w:lineRule="auto"/>
              <w:jc w:val="center"/>
              <w:rPr>
                <w:rFonts w:hint="eastAsia" w:ascii="宋体" w:hAnsi="宋体"/>
                <w:sz w:val="24"/>
                <w:szCs w:val="24"/>
                <w:lang w:val="en-GB"/>
              </w:rPr>
            </w:pPr>
          </w:p>
        </w:tc>
        <w:tc>
          <w:tcPr>
            <w:tcW w:w="2473" w:type="dxa"/>
            <w:tcBorders>
              <w:top w:val="single" w:color="auto" w:sz="4" w:space="0"/>
            </w:tcBorders>
            <w:noWrap w:val="0"/>
            <w:vAlign w:val="center"/>
          </w:tcPr>
          <w:p>
            <w:pPr>
              <w:spacing w:line="360" w:lineRule="auto"/>
              <w:rPr>
                <w:rFonts w:hint="eastAsia" w:ascii="宋体" w:hAnsi="宋体"/>
                <w:sz w:val="24"/>
                <w:szCs w:val="24"/>
                <w:lang w:val="en-GB"/>
              </w:rPr>
            </w:pPr>
          </w:p>
        </w:tc>
        <w:tc>
          <w:tcPr>
            <w:tcW w:w="194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lang w:val="en-GB"/>
              </w:rPr>
            </w:pPr>
          </w:p>
        </w:tc>
        <w:tc>
          <w:tcPr>
            <w:tcW w:w="167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c>
          <w:tcPr>
            <w:tcW w:w="1519" w:type="dxa"/>
            <w:tcBorders>
              <w:top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65" w:hRule="atLeast"/>
          <w:jc w:val="center"/>
        </w:trPr>
        <w:tc>
          <w:tcPr>
            <w:tcW w:w="895" w:type="dxa"/>
            <w:tcBorders>
              <w:top w:val="single" w:color="auto" w:sz="4" w:space="0"/>
            </w:tcBorders>
            <w:noWrap w:val="0"/>
            <w:vAlign w:val="center"/>
          </w:tcPr>
          <w:p>
            <w:pPr>
              <w:spacing w:line="360" w:lineRule="auto"/>
              <w:jc w:val="center"/>
              <w:rPr>
                <w:rFonts w:hint="eastAsia" w:ascii="宋体" w:hAnsi="宋体"/>
                <w:sz w:val="24"/>
                <w:szCs w:val="24"/>
                <w:lang w:val="en-GB"/>
              </w:rPr>
            </w:pPr>
          </w:p>
        </w:tc>
        <w:tc>
          <w:tcPr>
            <w:tcW w:w="2473" w:type="dxa"/>
            <w:tcBorders>
              <w:top w:val="single" w:color="auto" w:sz="4" w:space="0"/>
            </w:tcBorders>
            <w:noWrap w:val="0"/>
            <w:vAlign w:val="center"/>
          </w:tcPr>
          <w:p>
            <w:pPr>
              <w:spacing w:line="360" w:lineRule="auto"/>
              <w:rPr>
                <w:rFonts w:hint="eastAsia" w:ascii="宋体" w:hAnsi="宋体"/>
                <w:sz w:val="24"/>
                <w:szCs w:val="24"/>
                <w:lang w:val="en-GB"/>
              </w:rPr>
            </w:pPr>
          </w:p>
        </w:tc>
        <w:tc>
          <w:tcPr>
            <w:tcW w:w="194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lang w:val="en-GB"/>
              </w:rPr>
            </w:pPr>
          </w:p>
        </w:tc>
        <w:tc>
          <w:tcPr>
            <w:tcW w:w="167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c>
          <w:tcPr>
            <w:tcW w:w="1519" w:type="dxa"/>
            <w:tcBorders>
              <w:top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65" w:hRule="atLeast"/>
          <w:jc w:val="center"/>
        </w:trPr>
        <w:tc>
          <w:tcPr>
            <w:tcW w:w="895" w:type="dxa"/>
            <w:tcBorders>
              <w:top w:val="single" w:color="auto" w:sz="4" w:space="0"/>
            </w:tcBorders>
            <w:noWrap w:val="0"/>
            <w:vAlign w:val="center"/>
          </w:tcPr>
          <w:p>
            <w:pPr>
              <w:spacing w:line="360" w:lineRule="auto"/>
              <w:jc w:val="center"/>
              <w:rPr>
                <w:rFonts w:hint="eastAsia" w:ascii="宋体" w:hAnsi="宋体"/>
                <w:sz w:val="24"/>
                <w:szCs w:val="24"/>
                <w:lang w:val="en-GB"/>
              </w:rPr>
            </w:pPr>
          </w:p>
        </w:tc>
        <w:tc>
          <w:tcPr>
            <w:tcW w:w="2473" w:type="dxa"/>
            <w:tcBorders>
              <w:top w:val="single" w:color="auto" w:sz="4" w:space="0"/>
            </w:tcBorders>
            <w:noWrap w:val="0"/>
            <w:vAlign w:val="center"/>
          </w:tcPr>
          <w:p>
            <w:pPr>
              <w:spacing w:line="360" w:lineRule="auto"/>
              <w:rPr>
                <w:rFonts w:hint="eastAsia" w:ascii="宋体" w:hAnsi="宋体"/>
                <w:sz w:val="24"/>
                <w:szCs w:val="24"/>
                <w:lang w:val="en-GB"/>
              </w:rPr>
            </w:pPr>
          </w:p>
        </w:tc>
        <w:tc>
          <w:tcPr>
            <w:tcW w:w="194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lang w:val="en-GB"/>
              </w:rPr>
            </w:pPr>
          </w:p>
        </w:tc>
        <w:tc>
          <w:tcPr>
            <w:tcW w:w="167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c>
          <w:tcPr>
            <w:tcW w:w="1519" w:type="dxa"/>
            <w:tcBorders>
              <w:top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65" w:hRule="atLeast"/>
          <w:jc w:val="center"/>
        </w:trPr>
        <w:tc>
          <w:tcPr>
            <w:tcW w:w="895" w:type="dxa"/>
            <w:tcBorders>
              <w:top w:val="single" w:color="auto" w:sz="4" w:space="0"/>
            </w:tcBorders>
            <w:noWrap w:val="0"/>
            <w:vAlign w:val="center"/>
          </w:tcPr>
          <w:p>
            <w:pPr>
              <w:spacing w:line="360" w:lineRule="auto"/>
              <w:jc w:val="center"/>
              <w:rPr>
                <w:rFonts w:hint="eastAsia" w:ascii="宋体" w:hAnsi="宋体"/>
                <w:sz w:val="24"/>
                <w:szCs w:val="24"/>
                <w:lang w:val="en-GB"/>
              </w:rPr>
            </w:pPr>
          </w:p>
        </w:tc>
        <w:tc>
          <w:tcPr>
            <w:tcW w:w="2473" w:type="dxa"/>
            <w:tcBorders>
              <w:top w:val="single" w:color="auto" w:sz="4" w:space="0"/>
            </w:tcBorders>
            <w:noWrap w:val="0"/>
            <w:vAlign w:val="center"/>
          </w:tcPr>
          <w:p>
            <w:pPr>
              <w:spacing w:line="360" w:lineRule="auto"/>
              <w:jc w:val="center"/>
              <w:rPr>
                <w:rFonts w:hint="eastAsia" w:ascii="宋体" w:hAnsi="宋体"/>
                <w:sz w:val="24"/>
                <w:szCs w:val="24"/>
                <w:lang w:val="en-GB"/>
              </w:rPr>
            </w:pPr>
          </w:p>
        </w:tc>
        <w:tc>
          <w:tcPr>
            <w:tcW w:w="194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lang w:val="en-GB"/>
              </w:rPr>
            </w:pPr>
          </w:p>
        </w:tc>
        <w:tc>
          <w:tcPr>
            <w:tcW w:w="167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c>
          <w:tcPr>
            <w:tcW w:w="1519" w:type="dxa"/>
            <w:tcBorders>
              <w:top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40" w:hRule="atLeast"/>
          <w:jc w:val="center"/>
        </w:trPr>
        <w:tc>
          <w:tcPr>
            <w:tcW w:w="895" w:type="dxa"/>
            <w:noWrap w:val="0"/>
            <w:vAlign w:val="center"/>
          </w:tcPr>
          <w:p>
            <w:pPr>
              <w:spacing w:line="360" w:lineRule="auto"/>
              <w:jc w:val="center"/>
              <w:rPr>
                <w:rFonts w:hint="eastAsia" w:ascii="宋体" w:hAnsi="宋体"/>
                <w:sz w:val="24"/>
                <w:szCs w:val="24"/>
                <w:lang w:val="en-GB"/>
              </w:rPr>
            </w:pPr>
            <w:r>
              <w:rPr>
                <w:rFonts w:ascii="宋体" w:hAnsi="宋体"/>
                <w:sz w:val="24"/>
                <w:szCs w:val="24"/>
                <w:lang w:val="en-GB"/>
              </w:rPr>
              <w:t>……</w:t>
            </w:r>
          </w:p>
        </w:tc>
        <w:tc>
          <w:tcPr>
            <w:tcW w:w="2473" w:type="dxa"/>
            <w:noWrap w:val="0"/>
            <w:vAlign w:val="center"/>
          </w:tcPr>
          <w:p>
            <w:pPr>
              <w:spacing w:line="360" w:lineRule="auto"/>
              <w:jc w:val="center"/>
              <w:rPr>
                <w:rFonts w:hint="eastAsia" w:ascii="宋体" w:hAnsi="宋体"/>
                <w:sz w:val="24"/>
                <w:szCs w:val="24"/>
                <w:lang w:val="en-GB"/>
              </w:rPr>
            </w:pPr>
            <w:r>
              <w:rPr>
                <w:rFonts w:ascii="宋体" w:hAnsi="宋体"/>
                <w:sz w:val="24"/>
                <w:szCs w:val="24"/>
                <w:lang w:val="en-GB"/>
              </w:rPr>
              <w:t>……</w:t>
            </w:r>
          </w:p>
        </w:tc>
        <w:tc>
          <w:tcPr>
            <w:tcW w:w="194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lang w:val="en-GB"/>
              </w:rPr>
            </w:pPr>
          </w:p>
        </w:tc>
        <w:tc>
          <w:tcPr>
            <w:tcW w:w="167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c>
          <w:tcPr>
            <w:tcW w:w="1519" w:type="dxa"/>
            <w:tcBorders>
              <w:top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97" w:hRule="atLeast"/>
          <w:jc w:val="center"/>
        </w:trPr>
        <w:tc>
          <w:tcPr>
            <w:tcW w:w="895" w:type="dxa"/>
            <w:vMerge w:val="restart"/>
            <w:noWrap w:val="0"/>
            <w:vAlign w:val="center"/>
          </w:tcPr>
          <w:p>
            <w:pPr>
              <w:spacing w:line="360" w:lineRule="auto"/>
              <w:jc w:val="center"/>
              <w:rPr>
                <w:rFonts w:hint="eastAsia" w:ascii="宋体" w:hAnsi="宋体"/>
                <w:sz w:val="24"/>
                <w:szCs w:val="24"/>
                <w:lang w:val="en-GB"/>
              </w:rPr>
            </w:pPr>
          </w:p>
        </w:tc>
        <w:tc>
          <w:tcPr>
            <w:tcW w:w="2473" w:type="dxa"/>
            <w:vMerge w:val="restart"/>
            <w:noWrap w:val="0"/>
            <w:vAlign w:val="center"/>
          </w:tcPr>
          <w:p>
            <w:pPr>
              <w:spacing w:line="360" w:lineRule="auto"/>
              <w:jc w:val="center"/>
              <w:rPr>
                <w:rFonts w:hint="eastAsia" w:ascii="宋体" w:hAnsi="宋体"/>
                <w:sz w:val="24"/>
                <w:szCs w:val="24"/>
                <w:lang w:val="en-GB"/>
              </w:rPr>
            </w:pPr>
            <w:r>
              <w:rPr>
                <w:rFonts w:hint="eastAsia" w:ascii="宋体" w:hAnsi="宋体"/>
                <w:sz w:val="24"/>
                <w:szCs w:val="24"/>
                <w:lang w:val="en-GB"/>
              </w:rPr>
              <w:t>投标总价</w:t>
            </w:r>
          </w:p>
        </w:tc>
        <w:tc>
          <w:tcPr>
            <w:tcW w:w="3616" w:type="dxa"/>
            <w:gridSpan w:val="2"/>
            <w:tcBorders>
              <w:top w:val="single" w:color="auto" w:sz="4" w:space="0"/>
              <w:bottom w:val="single" w:color="auto" w:sz="4" w:space="0"/>
            </w:tcBorders>
            <w:noWrap w:val="0"/>
            <w:vAlign w:val="center"/>
          </w:tcPr>
          <w:p>
            <w:pPr>
              <w:spacing w:line="360" w:lineRule="auto"/>
              <w:jc w:val="left"/>
              <w:rPr>
                <w:rFonts w:hint="eastAsia" w:ascii="宋体" w:hAnsi="宋体"/>
                <w:sz w:val="24"/>
                <w:szCs w:val="24"/>
                <w:lang w:val="en-GB"/>
              </w:rPr>
            </w:pPr>
            <w:r>
              <w:rPr>
                <w:rFonts w:hint="eastAsia" w:ascii="宋体" w:hAnsi="宋体"/>
                <w:sz w:val="24"/>
                <w:szCs w:val="24"/>
                <w:lang w:val="en-GB"/>
              </w:rPr>
              <w:t>小写：</w:t>
            </w:r>
          </w:p>
        </w:tc>
        <w:tc>
          <w:tcPr>
            <w:tcW w:w="1519" w:type="dxa"/>
            <w:tcBorders>
              <w:top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61" w:hRule="atLeast"/>
          <w:jc w:val="center"/>
        </w:trPr>
        <w:tc>
          <w:tcPr>
            <w:tcW w:w="895" w:type="dxa"/>
            <w:vMerge w:val="continue"/>
            <w:noWrap w:val="0"/>
            <w:vAlign w:val="center"/>
          </w:tcPr>
          <w:p>
            <w:pPr>
              <w:spacing w:line="360" w:lineRule="auto"/>
              <w:jc w:val="center"/>
              <w:rPr>
                <w:rFonts w:hint="eastAsia" w:ascii="宋体" w:hAnsi="宋体"/>
                <w:sz w:val="24"/>
                <w:szCs w:val="24"/>
                <w:lang w:val="en-GB"/>
              </w:rPr>
            </w:pPr>
          </w:p>
        </w:tc>
        <w:tc>
          <w:tcPr>
            <w:tcW w:w="2473" w:type="dxa"/>
            <w:vMerge w:val="continue"/>
            <w:noWrap w:val="0"/>
            <w:vAlign w:val="center"/>
          </w:tcPr>
          <w:p>
            <w:pPr>
              <w:spacing w:line="360" w:lineRule="auto"/>
              <w:jc w:val="center"/>
              <w:rPr>
                <w:rFonts w:hint="eastAsia" w:ascii="宋体" w:hAnsi="宋体"/>
                <w:sz w:val="24"/>
                <w:szCs w:val="24"/>
                <w:lang w:val="en-GB"/>
              </w:rPr>
            </w:pPr>
          </w:p>
        </w:tc>
        <w:tc>
          <w:tcPr>
            <w:tcW w:w="3616" w:type="dxa"/>
            <w:gridSpan w:val="2"/>
            <w:tcBorders>
              <w:top w:val="single" w:color="auto" w:sz="4" w:space="0"/>
              <w:bottom w:val="single" w:color="auto" w:sz="4" w:space="0"/>
            </w:tcBorders>
            <w:noWrap w:val="0"/>
            <w:vAlign w:val="center"/>
          </w:tcPr>
          <w:p>
            <w:pPr>
              <w:spacing w:line="360" w:lineRule="auto"/>
              <w:jc w:val="left"/>
              <w:rPr>
                <w:rFonts w:hint="eastAsia" w:ascii="宋体" w:hAnsi="宋体"/>
                <w:sz w:val="24"/>
                <w:szCs w:val="24"/>
                <w:lang w:val="en-GB"/>
              </w:rPr>
            </w:pPr>
            <w:r>
              <w:rPr>
                <w:rFonts w:hint="eastAsia" w:ascii="宋体" w:hAnsi="宋体"/>
                <w:sz w:val="24"/>
                <w:szCs w:val="24"/>
                <w:lang w:val="en-GB"/>
              </w:rPr>
              <w:t>大写：</w:t>
            </w:r>
          </w:p>
        </w:tc>
        <w:tc>
          <w:tcPr>
            <w:tcW w:w="1519" w:type="dxa"/>
            <w:tcBorders>
              <w:top w:val="single" w:color="auto" w:sz="4" w:space="0"/>
              <w:bottom w:val="single" w:color="auto" w:sz="4" w:space="0"/>
            </w:tcBorders>
            <w:noWrap w:val="0"/>
            <w:vAlign w:val="center"/>
          </w:tcPr>
          <w:p>
            <w:pPr>
              <w:spacing w:line="360" w:lineRule="auto"/>
              <w:jc w:val="center"/>
              <w:rPr>
                <w:rFonts w:hint="eastAsia" w:ascii="宋体" w:hAnsi="宋体"/>
                <w:sz w:val="24"/>
                <w:szCs w:val="24"/>
                <w:lang w:val="en-GB"/>
              </w:rPr>
            </w:pPr>
          </w:p>
        </w:tc>
      </w:tr>
    </w:tbl>
    <w:p>
      <w:pPr>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报价为一年保洁服务最终报价。</w:t>
      </w:r>
    </w:p>
    <w:p>
      <w:pPr>
        <w:snapToGrid w:val="0"/>
        <w:spacing w:line="360" w:lineRule="auto"/>
        <w:ind w:firstLine="480" w:firstLineChars="200"/>
        <w:jc w:val="left"/>
        <w:rPr>
          <w:rFonts w:ascii="宋体" w:hAnsi="宋体"/>
          <w:sz w:val="24"/>
          <w:lang w:val="zh-CN"/>
        </w:rPr>
      </w:pPr>
      <w:r>
        <w:rPr>
          <w:rFonts w:ascii="宋体" w:hAnsi="宋体"/>
          <w:sz w:val="24"/>
          <w:lang w:val="zh-CN"/>
        </w:rPr>
        <w:t>注：</w:t>
      </w:r>
      <w:r>
        <w:rPr>
          <w:rFonts w:hint="eastAsia" w:ascii="宋体" w:hAnsi="宋体"/>
          <w:sz w:val="24"/>
          <w:lang w:val="zh-CN"/>
        </w:rPr>
        <w:t>1、有关本项目所需的设备费、人工费、安装调试费、税费等一切相关费用均计入报价，招标人不再支付额外费用。</w:t>
      </w:r>
    </w:p>
    <w:p>
      <w:pPr>
        <w:snapToGrid w:val="0"/>
        <w:spacing w:line="360" w:lineRule="auto"/>
        <w:ind w:firstLine="480" w:firstLineChars="200"/>
        <w:jc w:val="left"/>
        <w:rPr>
          <w:rFonts w:ascii="宋体" w:hAnsi="宋体"/>
          <w:sz w:val="24"/>
          <w:lang w:val="zh-CN"/>
        </w:rPr>
      </w:pPr>
      <w:r>
        <w:rPr>
          <w:rFonts w:hint="eastAsia" w:ascii="宋体" w:hAnsi="宋体"/>
          <w:sz w:val="24"/>
          <w:lang w:val="zh-CN"/>
        </w:rPr>
        <w:t>2、报价一经涂改，应在涂改处加盖单位公章或CA章或者法定代表人签字或授权代表签字，否则其投标作无效标处理。</w:t>
      </w:r>
    </w:p>
    <w:p>
      <w:pPr>
        <w:snapToGrid w:val="0"/>
        <w:spacing w:line="360" w:lineRule="auto"/>
        <w:ind w:firstLine="480" w:firstLineChars="200"/>
        <w:jc w:val="left"/>
        <w:rPr>
          <w:rFonts w:ascii="宋体" w:hAnsi="宋体"/>
          <w:sz w:val="24"/>
          <w:lang w:val="zh-CN"/>
        </w:rPr>
      </w:pPr>
      <w:r>
        <w:rPr>
          <w:rFonts w:hint="eastAsia" w:ascii="宋体" w:hAnsi="宋体"/>
          <w:sz w:val="24"/>
          <w:lang w:val="zh-CN"/>
        </w:rPr>
        <w:t>3、以上表格中各项可进一步细分，栏数不够可自加，要求按设备等相关内容细分项目及报价。</w:t>
      </w:r>
    </w:p>
    <w:p>
      <w:pPr>
        <w:snapToGrid w:val="0"/>
        <w:spacing w:line="360" w:lineRule="auto"/>
        <w:ind w:firstLine="480" w:firstLineChars="200"/>
        <w:jc w:val="left"/>
        <w:rPr>
          <w:rFonts w:ascii="宋体" w:hAnsi="宋体"/>
          <w:sz w:val="24"/>
        </w:rPr>
      </w:pPr>
      <w:r>
        <w:rPr>
          <w:rFonts w:hint="eastAsia" w:ascii="宋体" w:hAnsi="宋体"/>
          <w:sz w:val="24"/>
        </w:rPr>
        <w:t>4、以上报价应与“开标一览表”中的“投标总价”相一致。</w:t>
      </w:r>
    </w:p>
    <w:p>
      <w:pPr>
        <w:snapToGrid w:val="0"/>
        <w:spacing w:line="360" w:lineRule="auto"/>
        <w:ind w:firstLine="480" w:firstLineChars="200"/>
        <w:jc w:val="left"/>
        <w:rPr>
          <w:rFonts w:ascii="宋体" w:hAnsi="宋体"/>
          <w:sz w:val="24"/>
        </w:rPr>
      </w:pPr>
      <w:r>
        <w:rPr>
          <w:rFonts w:hint="eastAsia" w:ascii="宋体" w:hAnsi="宋体"/>
          <w:sz w:val="24"/>
        </w:rPr>
        <w:t>5、特别提示：根据财政部财库</w:t>
      </w:r>
      <w:r>
        <w:rPr>
          <w:rFonts w:ascii="宋体" w:hAnsi="宋体"/>
          <w:sz w:val="24"/>
        </w:rPr>
        <w:t>［</w:t>
      </w:r>
      <w:r>
        <w:rPr>
          <w:rFonts w:hint="eastAsia" w:ascii="宋体" w:hAnsi="宋体"/>
          <w:sz w:val="24"/>
        </w:rPr>
        <w:t>2015</w:t>
      </w:r>
      <w:r>
        <w:rPr>
          <w:rFonts w:ascii="宋体" w:hAnsi="宋体"/>
          <w:sz w:val="24"/>
        </w:rPr>
        <w:t>］</w:t>
      </w:r>
      <w:r>
        <w:rPr>
          <w:rFonts w:hint="eastAsia" w:ascii="宋体" w:hAnsi="宋体"/>
          <w:sz w:val="24"/>
        </w:rPr>
        <w:t>135</w:t>
      </w:r>
      <w:r>
        <w:rPr>
          <w:rFonts w:ascii="宋体" w:hAnsi="宋体"/>
          <w:sz w:val="24"/>
        </w:rPr>
        <w:t>号</w:t>
      </w:r>
      <w:r>
        <w:rPr>
          <w:rFonts w:hint="eastAsia" w:ascii="宋体" w:hAnsi="宋体"/>
          <w:sz w:val="24"/>
        </w:rPr>
        <w:t>《</w:t>
      </w:r>
      <w:r>
        <w:rPr>
          <w:rFonts w:ascii="宋体" w:hAnsi="宋体"/>
          <w:sz w:val="24"/>
        </w:rPr>
        <w:t>关于做好政府采购信息公开工作的通知</w:t>
      </w:r>
      <w:r>
        <w:rPr>
          <w:rFonts w:hint="eastAsia" w:ascii="宋体" w:hAnsi="宋体"/>
          <w:sz w:val="24"/>
        </w:rPr>
        <w:t>》要求，采购机构将对</w:t>
      </w:r>
      <w:r>
        <w:rPr>
          <w:rFonts w:ascii="宋体" w:hAnsi="宋体"/>
          <w:sz w:val="24"/>
        </w:rPr>
        <w:t>项目名称和项目编号；中标或者成交供应商名称、地址和中标或者成交金额；主要中标或者成交标的的名称、规格型号、数量、单价、服务要求或者标的的基本概况</w:t>
      </w:r>
      <w:r>
        <w:rPr>
          <w:rFonts w:hint="eastAsia" w:ascii="宋体" w:hAnsi="宋体"/>
          <w:sz w:val="24"/>
        </w:rPr>
        <w:t>等予以公示。</w:t>
      </w:r>
    </w:p>
    <w:p>
      <w:pPr>
        <w:adjustRightInd w:val="0"/>
        <w:snapToGrid w:val="0"/>
        <w:spacing w:line="360" w:lineRule="auto"/>
        <w:ind w:firstLine="482" w:firstLineChars="200"/>
        <w:rPr>
          <w:rFonts w:ascii="宋体" w:hAnsi="宋体" w:cs="宋体"/>
          <w:b/>
          <w:kern w:val="0"/>
          <w:sz w:val="24"/>
          <w:szCs w:val="24"/>
          <w:lang w:val="zh-CN"/>
        </w:rPr>
      </w:pPr>
      <w:r>
        <w:rPr>
          <w:rFonts w:hint="eastAsia" w:ascii="宋体" w:hAnsi="宋体"/>
          <w:b/>
          <w:sz w:val="24"/>
        </w:rPr>
        <w:t>6、▲采购人将以合同形式有偿取得货物或服务，不接受供应商给予的赠品、回扣或者与采购无关的其他商品、服务，各项明细费用请按实填写（不得出现“0元”“免费赠送”等形式的无偿报价）。</w:t>
      </w:r>
    </w:p>
    <w:p>
      <w:pPr>
        <w:adjustRightInd w:val="0"/>
        <w:snapToGrid w:val="0"/>
        <w:spacing w:line="360" w:lineRule="auto"/>
        <w:rPr>
          <w:rFonts w:ascii="宋体" w:hAnsi="宋体" w:cs="宋体"/>
          <w:kern w:val="0"/>
          <w:sz w:val="24"/>
          <w:u w:val="single"/>
          <w:lang w:val="zh-CN"/>
        </w:rPr>
      </w:pPr>
      <w:r>
        <w:rPr>
          <w:rFonts w:hint="eastAsia" w:ascii="宋体" w:hAnsi="宋体" w:cs="宋体"/>
          <w:kern w:val="0"/>
          <w:sz w:val="24"/>
          <w:lang w:val="zh-CN"/>
        </w:rPr>
        <w:t>投标人全称（盖单位公章或CA章）：</w:t>
      </w:r>
      <w:r>
        <w:rPr>
          <w:rFonts w:hint="eastAsia" w:ascii="宋体" w:hAnsi="宋体" w:cs="宋体"/>
          <w:kern w:val="0"/>
          <w:sz w:val="24"/>
          <w:u w:val="single"/>
          <w:lang w:val="zh-CN"/>
        </w:rPr>
        <w:t xml:space="preserve">       </w:t>
      </w:r>
      <w:r>
        <w:rPr>
          <w:rFonts w:ascii="宋体" w:hAnsi="宋体" w:cs="宋体"/>
          <w:kern w:val="0"/>
          <w:sz w:val="24"/>
          <w:u w:val="single"/>
          <w:lang w:val="zh-CN"/>
        </w:rPr>
        <w:t xml:space="preserve"> </w:t>
      </w:r>
      <w:r>
        <w:rPr>
          <w:rFonts w:hint="eastAsia" w:ascii="宋体" w:hAnsi="宋体" w:cs="宋体"/>
          <w:kern w:val="0"/>
          <w:sz w:val="24"/>
          <w:u w:val="single"/>
          <w:lang w:val="zh-CN"/>
        </w:rPr>
        <w:t xml:space="preserve"> </w:t>
      </w:r>
    </w:p>
    <w:p>
      <w:pPr>
        <w:adjustRightInd w:val="0"/>
        <w:snapToGrid w:val="0"/>
        <w:spacing w:line="360" w:lineRule="auto"/>
        <w:rPr>
          <w:rFonts w:ascii="宋体" w:hAnsi="宋体" w:cs="宋体"/>
          <w:kern w:val="0"/>
          <w:sz w:val="24"/>
          <w:u w:val="single"/>
        </w:rPr>
      </w:pPr>
      <w:r>
        <w:rPr>
          <w:rFonts w:hint="eastAsia" w:ascii="宋体" w:hAnsi="宋体" w:cs="宋体"/>
          <w:kern w:val="0"/>
          <w:sz w:val="24"/>
          <w:lang w:val="zh-CN"/>
        </w:rPr>
        <w:t>日</w:t>
      </w:r>
      <w:r>
        <w:rPr>
          <w:rFonts w:hint="eastAsia" w:ascii="宋体" w:hAnsi="宋体" w:cs="宋体"/>
          <w:kern w:val="0"/>
          <w:sz w:val="24"/>
        </w:rPr>
        <w:t xml:space="preserve">    </w:t>
      </w:r>
      <w:r>
        <w:rPr>
          <w:rFonts w:hint="eastAsia" w:ascii="宋体" w:hAnsi="宋体" w:cs="宋体"/>
          <w:kern w:val="0"/>
          <w:sz w:val="24"/>
          <w:lang w:val="zh-CN"/>
        </w:rPr>
        <w:t>期</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w:t>
      </w:r>
    </w:p>
    <w:p>
      <w:pPr>
        <w:pStyle w:val="4"/>
        <w:ind w:left="0" w:firstLine="0"/>
        <w:jc w:val="center"/>
        <w:rPr>
          <w:rFonts w:hint="eastAsia" w:ascii="宋体" w:hAnsi="宋体" w:eastAsia="宋体"/>
          <w:kern w:val="0"/>
          <w:sz w:val="28"/>
          <w:szCs w:val="28"/>
        </w:rPr>
      </w:pPr>
      <w:r>
        <w:rPr>
          <w:rFonts w:ascii="宋体" w:hAnsi="宋体" w:eastAsia="宋体"/>
          <w:kern w:val="0"/>
          <w:sz w:val="28"/>
          <w:szCs w:val="28"/>
        </w:rPr>
        <w:br w:type="page"/>
      </w:r>
      <w:bookmarkStart w:id="115" w:name="_Toc83910214"/>
      <w:r>
        <w:rPr>
          <w:rFonts w:hint="eastAsia" w:ascii="宋体" w:hAnsi="宋体" w:eastAsia="宋体"/>
          <w:kern w:val="0"/>
          <w:sz w:val="28"/>
          <w:szCs w:val="28"/>
        </w:rPr>
        <w:t>格式十：中小企业/监狱企业/残疾人福利性单位声明函</w:t>
      </w:r>
      <w:bookmarkEnd w:id="115"/>
    </w:p>
    <w:p>
      <w:pPr>
        <w:adjustRightInd w:val="0"/>
        <w:snapToGrid w:val="0"/>
        <w:spacing w:line="360" w:lineRule="auto"/>
        <w:jc w:val="center"/>
        <w:rPr>
          <w:rFonts w:hint="eastAsia" w:ascii="宋体" w:hAnsi="宋体"/>
          <w:b/>
          <w:sz w:val="24"/>
        </w:rPr>
      </w:pPr>
      <w:r>
        <w:rPr>
          <w:rFonts w:hint="eastAsia" w:ascii="宋体" w:hAnsi="宋体"/>
          <w:b/>
          <w:sz w:val="24"/>
          <w:szCs w:val="24"/>
        </w:rPr>
        <w:t>（一）</w:t>
      </w:r>
      <w:r>
        <w:rPr>
          <w:rFonts w:hint="eastAsia" w:ascii="宋体" w:hAnsi="宋体"/>
          <w:b/>
          <w:sz w:val="24"/>
        </w:rPr>
        <w:t>中小企业声明函（服务）</w:t>
      </w:r>
    </w:p>
    <w:p>
      <w:pPr>
        <w:autoSpaceDE w:val="0"/>
        <w:autoSpaceDN w:val="0"/>
        <w:adjustRightInd w:val="0"/>
        <w:jc w:val="center"/>
        <w:rPr>
          <w:rFonts w:hint="eastAsia" w:ascii="宋体" w:hAnsi="宋体" w:cs="宋体"/>
          <w:kern w:val="0"/>
          <w:sz w:val="36"/>
          <w:szCs w:val="24"/>
        </w:rPr>
      </w:pPr>
      <w:r>
        <w:rPr>
          <w:rFonts w:ascii="宋体" w:hAnsi="宋体" w:cs="宋体"/>
          <w:kern w:val="0"/>
          <w:sz w:val="36"/>
          <w:szCs w:val="24"/>
        </w:rPr>
        <w:t>【</w:t>
      </w:r>
      <w:r>
        <w:rPr>
          <w:rFonts w:hint="eastAsia" w:ascii="宋体" w:hAnsi="宋体" w:cs="宋体"/>
          <w:kern w:val="0"/>
          <w:sz w:val="36"/>
          <w:szCs w:val="24"/>
        </w:rPr>
        <w:t>所有标的名称均</w:t>
      </w:r>
      <w:r>
        <w:rPr>
          <w:rFonts w:ascii="宋体" w:hAnsi="宋体" w:cs="宋体"/>
          <w:kern w:val="0"/>
          <w:sz w:val="36"/>
          <w:szCs w:val="24"/>
        </w:rPr>
        <w:t>需提供</w:t>
      </w:r>
      <w:r>
        <w:rPr>
          <w:rFonts w:hint="eastAsia" w:ascii="宋体" w:hAnsi="宋体" w:cs="宋体"/>
          <w:kern w:val="0"/>
          <w:sz w:val="36"/>
          <w:szCs w:val="24"/>
        </w:rPr>
        <w:t>承接企业相关情况</w:t>
      </w:r>
      <w:r>
        <w:rPr>
          <w:rFonts w:ascii="宋体" w:hAnsi="宋体" w:cs="宋体"/>
          <w:kern w:val="0"/>
          <w:sz w:val="36"/>
          <w:szCs w:val="24"/>
        </w:rPr>
        <w:t>】</w:t>
      </w:r>
    </w:p>
    <w:p>
      <w:pPr>
        <w:adjustRightInd w:val="0"/>
        <w:snapToGrid w:val="0"/>
        <w:spacing w:line="360" w:lineRule="auto"/>
        <w:rPr>
          <w:rFonts w:hint="eastAsia" w:ascii="宋体" w:hAnsi="宋体"/>
          <w:sz w:val="24"/>
          <w:szCs w:val="24"/>
        </w:rPr>
      </w:pPr>
      <w:r>
        <w:rPr>
          <w:rFonts w:hint="eastAsia" w:ascii="宋体" w:hAnsi="宋体"/>
          <w:sz w:val="24"/>
          <w:szCs w:val="24"/>
        </w:rPr>
        <w:t>杭州市西湖区城市管理局：</w:t>
      </w:r>
    </w:p>
    <w:p>
      <w:pPr>
        <w:adjustRightInd w:val="0"/>
        <w:snapToGrid w:val="0"/>
        <w:spacing w:line="360" w:lineRule="auto"/>
        <w:rPr>
          <w:rFonts w:hint="eastAsia" w:ascii="宋体" w:hAnsi="宋体"/>
          <w:sz w:val="24"/>
          <w:szCs w:val="24"/>
        </w:rPr>
      </w:pPr>
      <w:r>
        <w:rPr>
          <w:rFonts w:hint="eastAsia" w:ascii="宋体" w:hAnsi="宋体"/>
          <w:sz w:val="24"/>
          <w:szCs w:val="24"/>
        </w:rPr>
        <w:t>杭州市西湖区人民政府文新街道办事处：</w:t>
      </w:r>
    </w:p>
    <w:p>
      <w:pPr>
        <w:adjustRightInd w:val="0"/>
        <w:snapToGrid w:val="0"/>
        <w:spacing w:line="360" w:lineRule="auto"/>
        <w:rPr>
          <w:rFonts w:hint="eastAsia" w:ascii="宋体" w:hAnsi="宋体"/>
          <w:sz w:val="24"/>
          <w:szCs w:val="24"/>
        </w:rPr>
      </w:pPr>
      <w:r>
        <w:rPr>
          <w:rFonts w:hint="eastAsia" w:ascii="宋体" w:hAnsi="宋体"/>
          <w:sz w:val="24"/>
          <w:szCs w:val="24"/>
        </w:rPr>
        <w:t>浙江省成套招标代理有限公司：</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本公司（联合体）郑重声明，根据《政府采购促进中小企业发展管理办法》（财库﹝2020﹞46 号）的规定，本公司（联合体）参加</w:t>
      </w:r>
      <w:r>
        <w:rPr>
          <w:rFonts w:hint="eastAsia" w:ascii="宋体" w:hAnsi="宋体"/>
          <w:b/>
          <w:sz w:val="24"/>
          <w:szCs w:val="24"/>
          <w:u w:val="single"/>
        </w:rPr>
        <w:t>（单位名称）</w:t>
      </w:r>
      <w:r>
        <w:rPr>
          <w:rFonts w:hint="eastAsia" w:ascii="宋体" w:hAnsi="宋体"/>
          <w:sz w:val="24"/>
          <w:szCs w:val="24"/>
        </w:rPr>
        <w:t>的</w:t>
      </w:r>
      <w:r>
        <w:rPr>
          <w:rFonts w:hint="eastAsia" w:ascii="宋体" w:hAnsi="宋体"/>
          <w:b/>
          <w:sz w:val="24"/>
          <w:szCs w:val="24"/>
          <w:u w:val="single"/>
        </w:rPr>
        <w:t>（项目名称）</w:t>
      </w:r>
      <w:r>
        <w:rPr>
          <w:rFonts w:hint="eastAsia" w:ascii="宋体" w:hAnsi="宋体"/>
          <w:sz w:val="24"/>
          <w:szCs w:val="24"/>
        </w:rPr>
        <w:t>采购活动，服务全部由符合政策要求的中小企业承接。相关企业 （含联合体中的小微企业、签订分包意向协议的小微企业）的具体情况如下：</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u w:val="single"/>
        </w:rPr>
        <w:t>（标的名称）</w:t>
      </w:r>
      <w:r>
        <w:rPr>
          <w:rFonts w:hint="eastAsia" w:ascii="宋体" w:hAnsi="宋体"/>
          <w:sz w:val="24"/>
          <w:szCs w:val="24"/>
        </w:rPr>
        <w:t>，属于</w:t>
      </w:r>
      <w:r>
        <w:rPr>
          <w:rFonts w:hint="eastAsia" w:ascii="宋体" w:hAnsi="宋体"/>
          <w:b/>
          <w:sz w:val="24"/>
          <w:szCs w:val="24"/>
          <w:u w:val="single"/>
        </w:rPr>
        <w:t>（采购文件中明确的所属行业）</w:t>
      </w:r>
      <w:r>
        <w:rPr>
          <w:rFonts w:hint="eastAsia" w:ascii="宋体" w:hAnsi="宋体"/>
          <w:sz w:val="24"/>
          <w:szCs w:val="24"/>
        </w:rPr>
        <w:t>；承接企业为</w:t>
      </w:r>
      <w:r>
        <w:rPr>
          <w:rFonts w:hint="eastAsia" w:ascii="宋体" w:hAnsi="宋体"/>
          <w:b/>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b/>
          <w:sz w:val="24"/>
          <w:szCs w:val="24"/>
          <w:u w:val="single"/>
        </w:rPr>
        <w:t>（小型企业、微型企业）</w:t>
      </w:r>
      <w:r>
        <w:rPr>
          <w:rFonts w:hint="eastAsia" w:ascii="宋体" w:hAnsi="宋体"/>
          <w:sz w:val="24"/>
          <w:szCs w:val="24"/>
        </w:rPr>
        <w:t>；</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482" w:firstLineChars="200"/>
        <w:rPr>
          <w:rFonts w:hint="eastAsia" w:ascii="宋体" w:hAnsi="宋体"/>
          <w:b/>
          <w:sz w:val="24"/>
          <w:szCs w:val="24"/>
          <w:u w:val="single"/>
        </w:rPr>
      </w:pPr>
      <w:r>
        <w:rPr>
          <w:rFonts w:hint="eastAsia" w:ascii="宋体" w:hAnsi="宋体"/>
          <w:b/>
          <w:sz w:val="24"/>
          <w:szCs w:val="24"/>
          <w:u w:val="single"/>
        </w:rPr>
        <w:t>本企业对上述声明内容的真实性负责。如有虚假，将依法承担相应责任。</w:t>
      </w: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jc w:val="right"/>
        <w:rPr>
          <w:rFonts w:hint="eastAsia" w:ascii="宋体" w:hAnsi="宋体" w:cs="宋体"/>
          <w:kern w:val="0"/>
          <w:sz w:val="24"/>
          <w:szCs w:val="24"/>
          <w:u w:val="single"/>
          <w:lang w:val="zh-CN"/>
        </w:rPr>
      </w:pPr>
      <w:r>
        <w:rPr>
          <w:rFonts w:hint="eastAsia" w:ascii="宋体" w:hAnsi="宋体" w:cs="宋体"/>
          <w:kern w:val="0"/>
          <w:sz w:val="24"/>
          <w:szCs w:val="24"/>
          <w:lang w:val="zh-CN"/>
        </w:rPr>
        <w:t>投标人全称（盖单位公章或CA章）：</w:t>
      </w:r>
      <w:r>
        <w:rPr>
          <w:rFonts w:hint="eastAsia" w:ascii="宋体" w:hAnsi="宋体" w:cs="宋体"/>
          <w:kern w:val="0"/>
          <w:sz w:val="24"/>
          <w:szCs w:val="24"/>
          <w:u w:val="single"/>
          <w:lang w:val="zh-CN"/>
        </w:rPr>
        <w:t xml:space="preserve">         </w:t>
      </w:r>
    </w:p>
    <w:p>
      <w:pPr>
        <w:adjustRightInd w:val="0"/>
        <w:snapToGrid w:val="0"/>
        <w:spacing w:line="360" w:lineRule="auto"/>
        <w:jc w:val="right"/>
        <w:rPr>
          <w:rFonts w:hint="eastAsia" w:ascii="宋体" w:hAnsi="宋体" w:cs="宋体"/>
          <w:kern w:val="0"/>
          <w:sz w:val="24"/>
          <w:szCs w:val="24"/>
          <w:lang w:val="zh-CN"/>
        </w:rPr>
      </w:pPr>
      <w:r>
        <w:rPr>
          <w:rFonts w:hint="eastAsia" w:ascii="宋体" w:hAnsi="宋体" w:cs="宋体"/>
          <w:kern w:val="0"/>
          <w:sz w:val="24"/>
          <w:szCs w:val="24"/>
          <w:lang w:val="zh-CN"/>
        </w:rPr>
        <w:t>日</w:t>
      </w:r>
      <w:r>
        <w:rPr>
          <w:rFonts w:hint="eastAsia" w:ascii="宋体" w:hAnsi="宋体" w:cs="宋体"/>
          <w:kern w:val="0"/>
          <w:sz w:val="24"/>
          <w:szCs w:val="24"/>
        </w:rPr>
        <w:t xml:space="preserve">    </w:t>
      </w:r>
      <w:r>
        <w:rPr>
          <w:rFonts w:hint="eastAsia" w:ascii="宋体" w:hAnsi="宋体" w:cs="宋体"/>
          <w:kern w:val="0"/>
          <w:sz w:val="24"/>
          <w:szCs w:val="24"/>
          <w:lang w:val="zh-CN"/>
        </w:rPr>
        <w:t>期</w:t>
      </w: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lang w:val="zh-CN"/>
        </w:rPr>
        <w:t>年</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lang w:val="zh-CN"/>
        </w:rPr>
        <w:t>月</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日</w:t>
      </w:r>
    </w:p>
    <w:p>
      <w:pPr>
        <w:adjustRightInd w:val="0"/>
        <w:snapToGrid w:val="0"/>
        <w:spacing w:line="360" w:lineRule="auto"/>
        <w:rPr>
          <w:rFonts w:hint="eastAsia" w:ascii="宋体" w:hAnsi="宋体" w:cs="宋体"/>
          <w:kern w:val="0"/>
          <w:sz w:val="24"/>
          <w:szCs w:val="24"/>
          <w:lang w:val="zh-CN"/>
        </w:rPr>
      </w:pPr>
    </w:p>
    <w:p>
      <w:pPr>
        <w:adjustRightInd w:val="0"/>
        <w:snapToGrid w:val="0"/>
        <w:spacing w:line="360" w:lineRule="auto"/>
        <w:ind w:firstLine="480" w:firstLineChars="200"/>
        <w:rPr>
          <w:rFonts w:ascii="宋体" w:hAnsi="宋体"/>
          <w:sz w:val="24"/>
          <w:szCs w:val="24"/>
        </w:rPr>
      </w:pPr>
      <w:r>
        <w:rPr>
          <w:rFonts w:ascii="宋体" w:hAnsi="宋体"/>
          <w:sz w:val="24"/>
          <w:szCs w:val="24"/>
        </w:rPr>
        <w:t>说明：</w:t>
      </w:r>
    </w:p>
    <w:p>
      <w:pPr>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所有标的名称均需提供承接企业所属行业、从业人员、营业收入、资产总额、所属企业类型等情况</w:t>
      </w:r>
      <w:r>
        <w:rPr>
          <w:rFonts w:ascii="宋体" w:hAnsi="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）联合体主办方和各成员单位分别提供此函。</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3）所有承接服务的供应商均需在此函中列明。</w:t>
      </w:r>
    </w:p>
    <w:p>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4</w:t>
      </w:r>
      <w:r>
        <w:rPr>
          <w:rFonts w:ascii="宋体" w:hAnsi="宋体"/>
          <w:b/>
          <w:sz w:val="24"/>
          <w:szCs w:val="24"/>
        </w:rPr>
        <w:t>）</w:t>
      </w:r>
      <w:r>
        <w:rPr>
          <w:rFonts w:hint="eastAsia" w:ascii="宋体" w:hAnsi="宋体"/>
          <w:b/>
          <w:sz w:val="24"/>
          <w:szCs w:val="24"/>
        </w:rPr>
        <w:t>从业人员、营业收入、资产总额填报上一年度数据，无上一年度数据的新成立企业可不填报。</w:t>
      </w:r>
    </w:p>
    <w:p>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5</w:t>
      </w:r>
      <w:r>
        <w:rPr>
          <w:rFonts w:ascii="宋体" w:hAnsi="宋体"/>
          <w:b/>
          <w:sz w:val="24"/>
          <w:szCs w:val="24"/>
        </w:rPr>
        <w:t>）</w:t>
      </w:r>
      <w:r>
        <w:rPr>
          <w:rFonts w:hint="eastAsia" w:ascii="宋体" w:hAnsi="宋体"/>
          <w:b/>
          <w:sz w:val="24"/>
          <w:szCs w:val="24"/>
        </w:rPr>
        <w:t>所属行业请根据《关于印发中小企业划型标准规定的通知》工信部联企业〔2011〕300号文件标准填写。</w:t>
      </w:r>
    </w:p>
    <w:p>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6</w:t>
      </w:r>
      <w:r>
        <w:rPr>
          <w:rFonts w:ascii="宋体" w:hAnsi="宋体"/>
          <w:b/>
          <w:sz w:val="24"/>
          <w:szCs w:val="24"/>
        </w:rPr>
        <w:t>）</w:t>
      </w:r>
      <w:r>
        <w:rPr>
          <w:rFonts w:hint="eastAsia" w:ascii="宋体" w:hAnsi="宋体"/>
          <w:b/>
          <w:sz w:val="24"/>
          <w:szCs w:val="24"/>
        </w:rPr>
        <w:t>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7）“</w:t>
      </w:r>
      <w:r>
        <w:rPr>
          <w:rFonts w:ascii="宋体" w:hAnsi="宋体"/>
          <w:b/>
          <w:sz w:val="24"/>
          <w:szCs w:val="24"/>
        </w:rPr>
        <w:t>……</w:t>
      </w:r>
      <w:r>
        <w:rPr>
          <w:rFonts w:hint="eastAsia" w:ascii="宋体" w:hAnsi="宋体"/>
          <w:b/>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b/>
          <w:sz w:val="24"/>
          <w:szCs w:val="24"/>
        </w:rPr>
        <w:t>……</w:t>
      </w:r>
      <w:r>
        <w:rPr>
          <w:rFonts w:hint="eastAsia" w:ascii="宋体" w:hAnsi="宋体"/>
          <w:b/>
          <w:sz w:val="24"/>
          <w:szCs w:val="24"/>
        </w:rPr>
        <w:t>”</w:t>
      </w:r>
      <w:r>
        <w:rPr>
          <w:rFonts w:hint="eastAsia" w:ascii="宋体" w:hAnsi="宋体"/>
          <w:b/>
          <w:sz w:val="24"/>
          <w:szCs w:val="24"/>
        </w:rPr>
        <w:br w:type="textWrapping"/>
      </w:r>
    </w:p>
    <w:p>
      <w:pPr>
        <w:adjustRightInd w:val="0"/>
        <w:snapToGrid w:val="0"/>
        <w:spacing w:line="360" w:lineRule="auto"/>
        <w:ind w:firstLine="482" w:firstLineChars="200"/>
        <w:rPr>
          <w:rFonts w:ascii="宋体" w:hAnsi="宋体"/>
          <w:b/>
          <w:sz w:val="24"/>
          <w:szCs w:val="24"/>
        </w:rPr>
      </w:pPr>
    </w:p>
    <w:p>
      <w:pPr>
        <w:adjustRightInd w:val="0"/>
        <w:snapToGrid w:val="0"/>
        <w:spacing w:line="360" w:lineRule="auto"/>
        <w:jc w:val="center"/>
        <w:rPr>
          <w:rFonts w:hint="eastAsia" w:ascii="宋体" w:hAnsi="宋体"/>
          <w:b/>
          <w:sz w:val="24"/>
        </w:rPr>
      </w:pPr>
      <w:r>
        <w:rPr>
          <w:rFonts w:hint="eastAsia" w:ascii="宋体" w:hAnsi="宋体" w:cs="宋体"/>
          <w:b/>
          <w:kern w:val="0"/>
          <w:sz w:val="24"/>
          <w:lang w:val="zh-CN"/>
        </w:rPr>
        <w:br w:type="page"/>
      </w:r>
      <w:r>
        <w:rPr>
          <w:rFonts w:hint="eastAsia" w:ascii="宋体" w:hAnsi="宋体"/>
          <w:b/>
          <w:sz w:val="24"/>
        </w:rPr>
        <w:t>（二）监狱企业声明函</w:t>
      </w:r>
    </w:p>
    <w:p>
      <w:pPr>
        <w:autoSpaceDE w:val="0"/>
        <w:autoSpaceDN w:val="0"/>
        <w:adjustRightInd w:val="0"/>
        <w:jc w:val="center"/>
        <w:rPr>
          <w:rFonts w:ascii="宋体" w:hAnsi="宋体" w:cs="宋体"/>
          <w:kern w:val="0"/>
          <w:sz w:val="36"/>
          <w:szCs w:val="24"/>
        </w:rPr>
      </w:pPr>
      <w:r>
        <w:rPr>
          <w:rFonts w:hint="eastAsia" w:ascii="宋体" w:hAnsi="宋体" w:cs="宋体"/>
          <w:kern w:val="0"/>
          <w:sz w:val="36"/>
          <w:szCs w:val="24"/>
        </w:rPr>
        <w:t>【非监狱企业不需提供】</w:t>
      </w:r>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sz w:val="24"/>
          <w:szCs w:val="24"/>
        </w:rPr>
      </w:pPr>
      <w:r>
        <w:rPr>
          <w:rFonts w:hint="eastAsia" w:ascii="宋体" w:hAnsi="宋体"/>
          <w:sz w:val="24"/>
          <w:szCs w:val="24"/>
        </w:rPr>
        <w:t>浙江省成套招标代理有限公司：</w:t>
      </w:r>
    </w:p>
    <w:p>
      <w:pPr>
        <w:spacing w:line="360" w:lineRule="auto"/>
        <w:ind w:firstLine="480" w:firstLineChars="200"/>
        <w:rPr>
          <w:rFonts w:ascii="宋体" w:hAnsi="宋体"/>
          <w:sz w:val="24"/>
          <w:szCs w:val="24"/>
        </w:rPr>
      </w:pPr>
      <w:r>
        <w:rPr>
          <w:rFonts w:hint="eastAsia" w:ascii="宋体" w:hAnsi="宋体"/>
          <w:sz w:val="24"/>
          <w:szCs w:val="24"/>
        </w:rPr>
        <w:t>本企业郑重声明，根据《关于政府采购支持监狱企业发展有关问题的通知》（财库</w:t>
      </w:r>
      <w:r>
        <w:rPr>
          <w:rFonts w:ascii="宋体" w:hAnsi="宋体"/>
          <w:sz w:val="24"/>
          <w:szCs w:val="24"/>
        </w:rPr>
        <w:t>[2014]68</w:t>
      </w:r>
      <w:r>
        <w:rPr>
          <w:rFonts w:hint="eastAsia" w:ascii="宋体" w:hAnsi="宋体"/>
          <w:sz w:val="24"/>
          <w:szCs w:val="24"/>
        </w:rPr>
        <w:t>号）的规定，本企业为监狱企业。</w:t>
      </w:r>
    </w:p>
    <w:p>
      <w:pPr>
        <w:spacing w:line="360" w:lineRule="auto"/>
        <w:ind w:firstLine="480" w:firstLineChars="200"/>
        <w:rPr>
          <w:rFonts w:ascii="宋体" w:hAnsi="宋体"/>
          <w:sz w:val="24"/>
          <w:szCs w:val="24"/>
        </w:rPr>
      </w:pPr>
      <w:r>
        <w:rPr>
          <w:rFonts w:hint="eastAsia" w:ascii="宋体" w:hAnsi="宋体"/>
          <w:sz w:val="24"/>
          <w:szCs w:val="24"/>
        </w:rPr>
        <w:t>根据上述标准，我企业属于监狱企业的理由为：</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本企业参加</w:t>
      </w:r>
      <w:r>
        <w:rPr>
          <w:rFonts w:hint="eastAsia" w:ascii="宋体" w:hAnsi="宋体"/>
          <w:sz w:val="24"/>
          <w:szCs w:val="24"/>
          <w:u w:val="single"/>
        </w:rPr>
        <w:t xml:space="preserve">（招标人名称）       </w:t>
      </w:r>
      <w:r>
        <w:rPr>
          <w:rFonts w:hint="eastAsia" w:ascii="宋体" w:hAnsi="宋体"/>
          <w:sz w:val="24"/>
          <w:szCs w:val="24"/>
        </w:rPr>
        <w:t>单位的</w:t>
      </w:r>
      <w:r>
        <w:rPr>
          <w:rFonts w:hint="eastAsia" w:ascii="宋体" w:hAnsi="宋体"/>
          <w:sz w:val="24"/>
          <w:szCs w:val="24"/>
          <w:u w:val="single"/>
        </w:rPr>
        <w:t xml:space="preserve"> （项目名称）         </w:t>
      </w:r>
      <w:r>
        <w:rPr>
          <w:rFonts w:hint="eastAsia" w:ascii="宋体" w:hAnsi="宋体"/>
          <w:sz w:val="24"/>
          <w:szCs w:val="24"/>
        </w:rPr>
        <w:t>项目的采购活动，并由本企业为本项目提供货物。</w:t>
      </w:r>
      <w:r>
        <w:rPr>
          <w:rFonts w:ascii="宋体" w:hAnsi="宋体"/>
          <w:sz w:val="24"/>
          <w:szCs w:val="24"/>
        </w:rPr>
        <w:t xml:space="preserve"> </w:t>
      </w:r>
    </w:p>
    <w:p>
      <w:pPr>
        <w:adjustRightInd w:val="0"/>
        <w:snapToGrid w:val="0"/>
        <w:spacing w:line="360" w:lineRule="auto"/>
        <w:ind w:firstLine="562" w:firstLineChars="200"/>
        <w:rPr>
          <w:rFonts w:ascii="宋体" w:hAnsi="宋体"/>
          <w:b/>
          <w:szCs w:val="24"/>
          <w:u w:val="single"/>
        </w:rPr>
      </w:pPr>
      <w:r>
        <w:rPr>
          <w:rFonts w:hint="eastAsia" w:ascii="宋体" w:hAnsi="宋体"/>
          <w:b/>
          <w:szCs w:val="24"/>
          <w:u w:val="single"/>
        </w:rPr>
        <w:t>本公司对上述声明的真实性负责。如有虚假，将依法承担相应责任。</w:t>
      </w:r>
    </w:p>
    <w:p>
      <w:pPr>
        <w:spacing w:line="360" w:lineRule="auto"/>
        <w:ind w:firstLine="480" w:firstLineChars="200"/>
        <w:rPr>
          <w:rFonts w:hint="eastAsia"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投标人全称（盖单位公章或CA章）：</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说明：</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）非监狱企业不需提供此声明函。</w:t>
      </w:r>
    </w:p>
    <w:p>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）联合体主办方和各成员单位分别提供此函。</w:t>
      </w:r>
    </w:p>
    <w:p>
      <w:pPr>
        <w:adjustRightInd w:val="0"/>
        <w:snapToGrid w:val="0"/>
        <w:spacing w:line="360" w:lineRule="auto"/>
        <w:jc w:val="center"/>
        <w:rPr>
          <w:rFonts w:hint="eastAsia" w:ascii="宋体" w:hAnsi="宋体"/>
          <w:b/>
          <w:sz w:val="24"/>
        </w:rPr>
      </w:pPr>
      <w:r>
        <w:rPr>
          <w:rFonts w:ascii="宋体" w:hAnsi="宋体"/>
          <w:b/>
          <w:sz w:val="24"/>
        </w:rPr>
        <w:br w:type="page"/>
      </w:r>
      <w:r>
        <w:rPr>
          <w:rFonts w:hint="eastAsia" w:ascii="宋体" w:hAnsi="宋体"/>
          <w:b/>
          <w:sz w:val="24"/>
        </w:rPr>
        <w:t>（三）残疾人福利性单位声明函</w:t>
      </w:r>
    </w:p>
    <w:p>
      <w:pPr>
        <w:autoSpaceDE w:val="0"/>
        <w:autoSpaceDN w:val="0"/>
        <w:adjustRightInd w:val="0"/>
        <w:jc w:val="center"/>
        <w:rPr>
          <w:rFonts w:hint="eastAsia" w:ascii="宋体" w:hAnsi="宋体" w:cs="宋体"/>
          <w:kern w:val="0"/>
          <w:sz w:val="36"/>
          <w:szCs w:val="24"/>
        </w:rPr>
      </w:pPr>
      <w:r>
        <w:rPr>
          <w:rFonts w:ascii="宋体" w:hAnsi="宋体" w:cs="宋体"/>
          <w:kern w:val="0"/>
          <w:sz w:val="36"/>
          <w:szCs w:val="24"/>
        </w:rPr>
        <w:t>【非残疾人福利性单位不需提供】</w:t>
      </w:r>
    </w:p>
    <w:p>
      <w:pPr>
        <w:adjustRightInd w:val="0"/>
        <w:snapToGrid w:val="0"/>
        <w:spacing w:line="360" w:lineRule="auto"/>
        <w:rPr>
          <w:rFonts w:hint="eastAsia" w:ascii="宋体" w:hAnsi="宋体"/>
          <w:sz w:val="24"/>
        </w:rPr>
      </w:pPr>
      <w:r>
        <w:rPr>
          <w:rFonts w:hint="eastAsia" w:ascii="宋体" w:hAnsi="宋体"/>
          <w:sz w:val="24"/>
        </w:rPr>
        <w:t>杭州市西湖区城市管理局：</w:t>
      </w:r>
    </w:p>
    <w:p>
      <w:pPr>
        <w:adjustRightInd w:val="0"/>
        <w:snapToGrid w:val="0"/>
        <w:spacing w:line="360" w:lineRule="auto"/>
        <w:rPr>
          <w:rFonts w:hint="eastAsia" w:ascii="宋体" w:hAnsi="宋体"/>
          <w:sz w:val="24"/>
        </w:rPr>
      </w:pPr>
      <w:r>
        <w:rPr>
          <w:rFonts w:hint="eastAsia" w:ascii="宋体" w:hAnsi="宋体"/>
          <w:sz w:val="24"/>
        </w:rPr>
        <w:t>杭州市西湖区人民政府文新街道办事处：</w:t>
      </w:r>
    </w:p>
    <w:p>
      <w:pPr>
        <w:adjustRightInd w:val="0"/>
        <w:snapToGrid w:val="0"/>
        <w:spacing w:line="360" w:lineRule="auto"/>
        <w:rPr>
          <w:rFonts w:hint="eastAsia" w:ascii="宋体" w:hAnsi="宋体"/>
          <w:sz w:val="24"/>
          <w:szCs w:val="24"/>
        </w:rPr>
      </w:pPr>
      <w:r>
        <w:rPr>
          <w:rFonts w:hint="eastAsia" w:ascii="宋体" w:hAnsi="宋体"/>
          <w:sz w:val="24"/>
          <w:szCs w:val="24"/>
        </w:rPr>
        <w:t>浙江省成套招标代理有限公司：</w:t>
      </w:r>
    </w:p>
    <w:p>
      <w:pPr>
        <w:spacing w:line="360" w:lineRule="auto"/>
        <w:ind w:firstLine="480" w:firstLineChars="200"/>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w:t>
      </w:r>
      <w:r>
        <w:rPr>
          <w:rFonts w:hint="eastAsia" w:ascii="宋体" w:hAnsi="宋体"/>
          <w:sz w:val="24"/>
          <w:szCs w:val="24"/>
          <w:u w:val="single"/>
        </w:rPr>
        <w:t xml:space="preserve">（招标人名称）       </w:t>
      </w:r>
      <w:r>
        <w:rPr>
          <w:rFonts w:hint="eastAsia" w:ascii="宋体" w:hAnsi="宋体"/>
          <w:sz w:val="24"/>
          <w:szCs w:val="24"/>
        </w:rPr>
        <w:t>单位的</w:t>
      </w:r>
      <w:r>
        <w:rPr>
          <w:rFonts w:hint="eastAsia" w:ascii="宋体" w:hAnsi="宋体"/>
          <w:sz w:val="24"/>
          <w:szCs w:val="24"/>
          <w:u w:val="single"/>
        </w:rPr>
        <w:t xml:space="preserve"> （项目名称）         </w:t>
      </w:r>
      <w:r>
        <w:rPr>
          <w:rFonts w:hint="eastAsia" w:ascii="宋体" w:hAnsi="宋体"/>
          <w:sz w:val="24"/>
          <w:szCs w:val="24"/>
        </w:rPr>
        <w:t>项目的采购活动，并由本单位为本项目提供货物。</w:t>
      </w:r>
      <w:r>
        <w:rPr>
          <w:rFonts w:ascii="宋体" w:hAnsi="宋体"/>
          <w:sz w:val="24"/>
          <w:szCs w:val="24"/>
        </w:rPr>
        <w:t xml:space="preserve"> </w:t>
      </w:r>
    </w:p>
    <w:p>
      <w:pPr>
        <w:adjustRightInd w:val="0"/>
        <w:snapToGrid w:val="0"/>
        <w:spacing w:line="360" w:lineRule="auto"/>
        <w:ind w:firstLine="562" w:firstLineChars="200"/>
        <w:rPr>
          <w:rFonts w:ascii="宋体" w:hAnsi="宋体"/>
          <w:b/>
          <w:szCs w:val="24"/>
          <w:u w:val="single"/>
        </w:rPr>
      </w:pPr>
      <w:r>
        <w:rPr>
          <w:rFonts w:hint="eastAsia" w:ascii="宋体" w:hAnsi="宋体"/>
          <w:b/>
          <w:szCs w:val="24"/>
          <w:u w:val="single"/>
        </w:rPr>
        <w:t>本公司对上述声明的真实性负责。如有虚假，将依法承担相应责任。</w:t>
      </w:r>
    </w:p>
    <w:p>
      <w:pPr>
        <w:spacing w:line="360" w:lineRule="auto"/>
        <w:ind w:firstLine="480" w:firstLineChars="200"/>
        <w:rPr>
          <w:rFonts w:hint="eastAsia"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投标人全称（盖单位公章或CA章）：</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说明：</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）非残疾人福利性单位不需提供此声明函。</w:t>
      </w:r>
      <w:r>
        <w:rPr>
          <w:rFonts w:ascii="宋体" w:hAnsi="宋体"/>
          <w:sz w:val="24"/>
          <w:szCs w:val="24"/>
        </w:rPr>
        <w:t xml:space="preserve"> </w:t>
      </w:r>
    </w:p>
    <w:p>
      <w:pPr>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）联合体主办方和各成员单位分别提供此函。</w:t>
      </w:r>
    </w:p>
    <w:p>
      <w:pPr>
        <w:spacing w:line="360" w:lineRule="auto"/>
        <w:ind w:firstLine="480" w:firstLineChars="200"/>
        <w:rPr>
          <w:rFonts w:hint="eastAsia" w:ascii="宋体" w:hAnsi="宋体"/>
          <w:sz w:val="24"/>
          <w:szCs w:val="24"/>
        </w:rPr>
      </w:pPr>
    </w:p>
    <w:p>
      <w:pPr>
        <w:pStyle w:val="34"/>
        <w:kinsoku w:val="0"/>
        <w:overflowPunct w:val="0"/>
        <w:spacing w:before="39"/>
        <w:rPr>
          <w:rFonts w:ascii="宋体" w:hAnsi="宋体"/>
        </w:rPr>
      </w:pPr>
    </w:p>
    <w:p>
      <w:pPr>
        <w:kinsoku w:val="0"/>
        <w:overflowPunct w:val="0"/>
        <w:spacing w:before="17" w:line="280" w:lineRule="exact"/>
        <w:rPr>
          <w:rFonts w:ascii="宋体" w:hAnsi="宋体"/>
          <w:szCs w:val="28"/>
        </w:rPr>
      </w:pPr>
      <w:r>
        <w:rPr>
          <w:rFonts w:ascii="宋体" w:hAnsi="宋体"/>
          <w:szCs w:val="28"/>
        </w:rPr>
        <w:br w:type="page"/>
      </w:r>
    </w:p>
    <w:p>
      <w:pPr>
        <w:pStyle w:val="4"/>
        <w:ind w:left="0" w:firstLine="0"/>
        <w:rPr>
          <w:rFonts w:hint="eastAsia" w:ascii="宋体" w:hAnsi="宋体" w:eastAsia="宋体"/>
          <w:sz w:val="28"/>
          <w:szCs w:val="28"/>
        </w:rPr>
      </w:pPr>
      <w:bookmarkStart w:id="116" w:name="_Toc83910215"/>
      <w:r>
        <w:rPr>
          <w:rFonts w:hint="eastAsia" w:ascii="宋体" w:hAnsi="宋体" w:eastAsia="宋体"/>
          <w:sz w:val="28"/>
          <w:szCs w:val="28"/>
        </w:rPr>
        <w:t>投标文件封面</w:t>
      </w:r>
      <w:bookmarkEnd w:id="116"/>
    </w:p>
    <w:p>
      <w:pPr>
        <w:spacing w:line="360" w:lineRule="auto"/>
        <w:jc w:val="right"/>
        <w:rPr>
          <w:rFonts w:hint="eastAsia" w:ascii="宋体" w:hAnsi="宋体"/>
          <w:sz w:val="44"/>
        </w:rPr>
      </w:pPr>
    </w:p>
    <w:p>
      <w:pPr>
        <w:tabs>
          <w:tab w:val="left" w:pos="4500"/>
        </w:tabs>
        <w:autoSpaceDE w:val="0"/>
        <w:autoSpaceDN w:val="0"/>
        <w:adjustRightInd w:val="0"/>
        <w:snapToGrid w:val="0"/>
        <w:spacing w:line="360" w:lineRule="auto"/>
        <w:jc w:val="center"/>
        <w:textAlignment w:val="bottom"/>
        <w:rPr>
          <w:rFonts w:hint="eastAsia" w:ascii="宋体" w:hAnsi="宋体"/>
          <w:b/>
          <w:sz w:val="52"/>
          <w:szCs w:val="44"/>
        </w:rPr>
      </w:pPr>
      <w:r>
        <w:rPr>
          <w:rFonts w:hint="eastAsia" w:ascii="宋体" w:hAnsi="宋体"/>
          <w:b/>
          <w:sz w:val="52"/>
          <w:szCs w:val="44"/>
        </w:rPr>
        <w:t>杭州市西湖区城市管理局</w:t>
      </w:r>
    </w:p>
    <w:p>
      <w:pPr>
        <w:tabs>
          <w:tab w:val="left" w:pos="4500"/>
        </w:tabs>
        <w:autoSpaceDE w:val="0"/>
        <w:autoSpaceDN w:val="0"/>
        <w:adjustRightInd w:val="0"/>
        <w:snapToGrid w:val="0"/>
        <w:spacing w:line="360" w:lineRule="auto"/>
        <w:jc w:val="center"/>
        <w:textAlignment w:val="bottom"/>
        <w:rPr>
          <w:rFonts w:hint="eastAsia" w:ascii="宋体" w:hAnsi="宋体"/>
          <w:b/>
          <w:sz w:val="52"/>
          <w:szCs w:val="44"/>
        </w:rPr>
      </w:pPr>
      <w:r>
        <w:rPr>
          <w:rFonts w:hint="eastAsia" w:ascii="宋体" w:hAnsi="宋体"/>
          <w:b/>
          <w:sz w:val="52"/>
          <w:szCs w:val="44"/>
        </w:rPr>
        <w:t>杭州市西湖区人民政府文新街道办事处</w:t>
      </w:r>
    </w:p>
    <w:p>
      <w:pPr>
        <w:tabs>
          <w:tab w:val="left" w:pos="4500"/>
        </w:tabs>
        <w:autoSpaceDE w:val="0"/>
        <w:autoSpaceDN w:val="0"/>
        <w:adjustRightInd w:val="0"/>
        <w:snapToGrid w:val="0"/>
        <w:spacing w:line="360" w:lineRule="auto"/>
        <w:jc w:val="center"/>
        <w:textAlignment w:val="bottom"/>
        <w:rPr>
          <w:rFonts w:hint="eastAsia" w:ascii="宋体" w:hAnsi="宋体"/>
          <w:b/>
          <w:sz w:val="44"/>
          <w:szCs w:val="44"/>
        </w:rPr>
      </w:pPr>
      <w:r>
        <w:rPr>
          <w:rFonts w:hint="eastAsia" w:ascii="宋体" w:hAnsi="宋体"/>
          <w:b/>
          <w:sz w:val="44"/>
          <w:szCs w:val="44"/>
        </w:rPr>
        <w:t>杭州市西湖区文新街道辖区2021年度街巷清扫保洁采购项目-文二西路以南、西城广场区块</w:t>
      </w:r>
    </w:p>
    <w:p>
      <w:pPr>
        <w:spacing w:before="24" w:beforeLines="10" w:line="360" w:lineRule="auto"/>
        <w:jc w:val="center"/>
        <w:rPr>
          <w:rFonts w:hint="eastAsia" w:ascii="宋体" w:hAnsi="宋体" w:cs="Arial"/>
          <w:b/>
          <w:sz w:val="32"/>
          <w:szCs w:val="32"/>
        </w:rPr>
      </w:pPr>
      <w:r>
        <w:rPr>
          <w:rFonts w:hint="eastAsia" w:ascii="宋体" w:hAnsi="宋体" w:cs="Arial"/>
          <w:b/>
          <w:sz w:val="32"/>
          <w:szCs w:val="32"/>
        </w:rPr>
        <w:t>项目编号：CTZB-2021090711</w:t>
      </w:r>
    </w:p>
    <w:bookmarkEnd w:id="39"/>
    <w:bookmarkEnd w:id="40"/>
    <w:bookmarkEnd w:id="41"/>
    <w:bookmarkEnd w:id="42"/>
    <w:bookmarkEnd w:id="100"/>
    <w:p>
      <w:pPr>
        <w:adjustRightInd w:val="0"/>
        <w:snapToGrid w:val="0"/>
        <w:spacing w:line="360" w:lineRule="auto"/>
        <w:jc w:val="center"/>
        <w:rPr>
          <w:rFonts w:hint="eastAsia" w:ascii="宋体" w:hAnsi="宋体"/>
          <w:sz w:val="24"/>
          <w:szCs w:val="72"/>
        </w:rPr>
      </w:pPr>
      <w:r>
        <w:rPr>
          <w:rFonts w:hint="eastAsia" w:ascii="宋体" w:hAnsi="宋体"/>
          <w:b/>
          <w:bCs/>
        </w:rPr>
        <w:t>资格文件/商务、技术文件/报价文件</w:t>
      </w:r>
    </w:p>
    <w:p>
      <w:pPr>
        <w:adjustRightInd w:val="0"/>
        <w:snapToGrid w:val="0"/>
        <w:spacing w:line="360" w:lineRule="auto"/>
        <w:jc w:val="center"/>
        <w:rPr>
          <w:rFonts w:hint="eastAsia" w:ascii="宋体" w:hAnsi="宋体"/>
          <w:sz w:val="72"/>
          <w:szCs w:val="72"/>
        </w:rPr>
      </w:pPr>
      <w:r>
        <w:rPr>
          <w:rFonts w:hint="eastAsia" w:ascii="宋体" w:hAnsi="宋体"/>
          <w:sz w:val="72"/>
          <w:szCs w:val="72"/>
        </w:rPr>
        <w:t>投</w:t>
      </w:r>
    </w:p>
    <w:p>
      <w:pPr>
        <w:spacing w:line="360" w:lineRule="auto"/>
        <w:jc w:val="center"/>
        <w:rPr>
          <w:rFonts w:hint="eastAsia" w:ascii="宋体" w:hAnsi="宋体"/>
          <w:sz w:val="72"/>
          <w:szCs w:val="72"/>
        </w:rPr>
      </w:pPr>
      <w:r>
        <w:rPr>
          <w:rFonts w:hint="eastAsia" w:ascii="宋体" w:hAnsi="宋体"/>
          <w:sz w:val="72"/>
          <w:szCs w:val="72"/>
        </w:rPr>
        <w:t>标</w:t>
      </w:r>
    </w:p>
    <w:p>
      <w:pPr>
        <w:spacing w:line="360" w:lineRule="auto"/>
        <w:jc w:val="center"/>
        <w:rPr>
          <w:rFonts w:hint="eastAsia" w:ascii="宋体" w:hAnsi="宋体"/>
          <w:sz w:val="72"/>
          <w:szCs w:val="72"/>
        </w:rPr>
      </w:pPr>
      <w:r>
        <w:rPr>
          <w:rFonts w:hint="eastAsia" w:ascii="宋体" w:hAnsi="宋体"/>
          <w:sz w:val="72"/>
          <w:szCs w:val="72"/>
        </w:rPr>
        <w:t>文</w:t>
      </w:r>
    </w:p>
    <w:p>
      <w:pPr>
        <w:spacing w:line="360" w:lineRule="auto"/>
        <w:jc w:val="center"/>
        <w:rPr>
          <w:rFonts w:hint="eastAsia" w:ascii="宋体" w:hAnsi="宋体"/>
          <w:sz w:val="72"/>
          <w:szCs w:val="72"/>
        </w:rPr>
      </w:pPr>
      <w:r>
        <w:rPr>
          <w:rFonts w:hint="eastAsia" w:ascii="宋体" w:hAnsi="宋体"/>
          <w:sz w:val="72"/>
          <w:szCs w:val="72"/>
        </w:rPr>
        <w:t>件</w:t>
      </w:r>
    </w:p>
    <w:p>
      <w:pPr>
        <w:spacing w:line="360" w:lineRule="auto"/>
        <w:ind w:firstLine="960" w:firstLineChars="300"/>
        <w:rPr>
          <w:rFonts w:hint="eastAsia" w:ascii="宋体" w:hAnsi="宋体"/>
          <w:sz w:val="32"/>
        </w:rPr>
      </w:pPr>
      <w:r>
        <w:rPr>
          <w:rFonts w:hint="eastAsia" w:ascii="宋体" w:hAnsi="宋体"/>
          <w:sz w:val="32"/>
        </w:rPr>
        <w:t xml:space="preserve">投标人：（盖单位公章或CA章）              </w:t>
      </w:r>
      <w:r>
        <w:rPr>
          <w:rFonts w:hint="eastAsia" w:ascii="宋体" w:hAnsi="宋体"/>
          <w:sz w:val="32"/>
          <w:u w:val="single"/>
        </w:rPr>
        <w:t xml:space="preserve">             </w:t>
      </w:r>
    </w:p>
    <w:p>
      <w:pPr>
        <w:spacing w:line="360" w:lineRule="auto"/>
        <w:ind w:firstLine="960" w:firstLineChars="300"/>
        <w:rPr>
          <w:rFonts w:hint="eastAsia" w:ascii="宋体" w:hAnsi="宋体"/>
          <w:sz w:val="32"/>
        </w:rPr>
      </w:pPr>
      <w:r>
        <w:rPr>
          <w:rFonts w:hint="eastAsia" w:ascii="宋体" w:hAnsi="宋体"/>
          <w:sz w:val="32"/>
        </w:rPr>
        <w:t>地址：</w:t>
      </w:r>
      <w:r>
        <w:rPr>
          <w:rFonts w:hint="eastAsia" w:ascii="宋体" w:hAnsi="宋体"/>
          <w:sz w:val="32"/>
          <w:u w:val="single"/>
        </w:rPr>
        <w:t xml:space="preserve">                            </w:t>
      </w:r>
    </w:p>
    <w:p>
      <w:pPr>
        <w:ind w:firstLine="960" w:firstLineChars="300"/>
        <w:rPr>
          <w:rFonts w:ascii="宋体" w:hAnsi="宋体"/>
          <w:sz w:val="32"/>
          <w:u w:val="single"/>
        </w:rPr>
      </w:pPr>
      <w:r>
        <w:rPr>
          <w:rFonts w:hint="eastAsia" w:ascii="宋体" w:hAnsi="宋体"/>
          <w:sz w:val="32"/>
        </w:rPr>
        <w:t>日期：</w:t>
      </w:r>
      <w:r>
        <w:rPr>
          <w:rFonts w:hint="eastAsia" w:ascii="宋体" w:hAnsi="宋体"/>
          <w:sz w:val="32"/>
          <w:u w:val="single"/>
        </w:rPr>
        <w:t xml:space="preserve">                            </w:t>
      </w:r>
    </w:p>
    <w:p>
      <w:pPr>
        <w:snapToGrid w:val="0"/>
        <w:spacing w:before="120" w:beforeLines="50" w:after="120" w:afterLines="50"/>
        <w:jc w:val="center"/>
        <w:rPr>
          <w:rFonts w:hint="eastAsia" w:ascii="宋体" w:hAnsi="宋体"/>
          <w:sz w:val="32"/>
          <w:u w:val="single"/>
        </w:rPr>
      </w:pPr>
      <w:r>
        <w:rPr>
          <w:rFonts w:ascii="宋体" w:hAnsi="宋体"/>
          <w:sz w:val="32"/>
          <w:u w:val="single"/>
        </w:rPr>
        <w:br w:type="page"/>
      </w:r>
      <w:r>
        <w:rPr>
          <w:rFonts w:hint="eastAsia" w:ascii="宋体" w:hAnsi="宋体"/>
          <w:b/>
          <w:sz w:val="36"/>
          <w:szCs w:val="36"/>
        </w:rPr>
        <w:t>投标文件自评表</w:t>
      </w:r>
    </w:p>
    <w:p>
      <w:pPr>
        <w:snapToGrid w:val="0"/>
        <w:spacing w:before="120" w:beforeLines="50" w:after="120" w:afterLines="50"/>
        <w:jc w:val="center"/>
        <w:rPr>
          <w:rFonts w:hint="eastAsia" w:ascii="宋体" w:hAnsi="宋体"/>
          <w:b/>
          <w:sz w:val="36"/>
          <w:szCs w:val="36"/>
        </w:rPr>
      </w:pPr>
    </w:p>
    <w:tbl>
      <w:tblPr>
        <w:tblStyle w:val="8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1134"/>
        <w:gridCol w:w="1276"/>
        <w:gridCol w:w="5103"/>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szCs w:val="24"/>
              </w:rPr>
            </w:pPr>
            <w:r>
              <w:rPr>
                <w:rFonts w:hint="eastAsia" w:ascii="宋体" w:hAnsi="宋体"/>
                <w:sz w:val="24"/>
                <w:szCs w:val="24"/>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szCs w:val="24"/>
              </w:rPr>
            </w:pPr>
            <w:r>
              <w:rPr>
                <w:rFonts w:hint="eastAsia" w:ascii="宋体" w:hAnsi="宋体"/>
                <w:sz w:val="24"/>
                <w:szCs w:val="24"/>
              </w:rPr>
              <w:t>评分项目</w:t>
            </w:r>
          </w:p>
        </w:tc>
        <w:tc>
          <w:tcPr>
            <w:tcW w:w="63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szCs w:val="24"/>
              </w:rPr>
            </w:pPr>
            <w:r>
              <w:rPr>
                <w:rFonts w:hint="eastAsia" w:ascii="宋体" w:hAnsi="宋体" w:cs="黑体"/>
                <w:sz w:val="24"/>
                <w:szCs w:val="24"/>
              </w:rPr>
              <w:t>评分要点及说明</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szCs w:val="24"/>
              </w:rPr>
            </w:pPr>
            <w:r>
              <w:rPr>
                <w:rFonts w:hint="eastAsia" w:ascii="宋体" w:hAnsi="宋体" w:cs="黑体"/>
                <w:b/>
                <w:sz w:val="24"/>
                <w:szCs w:val="24"/>
              </w:rPr>
              <w:t>投标文件所在页码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90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Cs/>
                <w:sz w:val="24"/>
                <w:szCs w:val="24"/>
              </w:rPr>
            </w:pPr>
            <w:r>
              <w:rPr>
                <w:rFonts w:hint="eastAsia" w:ascii="宋体" w:hAnsi="宋体"/>
                <w:bCs/>
                <w:sz w:val="24"/>
                <w:szCs w:val="24"/>
              </w:rPr>
              <w:t>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分</w:t>
            </w:r>
          </w:p>
        </w:tc>
        <w:tc>
          <w:tcPr>
            <w:tcW w:w="637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59" w:hRule="atLeast"/>
          <w:jc w:val="center"/>
        </w:trPr>
        <w:tc>
          <w:tcPr>
            <w:tcW w:w="71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bCs/>
                <w:sz w:val="24"/>
                <w:szCs w:val="24"/>
              </w:rPr>
            </w:pPr>
            <w:r>
              <w:rPr>
                <w:rFonts w:hint="eastAsia" w:ascii="宋体" w:hAnsi="宋体"/>
                <w:bCs/>
                <w:sz w:val="24"/>
                <w:szCs w:val="24"/>
              </w:rPr>
              <w:t>二</w:t>
            </w:r>
          </w:p>
        </w:tc>
        <w:tc>
          <w:tcPr>
            <w:tcW w:w="113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sz w:val="24"/>
                <w:szCs w:val="24"/>
              </w:rPr>
            </w:pPr>
            <w:r>
              <w:rPr>
                <w:rFonts w:hint="eastAsia" w:ascii="宋体" w:hAnsi="宋体"/>
                <w:sz w:val="24"/>
                <w:szCs w:val="24"/>
              </w:rPr>
              <w:t>资信及商务情况</w:t>
            </w:r>
          </w:p>
          <w:p>
            <w:pPr>
              <w:spacing w:line="360" w:lineRule="auto"/>
              <w:jc w:val="center"/>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商务、技术文件第XX-XX页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268" w:hRule="atLeast"/>
          <w:jc w:val="center"/>
        </w:trPr>
        <w:tc>
          <w:tcPr>
            <w:tcW w:w="713" w:type="dxa"/>
            <w:vMerge w:val="continue"/>
            <w:tcBorders>
              <w:left w:val="single" w:color="auto" w:sz="4" w:space="0"/>
              <w:right w:val="single" w:color="auto" w:sz="4" w:space="0"/>
            </w:tcBorders>
            <w:noWrap w:val="0"/>
            <w:vAlign w:val="center"/>
          </w:tcPr>
          <w:p>
            <w:pPr>
              <w:widowControl/>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widowControl/>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302" w:hRule="atLeast"/>
          <w:jc w:val="center"/>
        </w:trPr>
        <w:tc>
          <w:tcPr>
            <w:tcW w:w="713" w:type="dxa"/>
            <w:vMerge w:val="continue"/>
            <w:tcBorders>
              <w:left w:val="single" w:color="auto" w:sz="4" w:space="0"/>
              <w:right w:val="single" w:color="auto" w:sz="4" w:space="0"/>
            </w:tcBorders>
            <w:noWrap w:val="0"/>
            <w:vAlign w:val="center"/>
          </w:tcPr>
          <w:p>
            <w:pPr>
              <w:widowControl/>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widowControl/>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302" w:hRule="atLeast"/>
          <w:jc w:val="center"/>
        </w:trPr>
        <w:tc>
          <w:tcPr>
            <w:tcW w:w="713" w:type="dxa"/>
            <w:vMerge w:val="continue"/>
            <w:tcBorders>
              <w:left w:val="single" w:color="auto" w:sz="4" w:space="0"/>
              <w:right w:val="single" w:color="auto" w:sz="4" w:space="0"/>
            </w:tcBorders>
            <w:noWrap w:val="0"/>
            <w:vAlign w:val="center"/>
          </w:tcPr>
          <w:p>
            <w:pPr>
              <w:widowControl/>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widowControl/>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302" w:hRule="atLeast"/>
          <w:jc w:val="center"/>
        </w:trPr>
        <w:tc>
          <w:tcPr>
            <w:tcW w:w="713" w:type="dxa"/>
            <w:vMerge w:val="continue"/>
            <w:tcBorders>
              <w:left w:val="single" w:color="auto" w:sz="4" w:space="0"/>
              <w:right w:val="single" w:color="auto" w:sz="4" w:space="0"/>
            </w:tcBorders>
            <w:noWrap w:val="0"/>
            <w:vAlign w:val="center"/>
          </w:tcPr>
          <w:p>
            <w:pPr>
              <w:widowControl/>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widowControl/>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302" w:hRule="atLeast"/>
          <w:jc w:val="center"/>
        </w:trPr>
        <w:tc>
          <w:tcPr>
            <w:tcW w:w="713" w:type="dxa"/>
            <w:vMerge w:val="continue"/>
            <w:tcBorders>
              <w:left w:val="single" w:color="auto" w:sz="4" w:space="0"/>
              <w:right w:val="single" w:color="auto" w:sz="4" w:space="0"/>
            </w:tcBorders>
            <w:noWrap w:val="0"/>
            <w:vAlign w:val="center"/>
          </w:tcPr>
          <w:p>
            <w:pPr>
              <w:widowControl/>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widowControl/>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302" w:hRule="atLeast"/>
          <w:jc w:val="center"/>
        </w:trPr>
        <w:tc>
          <w:tcPr>
            <w:tcW w:w="71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bCs/>
                <w:sz w:val="24"/>
                <w:szCs w:val="24"/>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74" w:hRule="atLeast"/>
          <w:jc w:val="center"/>
        </w:trPr>
        <w:tc>
          <w:tcPr>
            <w:tcW w:w="71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bCs/>
                <w:sz w:val="24"/>
                <w:szCs w:val="24"/>
              </w:rPr>
            </w:pPr>
            <w:r>
              <w:rPr>
                <w:rFonts w:hint="eastAsia" w:ascii="宋体" w:hAnsi="宋体"/>
                <w:bCs/>
                <w:sz w:val="24"/>
                <w:szCs w:val="24"/>
              </w:rPr>
              <w:t>三</w:t>
            </w:r>
          </w:p>
        </w:tc>
        <w:tc>
          <w:tcPr>
            <w:tcW w:w="113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sz w:val="24"/>
                <w:szCs w:val="24"/>
              </w:rPr>
            </w:pPr>
            <w:r>
              <w:rPr>
                <w:rFonts w:hint="eastAsia" w:ascii="宋体" w:hAnsi="宋体"/>
                <w:sz w:val="24"/>
                <w:szCs w:val="24"/>
              </w:rPr>
              <w:t>技术情况</w:t>
            </w:r>
          </w:p>
          <w:p>
            <w:pPr>
              <w:spacing w:line="360" w:lineRule="auto"/>
              <w:jc w:val="center"/>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分</w:t>
            </w:r>
          </w:p>
        </w:tc>
        <w:tc>
          <w:tcPr>
            <w:tcW w:w="1276"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商务、技术文件第XX-XX页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72" w:hRule="atLeast"/>
          <w:jc w:val="center"/>
        </w:trPr>
        <w:tc>
          <w:tcPr>
            <w:tcW w:w="71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72" w:hRule="atLeast"/>
          <w:jc w:val="center"/>
        </w:trPr>
        <w:tc>
          <w:tcPr>
            <w:tcW w:w="71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72" w:hRule="atLeast"/>
          <w:jc w:val="center"/>
        </w:trPr>
        <w:tc>
          <w:tcPr>
            <w:tcW w:w="71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72" w:hRule="atLeast"/>
          <w:jc w:val="center"/>
        </w:trPr>
        <w:tc>
          <w:tcPr>
            <w:tcW w:w="71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72" w:hRule="atLeast"/>
          <w:jc w:val="center"/>
        </w:trPr>
        <w:tc>
          <w:tcPr>
            <w:tcW w:w="71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cantSplit/>
          <w:trHeight w:val="472" w:hRule="atLeast"/>
          <w:jc w:val="center"/>
        </w:trPr>
        <w:tc>
          <w:tcPr>
            <w:tcW w:w="71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sz w:val="24"/>
                <w:szCs w:val="24"/>
              </w:rPr>
            </w:pPr>
          </w:p>
        </w:tc>
        <w:tc>
          <w:tcPr>
            <w:tcW w:w="1134"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 w:val="24"/>
                <w:szCs w:val="24"/>
              </w:rPr>
            </w:pPr>
          </w:p>
        </w:tc>
        <w:tc>
          <w:tcPr>
            <w:tcW w:w="1276"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p>
        </w:tc>
        <w:tc>
          <w:tcPr>
            <w:tcW w:w="5103"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c>
          <w:tcPr>
            <w:tcW w:w="1080" w:type="dxa"/>
            <w:tcBorders>
              <w:top w:val="single" w:color="auto" w:sz="4" w:space="0"/>
              <w:left w:val="single" w:color="auto" w:sz="4" w:space="0"/>
              <w:right w:val="single" w:color="auto" w:sz="4" w:space="0"/>
            </w:tcBorders>
            <w:noWrap w:val="0"/>
            <w:vAlign w:val="center"/>
          </w:tcPr>
          <w:p>
            <w:pPr>
              <w:jc w:val="left"/>
              <w:rPr>
                <w:rFonts w:hint="eastAsia" w:ascii="宋体" w:hAnsi="宋体"/>
                <w:sz w:val="24"/>
                <w:szCs w:val="24"/>
              </w:rPr>
            </w:pPr>
          </w:p>
        </w:tc>
      </w:tr>
    </w:tbl>
    <w:p>
      <w:pPr>
        <w:spacing w:line="480" w:lineRule="exact"/>
        <w:ind w:firstLine="602" w:firstLineChars="200"/>
        <w:rPr>
          <w:rFonts w:hint="eastAsia" w:ascii="宋体" w:hAnsi="宋体"/>
          <w:szCs w:val="22"/>
        </w:rPr>
      </w:pPr>
      <w:r>
        <w:rPr>
          <w:rFonts w:hint="eastAsia" w:ascii="宋体" w:hAnsi="宋体"/>
          <w:b/>
          <w:sz w:val="30"/>
          <w:szCs w:val="30"/>
        </w:rPr>
        <w:t>说明：本评分标准索引表须附在商务、技术文件正文第1页，并标注相应“评分内容和标准”所在页码。</w:t>
      </w:r>
    </w:p>
    <w:p>
      <w:pPr>
        <w:ind w:firstLine="960" w:firstLineChars="300"/>
        <w:rPr>
          <w:rFonts w:hint="eastAsia" w:ascii="宋体" w:hAnsi="宋体"/>
          <w:sz w:val="32"/>
          <w:u w:val="single"/>
        </w:rPr>
      </w:pPr>
    </w:p>
    <w:p>
      <w:pPr>
        <w:pageBreakBefore/>
        <w:adjustRightInd w:val="0"/>
        <w:snapToGrid w:val="0"/>
        <w:spacing w:line="360" w:lineRule="auto"/>
        <w:jc w:val="center"/>
        <w:outlineLvl w:val="0"/>
        <w:rPr>
          <w:rFonts w:hint="eastAsia" w:ascii="宋体" w:hAnsi="宋体"/>
          <w:b/>
          <w:sz w:val="36"/>
          <w:szCs w:val="36"/>
        </w:rPr>
      </w:pPr>
      <w:bookmarkStart w:id="117" w:name="_Toc83910216"/>
      <w:r>
        <w:rPr>
          <w:rFonts w:hint="eastAsia" w:ascii="宋体" w:hAnsi="宋体"/>
          <w:b/>
          <w:sz w:val="36"/>
          <w:szCs w:val="36"/>
        </w:rPr>
        <w:t>第六部分  评分办法</w:t>
      </w:r>
      <w:bookmarkEnd w:id="117"/>
    </w:p>
    <w:p>
      <w:pPr>
        <w:pStyle w:val="4"/>
        <w:ind w:left="0" w:firstLine="0"/>
        <w:jc w:val="center"/>
        <w:rPr>
          <w:rFonts w:hint="eastAsia" w:ascii="宋体" w:hAnsi="宋体" w:eastAsia="宋体"/>
          <w:sz w:val="32"/>
        </w:rPr>
      </w:pPr>
      <w:bookmarkStart w:id="118" w:name="_Toc83910217"/>
      <w:r>
        <w:rPr>
          <w:rFonts w:hint="eastAsia" w:ascii="宋体" w:hAnsi="宋体" w:eastAsia="宋体"/>
          <w:sz w:val="32"/>
        </w:rPr>
        <w:t>一、评分办法</w:t>
      </w:r>
      <w:bookmarkEnd w:id="118"/>
    </w:p>
    <w:p>
      <w:pPr>
        <w:spacing w:line="360" w:lineRule="auto"/>
        <w:ind w:firstLine="480" w:firstLineChars="200"/>
        <w:jc w:val="left"/>
        <w:rPr>
          <w:rFonts w:hint="eastAsia" w:ascii="宋体" w:hAnsi="宋体"/>
          <w:sz w:val="24"/>
          <w:szCs w:val="24"/>
          <w:u w:val="single"/>
        </w:rPr>
      </w:pPr>
      <w:r>
        <w:rPr>
          <w:rFonts w:hint="eastAsia" w:ascii="宋体" w:hAnsi="宋体"/>
          <w:sz w:val="24"/>
          <w:szCs w:val="24"/>
        </w:rPr>
        <w:t>本项目评分采用：</w:t>
      </w:r>
      <w:r>
        <w:rPr>
          <w:rFonts w:hint="eastAsia" w:ascii="宋体" w:hAnsi="宋体"/>
          <w:sz w:val="24"/>
          <w:szCs w:val="24"/>
          <w:u w:val="single"/>
        </w:rPr>
        <w:t>综合评分法。即在投标文件满足招标文件全部实质性要求的前提下，按照评审因素的量化指标评审得分从高到低的顺序推荐供应商为第一、第二、……中标候选人的评标办法。</w:t>
      </w:r>
    </w:p>
    <w:p>
      <w:pPr>
        <w:spacing w:line="360" w:lineRule="auto"/>
        <w:ind w:firstLine="480" w:firstLineChars="200"/>
        <w:jc w:val="left"/>
        <w:rPr>
          <w:rFonts w:hint="eastAsia" w:ascii="宋体" w:hAnsi="宋体"/>
          <w:sz w:val="24"/>
          <w:szCs w:val="24"/>
        </w:rPr>
      </w:pPr>
      <w:r>
        <w:rPr>
          <w:rFonts w:hint="eastAsia" w:ascii="宋体" w:hAnsi="宋体"/>
          <w:sz w:val="24"/>
          <w:szCs w:val="24"/>
        </w:rPr>
        <w:t>投标人的评审得分=商务、技术分+价格分。</w:t>
      </w:r>
    </w:p>
    <w:p>
      <w:pPr>
        <w:spacing w:line="360" w:lineRule="auto"/>
        <w:ind w:firstLine="480" w:firstLineChars="200"/>
        <w:jc w:val="left"/>
        <w:rPr>
          <w:rFonts w:hint="eastAsia" w:ascii="宋体" w:hAnsi="宋体"/>
          <w:sz w:val="24"/>
          <w:szCs w:val="24"/>
          <w:u w:val="single"/>
        </w:rPr>
      </w:pPr>
      <w:r>
        <w:rPr>
          <w:rFonts w:hint="eastAsia" w:ascii="宋体" w:hAnsi="宋体"/>
          <w:sz w:val="24"/>
          <w:szCs w:val="24"/>
        </w:rPr>
        <w:t>评分过程中采用四舍五入法，并保留小数2位。</w:t>
      </w:r>
    </w:p>
    <w:p>
      <w:pPr>
        <w:pStyle w:val="4"/>
        <w:ind w:left="0" w:firstLine="0"/>
        <w:jc w:val="center"/>
        <w:rPr>
          <w:rFonts w:hint="eastAsia" w:ascii="宋体" w:hAnsi="宋体" w:eastAsia="宋体"/>
          <w:sz w:val="32"/>
        </w:rPr>
      </w:pPr>
      <w:bookmarkStart w:id="119" w:name="_Toc83910218"/>
      <w:r>
        <w:rPr>
          <w:rFonts w:hint="eastAsia" w:ascii="宋体" w:hAnsi="宋体" w:eastAsia="宋体"/>
          <w:sz w:val="32"/>
        </w:rPr>
        <w:t>二、评分细则</w:t>
      </w:r>
      <w:bookmarkEnd w:id="119"/>
    </w:p>
    <w:p>
      <w:pPr>
        <w:spacing w:line="360" w:lineRule="auto"/>
        <w:ind w:firstLine="482" w:firstLineChars="200"/>
        <w:jc w:val="left"/>
        <w:rPr>
          <w:rFonts w:hint="eastAsia" w:ascii="宋体" w:hAnsi="宋体"/>
          <w:b/>
          <w:sz w:val="24"/>
          <w:szCs w:val="24"/>
        </w:rPr>
      </w:pPr>
      <w:r>
        <w:rPr>
          <w:rFonts w:hint="eastAsia" w:ascii="宋体" w:hAnsi="宋体"/>
          <w:b/>
          <w:sz w:val="24"/>
          <w:szCs w:val="24"/>
        </w:rPr>
        <w:t>（一）商务、技术评分表(涉及的证明材料，需提供复制件，未提供的不得分)</w:t>
      </w:r>
    </w:p>
    <w:p>
      <w:pPr>
        <w:pStyle w:val="45"/>
        <w:ind w:firstLine="482" w:firstLineChars="200"/>
        <w:rPr>
          <w:rFonts w:hAnsi="宋体" w:cs="宋体"/>
          <w:b/>
          <w:sz w:val="24"/>
          <w:szCs w:val="24"/>
        </w:rPr>
      </w:pPr>
      <w:r>
        <w:rPr>
          <w:rFonts w:hint="eastAsia" w:hAnsi="宋体" w:cs="宋体"/>
          <w:b/>
          <w:sz w:val="24"/>
          <w:szCs w:val="24"/>
        </w:rPr>
        <w:t>商务文件评审（16分）：</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3"/>
        <w:gridCol w:w="1234"/>
        <w:gridCol w:w="699"/>
        <w:gridCol w:w="65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443" w:type="dxa"/>
            <w:noWrap w:val="0"/>
            <w:vAlign w:val="center"/>
          </w:tcPr>
          <w:p>
            <w:pPr>
              <w:snapToGrid w:val="0"/>
              <w:spacing w:line="300" w:lineRule="exact"/>
              <w:jc w:val="center"/>
              <w:rPr>
                <w:rFonts w:ascii="宋体" w:hAnsi="宋体" w:cs="宋体"/>
                <w:b/>
                <w:sz w:val="24"/>
                <w:szCs w:val="24"/>
              </w:rPr>
            </w:pPr>
            <w:r>
              <w:rPr>
                <w:rFonts w:hint="eastAsia" w:ascii="宋体" w:hAnsi="宋体" w:cs="宋体"/>
                <w:b/>
                <w:sz w:val="24"/>
                <w:szCs w:val="24"/>
              </w:rPr>
              <w:t>序号</w:t>
            </w:r>
          </w:p>
        </w:tc>
        <w:tc>
          <w:tcPr>
            <w:tcW w:w="1234" w:type="dxa"/>
            <w:noWrap w:val="0"/>
            <w:vAlign w:val="center"/>
          </w:tcPr>
          <w:p>
            <w:pPr>
              <w:snapToGrid w:val="0"/>
              <w:spacing w:line="300" w:lineRule="exact"/>
              <w:jc w:val="center"/>
              <w:rPr>
                <w:rFonts w:ascii="宋体" w:hAnsi="宋体" w:cs="宋体"/>
                <w:b/>
                <w:sz w:val="24"/>
                <w:szCs w:val="24"/>
              </w:rPr>
            </w:pPr>
            <w:r>
              <w:rPr>
                <w:rFonts w:hint="eastAsia" w:ascii="宋体" w:hAnsi="宋体" w:cs="宋体"/>
                <w:b/>
                <w:sz w:val="24"/>
                <w:szCs w:val="24"/>
              </w:rPr>
              <w:t>评审因素</w:t>
            </w:r>
          </w:p>
        </w:tc>
        <w:tc>
          <w:tcPr>
            <w:tcW w:w="699" w:type="dxa"/>
            <w:noWrap w:val="0"/>
            <w:vAlign w:val="center"/>
          </w:tcPr>
          <w:p>
            <w:pPr>
              <w:snapToGrid w:val="0"/>
              <w:spacing w:line="300" w:lineRule="exact"/>
              <w:jc w:val="center"/>
              <w:rPr>
                <w:rFonts w:ascii="宋体" w:hAnsi="宋体" w:cs="宋体"/>
                <w:b/>
                <w:sz w:val="24"/>
                <w:szCs w:val="24"/>
              </w:rPr>
            </w:pPr>
            <w:r>
              <w:rPr>
                <w:rFonts w:hint="eastAsia" w:ascii="宋体" w:hAnsi="宋体" w:cs="宋体"/>
                <w:b/>
                <w:sz w:val="24"/>
                <w:szCs w:val="24"/>
              </w:rPr>
              <w:t>分值</w:t>
            </w:r>
          </w:p>
        </w:tc>
        <w:tc>
          <w:tcPr>
            <w:tcW w:w="6516" w:type="dxa"/>
            <w:noWrap w:val="0"/>
            <w:vAlign w:val="center"/>
          </w:tcPr>
          <w:p>
            <w:pPr>
              <w:snapToGrid w:val="0"/>
              <w:spacing w:line="300" w:lineRule="exact"/>
              <w:jc w:val="center"/>
              <w:rPr>
                <w:rFonts w:ascii="宋体" w:hAnsi="宋体" w:cs="宋体"/>
                <w:b/>
                <w:sz w:val="24"/>
                <w:szCs w:val="24"/>
              </w:rPr>
            </w:pPr>
            <w:r>
              <w:rPr>
                <w:rFonts w:hint="eastAsia" w:ascii="宋体" w:hAnsi="宋体" w:cs="宋体"/>
                <w:b/>
                <w:sz w:val="24"/>
                <w:szCs w:val="24"/>
              </w:rPr>
              <w:t>评分标准说明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443" w:type="dxa"/>
            <w:noWrap w:val="0"/>
            <w:vAlign w:val="center"/>
          </w:tcPr>
          <w:p>
            <w:pPr>
              <w:snapToGrid w:val="0"/>
              <w:jc w:val="center"/>
              <w:rPr>
                <w:rFonts w:hint="eastAsia" w:ascii="宋体" w:hAnsi="宋体" w:cs="宋体"/>
                <w:b/>
                <w:bCs/>
                <w:sz w:val="24"/>
                <w:szCs w:val="24"/>
              </w:rPr>
            </w:pPr>
            <w:r>
              <w:rPr>
                <w:rFonts w:hint="eastAsia" w:ascii="宋体" w:hAnsi="宋体" w:cs="宋体"/>
                <w:b/>
                <w:bCs/>
                <w:sz w:val="24"/>
                <w:szCs w:val="24"/>
              </w:rPr>
              <w:t>1</w:t>
            </w:r>
          </w:p>
        </w:tc>
        <w:tc>
          <w:tcPr>
            <w:tcW w:w="1234"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企业业绩</w:t>
            </w:r>
          </w:p>
        </w:tc>
        <w:tc>
          <w:tcPr>
            <w:tcW w:w="699"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4</w:t>
            </w:r>
          </w:p>
        </w:tc>
        <w:tc>
          <w:tcPr>
            <w:tcW w:w="6516" w:type="dxa"/>
            <w:noWrap w:val="0"/>
            <w:vAlign w:val="center"/>
          </w:tcPr>
          <w:p>
            <w:pPr>
              <w:snapToGrid w:val="0"/>
              <w:rPr>
                <w:rFonts w:ascii="宋体" w:hAnsi="宋体" w:cs="宋体"/>
                <w:b/>
                <w:bCs/>
                <w:sz w:val="24"/>
                <w:szCs w:val="24"/>
              </w:rPr>
            </w:pPr>
            <w:r>
              <w:rPr>
                <w:rFonts w:hint="eastAsia" w:ascii="宋体" w:hAnsi="宋体" w:cs="宋体"/>
                <w:b/>
                <w:bCs/>
                <w:sz w:val="24"/>
                <w:szCs w:val="24"/>
              </w:rPr>
              <w:t>2018年1月1日（以合同时间为准）至今，具有市场化招投标的同类保洁业绩的，每个得1分，满分4分。扣完为止。</w:t>
            </w:r>
          </w:p>
          <w:p>
            <w:pPr>
              <w:snapToGrid w:val="0"/>
              <w:rPr>
                <w:rFonts w:ascii="宋体" w:hAnsi="宋体" w:cs="宋体"/>
                <w:b/>
                <w:bCs/>
                <w:sz w:val="24"/>
                <w:szCs w:val="24"/>
              </w:rPr>
            </w:pPr>
            <w:r>
              <w:rPr>
                <w:rFonts w:hint="eastAsia" w:ascii="宋体" w:hAnsi="宋体" w:cs="宋体"/>
                <w:b/>
                <w:bCs/>
                <w:sz w:val="24"/>
                <w:szCs w:val="24"/>
              </w:rPr>
              <w:t>注：原合同与续签合同算一个项目，不重复得分。</w:t>
            </w:r>
          </w:p>
          <w:p>
            <w:pPr>
              <w:snapToGrid w:val="0"/>
              <w:rPr>
                <w:rFonts w:ascii="宋体" w:hAnsi="宋体" w:cs="宋体"/>
                <w:b/>
                <w:bCs/>
                <w:sz w:val="24"/>
                <w:szCs w:val="24"/>
              </w:rPr>
            </w:pPr>
            <w:r>
              <w:rPr>
                <w:rFonts w:hint="eastAsia" w:ascii="宋体" w:hAnsi="宋体" w:cs="宋体"/>
                <w:b/>
                <w:bCs/>
                <w:sz w:val="24"/>
                <w:szCs w:val="24"/>
              </w:rPr>
              <w:t>证明材料：中标通知书及合同（缺一项不得分）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77" w:hRule="atLeast"/>
        </w:trPr>
        <w:tc>
          <w:tcPr>
            <w:tcW w:w="443" w:type="dxa"/>
            <w:noWrap w:val="0"/>
            <w:vAlign w:val="center"/>
          </w:tcPr>
          <w:p>
            <w:pPr>
              <w:snapToGrid w:val="0"/>
              <w:jc w:val="center"/>
              <w:rPr>
                <w:rFonts w:hint="eastAsia" w:ascii="宋体" w:hAnsi="宋体" w:cs="宋体"/>
                <w:b/>
                <w:bCs/>
                <w:sz w:val="24"/>
                <w:szCs w:val="24"/>
              </w:rPr>
            </w:pPr>
            <w:r>
              <w:rPr>
                <w:rFonts w:hint="eastAsia" w:ascii="宋体" w:hAnsi="宋体" w:cs="宋体"/>
                <w:b/>
                <w:bCs/>
                <w:sz w:val="24"/>
                <w:szCs w:val="24"/>
              </w:rPr>
              <w:t>2</w:t>
            </w:r>
          </w:p>
        </w:tc>
        <w:tc>
          <w:tcPr>
            <w:tcW w:w="1234"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履约情况</w:t>
            </w:r>
          </w:p>
        </w:tc>
        <w:tc>
          <w:tcPr>
            <w:tcW w:w="699"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3</w:t>
            </w:r>
          </w:p>
        </w:tc>
        <w:tc>
          <w:tcPr>
            <w:tcW w:w="6516" w:type="dxa"/>
            <w:noWrap w:val="0"/>
            <w:vAlign w:val="center"/>
          </w:tcPr>
          <w:p>
            <w:pPr>
              <w:snapToGrid w:val="0"/>
              <w:rPr>
                <w:rFonts w:ascii="宋体" w:hAnsi="宋体" w:cs="宋体"/>
                <w:b/>
                <w:bCs/>
                <w:sz w:val="24"/>
                <w:szCs w:val="24"/>
              </w:rPr>
            </w:pPr>
            <w:r>
              <w:rPr>
                <w:rFonts w:hint="eastAsia" w:ascii="宋体" w:hAnsi="宋体" w:cs="宋体"/>
                <w:b/>
                <w:bCs/>
                <w:sz w:val="24"/>
                <w:szCs w:val="24"/>
              </w:rPr>
              <w:t>2018年1月1日至今（以项目完成时间为准），完成的市场化招投标同类保洁项目，业主方评价为优良或满意的，1个得1分，满分3分。扣完为止。</w:t>
            </w:r>
          </w:p>
          <w:p>
            <w:pPr>
              <w:snapToGrid w:val="0"/>
              <w:rPr>
                <w:rFonts w:ascii="宋体" w:hAnsi="宋体" w:cs="宋体"/>
                <w:b/>
                <w:bCs/>
                <w:sz w:val="24"/>
                <w:szCs w:val="24"/>
              </w:rPr>
            </w:pPr>
            <w:r>
              <w:rPr>
                <w:rFonts w:hint="eastAsia" w:ascii="宋体" w:hAnsi="宋体" w:cs="宋体"/>
                <w:b/>
                <w:bCs/>
                <w:sz w:val="24"/>
                <w:szCs w:val="24"/>
              </w:rPr>
              <w:t>注：原合同与续签合同算同一个项目；同一个业主只计1分。</w:t>
            </w:r>
          </w:p>
          <w:p>
            <w:pPr>
              <w:snapToGrid w:val="0"/>
              <w:rPr>
                <w:rFonts w:ascii="宋体" w:hAnsi="宋体" w:cs="宋体"/>
                <w:b/>
                <w:bCs/>
                <w:sz w:val="24"/>
                <w:szCs w:val="24"/>
              </w:rPr>
            </w:pPr>
            <w:r>
              <w:rPr>
                <w:rFonts w:hint="eastAsia" w:ascii="宋体" w:hAnsi="宋体" w:cs="宋体"/>
                <w:b/>
                <w:bCs/>
                <w:sz w:val="24"/>
                <w:szCs w:val="24"/>
              </w:rPr>
              <w:t>证明材料：中标通知书、合同及业主方评价（缺一项不得分）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3" w:hRule="atLeast"/>
        </w:trPr>
        <w:tc>
          <w:tcPr>
            <w:tcW w:w="443" w:type="dxa"/>
            <w:noWrap w:val="0"/>
            <w:vAlign w:val="center"/>
          </w:tcPr>
          <w:p>
            <w:pPr>
              <w:snapToGrid w:val="0"/>
              <w:jc w:val="center"/>
              <w:rPr>
                <w:rFonts w:hint="eastAsia" w:ascii="宋体" w:hAnsi="宋体" w:cs="宋体"/>
                <w:b/>
                <w:bCs/>
                <w:sz w:val="24"/>
                <w:szCs w:val="24"/>
              </w:rPr>
            </w:pPr>
            <w:r>
              <w:rPr>
                <w:rFonts w:hint="eastAsia" w:ascii="宋体" w:hAnsi="宋体" w:cs="宋体"/>
                <w:b/>
                <w:bCs/>
                <w:sz w:val="24"/>
                <w:szCs w:val="24"/>
              </w:rPr>
              <w:t>3</w:t>
            </w:r>
          </w:p>
        </w:tc>
        <w:tc>
          <w:tcPr>
            <w:tcW w:w="1234"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员工薪资发放情况</w:t>
            </w:r>
          </w:p>
        </w:tc>
        <w:tc>
          <w:tcPr>
            <w:tcW w:w="699"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3</w:t>
            </w:r>
          </w:p>
        </w:tc>
        <w:tc>
          <w:tcPr>
            <w:tcW w:w="6516" w:type="dxa"/>
            <w:noWrap w:val="0"/>
            <w:vAlign w:val="center"/>
          </w:tcPr>
          <w:p>
            <w:pPr>
              <w:snapToGrid w:val="0"/>
              <w:rPr>
                <w:rFonts w:ascii="宋体" w:hAnsi="宋体" w:cs="宋体"/>
                <w:b/>
                <w:bCs/>
                <w:sz w:val="24"/>
                <w:szCs w:val="24"/>
              </w:rPr>
            </w:pPr>
            <w:r>
              <w:rPr>
                <w:rFonts w:ascii="宋体" w:hAnsi="宋体" w:cs="宋体"/>
                <w:b/>
                <w:bCs/>
                <w:sz w:val="24"/>
                <w:szCs w:val="24"/>
              </w:rPr>
              <w:t>2018年</w:t>
            </w:r>
            <w:r>
              <w:rPr>
                <w:rFonts w:hint="eastAsia" w:ascii="宋体" w:hAnsi="宋体" w:cs="宋体"/>
                <w:b/>
                <w:bCs/>
                <w:sz w:val="24"/>
                <w:szCs w:val="24"/>
              </w:rPr>
              <w:t>1</w:t>
            </w:r>
            <w:r>
              <w:rPr>
                <w:rFonts w:ascii="宋体" w:hAnsi="宋体" w:cs="宋体"/>
                <w:b/>
                <w:bCs/>
                <w:sz w:val="24"/>
                <w:szCs w:val="24"/>
              </w:rPr>
              <w:t>月</w:t>
            </w:r>
            <w:r>
              <w:rPr>
                <w:rFonts w:hint="eastAsia" w:ascii="宋体" w:hAnsi="宋体" w:cs="宋体"/>
                <w:b/>
                <w:bCs/>
                <w:sz w:val="24"/>
                <w:szCs w:val="24"/>
              </w:rPr>
              <w:t>1</w:t>
            </w:r>
            <w:r>
              <w:rPr>
                <w:rFonts w:ascii="宋体" w:hAnsi="宋体" w:cs="宋体"/>
                <w:b/>
                <w:bCs/>
                <w:sz w:val="24"/>
                <w:szCs w:val="24"/>
              </w:rPr>
              <w:t>日</w:t>
            </w:r>
            <w:r>
              <w:rPr>
                <w:rFonts w:hint="eastAsia" w:ascii="宋体" w:hAnsi="宋体" w:cs="宋体"/>
                <w:b/>
                <w:bCs/>
                <w:sz w:val="24"/>
                <w:szCs w:val="24"/>
              </w:rPr>
              <w:t>（</w:t>
            </w:r>
            <w:r>
              <w:rPr>
                <w:rFonts w:ascii="宋体" w:hAnsi="宋体" w:cs="宋体"/>
                <w:b/>
                <w:bCs/>
                <w:sz w:val="24"/>
                <w:szCs w:val="24"/>
              </w:rPr>
              <w:t>以</w:t>
            </w:r>
            <w:r>
              <w:rPr>
                <w:rFonts w:hint="eastAsia" w:ascii="宋体" w:hAnsi="宋体" w:cs="宋体"/>
                <w:b/>
                <w:bCs/>
                <w:sz w:val="24"/>
                <w:szCs w:val="24"/>
              </w:rPr>
              <w:t>事件</w:t>
            </w:r>
            <w:r>
              <w:rPr>
                <w:rFonts w:ascii="宋体" w:hAnsi="宋体" w:cs="宋体"/>
                <w:b/>
                <w:bCs/>
                <w:sz w:val="24"/>
                <w:szCs w:val="24"/>
              </w:rPr>
              <w:t>发生</w:t>
            </w:r>
            <w:r>
              <w:rPr>
                <w:rFonts w:hint="eastAsia" w:ascii="宋体" w:hAnsi="宋体" w:cs="宋体"/>
                <w:b/>
                <w:bCs/>
                <w:sz w:val="24"/>
                <w:szCs w:val="24"/>
              </w:rPr>
              <w:t>时间</w:t>
            </w:r>
            <w:r>
              <w:rPr>
                <w:rFonts w:ascii="宋体" w:hAnsi="宋体" w:cs="宋体"/>
                <w:b/>
                <w:bCs/>
                <w:sz w:val="24"/>
                <w:szCs w:val="24"/>
              </w:rPr>
              <w:t>为准</w:t>
            </w:r>
            <w:r>
              <w:rPr>
                <w:rFonts w:hint="eastAsia" w:ascii="宋体" w:hAnsi="宋体" w:cs="宋体"/>
                <w:b/>
                <w:bCs/>
                <w:sz w:val="24"/>
                <w:szCs w:val="24"/>
              </w:rPr>
              <w:t>）至今，</w:t>
            </w:r>
            <w:r>
              <w:rPr>
                <w:rFonts w:ascii="宋体" w:hAnsi="宋体" w:cs="宋体"/>
                <w:b/>
                <w:bCs/>
                <w:sz w:val="24"/>
                <w:szCs w:val="24"/>
              </w:rPr>
              <w:t>未发生过有关员工薪酬及权益保障方面的投诉、群体性事件、被劳动部门处罚及被市级环卫主管部门通报批评的</w:t>
            </w:r>
            <w:r>
              <w:rPr>
                <w:rFonts w:hint="eastAsia" w:ascii="宋体" w:hAnsi="宋体" w:cs="宋体"/>
                <w:b/>
                <w:bCs/>
                <w:sz w:val="24"/>
                <w:szCs w:val="24"/>
              </w:rPr>
              <w:t>，</w:t>
            </w:r>
            <w:r>
              <w:rPr>
                <w:rFonts w:ascii="宋体" w:hAnsi="宋体" w:cs="宋体"/>
                <w:b/>
                <w:bCs/>
                <w:sz w:val="24"/>
                <w:szCs w:val="24"/>
              </w:rPr>
              <w:t>得</w:t>
            </w:r>
            <w:r>
              <w:rPr>
                <w:rFonts w:hint="eastAsia" w:ascii="宋体" w:hAnsi="宋体" w:cs="宋体"/>
                <w:b/>
                <w:bCs/>
                <w:sz w:val="24"/>
                <w:szCs w:val="24"/>
              </w:rPr>
              <w:t>3</w:t>
            </w:r>
            <w:r>
              <w:rPr>
                <w:rFonts w:ascii="宋体" w:hAnsi="宋体" w:cs="宋体"/>
                <w:b/>
                <w:bCs/>
                <w:sz w:val="24"/>
                <w:szCs w:val="24"/>
              </w:rPr>
              <w:t>分</w:t>
            </w:r>
            <w:r>
              <w:rPr>
                <w:rFonts w:hint="eastAsia" w:ascii="宋体" w:hAnsi="宋体" w:cs="宋体"/>
                <w:b/>
                <w:bCs/>
                <w:sz w:val="24"/>
                <w:szCs w:val="24"/>
              </w:rPr>
              <w:t>；</w:t>
            </w:r>
            <w:r>
              <w:rPr>
                <w:rFonts w:ascii="宋体" w:hAnsi="宋体" w:cs="宋体"/>
                <w:b/>
                <w:bCs/>
                <w:sz w:val="24"/>
                <w:szCs w:val="24"/>
              </w:rPr>
              <w:t>每发生一次扣</w:t>
            </w:r>
            <w:r>
              <w:rPr>
                <w:rFonts w:hint="eastAsia" w:ascii="宋体" w:hAnsi="宋体" w:cs="宋体"/>
                <w:b/>
                <w:bCs/>
                <w:sz w:val="24"/>
                <w:szCs w:val="24"/>
              </w:rPr>
              <w:t>1</w:t>
            </w:r>
            <w:r>
              <w:rPr>
                <w:rFonts w:ascii="宋体" w:hAnsi="宋体" w:cs="宋体"/>
                <w:b/>
                <w:bCs/>
                <w:sz w:val="24"/>
                <w:szCs w:val="24"/>
              </w:rPr>
              <w:t>分。</w:t>
            </w:r>
            <w:r>
              <w:rPr>
                <w:rFonts w:hint="eastAsia" w:ascii="宋体" w:hAnsi="宋体" w:cs="宋体"/>
                <w:b/>
                <w:bCs/>
                <w:sz w:val="24"/>
                <w:szCs w:val="24"/>
              </w:rPr>
              <w:t>扣完为止。</w:t>
            </w:r>
          </w:p>
          <w:p>
            <w:pPr>
              <w:pStyle w:val="35"/>
              <w:spacing w:line="240" w:lineRule="auto"/>
              <w:ind w:firstLine="0"/>
              <w:rPr>
                <w:rFonts w:ascii="宋体" w:hAnsi="宋体" w:eastAsia="宋体"/>
                <w:sz w:val="24"/>
                <w:szCs w:val="24"/>
              </w:rPr>
            </w:pPr>
            <w:r>
              <w:rPr>
                <w:rFonts w:hint="eastAsia" w:ascii="宋体" w:hAnsi="宋体" w:eastAsia="宋体" w:cs="宋体"/>
                <w:b/>
                <w:bCs/>
                <w:sz w:val="24"/>
                <w:szCs w:val="24"/>
              </w:rPr>
              <w:t>证明材料：发生的，提供相关</w:t>
            </w:r>
            <w:r>
              <w:rPr>
                <w:rFonts w:ascii="宋体" w:hAnsi="宋体" w:eastAsia="宋体" w:cs="宋体"/>
                <w:b/>
                <w:bCs/>
                <w:sz w:val="24"/>
                <w:szCs w:val="24"/>
              </w:rPr>
              <w:t>部门出具的</w:t>
            </w:r>
            <w:r>
              <w:rPr>
                <w:rFonts w:hint="eastAsia" w:ascii="宋体" w:hAnsi="宋体" w:eastAsia="宋体" w:cs="宋体"/>
                <w:b/>
                <w:bCs/>
                <w:sz w:val="24"/>
                <w:szCs w:val="24"/>
              </w:rPr>
              <w:t>处理意见等</w:t>
            </w:r>
            <w:r>
              <w:rPr>
                <w:rFonts w:ascii="宋体" w:hAnsi="宋体" w:eastAsia="宋体" w:cs="宋体"/>
                <w:b/>
                <w:bCs/>
                <w:sz w:val="24"/>
                <w:szCs w:val="24"/>
              </w:rPr>
              <w:t>相关材料</w:t>
            </w:r>
            <w:r>
              <w:rPr>
                <w:rFonts w:hint="eastAsia" w:ascii="宋体" w:hAnsi="宋体" w:eastAsia="宋体" w:cs="宋体"/>
                <w:b/>
                <w:bCs/>
                <w:sz w:val="24"/>
                <w:szCs w:val="24"/>
              </w:rPr>
              <w:t>；未发生的，</w:t>
            </w:r>
            <w:r>
              <w:rPr>
                <w:rFonts w:ascii="宋体" w:hAnsi="宋体" w:eastAsia="宋体" w:cs="宋体"/>
                <w:b/>
                <w:bCs/>
                <w:sz w:val="24"/>
                <w:szCs w:val="24"/>
              </w:rPr>
              <w:t>提供承诺书</w:t>
            </w:r>
            <w:r>
              <w:rPr>
                <w:rFonts w:hint="eastAsia" w:ascii="宋体" w:hAnsi="宋体" w:eastAsia="宋体" w:cs="宋体"/>
                <w:b/>
                <w:bCs/>
                <w:sz w:val="24"/>
                <w:szCs w:val="24"/>
              </w:rPr>
              <w:t>（格式自拟）；未提供</w:t>
            </w:r>
            <w:r>
              <w:rPr>
                <w:rFonts w:ascii="宋体" w:hAnsi="宋体" w:eastAsia="宋体" w:cs="宋体"/>
                <w:b/>
                <w:bCs/>
                <w:sz w:val="24"/>
                <w:szCs w:val="24"/>
              </w:rPr>
              <w:t>承诺书</w:t>
            </w:r>
            <w:r>
              <w:rPr>
                <w:rFonts w:hint="eastAsia" w:ascii="宋体" w:hAnsi="宋体" w:eastAsia="宋体" w:cs="宋体"/>
                <w:b/>
                <w:bCs/>
                <w:sz w:val="24"/>
                <w:szCs w:val="24"/>
              </w:rPr>
              <w:t>的，按0</w:t>
            </w:r>
            <w:r>
              <w:rPr>
                <w:rFonts w:ascii="宋体" w:hAnsi="宋体" w:eastAsia="宋体" w:cs="宋体"/>
                <w:b/>
                <w:bCs/>
                <w:sz w:val="24"/>
                <w:szCs w:val="24"/>
              </w:rPr>
              <w:t>分</w:t>
            </w:r>
            <w:r>
              <w:rPr>
                <w:rFonts w:hint="eastAsia" w:ascii="宋体" w:hAnsi="宋体" w:eastAsia="宋体" w:cs="宋体"/>
                <w:b/>
                <w:bCs/>
                <w:sz w:val="24"/>
                <w:szCs w:val="24"/>
              </w:rPr>
              <w:t>计。</w:t>
            </w:r>
            <w:r>
              <w:rPr>
                <w:rFonts w:ascii="宋体" w:hAnsi="宋体" w:eastAsia="宋体" w:cs="宋体"/>
                <w:b/>
                <w:bCs/>
                <w:sz w:val="24"/>
                <w:szCs w:val="24"/>
              </w:rPr>
              <w:t>若有隐瞒的</w:t>
            </w:r>
            <w:r>
              <w:rPr>
                <w:rFonts w:hint="eastAsia" w:ascii="宋体" w:hAnsi="宋体" w:eastAsia="宋体" w:cs="宋体"/>
                <w:b/>
                <w:bCs/>
                <w:sz w:val="24"/>
                <w:szCs w:val="24"/>
              </w:rPr>
              <w:t>，</w:t>
            </w:r>
            <w:r>
              <w:rPr>
                <w:rFonts w:ascii="宋体" w:hAnsi="宋体" w:eastAsia="宋体" w:cs="宋体"/>
                <w:b/>
                <w:bCs/>
                <w:sz w:val="24"/>
                <w:szCs w:val="24"/>
              </w:rPr>
              <w:t>取消其中标资格。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443" w:type="dxa"/>
            <w:noWrap w:val="0"/>
            <w:vAlign w:val="center"/>
          </w:tcPr>
          <w:p>
            <w:pPr>
              <w:snapToGrid w:val="0"/>
              <w:jc w:val="center"/>
              <w:rPr>
                <w:rFonts w:hint="eastAsia" w:ascii="宋体" w:hAnsi="宋体" w:cs="宋体"/>
                <w:b/>
                <w:bCs/>
                <w:sz w:val="24"/>
                <w:szCs w:val="24"/>
              </w:rPr>
            </w:pPr>
            <w:r>
              <w:rPr>
                <w:rFonts w:hint="eastAsia" w:ascii="宋体" w:hAnsi="宋体" w:cs="宋体"/>
                <w:b/>
                <w:bCs/>
                <w:sz w:val="24"/>
                <w:szCs w:val="24"/>
              </w:rPr>
              <w:t>4</w:t>
            </w:r>
          </w:p>
        </w:tc>
        <w:tc>
          <w:tcPr>
            <w:tcW w:w="1234"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通报批评情况</w:t>
            </w:r>
          </w:p>
        </w:tc>
        <w:tc>
          <w:tcPr>
            <w:tcW w:w="699"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3</w:t>
            </w:r>
          </w:p>
        </w:tc>
        <w:tc>
          <w:tcPr>
            <w:tcW w:w="6516" w:type="dxa"/>
            <w:noWrap w:val="0"/>
            <w:vAlign w:val="center"/>
          </w:tcPr>
          <w:p>
            <w:pPr>
              <w:snapToGrid w:val="0"/>
              <w:rPr>
                <w:rFonts w:ascii="宋体" w:hAnsi="宋体" w:cs="宋体"/>
                <w:b/>
                <w:bCs/>
                <w:sz w:val="24"/>
                <w:szCs w:val="24"/>
              </w:rPr>
            </w:pPr>
            <w:r>
              <w:rPr>
                <w:rFonts w:ascii="宋体" w:hAnsi="宋体" w:cs="宋体"/>
                <w:b/>
                <w:bCs/>
                <w:sz w:val="24"/>
                <w:szCs w:val="24"/>
              </w:rPr>
              <w:t>2018年</w:t>
            </w:r>
            <w:r>
              <w:rPr>
                <w:rFonts w:hint="eastAsia" w:ascii="宋体" w:hAnsi="宋体" w:cs="宋体"/>
                <w:b/>
                <w:bCs/>
                <w:sz w:val="24"/>
                <w:szCs w:val="24"/>
              </w:rPr>
              <w:t>1</w:t>
            </w:r>
            <w:r>
              <w:rPr>
                <w:rFonts w:ascii="宋体" w:hAnsi="宋体" w:cs="宋体"/>
                <w:b/>
                <w:bCs/>
                <w:sz w:val="24"/>
                <w:szCs w:val="24"/>
              </w:rPr>
              <w:t>月</w:t>
            </w:r>
            <w:r>
              <w:rPr>
                <w:rFonts w:hint="eastAsia" w:ascii="宋体" w:hAnsi="宋体" w:cs="宋体"/>
                <w:b/>
                <w:bCs/>
                <w:sz w:val="24"/>
                <w:szCs w:val="24"/>
              </w:rPr>
              <w:t>1</w:t>
            </w:r>
            <w:r>
              <w:rPr>
                <w:rFonts w:ascii="宋体" w:hAnsi="宋体" w:cs="宋体"/>
                <w:b/>
                <w:bCs/>
                <w:sz w:val="24"/>
                <w:szCs w:val="24"/>
              </w:rPr>
              <w:t>日</w:t>
            </w:r>
            <w:r>
              <w:rPr>
                <w:rFonts w:hint="eastAsia" w:ascii="宋体" w:hAnsi="宋体" w:cs="宋体"/>
                <w:b/>
                <w:bCs/>
                <w:sz w:val="24"/>
                <w:szCs w:val="24"/>
              </w:rPr>
              <w:t>（</w:t>
            </w:r>
            <w:r>
              <w:rPr>
                <w:rFonts w:ascii="宋体" w:hAnsi="宋体" w:cs="宋体"/>
                <w:b/>
                <w:bCs/>
                <w:sz w:val="24"/>
                <w:szCs w:val="24"/>
              </w:rPr>
              <w:t>以</w:t>
            </w:r>
            <w:r>
              <w:rPr>
                <w:rFonts w:hint="eastAsia" w:ascii="宋体" w:hAnsi="宋体" w:cs="宋体"/>
                <w:b/>
                <w:bCs/>
                <w:sz w:val="24"/>
                <w:szCs w:val="24"/>
              </w:rPr>
              <w:t>文件发放时间</w:t>
            </w:r>
            <w:r>
              <w:rPr>
                <w:rFonts w:ascii="宋体" w:hAnsi="宋体" w:cs="宋体"/>
                <w:b/>
                <w:bCs/>
                <w:sz w:val="24"/>
                <w:szCs w:val="24"/>
              </w:rPr>
              <w:t>为准</w:t>
            </w:r>
            <w:r>
              <w:rPr>
                <w:rFonts w:hint="eastAsia" w:ascii="宋体" w:hAnsi="宋体" w:cs="宋体"/>
                <w:b/>
                <w:bCs/>
                <w:sz w:val="24"/>
                <w:szCs w:val="24"/>
              </w:rPr>
              <w:t>）至今，</w:t>
            </w:r>
            <w:r>
              <w:rPr>
                <w:rFonts w:ascii="宋体" w:hAnsi="宋体" w:cs="宋体"/>
                <w:b/>
                <w:bCs/>
                <w:sz w:val="24"/>
                <w:szCs w:val="24"/>
              </w:rPr>
              <w:t>未被通报批评过的</w:t>
            </w:r>
            <w:r>
              <w:rPr>
                <w:rFonts w:hint="eastAsia" w:ascii="宋体" w:hAnsi="宋体" w:cs="宋体"/>
                <w:b/>
                <w:bCs/>
                <w:sz w:val="24"/>
                <w:szCs w:val="24"/>
              </w:rPr>
              <w:t>，</w:t>
            </w:r>
            <w:r>
              <w:rPr>
                <w:rFonts w:ascii="宋体" w:hAnsi="宋体" w:cs="宋体"/>
                <w:b/>
                <w:bCs/>
                <w:sz w:val="24"/>
                <w:szCs w:val="24"/>
              </w:rPr>
              <w:t>得</w:t>
            </w:r>
            <w:r>
              <w:rPr>
                <w:rFonts w:hint="eastAsia" w:ascii="宋体" w:hAnsi="宋体" w:cs="宋体"/>
                <w:b/>
                <w:bCs/>
                <w:sz w:val="24"/>
                <w:szCs w:val="24"/>
              </w:rPr>
              <w:t>3</w:t>
            </w:r>
            <w:r>
              <w:rPr>
                <w:rFonts w:ascii="宋体" w:hAnsi="宋体" w:cs="宋体"/>
                <w:b/>
                <w:bCs/>
                <w:sz w:val="24"/>
                <w:szCs w:val="24"/>
              </w:rPr>
              <w:t>分</w:t>
            </w:r>
            <w:r>
              <w:rPr>
                <w:rFonts w:hint="eastAsia" w:ascii="宋体" w:hAnsi="宋体" w:cs="宋体"/>
                <w:b/>
                <w:bCs/>
                <w:sz w:val="24"/>
                <w:szCs w:val="24"/>
              </w:rPr>
              <w:t>；</w:t>
            </w:r>
            <w:r>
              <w:rPr>
                <w:rFonts w:ascii="宋体" w:hAnsi="宋体" w:cs="宋体"/>
                <w:b/>
                <w:bCs/>
                <w:sz w:val="24"/>
                <w:szCs w:val="24"/>
              </w:rPr>
              <w:t>被县、区级通报批评</w:t>
            </w:r>
            <w:r>
              <w:rPr>
                <w:rFonts w:hint="eastAsia" w:ascii="宋体" w:hAnsi="宋体" w:cs="宋体"/>
                <w:b/>
                <w:bCs/>
                <w:sz w:val="24"/>
                <w:szCs w:val="24"/>
              </w:rPr>
              <w:t>的</w:t>
            </w:r>
            <w:r>
              <w:rPr>
                <w:rFonts w:ascii="宋体" w:hAnsi="宋体" w:cs="宋体"/>
                <w:b/>
                <w:bCs/>
                <w:sz w:val="24"/>
                <w:szCs w:val="24"/>
              </w:rPr>
              <w:t>，1次扣</w:t>
            </w:r>
            <w:r>
              <w:rPr>
                <w:rFonts w:hint="eastAsia" w:ascii="宋体" w:hAnsi="宋体" w:cs="宋体"/>
                <w:b/>
                <w:bCs/>
                <w:sz w:val="24"/>
                <w:szCs w:val="24"/>
              </w:rPr>
              <w:t>1</w:t>
            </w:r>
            <w:r>
              <w:rPr>
                <w:rFonts w:ascii="宋体" w:hAnsi="宋体" w:cs="宋体"/>
                <w:b/>
                <w:bCs/>
                <w:sz w:val="24"/>
                <w:szCs w:val="24"/>
              </w:rPr>
              <w:t>分</w:t>
            </w:r>
            <w:r>
              <w:rPr>
                <w:rFonts w:hint="eastAsia" w:ascii="宋体" w:hAnsi="宋体" w:cs="宋体"/>
                <w:b/>
                <w:bCs/>
                <w:sz w:val="24"/>
                <w:szCs w:val="24"/>
              </w:rPr>
              <w:t>；被</w:t>
            </w:r>
            <w:r>
              <w:rPr>
                <w:rFonts w:ascii="宋体" w:hAnsi="宋体" w:cs="宋体"/>
                <w:b/>
                <w:bCs/>
                <w:sz w:val="24"/>
                <w:szCs w:val="24"/>
              </w:rPr>
              <w:t>市级</w:t>
            </w:r>
            <w:r>
              <w:rPr>
                <w:rFonts w:hint="eastAsia" w:ascii="宋体" w:hAnsi="宋体" w:cs="宋体"/>
                <w:b/>
                <w:bCs/>
                <w:sz w:val="24"/>
                <w:szCs w:val="24"/>
              </w:rPr>
              <w:t>及以上</w:t>
            </w:r>
            <w:r>
              <w:rPr>
                <w:rFonts w:ascii="宋体" w:hAnsi="宋体" w:cs="宋体"/>
                <w:b/>
                <w:bCs/>
                <w:sz w:val="24"/>
                <w:szCs w:val="24"/>
              </w:rPr>
              <w:t>通报批评</w:t>
            </w:r>
            <w:r>
              <w:rPr>
                <w:rFonts w:hint="eastAsia" w:ascii="宋体" w:hAnsi="宋体" w:cs="宋体"/>
                <w:b/>
                <w:bCs/>
                <w:sz w:val="24"/>
                <w:szCs w:val="24"/>
              </w:rPr>
              <w:t>的，</w:t>
            </w:r>
            <w:r>
              <w:rPr>
                <w:rFonts w:ascii="宋体" w:hAnsi="宋体" w:cs="宋体"/>
                <w:b/>
                <w:bCs/>
                <w:sz w:val="24"/>
                <w:szCs w:val="24"/>
              </w:rPr>
              <w:t>一次扣</w:t>
            </w:r>
            <w:r>
              <w:rPr>
                <w:rFonts w:hint="eastAsia" w:ascii="宋体" w:hAnsi="宋体" w:cs="宋体"/>
                <w:b/>
                <w:bCs/>
                <w:sz w:val="24"/>
                <w:szCs w:val="24"/>
              </w:rPr>
              <w:t>2</w:t>
            </w:r>
            <w:r>
              <w:rPr>
                <w:rFonts w:ascii="宋体" w:hAnsi="宋体" w:cs="宋体"/>
                <w:b/>
                <w:bCs/>
                <w:sz w:val="24"/>
                <w:szCs w:val="24"/>
              </w:rPr>
              <w:t>分</w:t>
            </w:r>
            <w:r>
              <w:rPr>
                <w:rFonts w:hint="eastAsia" w:ascii="宋体" w:hAnsi="宋体" w:cs="宋体"/>
                <w:b/>
                <w:bCs/>
                <w:sz w:val="24"/>
                <w:szCs w:val="24"/>
              </w:rPr>
              <w:t>。扣完为止。</w:t>
            </w:r>
          </w:p>
          <w:p>
            <w:pPr>
              <w:snapToGrid w:val="0"/>
              <w:rPr>
                <w:rFonts w:ascii="宋体" w:hAnsi="宋体" w:cs="宋体"/>
                <w:b/>
                <w:bCs/>
                <w:sz w:val="24"/>
                <w:szCs w:val="24"/>
              </w:rPr>
            </w:pPr>
            <w:r>
              <w:rPr>
                <w:rFonts w:hint="eastAsia" w:ascii="宋体" w:hAnsi="宋体" w:cs="宋体"/>
                <w:b/>
                <w:bCs/>
                <w:sz w:val="24"/>
                <w:szCs w:val="24"/>
              </w:rPr>
              <w:t>证明材料：发生的，提供通报文件；未发生的，</w:t>
            </w:r>
            <w:r>
              <w:rPr>
                <w:rFonts w:ascii="宋体" w:hAnsi="宋体" w:cs="宋体"/>
                <w:b/>
                <w:bCs/>
                <w:sz w:val="24"/>
                <w:szCs w:val="24"/>
              </w:rPr>
              <w:t>提供承诺书</w:t>
            </w:r>
            <w:r>
              <w:rPr>
                <w:rFonts w:hint="eastAsia" w:ascii="宋体" w:hAnsi="宋体" w:cs="宋体"/>
                <w:b/>
                <w:bCs/>
                <w:sz w:val="24"/>
                <w:szCs w:val="24"/>
              </w:rPr>
              <w:t>（格式自拟）；未提供</w:t>
            </w:r>
            <w:r>
              <w:rPr>
                <w:rFonts w:ascii="宋体" w:hAnsi="宋体" w:cs="宋体"/>
                <w:b/>
                <w:bCs/>
                <w:sz w:val="24"/>
                <w:szCs w:val="24"/>
              </w:rPr>
              <w:t>承诺书</w:t>
            </w:r>
            <w:r>
              <w:rPr>
                <w:rFonts w:hint="eastAsia" w:ascii="宋体" w:hAnsi="宋体" w:cs="宋体"/>
                <w:b/>
                <w:bCs/>
                <w:sz w:val="24"/>
                <w:szCs w:val="24"/>
              </w:rPr>
              <w:t>的，按0</w:t>
            </w:r>
            <w:r>
              <w:rPr>
                <w:rFonts w:ascii="宋体" w:hAnsi="宋体" w:cs="宋体"/>
                <w:b/>
                <w:bCs/>
                <w:sz w:val="24"/>
                <w:szCs w:val="24"/>
              </w:rPr>
              <w:t>分</w:t>
            </w:r>
            <w:r>
              <w:rPr>
                <w:rFonts w:hint="eastAsia" w:ascii="宋体" w:hAnsi="宋体" w:cs="宋体"/>
                <w:b/>
                <w:bCs/>
                <w:sz w:val="24"/>
                <w:szCs w:val="24"/>
              </w:rPr>
              <w:t>计。</w:t>
            </w:r>
            <w:r>
              <w:rPr>
                <w:rFonts w:ascii="宋体" w:hAnsi="宋体" w:cs="宋体"/>
                <w:b/>
                <w:bCs/>
                <w:sz w:val="24"/>
                <w:szCs w:val="24"/>
              </w:rPr>
              <w:t>若有隐瞒的</w:t>
            </w:r>
            <w:r>
              <w:rPr>
                <w:rFonts w:hint="eastAsia" w:ascii="宋体" w:hAnsi="宋体" w:cs="宋体"/>
                <w:b/>
                <w:bCs/>
                <w:sz w:val="24"/>
                <w:szCs w:val="24"/>
              </w:rPr>
              <w:t>，</w:t>
            </w:r>
            <w:r>
              <w:rPr>
                <w:rFonts w:ascii="宋体" w:hAnsi="宋体" w:cs="宋体"/>
                <w:b/>
                <w:bCs/>
                <w:sz w:val="24"/>
                <w:szCs w:val="24"/>
              </w:rPr>
              <w:t>取消其中标资格。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8" w:hRule="atLeast"/>
        </w:trPr>
        <w:tc>
          <w:tcPr>
            <w:tcW w:w="443" w:type="dxa"/>
            <w:noWrap w:val="0"/>
            <w:vAlign w:val="center"/>
          </w:tcPr>
          <w:p>
            <w:pPr>
              <w:snapToGrid w:val="0"/>
              <w:jc w:val="center"/>
              <w:rPr>
                <w:rFonts w:hint="eastAsia" w:ascii="宋体" w:hAnsi="宋体" w:cs="宋体"/>
                <w:b/>
                <w:bCs/>
                <w:sz w:val="24"/>
                <w:szCs w:val="24"/>
              </w:rPr>
            </w:pPr>
            <w:r>
              <w:rPr>
                <w:rFonts w:hint="eastAsia" w:ascii="宋体" w:hAnsi="宋体" w:cs="宋体"/>
                <w:b/>
                <w:bCs/>
                <w:sz w:val="24"/>
                <w:szCs w:val="24"/>
              </w:rPr>
              <w:t>5</w:t>
            </w:r>
          </w:p>
        </w:tc>
        <w:tc>
          <w:tcPr>
            <w:tcW w:w="1234" w:type="dxa"/>
            <w:noWrap w:val="0"/>
            <w:vAlign w:val="center"/>
          </w:tcPr>
          <w:p>
            <w:pPr>
              <w:snapToGrid w:val="0"/>
              <w:jc w:val="center"/>
              <w:rPr>
                <w:rFonts w:ascii="宋体" w:hAnsi="宋体" w:cs="宋体"/>
                <w:b/>
                <w:bCs/>
                <w:sz w:val="24"/>
                <w:szCs w:val="24"/>
              </w:rPr>
            </w:pPr>
            <w:r>
              <w:rPr>
                <w:rFonts w:ascii="宋体" w:hAnsi="宋体" w:cs="宋体"/>
                <w:b/>
                <w:bCs/>
                <w:sz w:val="24"/>
                <w:szCs w:val="24"/>
              </w:rPr>
              <w:t>安全生产</w:t>
            </w:r>
            <w:r>
              <w:rPr>
                <w:rFonts w:hint="eastAsia" w:ascii="宋体" w:hAnsi="宋体" w:cs="宋体"/>
                <w:b/>
                <w:bCs/>
                <w:sz w:val="24"/>
                <w:szCs w:val="24"/>
              </w:rPr>
              <w:t>情况</w:t>
            </w:r>
          </w:p>
        </w:tc>
        <w:tc>
          <w:tcPr>
            <w:tcW w:w="699" w:type="dxa"/>
            <w:noWrap w:val="0"/>
            <w:vAlign w:val="center"/>
          </w:tcPr>
          <w:p>
            <w:pPr>
              <w:snapToGrid w:val="0"/>
              <w:jc w:val="center"/>
              <w:rPr>
                <w:rFonts w:ascii="宋体" w:hAnsi="宋体" w:cs="宋体"/>
                <w:b/>
                <w:bCs/>
                <w:sz w:val="24"/>
                <w:szCs w:val="24"/>
              </w:rPr>
            </w:pPr>
            <w:r>
              <w:rPr>
                <w:rFonts w:hint="eastAsia" w:ascii="宋体" w:hAnsi="宋体" w:cs="宋体"/>
                <w:b/>
                <w:bCs/>
                <w:sz w:val="24"/>
                <w:szCs w:val="24"/>
              </w:rPr>
              <w:t>3</w:t>
            </w:r>
          </w:p>
        </w:tc>
        <w:tc>
          <w:tcPr>
            <w:tcW w:w="6516" w:type="dxa"/>
            <w:noWrap w:val="0"/>
            <w:vAlign w:val="center"/>
          </w:tcPr>
          <w:p>
            <w:pPr>
              <w:snapToGrid w:val="0"/>
              <w:rPr>
                <w:rFonts w:ascii="宋体" w:hAnsi="宋体" w:cs="宋体"/>
                <w:b/>
                <w:bCs/>
                <w:sz w:val="24"/>
                <w:szCs w:val="24"/>
              </w:rPr>
            </w:pPr>
            <w:r>
              <w:rPr>
                <w:rFonts w:ascii="宋体" w:hAnsi="宋体" w:cs="宋体"/>
                <w:b/>
                <w:bCs/>
                <w:sz w:val="24"/>
                <w:szCs w:val="24"/>
              </w:rPr>
              <w:t>2018年</w:t>
            </w:r>
            <w:r>
              <w:rPr>
                <w:rFonts w:hint="eastAsia" w:ascii="宋体" w:hAnsi="宋体" w:cs="宋体"/>
                <w:b/>
                <w:bCs/>
                <w:sz w:val="24"/>
                <w:szCs w:val="24"/>
              </w:rPr>
              <w:t>1</w:t>
            </w:r>
            <w:r>
              <w:rPr>
                <w:rFonts w:ascii="宋体" w:hAnsi="宋体" w:cs="宋体"/>
                <w:b/>
                <w:bCs/>
                <w:sz w:val="24"/>
                <w:szCs w:val="24"/>
              </w:rPr>
              <w:t>月</w:t>
            </w:r>
            <w:r>
              <w:rPr>
                <w:rFonts w:hint="eastAsia" w:ascii="宋体" w:hAnsi="宋体" w:cs="宋体"/>
                <w:b/>
                <w:bCs/>
                <w:sz w:val="24"/>
                <w:szCs w:val="24"/>
              </w:rPr>
              <w:t>1</w:t>
            </w:r>
            <w:r>
              <w:rPr>
                <w:rFonts w:ascii="宋体" w:hAnsi="宋体" w:cs="宋体"/>
                <w:b/>
                <w:bCs/>
                <w:sz w:val="24"/>
                <w:szCs w:val="24"/>
              </w:rPr>
              <w:t>日</w:t>
            </w:r>
            <w:r>
              <w:rPr>
                <w:rFonts w:hint="eastAsia" w:ascii="宋体" w:hAnsi="宋体" w:cs="宋体"/>
                <w:b/>
                <w:bCs/>
                <w:sz w:val="24"/>
                <w:szCs w:val="24"/>
              </w:rPr>
              <w:t>（</w:t>
            </w:r>
            <w:r>
              <w:rPr>
                <w:rFonts w:ascii="宋体" w:hAnsi="宋体" w:cs="宋体"/>
                <w:b/>
                <w:bCs/>
                <w:sz w:val="24"/>
                <w:szCs w:val="24"/>
              </w:rPr>
              <w:t>以安全生产事故发生</w:t>
            </w:r>
            <w:r>
              <w:rPr>
                <w:rFonts w:hint="eastAsia" w:ascii="宋体" w:hAnsi="宋体" w:cs="宋体"/>
                <w:b/>
                <w:bCs/>
                <w:sz w:val="24"/>
                <w:szCs w:val="24"/>
              </w:rPr>
              <w:t>时间</w:t>
            </w:r>
            <w:r>
              <w:rPr>
                <w:rFonts w:ascii="宋体" w:hAnsi="宋体" w:cs="宋体"/>
                <w:b/>
                <w:bCs/>
                <w:sz w:val="24"/>
                <w:szCs w:val="24"/>
              </w:rPr>
              <w:t>为准</w:t>
            </w:r>
            <w:r>
              <w:rPr>
                <w:rFonts w:hint="eastAsia" w:ascii="宋体" w:hAnsi="宋体" w:cs="宋体"/>
                <w:b/>
                <w:bCs/>
                <w:sz w:val="24"/>
                <w:szCs w:val="24"/>
              </w:rPr>
              <w:t>）至今，</w:t>
            </w:r>
            <w:r>
              <w:rPr>
                <w:rFonts w:ascii="宋体" w:hAnsi="宋体" w:cs="宋体"/>
                <w:b/>
                <w:bCs/>
                <w:sz w:val="24"/>
                <w:szCs w:val="24"/>
              </w:rPr>
              <w:t>未发生安全生产有责事故的</w:t>
            </w:r>
            <w:r>
              <w:rPr>
                <w:rFonts w:hint="eastAsia" w:ascii="宋体" w:hAnsi="宋体" w:cs="宋体"/>
                <w:b/>
                <w:bCs/>
                <w:sz w:val="24"/>
                <w:szCs w:val="24"/>
              </w:rPr>
              <w:t>，</w:t>
            </w:r>
            <w:r>
              <w:rPr>
                <w:rFonts w:ascii="宋体" w:hAnsi="宋体" w:cs="宋体"/>
                <w:b/>
                <w:bCs/>
                <w:sz w:val="24"/>
                <w:szCs w:val="24"/>
              </w:rPr>
              <w:t>得</w:t>
            </w:r>
            <w:r>
              <w:rPr>
                <w:rFonts w:hint="eastAsia" w:ascii="宋体" w:hAnsi="宋体" w:cs="宋体"/>
                <w:b/>
                <w:bCs/>
                <w:sz w:val="24"/>
                <w:szCs w:val="24"/>
              </w:rPr>
              <w:t>3</w:t>
            </w:r>
            <w:r>
              <w:rPr>
                <w:rFonts w:ascii="宋体" w:hAnsi="宋体" w:cs="宋体"/>
                <w:b/>
                <w:bCs/>
                <w:sz w:val="24"/>
                <w:szCs w:val="24"/>
              </w:rPr>
              <w:t>分；发生安全有责事故造成人员死亡的，每发生一起扣</w:t>
            </w:r>
            <w:r>
              <w:rPr>
                <w:rFonts w:hint="eastAsia" w:ascii="宋体" w:hAnsi="宋体" w:cs="宋体"/>
                <w:b/>
                <w:bCs/>
                <w:sz w:val="24"/>
                <w:szCs w:val="24"/>
              </w:rPr>
              <w:t>2</w:t>
            </w:r>
            <w:r>
              <w:rPr>
                <w:rFonts w:ascii="宋体" w:hAnsi="宋体" w:cs="宋体"/>
                <w:b/>
                <w:bCs/>
                <w:sz w:val="24"/>
                <w:szCs w:val="24"/>
              </w:rPr>
              <w:t>分；发生有责安全事故造成人员受伤的，每发生一起扣</w:t>
            </w:r>
            <w:r>
              <w:rPr>
                <w:rFonts w:hint="eastAsia" w:ascii="宋体" w:hAnsi="宋体" w:cs="宋体"/>
                <w:b/>
                <w:bCs/>
                <w:sz w:val="24"/>
                <w:szCs w:val="24"/>
              </w:rPr>
              <w:t>1</w:t>
            </w:r>
            <w:r>
              <w:rPr>
                <w:rFonts w:ascii="宋体" w:hAnsi="宋体" w:cs="宋体"/>
                <w:b/>
                <w:bCs/>
                <w:sz w:val="24"/>
                <w:szCs w:val="24"/>
              </w:rPr>
              <w:t>分</w:t>
            </w:r>
            <w:r>
              <w:rPr>
                <w:rFonts w:hint="eastAsia" w:ascii="宋体" w:hAnsi="宋体" w:cs="宋体"/>
                <w:b/>
                <w:bCs/>
                <w:sz w:val="24"/>
                <w:szCs w:val="24"/>
              </w:rPr>
              <w:t>。扣完为止。</w:t>
            </w:r>
          </w:p>
          <w:p>
            <w:pPr>
              <w:snapToGrid w:val="0"/>
              <w:rPr>
                <w:rFonts w:ascii="宋体" w:hAnsi="宋体" w:cs="宋体"/>
                <w:b/>
                <w:bCs/>
                <w:sz w:val="24"/>
                <w:szCs w:val="24"/>
              </w:rPr>
            </w:pPr>
            <w:r>
              <w:rPr>
                <w:rFonts w:hint="eastAsia" w:ascii="宋体" w:hAnsi="宋体" w:cs="宋体"/>
                <w:b/>
                <w:bCs/>
                <w:sz w:val="24"/>
                <w:szCs w:val="24"/>
              </w:rPr>
              <w:t>证明材料：发生的，提供</w:t>
            </w:r>
            <w:r>
              <w:rPr>
                <w:rFonts w:ascii="宋体" w:hAnsi="宋体" w:cs="宋体"/>
                <w:b/>
                <w:bCs/>
                <w:sz w:val="24"/>
                <w:szCs w:val="24"/>
              </w:rPr>
              <w:t>市、区城管部门出具的相关材料</w:t>
            </w:r>
            <w:r>
              <w:rPr>
                <w:rFonts w:hint="eastAsia" w:ascii="宋体" w:hAnsi="宋体" w:cs="宋体"/>
                <w:b/>
                <w:bCs/>
                <w:sz w:val="24"/>
                <w:szCs w:val="24"/>
              </w:rPr>
              <w:t>；未发生的，</w:t>
            </w:r>
            <w:r>
              <w:rPr>
                <w:rFonts w:ascii="宋体" w:hAnsi="宋体" w:cs="宋体"/>
                <w:b/>
                <w:bCs/>
                <w:sz w:val="24"/>
                <w:szCs w:val="24"/>
              </w:rPr>
              <w:t>提供承诺书</w:t>
            </w:r>
            <w:r>
              <w:rPr>
                <w:rFonts w:hint="eastAsia" w:ascii="宋体" w:hAnsi="宋体" w:cs="宋体"/>
                <w:b/>
                <w:bCs/>
                <w:sz w:val="24"/>
                <w:szCs w:val="24"/>
              </w:rPr>
              <w:t>（格式自拟）；未提供</w:t>
            </w:r>
            <w:r>
              <w:rPr>
                <w:rFonts w:ascii="宋体" w:hAnsi="宋体" w:cs="宋体"/>
                <w:b/>
                <w:bCs/>
                <w:sz w:val="24"/>
                <w:szCs w:val="24"/>
              </w:rPr>
              <w:t>承诺书</w:t>
            </w:r>
            <w:r>
              <w:rPr>
                <w:rFonts w:hint="eastAsia" w:ascii="宋体" w:hAnsi="宋体" w:cs="宋体"/>
                <w:b/>
                <w:bCs/>
                <w:sz w:val="24"/>
                <w:szCs w:val="24"/>
              </w:rPr>
              <w:t>的，按0</w:t>
            </w:r>
            <w:r>
              <w:rPr>
                <w:rFonts w:ascii="宋体" w:hAnsi="宋体" w:cs="宋体"/>
                <w:b/>
                <w:bCs/>
                <w:sz w:val="24"/>
                <w:szCs w:val="24"/>
              </w:rPr>
              <w:t>分</w:t>
            </w:r>
            <w:r>
              <w:rPr>
                <w:rFonts w:hint="eastAsia" w:ascii="宋体" w:hAnsi="宋体" w:cs="宋体"/>
                <w:b/>
                <w:bCs/>
                <w:sz w:val="24"/>
                <w:szCs w:val="24"/>
              </w:rPr>
              <w:t>计。</w:t>
            </w:r>
            <w:r>
              <w:rPr>
                <w:rFonts w:ascii="宋体" w:hAnsi="宋体" w:cs="宋体"/>
                <w:b/>
                <w:bCs/>
                <w:sz w:val="24"/>
                <w:szCs w:val="24"/>
              </w:rPr>
              <w:t>若有隐瞒的</w:t>
            </w:r>
            <w:r>
              <w:rPr>
                <w:rFonts w:hint="eastAsia" w:ascii="宋体" w:hAnsi="宋体" w:cs="宋体"/>
                <w:b/>
                <w:bCs/>
                <w:sz w:val="24"/>
                <w:szCs w:val="24"/>
              </w:rPr>
              <w:t>，</w:t>
            </w:r>
            <w:r>
              <w:rPr>
                <w:rFonts w:ascii="宋体" w:hAnsi="宋体" w:cs="宋体"/>
                <w:b/>
                <w:bCs/>
                <w:sz w:val="24"/>
                <w:szCs w:val="24"/>
              </w:rPr>
              <w:t>取消其中标资格。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1677" w:type="dxa"/>
            <w:gridSpan w:val="2"/>
            <w:noWrap w:val="0"/>
            <w:vAlign w:val="center"/>
          </w:tcPr>
          <w:p>
            <w:pPr>
              <w:snapToGrid w:val="0"/>
              <w:spacing w:line="320" w:lineRule="exact"/>
              <w:jc w:val="center"/>
              <w:rPr>
                <w:rFonts w:ascii="宋体" w:hAnsi="宋体" w:cs="宋体"/>
                <w:b/>
                <w:sz w:val="24"/>
                <w:szCs w:val="24"/>
              </w:rPr>
            </w:pPr>
            <w:r>
              <w:rPr>
                <w:rFonts w:hint="eastAsia" w:ascii="宋体" w:hAnsi="宋体" w:cs="宋体"/>
                <w:b/>
                <w:sz w:val="24"/>
                <w:szCs w:val="24"/>
              </w:rPr>
              <w:t>合计</w:t>
            </w:r>
          </w:p>
        </w:tc>
        <w:tc>
          <w:tcPr>
            <w:tcW w:w="699" w:type="dxa"/>
            <w:noWrap w:val="0"/>
            <w:vAlign w:val="center"/>
          </w:tcPr>
          <w:p>
            <w:pPr>
              <w:snapToGrid w:val="0"/>
              <w:spacing w:line="320" w:lineRule="exact"/>
              <w:jc w:val="center"/>
              <w:rPr>
                <w:rFonts w:hint="eastAsia" w:ascii="宋体" w:hAnsi="宋体" w:cs="宋体"/>
                <w:b/>
                <w:sz w:val="24"/>
                <w:szCs w:val="24"/>
              </w:rPr>
            </w:pPr>
            <w:r>
              <w:rPr>
                <w:rFonts w:hint="eastAsia" w:ascii="宋体" w:hAnsi="宋体" w:cs="宋体"/>
                <w:b/>
                <w:sz w:val="24"/>
                <w:szCs w:val="24"/>
              </w:rPr>
              <w:t>16</w:t>
            </w:r>
          </w:p>
        </w:tc>
        <w:tc>
          <w:tcPr>
            <w:tcW w:w="6516" w:type="dxa"/>
            <w:noWrap w:val="0"/>
            <w:vAlign w:val="center"/>
          </w:tcPr>
          <w:p>
            <w:pPr>
              <w:snapToGrid w:val="0"/>
              <w:spacing w:line="320" w:lineRule="exact"/>
              <w:jc w:val="center"/>
              <w:rPr>
                <w:rFonts w:ascii="宋体" w:hAnsi="宋体" w:cs="宋体"/>
                <w:b/>
                <w:sz w:val="24"/>
                <w:szCs w:val="24"/>
              </w:rPr>
            </w:pPr>
          </w:p>
        </w:tc>
      </w:tr>
    </w:tbl>
    <w:p>
      <w:pPr>
        <w:pStyle w:val="45"/>
        <w:adjustRightInd w:val="0"/>
        <w:snapToGrid w:val="0"/>
        <w:ind w:firstLine="482" w:firstLineChars="200"/>
        <w:rPr>
          <w:rFonts w:hAnsi="宋体" w:cs="宋体"/>
          <w:b/>
          <w:sz w:val="24"/>
          <w:szCs w:val="24"/>
        </w:rPr>
      </w:pPr>
      <w:r>
        <w:rPr>
          <w:rFonts w:hint="eastAsia" w:hAnsi="宋体" w:cs="宋体"/>
          <w:b/>
          <w:sz w:val="24"/>
          <w:szCs w:val="24"/>
        </w:rPr>
        <w:t>22.2.3技术</w:t>
      </w:r>
      <w:r>
        <w:rPr>
          <w:rFonts w:hint="eastAsia" w:hAnsi="宋体" w:cs="宋体"/>
          <w:b/>
          <w:sz w:val="24"/>
        </w:rPr>
        <w:t>具体分值如下：</w:t>
      </w:r>
    </w:p>
    <w:p>
      <w:pPr>
        <w:pStyle w:val="45"/>
        <w:adjustRightInd w:val="0"/>
        <w:snapToGrid w:val="0"/>
        <w:ind w:firstLine="482" w:firstLineChars="200"/>
        <w:rPr>
          <w:rFonts w:hAnsi="宋体" w:cs="宋体"/>
          <w:b/>
          <w:sz w:val="24"/>
          <w:szCs w:val="24"/>
        </w:rPr>
      </w:pPr>
      <w:r>
        <w:rPr>
          <w:rFonts w:hint="eastAsia" w:hAnsi="宋体" w:cs="宋体"/>
          <w:b/>
          <w:sz w:val="24"/>
          <w:szCs w:val="24"/>
        </w:rPr>
        <w:t>技术文件评审（74分）：</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98"/>
        <w:gridCol w:w="944"/>
        <w:gridCol w:w="5143"/>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序号</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评分内容</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评分标准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4" w:hRule="atLeast"/>
        </w:trPr>
        <w:tc>
          <w:tcPr>
            <w:tcW w:w="716" w:type="dxa"/>
            <w:tcBorders>
              <w:left w:val="single" w:color="auto" w:sz="4" w:space="0"/>
              <w:right w:val="single" w:color="auto" w:sz="4" w:space="0"/>
            </w:tcBorders>
            <w:noWrap w:val="0"/>
            <w:vAlign w:val="center"/>
          </w:tcPr>
          <w:p>
            <w:pPr>
              <w:snapToGrid w:val="0"/>
              <w:jc w:val="center"/>
              <w:rPr>
                <w:rFonts w:ascii="宋体" w:hAnsi="宋体" w:cs="宋体"/>
                <w:b/>
                <w:bCs/>
                <w:sz w:val="24"/>
              </w:rPr>
            </w:pPr>
            <w:bookmarkStart w:id="120" w:name="_GoBack" w:colFirst="0" w:colLast="4"/>
            <w:r>
              <w:rPr>
                <w:rFonts w:hint="eastAsia" w:ascii="宋体" w:hAnsi="宋体" w:cs="宋体"/>
                <w:b/>
                <w:bCs/>
                <w:sz w:val="24"/>
              </w:rPr>
              <w:t>1</w:t>
            </w:r>
          </w:p>
        </w:tc>
        <w:tc>
          <w:tcPr>
            <w:tcW w:w="1098" w:type="dxa"/>
            <w:vMerge w:val="restart"/>
            <w:tcBorders>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企业内部管理制度   （13分）</w:t>
            </w:r>
          </w:p>
        </w:tc>
        <w:tc>
          <w:tcPr>
            <w:tcW w:w="944" w:type="dxa"/>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员工管理制度(6分)</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sz w:val="24"/>
              </w:rPr>
              <w:t>员工管理制度</w:t>
            </w:r>
            <w:r>
              <w:rPr>
                <w:rFonts w:hint="eastAsia" w:ascii="宋体" w:hAnsi="宋体" w:cs="宋体"/>
                <w:b/>
                <w:bCs/>
                <w:sz w:val="24"/>
              </w:rPr>
              <w:t>健全</w:t>
            </w:r>
            <w:r>
              <w:rPr>
                <w:rFonts w:hint="eastAsia" w:ascii="宋体" w:hAnsi="宋体" w:cs="宋体"/>
                <w:b/>
                <w:sz w:val="24"/>
              </w:rPr>
              <w:t>规范，社会保险费缴费率为</w:t>
            </w:r>
            <w:r>
              <w:rPr>
                <w:rFonts w:hint="eastAsia" w:ascii="宋体" w:hAnsi="宋体" w:cs="宋体"/>
                <w:b/>
                <w:bCs/>
                <w:sz w:val="24"/>
              </w:rPr>
              <w:t>100%的，得2分；其余不得分。</w:t>
            </w:r>
          </w:p>
          <w:p>
            <w:pPr>
              <w:rPr>
                <w:rFonts w:ascii="宋体" w:hAnsi="宋体" w:cs="宋体"/>
                <w:b/>
                <w:sz w:val="24"/>
              </w:rPr>
            </w:pPr>
            <w:r>
              <w:rPr>
                <w:rFonts w:hint="eastAsia" w:ascii="宋体" w:hAnsi="宋体" w:cs="宋体"/>
                <w:b/>
                <w:bCs/>
                <w:sz w:val="24"/>
              </w:rPr>
              <w:t>有完善的</w:t>
            </w:r>
            <w:r>
              <w:rPr>
                <w:rFonts w:hint="eastAsia" w:ascii="宋体" w:hAnsi="宋体" w:cs="宋体"/>
                <w:b/>
                <w:sz w:val="24"/>
              </w:rPr>
              <w:t>业务培训制度、员工考核制度、员工绩效评价制度，每项1分，满分3分；制度不健全的，每项得0.5分；未提供的，不得分。</w:t>
            </w:r>
          </w:p>
          <w:p>
            <w:pPr>
              <w:rPr>
                <w:rFonts w:ascii="宋体" w:hAnsi="宋体" w:cs="宋体"/>
                <w:b/>
                <w:sz w:val="24"/>
              </w:rPr>
            </w:pPr>
            <w:r>
              <w:rPr>
                <w:rFonts w:hint="eastAsia" w:ascii="宋体" w:hAnsi="宋体" w:cs="宋体"/>
                <w:b/>
                <w:sz w:val="24"/>
              </w:rPr>
              <w:t>有专项针对员工上班时间内干与本职工作不相关工作的规定及处罚的，得1分；未提供的，不得分。</w:t>
            </w:r>
          </w:p>
          <w:p>
            <w:pPr>
              <w:rPr>
                <w:rFonts w:ascii="宋体" w:hAnsi="宋体" w:cs="宋体"/>
                <w:b/>
                <w:sz w:val="24"/>
              </w:rPr>
            </w:pPr>
            <w:r>
              <w:rPr>
                <w:rFonts w:hint="eastAsia" w:ascii="宋体" w:hAnsi="宋体" w:cs="宋体"/>
                <w:b/>
                <w:sz w:val="24"/>
              </w:rPr>
              <w:t>本项满分6分。</w:t>
            </w:r>
          </w:p>
          <w:p>
            <w:pPr>
              <w:rPr>
                <w:rFonts w:ascii="宋体" w:hAnsi="宋体" w:cs="宋体"/>
                <w:b/>
                <w:sz w:val="24"/>
              </w:rPr>
            </w:pPr>
            <w:r>
              <w:rPr>
                <w:rFonts w:hint="eastAsia" w:ascii="宋体" w:hAnsi="宋体" w:cs="宋体"/>
                <w:b/>
                <w:sz w:val="24"/>
              </w:rPr>
              <w:t>证明材料：开标当月企业员工花名册及当地社保机构出具的企业社保证明，如有退休返聘人员，提供退休证。</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ascii="宋体" w:hAnsi="宋体" w:cs="宋体"/>
                <w:b/>
                <w:bCs/>
                <w:sz w:val="24"/>
              </w:rPr>
              <w:t>6</w:t>
            </w:r>
            <w:r>
              <w:rPr>
                <w:rFonts w:hint="eastAsia" w:ascii="宋体" w:hAnsi="宋体" w:cs="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8" w:hRule="atLeast"/>
        </w:trPr>
        <w:tc>
          <w:tcPr>
            <w:tcW w:w="716" w:type="dxa"/>
            <w:tcBorders>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2</w:t>
            </w:r>
          </w:p>
        </w:tc>
        <w:tc>
          <w:tcPr>
            <w:tcW w:w="1098" w:type="dxa"/>
            <w:vMerge w:val="continue"/>
            <w:tcBorders>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安全生产管理制度（7分）</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bCs/>
                <w:sz w:val="24"/>
              </w:rPr>
              <w:t>安全生产制度详尽、符合相关要求，且有具体操作流程的，得</w:t>
            </w:r>
            <w:r>
              <w:rPr>
                <w:rFonts w:hint="eastAsia" w:ascii="宋体" w:hAnsi="宋体" w:cs="宋体"/>
                <w:b/>
                <w:sz w:val="24"/>
              </w:rPr>
              <w:t>2-3</w:t>
            </w:r>
            <w:r>
              <w:rPr>
                <w:rFonts w:hint="eastAsia" w:ascii="宋体" w:hAnsi="宋体" w:cs="宋体"/>
                <w:b/>
                <w:bCs/>
                <w:sz w:val="24"/>
              </w:rPr>
              <w:t>分；制度不全或无具体操作流程的，得0.5-1.5分；未提供的，不得分。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1" w:hRule="atLeast"/>
        </w:trPr>
        <w:tc>
          <w:tcPr>
            <w:tcW w:w="716" w:type="dxa"/>
            <w:tcBorders>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3</w:t>
            </w:r>
          </w:p>
        </w:tc>
        <w:tc>
          <w:tcPr>
            <w:tcW w:w="1098" w:type="dxa"/>
            <w:vMerge w:val="continue"/>
            <w:tcBorders>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vMerge w:val="continue"/>
            <w:tcBorders>
              <w:left w:val="single" w:color="auto" w:sz="4" w:space="0"/>
              <w:right w:val="single" w:color="auto" w:sz="4" w:space="0"/>
            </w:tcBorders>
            <w:noWrap w:val="0"/>
            <w:vAlign w:val="center"/>
          </w:tcPr>
          <w:p>
            <w:pPr>
              <w:snapToGrid w:val="0"/>
              <w:jc w:val="center"/>
              <w:rPr>
                <w:rFonts w:ascii="宋体" w:hAnsi="宋体" w:cs="宋体"/>
                <w:b/>
                <w:bCs/>
                <w:sz w:val="24"/>
              </w:rPr>
            </w:pP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bCs/>
                <w:sz w:val="24"/>
              </w:rPr>
              <w:t>定期开展安全生产培训，记录完整的，得1.5-2分，未定期开展培训或记录不全的，得0.5-1分；未提供开展培训或未提供记录的，不得分。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716" w:type="dxa"/>
            <w:tcBorders>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4</w:t>
            </w:r>
          </w:p>
        </w:tc>
        <w:tc>
          <w:tcPr>
            <w:tcW w:w="1098" w:type="dxa"/>
            <w:vMerge w:val="continue"/>
            <w:tcBorders>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vMerge w:val="continue"/>
            <w:tcBorders>
              <w:left w:val="single" w:color="auto" w:sz="4" w:space="0"/>
              <w:right w:val="single" w:color="auto" w:sz="4" w:space="0"/>
            </w:tcBorders>
            <w:noWrap w:val="0"/>
            <w:vAlign w:val="center"/>
          </w:tcPr>
          <w:p>
            <w:pPr>
              <w:snapToGrid w:val="0"/>
              <w:jc w:val="center"/>
              <w:rPr>
                <w:rFonts w:ascii="宋体" w:hAnsi="宋体" w:cs="宋体"/>
                <w:b/>
                <w:bCs/>
                <w:sz w:val="24"/>
              </w:rPr>
            </w:pPr>
          </w:p>
        </w:tc>
        <w:tc>
          <w:tcPr>
            <w:tcW w:w="5143" w:type="dxa"/>
            <w:tcBorders>
              <w:top w:val="single" w:color="auto" w:sz="4" w:space="0"/>
              <w:left w:val="single" w:color="auto" w:sz="4" w:space="0"/>
              <w:bottom w:val="single" w:color="auto" w:sz="4" w:space="0"/>
              <w:right w:val="single" w:color="auto" w:sz="4" w:space="0"/>
            </w:tcBorders>
            <w:noWrap w:val="0"/>
            <w:vAlign w:val="center"/>
          </w:tcPr>
          <w:p>
            <w:pPr>
              <w:pStyle w:val="202"/>
              <w:shd w:val="clear" w:color="auto" w:fill="FFFFFF"/>
              <w:snapToGrid w:val="0"/>
              <w:spacing w:line="240" w:lineRule="auto"/>
              <w:ind w:firstLine="0" w:firstLineChars="0"/>
              <w:rPr>
                <w:rFonts w:ascii="宋体" w:hAnsi="宋体" w:cs="宋体"/>
                <w:b/>
                <w:bCs/>
                <w:szCs w:val="24"/>
              </w:rPr>
            </w:pPr>
            <w:r>
              <w:rPr>
                <w:rFonts w:hint="eastAsia" w:ascii="宋体" w:hAnsi="宋体" w:cs="宋体"/>
                <w:b/>
                <w:bCs/>
                <w:szCs w:val="24"/>
              </w:rPr>
              <w:t>具有市应急管理局或其下属培训机构颁发的安全员合格证书的，每个得0.5分，最高得2分。</w:t>
            </w:r>
          </w:p>
          <w:p>
            <w:pPr>
              <w:pStyle w:val="202"/>
              <w:shd w:val="clear" w:color="auto" w:fill="FFFFFF"/>
              <w:snapToGrid w:val="0"/>
              <w:spacing w:line="240" w:lineRule="auto"/>
              <w:ind w:firstLine="0" w:firstLineChars="0"/>
              <w:rPr>
                <w:rFonts w:ascii="宋体" w:hAnsi="宋体" w:cs="宋体"/>
                <w:b/>
                <w:bCs/>
              </w:rPr>
            </w:pPr>
            <w:r>
              <w:rPr>
                <w:rFonts w:hint="eastAsia" w:ascii="宋体" w:hAnsi="宋体" w:cs="宋体"/>
                <w:b/>
                <w:bCs/>
                <w:szCs w:val="24"/>
              </w:rPr>
              <w:t>证明材料：有效期内合格证书及相关人员近3个月社保</w:t>
            </w:r>
            <w:r>
              <w:rPr>
                <w:rFonts w:hint="eastAsia" w:ascii="宋体" w:hAnsi="宋体" w:cs="宋体"/>
                <w:b/>
                <w:bCs/>
              </w:rPr>
              <w:t>（缺一项不得分）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3"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5</w:t>
            </w:r>
          </w:p>
        </w:tc>
        <w:tc>
          <w:tcPr>
            <w:tcW w:w="1098"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 xml:space="preserve">服务   理念 </w:t>
            </w:r>
          </w:p>
          <w:p>
            <w:pPr>
              <w:snapToGrid w:val="0"/>
              <w:jc w:val="center"/>
              <w:rPr>
                <w:rFonts w:ascii="宋体" w:hAnsi="宋体" w:cs="宋体"/>
                <w:b/>
                <w:bCs/>
                <w:sz w:val="24"/>
              </w:rPr>
            </w:pPr>
            <w:r>
              <w:rPr>
                <w:rFonts w:hint="eastAsia" w:ascii="宋体" w:hAnsi="宋体" w:cs="宋体"/>
                <w:b/>
                <w:bCs/>
                <w:sz w:val="24"/>
              </w:rPr>
              <w:t>（26分）</w:t>
            </w:r>
          </w:p>
        </w:tc>
        <w:tc>
          <w:tcPr>
            <w:tcW w:w="944"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服务方案</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bCs/>
                <w:sz w:val="24"/>
              </w:rPr>
              <w:t>根据本项目特点提出合理的管理服务理念、服务定位、服务目标。保洁方案切合本项目要求，对市区相关考核要求有针对性、操作性强，计划安排科学合理的，得</w:t>
            </w:r>
            <w:r>
              <w:rPr>
                <w:rFonts w:ascii="宋体" w:hAnsi="宋体" w:cs="宋体"/>
                <w:b/>
                <w:bCs/>
                <w:sz w:val="24"/>
              </w:rPr>
              <w:t>3</w:t>
            </w:r>
            <w:r>
              <w:rPr>
                <w:rFonts w:hint="eastAsia" w:ascii="宋体" w:hAnsi="宋体" w:cs="宋体"/>
                <w:b/>
                <w:bCs/>
                <w:sz w:val="24"/>
              </w:rPr>
              <w:t>-7分；基本满足得，得1-3分；未提供或完全不满足要求的，不得分。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1"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6</w:t>
            </w:r>
          </w:p>
        </w:tc>
        <w:tc>
          <w:tcPr>
            <w:tcW w:w="1098" w:type="dxa"/>
            <w:vMerge w:val="continue"/>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vMerge w:val="continue"/>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bCs/>
                <w:sz w:val="24"/>
              </w:rPr>
              <w:t>根据街巷保洁难易程度安排保洁人员合理，重点突出，做到定人、定岗、定责任、定时间的，得</w:t>
            </w:r>
            <w:r>
              <w:rPr>
                <w:rFonts w:ascii="宋体" w:hAnsi="宋体" w:cs="宋体"/>
                <w:b/>
                <w:bCs/>
                <w:sz w:val="24"/>
              </w:rPr>
              <w:t>3</w:t>
            </w:r>
            <w:r>
              <w:rPr>
                <w:rFonts w:hint="eastAsia" w:ascii="宋体" w:hAnsi="宋体" w:cs="宋体"/>
                <w:b/>
                <w:bCs/>
                <w:sz w:val="24"/>
              </w:rPr>
              <w:t>-7分；安排混乱、无重点的；得1-3分；未提供安排的，得0分。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7</w:t>
            </w:r>
          </w:p>
        </w:tc>
        <w:tc>
          <w:tcPr>
            <w:tcW w:w="1098" w:type="dxa"/>
            <w:vMerge w:val="continue"/>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bCs/>
                <w:sz w:val="24"/>
              </w:rPr>
              <w:t>具有针对本项目合同开始执行和合同到期后移交平稳过渡的相关计划及实施方案的，得</w:t>
            </w:r>
            <w:r>
              <w:rPr>
                <w:rFonts w:hint="eastAsia" w:ascii="宋体" w:hAnsi="宋体" w:cs="宋体"/>
                <w:b/>
                <w:sz w:val="24"/>
              </w:rPr>
              <w:t>2-5</w:t>
            </w:r>
            <w:r>
              <w:rPr>
                <w:rFonts w:hint="eastAsia" w:ascii="宋体" w:hAnsi="宋体" w:cs="宋体"/>
                <w:b/>
                <w:bCs/>
                <w:sz w:val="24"/>
              </w:rPr>
              <w:t>分；提及但无针对性的，得1-2分；未提供的，不得分。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38"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8</w:t>
            </w:r>
          </w:p>
        </w:tc>
        <w:tc>
          <w:tcPr>
            <w:tcW w:w="1098" w:type="dxa"/>
            <w:vMerge w:val="continue"/>
            <w:tcBorders>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创新</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bCs/>
                <w:sz w:val="24"/>
              </w:rPr>
              <w:t>突破传统运作模式，保洁管理；作业措施、设施设备有创新，实行智慧环卫；有效满足本项目需求，且切实可行的，得3-6分；基本可行的，得1-3分；无创新或不可行的，不得分。其中获得过创新创优荣誉表彰的，加1分，否则不得分。</w:t>
            </w:r>
          </w:p>
          <w:p>
            <w:pPr>
              <w:pStyle w:val="34"/>
              <w:rPr>
                <w:rFonts w:ascii="宋体" w:hAnsi="宋体"/>
              </w:rPr>
            </w:pPr>
            <w:r>
              <w:rPr>
                <w:rFonts w:hint="eastAsia" w:ascii="宋体" w:hAnsi="宋体" w:cs="宋体"/>
                <w:b/>
                <w:bCs/>
              </w:rPr>
              <w:t>证明材料：表彰证书或相关文件</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06"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9</w:t>
            </w:r>
          </w:p>
        </w:tc>
        <w:tc>
          <w:tcPr>
            <w:tcW w:w="1098"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服务措施（12分）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质量管理体系</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bCs/>
                <w:sz w:val="24"/>
              </w:rPr>
              <w:t>质量管理体系完善，内部有考核制度，有专门的机构负责对本项目进行质量监管，针对本项目制订具体质量管理考核细则，有严格安全管理制度的，得3-5分；制度不全或无针对性的，得1-2分；未提供的，不得分。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10</w:t>
            </w:r>
          </w:p>
        </w:tc>
        <w:tc>
          <w:tcPr>
            <w:tcW w:w="1098"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应急  处置预案</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bookmarkStart w:id="121" w:name="OLE_LINK1"/>
            <w:r>
              <w:rPr>
                <w:rFonts w:hint="eastAsia" w:ascii="宋体" w:hAnsi="宋体" w:cs="宋体"/>
                <w:b/>
                <w:bCs/>
                <w:sz w:val="24"/>
              </w:rPr>
              <w:t>有城市应急突发事件处理预案的，包括：气象灾害、防汛抗台、抗雪防冻、建筑垃圾及渣土4大项，每项满分1分</w:t>
            </w:r>
            <w:r>
              <w:rPr>
                <w:rFonts w:hint="eastAsia" w:ascii="宋体" w:hAnsi="宋体" w:cs="宋体"/>
                <w:b/>
                <w:sz w:val="24"/>
              </w:rPr>
              <w:t>。其中</w:t>
            </w:r>
            <w:r>
              <w:rPr>
                <w:rFonts w:hint="eastAsia" w:ascii="宋体" w:hAnsi="宋体" w:cs="宋体"/>
                <w:b/>
                <w:bCs/>
                <w:sz w:val="24"/>
              </w:rPr>
              <w:t>具有可操作性的，1项得1</w:t>
            </w:r>
            <w:r>
              <w:rPr>
                <w:rFonts w:hint="eastAsia" w:ascii="宋体" w:hAnsi="宋体" w:cs="宋体"/>
                <w:b/>
                <w:sz w:val="24"/>
              </w:rPr>
              <w:t>分；</w:t>
            </w:r>
            <w:r>
              <w:rPr>
                <w:rFonts w:hint="eastAsia" w:ascii="宋体" w:hAnsi="宋体" w:cs="宋体"/>
                <w:b/>
                <w:bCs/>
                <w:sz w:val="24"/>
              </w:rPr>
              <w:t>基本可行的</w:t>
            </w:r>
            <w:r>
              <w:rPr>
                <w:rFonts w:hint="eastAsia" w:ascii="宋体" w:hAnsi="宋体" w:cs="宋体"/>
                <w:b/>
                <w:sz w:val="24"/>
              </w:rPr>
              <w:t>，</w:t>
            </w:r>
            <w:r>
              <w:rPr>
                <w:rFonts w:hint="eastAsia" w:ascii="宋体" w:hAnsi="宋体" w:cs="宋体"/>
                <w:b/>
                <w:bCs/>
                <w:sz w:val="24"/>
              </w:rPr>
              <w:t>1项</w:t>
            </w:r>
            <w:r>
              <w:rPr>
                <w:rFonts w:hint="eastAsia" w:ascii="宋体" w:hAnsi="宋体" w:cs="宋体"/>
                <w:b/>
                <w:sz w:val="24"/>
              </w:rPr>
              <w:t>得</w:t>
            </w:r>
            <w:r>
              <w:rPr>
                <w:rFonts w:hint="eastAsia" w:ascii="宋体" w:hAnsi="宋体" w:cs="宋体"/>
                <w:b/>
                <w:bCs/>
                <w:sz w:val="24"/>
              </w:rPr>
              <w:t>0.5</w:t>
            </w:r>
            <w:r>
              <w:rPr>
                <w:rFonts w:hint="eastAsia" w:ascii="宋体" w:hAnsi="宋体" w:cs="宋体"/>
                <w:b/>
                <w:sz w:val="24"/>
              </w:rPr>
              <w:t>分；未提供</w:t>
            </w:r>
            <w:r>
              <w:rPr>
                <w:rFonts w:hint="eastAsia" w:ascii="宋体" w:hAnsi="宋体" w:cs="宋体"/>
                <w:b/>
                <w:bCs/>
                <w:sz w:val="24"/>
              </w:rPr>
              <w:t>或不可行的，</w:t>
            </w:r>
            <w:r>
              <w:rPr>
                <w:rFonts w:hint="eastAsia" w:ascii="宋体" w:hAnsi="宋体" w:cs="宋体"/>
                <w:b/>
                <w:sz w:val="24"/>
              </w:rPr>
              <w:t>不得分。</w:t>
            </w:r>
          </w:p>
          <w:bookmarkEnd w:id="121"/>
          <w:p>
            <w:pPr>
              <w:rPr>
                <w:rFonts w:ascii="宋体" w:hAnsi="宋体" w:cs="宋体"/>
                <w:b/>
                <w:bCs/>
                <w:sz w:val="24"/>
              </w:rPr>
            </w:pPr>
            <w:r>
              <w:rPr>
                <w:rFonts w:hint="eastAsia" w:ascii="宋体" w:hAnsi="宋体" w:cs="宋体"/>
                <w:b/>
                <w:bCs/>
                <w:sz w:val="24"/>
              </w:rPr>
              <w:t>有相关实战经验的，1项得1分，没有的，不得分。满分3分；</w:t>
            </w:r>
          </w:p>
          <w:p>
            <w:pPr>
              <w:pStyle w:val="35"/>
              <w:spacing w:line="240" w:lineRule="auto"/>
              <w:ind w:firstLine="0"/>
              <w:rPr>
                <w:rFonts w:ascii="宋体" w:hAnsi="宋体" w:eastAsia="宋体" w:cs="宋体"/>
                <w:b/>
                <w:bCs/>
              </w:rPr>
            </w:pPr>
            <w:r>
              <w:rPr>
                <w:rFonts w:hint="eastAsia" w:ascii="宋体" w:hAnsi="宋体" w:eastAsia="宋体" w:cs="宋体"/>
                <w:b/>
                <w:bCs/>
              </w:rPr>
              <w:t>本项满分7分。</w:t>
            </w:r>
          </w:p>
          <w:p>
            <w:pPr>
              <w:rPr>
                <w:rFonts w:ascii="宋体" w:hAnsi="宋体" w:cs="宋体"/>
                <w:b/>
                <w:bCs/>
                <w:sz w:val="24"/>
              </w:rPr>
            </w:pPr>
            <w:r>
              <w:rPr>
                <w:rFonts w:hint="eastAsia" w:ascii="宋体" w:hAnsi="宋体" w:cs="宋体"/>
                <w:b/>
                <w:bCs/>
                <w:sz w:val="24"/>
              </w:rPr>
              <w:t>证明材料：照片、资料或业主证明等</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7分</w:t>
            </w:r>
          </w:p>
        </w:tc>
      </w:tr>
      <w:bookmarkEnd w:id="1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9"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11</w:t>
            </w:r>
          </w:p>
        </w:tc>
        <w:tc>
          <w:tcPr>
            <w:tcW w:w="1098"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保障  措施  （23分）</w:t>
            </w:r>
          </w:p>
        </w:tc>
        <w:tc>
          <w:tcPr>
            <w:tcW w:w="944" w:type="dxa"/>
            <w:vMerge w:val="restart"/>
            <w:tcBorders>
              <w:top w:val="single" w:color="auto" w:sz="4" w:space="0"/>
              <w:left w:val="single" w:color="auto" w:sz="4" w:space="0"/>
              <w:right w:val="single" w:color="auto" w:sz="4" w:space="0"/>
            </w:tcBorders>
            <w:noWrap w:val="0"/>
            <w:vAlign w:val="center"/>
          </w:tcPr>
          <w:p>
            <w:pPr>
              <w:snapToGrid w:val="0"/>
              <w:spacing w:after="120"/>
              <w:jc w:val="center"/>
              <w:rPr>
                <w:rFonts w:ascii="宋体" w:hAnsi="宋体" w:cs="宋体"/>
                <w:b/>
                <w:bCs/>
                <w:sz w:val="24"/>
              </w:rPr>
            </w:pPr>
            <w:r>
              <w:rPr>
                <w:rFonts w:hint="eastAsia" w:ascii="宋体" w:hAnsi="宋体" w:cs="宋体"/>
                <w:b/>
                <w:bCs/>
                <w:sz w:val="24"/>
              </w:rPr>
              <w:t>人员  保障（10分）</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cs="宋体"/>
                <w:b/>
                <w:bCs/>
                <w:sz w:val="24"/>
              </w:rPr>
              <w:t>组织管理体系完善，项目负责人（1人）、班组长（各社区不少于1人）等管理人员配备到位的，得3分，其中无项目负责人的扣1分，其他管理人员每少一个扣0.5分，最低0分。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12</w:t>
            </w:r>
          </w:p>
        </w:tc>
        <w:tc>
          <w:tcPr>
            <w:tcW w:w="1098" w:type="dxa"/>
            <w:vMerge w:val="continue"/>
            <w:tcBorders>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vMerge w:val="continue"/>
            <w:tcBorders>
              <w:left w:val="single" w:color="auto" w:sz="4" w:space="0"/>
              <w:right w:val="single" w:color="auto" w:sz="4" w:space="0"/>
            </w:tcBorders>
            <w:noWrap w:val="0"/>
            <w:vAlign w:val="center"/>
          </w:tcPr>
          <w:p>
            <w:pPr>
              <w:snapToGrid w:val="0"/>
              <w:spacing w:after="120"/>
              <w:jc w:val="center"/>
              <w:rPr>
                <w:rFonts w:ascii="宋体" w:hAnsi="宋体" w:cs="宋体"/>
                <w:b/>
                <w:bCs/>
                <w:sz w:val="24"/>
              </w:rPr>
            </w:pP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4"/>
              </w:rPr>
            </w:pPr>
            <w:r>
              <w:rPr>
                <w:rFonts w:hint="eastAsia" w:ascii="宋体" w:hAnsi="宋体" w:cs="宋体"/>
                <w:b/>
                <w:bCs/>
                <w:sz w:val="24"/>
              </w:rPr>
              <w:t>项目负责班子具有环卫类工程师及以上或管理师证书的，项目负责人得1分，其余1人得0.5分，满分3分。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1"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13</w:t>
            </w:r>
          </w:p>
        </w:tc>
        <w:tc>
          <w:tcPr>
            <w:tcW w:w="1098" w:type="dxa"/>
            <w:vMerge w:val="continue"/>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vMerge w:val="continue"/>
            <w:tcBorders>
              <w:left w:val="single" w:color="auto" w:sz="4" w:space="0"/>
              <w:right w:val="single" w:color="auto" w:sz="4" w:space="0"/>
            </w:tcBorders>
            <w:noWrap w:val="0"/>
            <w:vAlign w:val="center"/>
          </w:tcPr>
          <w:p>
            <w:pPr>
              <w:snapToGrid w:val="0"/>
              <w:spacing w:after="120"/>
              <w:jc w:val="center"/>
              <w:rPr>
                <w:rFonts w:ascii="宋体" w:hAnsi="宋体" w:cs="宋体"/>
                <w:b/>
                <w:bCs/>
                <w:sz w:val="24"/>
              </w:rPr>
            </w:pP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sz w:val="24"/>
              </w:rPr>
            </w:pPr>
            <w:r>
              <w:rPr>
                <w:rFonts w:hint="eastAsia" w:ascii="宋体" w:hAnsi="宋体" w:cs="宋体"/>
                <w:b/>
                <w:sz w:val="24"/>
              </w:rPr>
              <w:t>提供街巷保洁作业人员具体配置计划。数量以作业人员配置计划表为准，街巷一线作业人员（含班组长，不含管理人员）数量</w:t>
            </w:r>
            <w:r>
              <w:rPr>
                <w:rFonts w:hint="eastAsia" w:ascii="宋体" w:hAnsi="宋体" w:cs="宋体"/>
                <w:b/>
                <w:bCs/>
                <w:sz w:val="24"/>
              </w:rPr>
              <w:t>最低应达到16人。未提供保洁人员配置计划的，该项不得分；作业人员安排数量不符合的不得分。在此基础上，</w:t>
            </w:r>
            <w:r>
              <w:rPr>
                <w:rFonts w:hint="eastAsia" w:ascii="宋体" w:hAnsi="宋体" w:cs="宋体"/>
                <w:b/>
                <w:sz w:val="24"/>
              </w:rPr>
              <w:t>每增得1人加1分，满分为4分。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1"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14</w:t>
            </w:r>
          </w:p>
        </w:tc>
        <w:tc>
          <w:tcPr>
            <w:tcW w:w="1098" w:type="dxa"/>
            <w:vMerge w:val="continue"/>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p>
        </w:tc>
        <w:tc>
          <w:tcPr>
            <w:tcW w:w="944" w:type="dxa"/>
            <w:vMerge w:val="restart"/>
            <w:tcBorders>
              <w:left w:val="single" w:color="auto" w:sz="4" w:space="0"/>
              <w:right w:val="single" w:color="auto" w:sz="4" w:space="0"/>
            </w:tcBorders>
            <w:noWrap w:val="0"/>
            <w:vAlign w:val="center"/>
          </w:tcPr>
          <w:p>
            <w:pPr>
              <w:snapToGrid w:val="0"/>
              <w:spacing w:after="120"/>
              <w:jc w:val="center"/>
              <w:rPr>
                <w:rFonts w:ascii="宋体" w:hAnsi="宋体" w:cs="宋体"/>
                <w:b/>
                <w:bCs/>
                <w:sz w:val="24"/>
              </w:rPr>
            </w:pPr>
            <w:r>
              <w:rPr>
                <w:rFonts w:hint="eastAsia" w:ascii="宋体" w:hAnsi="宋体" w:cs="宋体"/>
                <w:b/>
                <w:bCs/>
                <w:sz w:val="24"/>
              </w:rPr>
              <w:t>机具保证(13分)</w:t>
            </w: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4"/>
                <w:lang w:val="zh-CN"/>
              </w:rPr>
            </w:pPr>
            <w:r>
              <w:rPr>
                <w:rFonts w:hint="eastAsia" w:ascii="宋体" w:hAnsi="宋体" w:cs="宋体"/>
                <w:b/>
                <w:sz w:val="24"/>
                <w:lang w:val="zh-CN"/>
              </w:rPr>
              <w:t>1、投标人必须提供以下作业机，不满足的将作废标处理：小型多功能清洗车</w:t>
            </w:r>
            <w:r>
              <w:rPr>
                <w:rFonts w:ascii="宋体" w:hAnsi="宋体" w:cs="宋体"/>
                <w:b/>
                <w:sz w:val="24"/>
                <w:lang w:val="zh-CN"/>
              </w:rPr>
              <w:t>2</w:t>
            </w:r>
            <w:r>
              <w:rPr>
                <w:rFonts w:hint="eastAsia" w:ascii="宋体" w:hAnsi="宋体" w:cs="宋体"/>
                <w:b/>
                <w:sz w:val="24"/>
                <w:lang w:val="zh-CN"/>
              </w:rPr>
              <w:t>台；</w:t>
            </w:r>
          </w:p>
          <w:p>
            <w:pPr>
              <w:rPr>
                <w:rFonts w:hint="eastAsia" w:ascii="宋体" w:hAnsi="宋体" w:cs="宋体"/>
                <w:b/>
                <w:sz w:val="24"/>
                <w:lang w:val="zh-CN"/>
              </w:rPr>
            </w:pPr>
            <w:r>
              <w:rPr>
                <w:rFonts w:hint="eastAsia" w:ascii="宋体" w:hAnsi="宋体" w:cs="宋体"/>
                <w:b/>
                <w:sz w:val="24"/>
                <w:lang w:val="zh-CN"/>
              </w:rPr>
              <w:t>电动巡回保洁车</w:t>
            </w:r>
            <w:r>
              <w:rPr>
                <w:rFonts w:ascii="宋体" w:hAnsi="宋体" w:cs="宋体"/>
                <w:b/>
                <w:sz w:val="24"/>
                <w:lang w:val="zh-CN"/>
              </w:rPr>
              <w:t>4</w:t>
            </w:r>
            <w:r>
              <w:rPr>
                <w:rFonts w:hint="eastAsia" w:ascii="宋体" w:hAnsi="宋体" w:cs="宋体"/>
                <w:b/>
                <w:sz w:val="24"/>
                <w:lang w:val="zh-CN"/>
              </w:rPr>
              <w:t>辆；</w:t>
            </w:r>
          </w:p>
          <w:p>
            <w:pPr>
              <w:rPr>
                <w:rFonts w:hint="eastAsia" w:ascii="宋体" w:hAnsi="宋体" w:cs="宋体"/>
                <w:b/>
                <w:sz w:val="24"/>
                <w:lang w:val="zh-CN"/>
              </w:rPr>
            </w:pPr>
            <w:r>
              <w:rPr>
                <w:rFonts w:hint="eastAsia" w:ascii="宋体" w:hAnsi="宋体" w:cs="宋体"/>
                <w:b/>
                <w:sz w:val="24"/>
                <w:lang w:val="zh-CN"/>
              </w:rPr>
              <w:t>电动高压冲洗车</w:t>
            </w:r>
            <w:r>
              <w:rPr>
                <w:rFonts w:ascii="宋体" w:hAnsi="宋体" w:cs="宋体"/>
                <w:b/>
                <w:sz w:val="24"/>
                <w:lang w:val="zh-CN"/>
              </w:rPr>
              <w:t>2</w:t>
            </w:r>
            <w:r>
              <w:rPr>
                <w:rFonts w:hint="eastAsia" w:ascii="宋体" w:hAnsi="宋体" w:cs="宋体"/>
                <w:b/>
                <w:sz w:val="24"/>
                <w:lang w:val="zh-CN"/>
              </w:rPr>
              <w:t>辆；</w:t>
            </w:r>
          </w:p>
          <w:p>
            <w:pPr>
              <w:rPr>
                <w:rFonts w:ascii="宋体" w:hAnsi="宋体" w:cs="宋体"/>
                <w:b/>
                <w:sz w:val="24"/>
                <w:lang w:val="zh-CN"/>
              </w:rPr>
            </w:pPr>
            <w:r>
              <w:rPr>
                <w:rFonts w:hint="eastAsia" w:ascii="宋体" w:hAnsi="宋体" w:cs="宋体"/>
                <w:b/>
                <w:sz w:val="24"/>
                <w:lang w:val="zh-CN"/>
              </w:rPr>
              <w:t>小型垃圾清运车（可容纳四桶以上）</w:t>
            </w:r>
            <w:r>
              <w:rPr>
                <w:rFonts w:ascii="宋体" w:hAnsi="宋体" w:cs="宋体"/>
                <w:b/>
                <w:sz w:val="24"/>
                <w:lang w:val="zh-CN"/>
              </w:rPr>
              <w:t>4</w:t>
            </w:r>
            <w:r>
              <w:rPr>
                <w:rFonts w:hint="eastAsia" w:ascii="宋体" w:hAnsi="宋体" w:cs="宋体"/>
                <w:b/>
                <w:sz w:val="24"/>
                <w:lang w:val="zh-CN"/>
              </w:rPr>
              <w:t>辆；</w:t>
            </w:r>
          </w:p>
          <w:p>
            <w:pPr>
              <w:pStyle w:val="2"/>
              <w:spacing w:line="240" w:lineRule="auto"/>
              <w:jc w:val="both"/>
              <w:rPr>
                <w:rFonts w:hint="eastAsia" w:ascii="宋体" w:hAnsi="宋体" w:cs="宋体"/>
                <w:kern w:val="2"/>
                <w:sz w:val="24"/>
                <w:lang w:val="zh-CN"/>
              </w:rPr>
            </w:pPr>
            <w:bookmarkStart w:id="122" w:name="_Toc83910219"/>
            <w:r>
              <w:rPr>
                <w:rFonts w:hint="eastAsia" w:ascii="宋体" w:hAnsi="宋体" w:cs="宋体"/>
                <w:kern w:val="2"/>
                <w:sz w:val="24"/>
                <w:lang w:val="zh-CN"/>
              </w:rPr>
              <w:t>不能提供的得0分。</w:t>
            </w:r>
            <w:bookmarkEnd w:id="122"/>
          </w:p>
          <w:p>
            <w:pPr>
              <w:rPr>
                <w:rFonts w:hint="eastAsia" w:ascii="宋体" w:hAnsi="宋体" w:cs="宋体"/>
                <w:b/>
                <w:sz w:val="24"/>
                <w:lang w:val="zh-CN"/>
              </w:rPr>
            </w:pPr>
            <w:r>
              <w:rPr>
                <w:rFonts w:hint="eastAsia" w:ascii="宋体" w:hAnsi="宋体" w:cs="宋体"/>
                <w:b/>
                <w:sz w:val="24"/>
                <w:lang w:val="zh-CN"/>
              </w:rPr>
              <w:t>2、投标人在上述基础上额外提供：</w:t>
            </w:r>
          </w:p>
          <w:p>
            <w:pPr>
              <w:rPr>
                <w:rFonts w:hint="eastAsia" w:ascii="宋体" w:hAnsi="宋体" w:cs="宋体"/>
                <w:b/>
                <w:sz w:val="24"/>
                <w:lang w:val="zh-CN"/>
              </w:rPr>
            </w:pPr>
            <w:r>
              <w:rPr>
                <w:rFonts w:hint="eastAsia" w:ascii="宋体" w:hAnsi="宋体" w:cs="宋体"/>
                <w:b/>
                <w:sz w:val="24"/>
                <w:lang w:val="zh-CN"/>
              </w:rPr>
              <w:t>1）小型多功能清洗车，每辆得0.5分，满分1分；</w:t>
            </w:r>
          </w:p>
          <w:p>
            <w:pPr>
              <w:rPr>
                <w:rFonts w:hint="eastAsia" w:ascii="宋体" w:hAnsi="宋体" w:cs="宋体"/>
                <w:b/>
                <w:sz w:val="24"/>
                <w:lang w:val="zh-CN"/>
              </w:rPr>
            </w:pPr>
            <w:r>
              <w:rPr>
                <w:rFonts w:hint="eastAsia" w:ascii="宋体" w:hAnsi="宋体" w:cs="宋体"/>
                <w:b/>
                <w:sz w:val="24"/>
                <w:lang w:val="zh-CN"/>
              </w:rPr>
              <w:t>2）电动巡回保洁车，每辆得0.5分，满分1分；</w:t>
            </w:r>
          </w:p>
          <w:p>
            <w:pPr>
              <w:rPr>
                <w:rFonts w:hint="eastAsia" w:ascii="宋体" w:hAnsi="宋体" w:cs="宋体"/>
                <w:b/>
                <w:sz w:val="24"/>
                <w:lang w:val="zh-CN"/>
              </w:rPr>
            </w:pPr>
            <w:r>
              <w:rPr>
                <w:rFonts w:hint="eastAsia" w:ascii="宋体" w:hAnsi="宋体" w:cs="宋体"/>
                <w:b/>
                <w:sz w:val="24"/>
                <w:lang w:val="zh-CN"/>
              </w:rPr>
              <w:t>3）电动高压冲洗车，每辆得0.5分，满分1分；</w:t>
            </w:r>
          </w:p>
          <w:p>
            <w:pPr>
              <w:rPr>
                <w:rFonts w:hint="eastAsia" w:ascii="宋体" w:hAnsi="宋体" w:cs="宋体"/>
                <w:b/>
                <w:sz w:val="24"/>
                <w:lang w:val="zh-CN"/>
              </w:rPr>
            </w:pPr>
            <w:r>
              <w:rPr>
                <w:rFonts w:hint="eastAsia" w:ascii="宋体" w:hAnsi="宋体" w:cs="宋体"/>
                <w:b/>
                <w:sz w:val="24"/>
                <w:lang w:val="zh-CN"/>
              </w:rPr>
              <w:t>4）小型垃圾清运车（可容纳四桶以上）2辆，每辆得1分，满分2分；</w:t>
            </w:r>
          </w:p>
          <w:p>
            <w:pPr>
              <w:rPr>
                <w:rFonts w:hint="eastAsia" w:ascii="宋体" w:hAnsi="宋体" w:cs="宋体"/>
                <w:b/>
                <w:sz w:val="24"/>
                <w:lang w:val="zh-CN"/>
              </w:rPr>
            </w:pPr>
            <w:r>
              <w:rPr>
                <w:rFonts w:hint="eastAsia" w:ascii="宋体" w:hAnsi="宋体" w:cs="宋体"/>
                <w:b/>
                <w:sz w:val="24"/>
                <w:lang w:val="zh-CN"/>
              </w:rPr>
              <w:t>5）应急抢险车（车辆行驶证中使用性质为工程救险），每辆得0.5分，满分</w:t>
            </w:r>
            <w:r>
              <w:rPr>
                <w:rFonts w:ascii="宋体" w:hAnsi="宋体" w:cs="宋体"/>
                <w:b/>
                <w:sz w:val="24"/>
                <w:lang w:val="zh-CN"/>
              </w:rPr>
              <w:t>1</w:t>
            </w:r>
            <w:r>
              <w:rPr>
                <w:rFonts w:hint="eastAsia" w:ascii="宋体" w:hAnsi="宋体" w:cs="宋体"/>
                <w:b/>
                <w:sz w:val="24"/>
                <w:lang w:val="zh-CN"/>
              </w:rPr>
              <w:t>分；</w:t>
            </w:r>
          </w:p>
          <w:p>
            <w:pPr>
              <w:rPr>
                <w:rFonts w:ascii="宋体" w:hAnsi="宋体" w:cs="宋体"/>
                <w:b/>
                <w:sz w:val="24"/>
                <w:lang w:val="zh-CN"/>
              </w:rPr>
            </w:pPr>
            <w:r>
              <w:rPr>
                <w:rFonts w:hint="eastAsia" w:ascii="宋体" w:hAnsi="宋体" w:cs="宋体"/>
                <w:b/>
                <w:sz w:val="24"/>
                <w:lang w:val="zh-CN"/>
              </w:rPr>
              <w:t>6）小型手推式清雪机，每辆得0.5分，满分1分。</w:t>
            </w:r>
          </w:p>
          <w:p>
            <w:pPr>
              <w:pStyle w:val="2"/>
              <w:spacing w:line="240" w:lineRule="auto"/>
              <w:jc w:val="left"/>
              <w:rPr>
                <w:rFonts w:hint="eastAsia" w:ascii="宋体" w:hAnsi="宋体" w:cs="宋体"/>
                <w:kern w:val="2"/>
                <w:sz w:val="24"/>
                <w:lang w:val="zh-CN"/>
              </w:rPr>
            </w:pPr>
            <w:bookmarkStart w:id="123" w:name="_Toc83910220"/>
            <w:r>
              <w:rPr>
                <w:rFonts w:hint="eastAsia" w:ascii="宋体" w:hAnsi="宋体" w:cs="宋体"/>
                <w:kern w:val="2"/>
                <w:sz w:val="24"/>
                <w:lang w:val="zh-CN"/>
              </w:rPr>
              <w:t>上述设备自有或租赁均可，自有的需提供车辆发票、行驶证、照片，租赁的提供租赁凭证，电动高压清洗车、电动巡回保洁车等无法办理行驶证的，提供购买发票。发票开票时间不得为开标当月日期。</w:t>
            </w:r>
            <w:bookmarkEnd w:id="123"/>
          </w:p>
          <w:p>
            <w:pPr>
              <w:rPr>
                <w:rFonts w:ascii="宋体" w:hAnsi="宋体" w:cs="宋体"/>
                <w:b/>
                <w:sz w:val="24"/>
                <w:lang w:val="zh-CN"/>
              </w:rPr>
            </w:pPr>
            <w:r>
              <w:rPr>
                <w:rFonts w:hint="eastAsia" w:ascii="宋体" w:hAnsi="宋体" w:cs="宋体"/>
                <w:b/>
                <w:sz w:val="24"/>
                <w:lang w:val="zh-CN"/>
              </w:rPr>
              <w:t>7）提供上述机具车辆仅用于本作业标段的承诺书的得</w:t>
            </w:r>
            <w:r>
              <w:rPr>
                <w:rFonts w:ascii="宋体" w:hAnsi="宋体" w:cs="宋体"/>
                <w:b/>
                <w:sz w:val="24"/>
                <w:lang w:val="zh-CN"/>
              </w:rPr>
              <w:t>1</w:t>
            </w:r>
            <w:r>
              <w:rPr>
                <w:rFonts w:hint="eastAsia" w:ascii="宋体" w:hAnsi="宋体" w:cs="宋体"/>
                <w:b/>
                <w:sz w:val="24"/>
                <w:lang w:val="zh-CN"/>
              </w:rPr>
              <w:t>分，不提供不得分。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1"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bCs/>
                <w:sz w:val="24"/>
              </w:rPr>
            </w:pPr>
            <w:r>
              <w:rPr>
                <w:rFonts w:hint="eastAsia" w:ascii="宋体" w:hAnsi="宋体" w:cs="宋体"/>
                <w:b/>
                <w:bCs/>
                <w:sz w:val="24"/>
              </w:rPr>
              <w:t>15</w:t>
            </w:r>
          </w:p>
        </w:tc>
        <w:tc>
          <w:tcPr>
            <w:tcW w:w="1098" w:type="dxa"/>
            <w:tcBorders>
              <w:top w:val="single" w:color="auto" w:sz="4" w:space="0"/>
              <w:left w:val="single" w:color="auto" w:sz="4" w:space="0"/>
              <w:right w:val="single" w:color="auto" w:sz="4" w:space="0"/>
            </w:tcBorders>
            <w:noWrap w:val="0"/>
            <w:vAlign w:val="center"/>
          </w:tcPr>
          <w:p>
            <w:pPr>
              <w:snapToGrid w:val="0"/>
              <w:jc w:val="center"/>
              <w:rPr>
                <w:rFonts w:ascii="宋体" w:hAnsi="宋体" w:cs="宋体"/>
                <w:b/>
                <w:bCs/>
                <w:sz w:val="24"/>
              </w:rPr>
            </w:pPr>
            <w:r>
              <w:rPr>
                <w:rFonts w:hint="eastAsia" w:ascii="宋体" w:hAnsi="宋体" w:cs="宋体"/>
                <w:b/>
                <w:bCs/>
                <w:sz w:val="24"/>
              </w:rPr>
              <w:t>承诺</w:t>
            </w:r>
          </w:p>
        </w:tc>
        <w:tc>
          <w:tcPr>
            <w:tcW w:w="944" w:type="dxa"/>
            <w:vMerge w:val="continue"/>
            <w:tcBorders>
              <w:left w:val="single" w:color="auto" w:sz="4" w:space="0"/>
              <w:right w:val="single" w:color="auto" w:sz="4" w:space="0"/>
            </w:tcBorders>
            <w:noWrap w:val="0"/>
            <w:vAlign w:val="center"/>
          </w:tcPr>
          <w:p>
            <w:pPr>
              <w:snapToGrid w:val="0"/>
              <w:spacing w:after="120"/>
              <w:jc w:val="center"/>
              <w:rPr>
                <w:rFonts w:hint="eastAsia" w:ascii="宋体" w:hAnsi="宋体" w:cs="宋体"/>
                <w:b/>
                <w:bCs/>
                <w:sz w:val="24"/>
              </w:rPr>
            </w:pPr>
          </w:p>
        </w:tc>
        <w:tc>
          <w:tcPr>
            <w:tcW w:w="51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4"/>
              </w:rPr>
            </w:pPr>
            <w:r>
              <w:rPr>
                <w:rFonts w:hint="eastAsia" w:ascii="宋体" w:hAnsi="宋体" w:cs="宋体"/>
                <w:b/>
                <w:sz w:val="24"/>
                <w:lang w:val="zh-CN"/>
              </w:rPr>
              <w:t>投标人提供的所有环卫作业车辆中（基础要求车辆加额外提供车辆），新能源或国六天然气清洁能源车辆占比不得低于30%,不满足要求的，得0分。在此基础上，每多提供1辆可上牌的自有的国六天然气清洁能源或新能源环卫保洁专项作业车，得1分，最高得3分。</w:t>
            </w:r>
          </w:p>
          <w:p>
            <w:pPr>
              <w:rPr>
                <w:rFonts w:hint="eastAsia" w:ascii="宋体" w:hAnsi="宋体" w:cs="宋体"/>
                <w:b/>
                <w:sz w:val="24"/>
              </w:rPr>
            </w:pPr>
            <w:r>
              <w:rPr>
                <w:rFonts w:hint="eastAsia" w:ascii="宋体" w:hAnsi="宋体" w:cs="宋体"/>
                <w:b/>
                <w:sz w:val="24"/>
              </w:rPr>
              <w:t>承诺2021年1月起，新增或更新的环卫保洁专项作业车辆必须是新能源车或国六天然气清洁能源车辆，其中可上牌的车辆必须是国六天然气清洁能源车辆，得2分</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bCs/>
                <w:sz w:val="24"/>
              </w:rPr>
            </w:pPr>
            <w:r>
              <w:rPr>
                <w:rFonts w:hint="eastAsia" w:ascii="宋体" w:hAnsi="宋体" w:cs="宋体"/>
                <w:b/>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7" w:hRule="atLeast"/>
        </w:trPr>
        <w:tc>
          <w:tcPr>
            <w:tcW w:w="790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24"/>
              </w:rPr>
            </w:pPr>
            <w:r>
              <w:rPr>
                <w:rFonts w:hint="eastAsia" w:ascii="宋体" w:hAnsi="宋体" w:cs="宋体"/>
                <w:b/>
                <w:bCs/>
                <w:sz w:val="24"/>
              </w:rPr>
              <w:t>合     计</w:t>
            </w: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bCs/>
                <w:sz w:val="24"/>
              </w:rPr>
              <w:t>74分</w:t>
            </w:r>
          </w:p>
        </w:tc>
      </w:tr>
    </w:tbl>
    <w:p>
      <w:pPr>
        <w:spacing w:line="360" w:lineRule="auto"/>
        <w:ind w:firstLine="482" w:firstLineChars="200"/>
        <w:jc w:val="left"/>
        <w:rPr>
          <w:rFonts w:ascii="宋体" w:hAnsi="宋体"/>
          <w:b/>
          <w:sz w:val="24"/>
          <w:szCs w:val="24"/>
        </w:rPr>
      </w:pPr>
      <w:r>
        <w:rPr>
          <w:rFonts w:hint="eastAsia" w:ascii="宋体" w:hAnsi="宋体"/>
          <w:b/>
          <w:sz w:val="24"/>
          <w:szCs w:val="24"/>
        </w:rPr>
        <w:t>（二）价格评分表</w:t>
      </w:r>
    </w:p>
    <w:p>
      <w:pPr>
        <w:spacing w:line="360" w:lineRule="auto"/>
        <w:ind w:firstLine="602" w:firstLineChars="250"/>
        <w:jc w:val="left"/>
        <w:rPr>
          <w:rFonts w:ascii="宋体" w:hAnsi="宋体"/>
          <w:b/>
          <w:sz w:val="24"/>
        </w:rPr>
      </w:pPr>
      <w:r>
        <w:rPr>
          <w:rFonts w:hint="eastAsia" w:ascii="宋体" w:hAnsi="宋体"/>
          <w:b/>
          <w:sz w:val="24"/>
        </w:rPr>
        <w:t>1、价格评分</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68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9" w:hRule="atLeast"/>
          <w:tblHeader/>
        </w:trPr>
        <w:tc>
          <w:tcPr>
            <w:tcW w:w="813" w:type="dxa"/>
            <w:noWrap w:val="0"/>
            <w:vAlign w:val="center"/>
          </w:tcPr>
          <w:p>
            <w:pPr>
              <w:adjustRightInd w:val="0"/>
              <w:snapToGrid w:val="0"/>
              <w:spacing w:line="480" w:lineRule="exact"/>
              <w:jc w:val="center"/>
              <w:rPr>
                <w:rFonts w:hint="eastAsia" w:ascii="宋体" w:hAnsi="宋体"/>
                <w:b/>
                <w:sz w:val="24"/>
                <w:szCs w:val="24"/>
              </w:rPr>
            </w:pPr>
            <w:r>
              <w:rPr>
                <w:rFonts w:hint="eastAsia" w:ascii="宋体" w:hAnsi="宋体"/>
                <w:b/>
                <w:sz w:val="24"/>
                <w:szCs w:val="24"/>
              </w:rPr>
              <w:t>序号</w:t>
            </w:r>
          </w:p>
        </w:tc>
        <w:tc>
          <w:tcPr>
            <w:tcW w:w="7686" w:type="dxa"/>
            <w:noWrap w:val="0"/>
            <w:vAlign w:val="center"/>
          </w:tcPr>
          <w:p>
            <w:pPr>
              <w:adjustRightInd w:val="0"/>
              <w:snapToGrid w:val="0"/>
              <w:spacing w:line="480" w:lineRule="exact"/>
              <w:jc w:val="center"/>
              <w:rPr>
                <w:rFonts w:hint="eastAsia" w:ascii="宋体" w:hAnsi="宋体"/>
                <w:b/>
                <w:sz w:val="24"/>
                <w:szCs w:val="24"/>
              </w:rPr>
            </w:pPr>
            <w:r>
              <w:rPr>
                <w:rFonts w:hint="eastAsia" w:ascii="宋体" w:hAnsi="宋体"/>
                <w:b/>
                <w:sz w:val="24"/>
                <w:szCs w:val="24"/>
              </w:rPr>
              <w:t>评标要点及说明</w:t>
            </w:r>
          </w:p>
        </w:tc>
        <w:tc>
          <w:tcPr>
            <w:tcW w:w="743" w:type="dxa"/>
            <w:noWrap w:val="0"/>
            <w:vAlign w:val="center"/>
          </w:tcPr>
          <w:p>
            <w:pPr>
              <w:adjustRightInd w:val="0"/>
              <w:snapToGrid w:val="0"/>
              <w:spacing w:line="480" w:lineRule="exact"/>
              <w:jc w:val="center"/>
              <w:rPr>
                <w:rFonts w:hint="eastAsia"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trPr>
        <w:tc>
          <w:tcPr>
            <w:tcW w:w="813" w:type="dxa"/>
            <w:noWrap w:val="0"/>
            <w:vAlign w:val="center"/>
          </w:tcPr>
          <w:p>
            <w:pPr>
              <w:adjustRightInd w:val="0"/>
              <w:snapToGrid w:val="0"/>
              <w:spacing w:line="480" w:lineRule="exact"/>
              <w:jc w:val="center"/>
              <w:rPr>
                <w:rFonts w:ascii="宋体" w:hAnsi="宋体"/>
                <w:sz w:val="24"/>
                <w:szCs w:val="24"/>
              </w:rPr>
            </w:pPr>
            <w:r>
              <w:rPr>
                <w:rFonts w:hint="eastAsia" w:ascii="宋体" w:hAnsi="宋体"/>
                <w:sz w:val="24"/>
                <w:szCs w:val="24"/>
              </w:rPr>
              <w:t>1</w:t>
            </w:r>
          </w:p>
        </w:tc>
        <w:tc>
          <w:tcPr>
            <w:tcW w:w="7686" w:type="dxa"/>
            <w:noWrap w:val="0"/>
            <w:vAlign w:val="center"/>
          </w:tcPr>
          <w:p>
            <w:pPr>
              <w:adjustRightInd w:val="0"/>
              <w:snapToGrid w:val="0"/>
              <w:spacing w:line="480" w:lineRule="exact"/>
              <w:rPr>
                <w:rFonts w:hint="eastAsia" w:ascii="宋体" w:hAnsi="宋体"/>
                <w:sz w:val="24"/>
                <w:szCs w:val="24"/>
              </w:rPr>
            </w:pPr>
            <w:r>
              <w:rPr>
                <w:rFonts w:hint="eastAsia" w:ascii="宋体" w:hAnsi="宋体"/>
                <w:sz w:val="24"/>
              </w:rPr>
              <w:t>所有合格投标人中最低投标报价（或</w:t>
            </w:r>
            <w:r>
              <w:rPr>
                <w:rFonts w:hint="eastAsia" w:ascii="宋体" w:hAnsi="宋体"/>
                <w:sz w:val="24"/>
                <w:szCs w:val="24"/>
              </w:rPr>
              <w:t>政策功能扣除后的评标价格</w:t>
            </w:r>
            <w:r>
              <w:rPr>
                <w:rFonts w:hint="eastAsia" w:ascii="宋体" w:hAnsi="宋体"/>
                <w:sz w:val="24"/>
              </w:rPr>
              <w:t>）为评标基准价，各投标人的价格得分=评标基准价÷各投标</w:t>
            </w:r>
            <w:r>
              <w:rPr>
                <w:rFonts w:ascii="宋体" w:hAnsi="宋体"/>
                <w:sz w:val="24"/>
              </w:rPr>
              <w:t>人的</w:t>
            </w:r>
            <w:r>
              <w:rPr>
                <w:rFonts w:hint="eastAsia" w:ascii="宋体" w:hAnsi="宋体"/>
                <w:sz w:val="24"/>
              </w:rPr>
              <w:t>投标报价（或</w:t>
            </w:r>
            <w:r>
              <w:rPr>
                <w:rFonts w:hint="eastAsia" w:ascii="宋体" w:hAnsi="宋体"/>
                <w:sz w:val="24"/>
                <w:szCs w:val="24"/>
              </w:rPr>
              <w:t>政策功能扣除后的评标价格</w:t>
            </w:r>
            <w:r>
              <w:rPr>
                <w:rFonts w:hint="eastAsia" w:ascii="宋体" w:hAnsi="宋体"/>
                <w:sz w:val="24"/>
              </w:rPr>
              <w:t>）</w:t>
            </w:r>
            <w:r>
              <w:rPr>
                <w:rFonts w:ascii="宋体" w:hAnsi="宋体"/>
                <w:sz w:val="24"/>
              </w:rPr>
              <w:t>×</w:t>
            </w:r>
            <w:r>
              <w:rPr>
                <w:rFonts w:hint="eastAsia" w:ascii="宋体" w:hAnsi="宋体"/>
                <w:sz w:val="24"/>
              </w:rPr>
              <w:t>价格满分</w:t>
            </w:r>
            <w:r>
              <w:rPr>
                <w:rFonts w:ascii="宋体" w:hAnsi="宋体"/>
                <w:sz w:val="24"/>
              </w:rPr>
              <w:t>分值</w:t>
            </w:r>
            <w:r>
              <w:rPr>
                <w:rFonts w:hint="eastAsia" w:ascii="宋体" w:hAnsi="宋体"/>
                <w:sz w:val="24"/>
              </w:rPr>
              <w:t>。</w:t>
            </w:r>
            <w:r>
              <w:rPr>
                <w:rFonts w:ascii="宋体" w:hAnsi="宋体"/>
                <w:sz w:val="24"/>
              </w:rPr>
              <w:t>（小数点后保留二位小数，第三位四舍五入）。</w:t>
            </w:r>
          </w:p>
        </w:tc>
        <w:tc>
          <w:tcPr>
            <w:tcW w:w="743" w:type="dxa"/>
            <w:noWrap w:val="0"/>
            <w:vAlign w:val="center"/>
          </w:tcPr>
          <w:p>
            <w:pPr>
              <w:adjustRightInd w:val="0"/>
              <w:snapToGrid w:val="0"/>
              <w:spacing w:line="480" w:lineRule="exact"/>
              <w:jc w:val="center"/>
              <w:rPr>
                <w:rFonts w:hint="eastAsia" w:ascii="宋体" w:hAnsi="宋体"/>
                <w:sz w:val="24"/>
                <w:szCs w:val="24"/>
              </w:rPr>
            </w:pPr>
            <w:r>
              <w:rPr>
                <w:rFonts w:hint="eastAsia" w:ascii="宋体" w:hAnsi="宋体"/>
                <w:sz w:val="24"/>
                <w:szCs w:val="24"/>
              </w:rPr>
              <w:t>10</w:t>
            </w:r>
          </w:p>
        </w:tc>
      </w:tr>
    </w:tbl>
    <w:p>
      <w:pPr>
        <w:spacing w:line="360" w:lineRule="auto"/>
        <w:ind w:firstLine="482" w:firstLineChars="200"/>
        <w:jc w:val="left"/>
        <w:rPr>
          <w:rFonts w:hint="eastAsia" w:ascii="宋体" w:hAnsi="宋体"/>
          <w:b/>
          <w:sz w:val="24"/>
          <w:szCs w:val="24"/>
        </w:rPr>
      </w:pPr>
      <w:r>
        <w:rPr>
          <w:rFonts w:hint="eastAsia" w:ascii="宋体" w:hAnsi="宋体"/>
          <w:b/>
          <w:sz w:val="24"/>
          <w:szCs w:val="24"/>
        </w:rPr>
        <w:t>2、政策功能的评标价格扣除</w:t>
      </w:r>
    </w:p>
    <w:p>
      <w:pPr>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根据财政部、工业和信息化部制定的</w:t>
      </w:r>
      <w:r>
        <w:rPr>
          <w:rFonts w:ascii="宋体" w:hAnsi="宋体" w:cs="Arial"/>
          <w:sz w:val="24"/>
          <w:szCs w:val="24"/>
        </w:rPr>
        <w:t>关于印发</w:t>
      </w:r>
      <w:r>
        <w:rPr>
          <w:rFonts w:ascii="宋体" w:hAnsi="宋体"/>
          <w:sz w:val="24"/>
        </w:rPr>
        <w:t>《政府采购促进中小企业发展管理办法》的通知（财库〔2020〕46号）</w:t>
      </w:r>
      <w:r>
        <w:rPr>
          <w:rFonts w:hint="eastAsia" w:ascii="宋体" w:hAnsi="宋体"/>
          <w:sz w:val="24"/>
        </w:rPr>
        <w:t>以及杭州市财政局印发《关于优化营商环境进一步加强政府采购监督管理工作的通知》的通知（杭财采监〔2020〕7号），对于非专门面向中小企业的项目，对小型或微型企业的投标报价给予10%的扣除，</w:t>
      </w:r>
      <w:r>
        <w:rPr>
          <w:rFonts w:hint="eastAsia" w:ascii="宋体" w:hAnsi="宋体"/>
          <w:sz w:val="24"/>
          <w:szCs w:val="24"/>
        </w:rPr>
        <w:t>即投标报价*90%，</w:t>
      </w:r>
      <w:r>
        <w:rPr>
          <w:rFonts w:ascii="宋体" w:hAnsi="宋体"/>
          <w:sz w:val="24"/>
        </w:rPr>
        <w:t>并用扣除后的价格计算价格评分</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同时符合以下所有要求的投标人被认定为小型、微型企业：</w:t>
      </w:r>
    </w:p>
    <w:p>
      <w:pPr>
        <w:spacing w:line="360" w:lineRule="auto"/>
        <w:ind w:firstLine="480" w:firstLineChars="200"/>
        <w:jc w:val="left"/>
        <w:rPr>
          <w:rFonts w:ascii="宋体" w:hAnsi="宋体"/>
          <w:sz w:val="24"/>
        </w:rPr>
      </w:pPr>
      <w:r>
        <w:rPr>
          <w:rFonts w:ascii="宋体" w:hAnsi="宋体"/>
          <w:sz w:val="24"/>
        </w:rPr>
        <w:t>1）投标人按照《关于印发中小企业划型标准规定的通知》（工信部联企业〔2011〕300号）的所属行业规定为</w:t>
      </w:r>
      <w:r>
        <w:rPr>
          <w:rFonts w:hint="eastAsia" w:ascii="宋体" w:hAnsi="宋体"/>
          <w:sz w:val="24"/>
        </w:rPr>
        <w:t>中</w:t>
      </w:r>
      <w:r>
        <w:rPr>
          <w:rFonts w:ascii="宋体" w:hAnsi="宋体"/>
          <w:sz w:val="24"/>
        </w:rPr>
        <w:t>型、</w:t>
      </w:r>
      <w:r>
        <w:rPr>
          <w:rFonts w:hint="eastAsia" w:ascii="宋体" w:hAnsi="宋体"/>
          <w:sz w:val="24"/>
        </w:rPr>
        <w:t>小</w:t>
      </w:r>
      <w:r>
        <w:rPr>
          <w:rFonts w:ascii="宋体" w:hAnsi="宋体"/>
          <w:sz w:val="24"/>
        </w:rPr>
        <w:t>型企业【注：按《关于印发中小企业划型标准规定的通知》规定提供《中小企业声明函》】；</w:t>
      </w:r>
    </w:p>
    <w:p>
      <w:pPr>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）投标人所投标项内产品均为小型、微型企业制造的产品【注：按《关于印发中小企业划型标准规定的通知》中“工业行业”规定提供制造商出具的《中小企业声明函》】。</w:t>
      </w:r>
    </w:p>
    <w:p>
      <w:pPr>
        <w:spacing w:line="360" w:lineRule="auto"/>
        <w:ind w:firstLine="482" w:firstLineChars="200"/>
        <w:jc w:val="left"/>
        <w:rPr>
          <w:rFonts w:ascii="宋体" w:hAnsi="宋体"/>
          <w:b/>
          <w:sz w:val="24"/>
        </w:rPr>
      </w:pPr>
      <w:r>
        <w:rPr>
          <w:rFonts w:hint="eastAsia" w:ascii="宋体" w:hAnsi="宋体"/>
          <w:b/>
          <w:sz w:val="24"/>
        </w:rPr>
        <w:t>对于专门面向中小企业的项目，对小型或微型企业的投标报价不给予价格的扣除。</w:t>
      </w:r>
    </w:p>
    <w:p>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监狱企业参加投标【提供《监狱企业声明函》及其相关的充分的证明材料】，视为小型、微型企业，享受小微企业政策扶持，监狱企业属于小型、微型企业的，不重复享受政策。</w:t>
      </w:r>
    </w:p>
    <w:p>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残疾人福利性单位参加投标【提供《残疾人福利性单位声明函》】，视为小型、微型企业，享受小微企业政策扶持，残疾人福利性单位属于小型、微型企业的，不重复享受政策。</w:t>
      </w:r>
    </w:p>
    <w:p>
      <w:pPr>
        <w:spacing w:line="360" w:lineRule="auto"/>
        <w:ind w:firstLine="480" w:firstLineChars="200"/>
        <w:jc w:val="left"/>
        <w:rPr>
          <w:rFonts w:hint="eastAsia" w:ascii="宋体" w:hAnsi="宋体"/>
          <w:sz w:val="24"/>
        </w:rPr>
      </w:pPr>
      <w:r>
        <w:rPr>
          <w:rFonts w:hint="eastAsia" w:ascii="宋体" w:hAnsi="宋体"/>
          <w:sz w:val="24"/>
          <w:szCs w:val="24"/>
        </w:rPr>
        <w:t>（4）联合体投标的，若其成员中有小微（监狱）企业，若其提供的是本企业或其他小微（监狱）企业制造的货物，且其</w:t>
      </w:r>
      <w:r>
        <w:rPr>
          <w:rFonts w:hint="eastAsia" w:ascii="宋体" w:hAnsi="宋体"/>
          <w:sz w:val="24"/>
        </w:rPr>
        <w:t>协议合同金额占到联合体协议合同金额30%以上的，该联合体的评标价格为其投标价格扣除2%，即投标报价*98%。</w:t>
      </w:r>
    </w:p>
    <w:p>
      <w:pPr>
        <w:spacing w:line="360" w:lineRule="auto"/>
        <w:ind w:firstLine="480" w:firstLineChars="200"/>
        <w:jc w:val="left"/>
        <w:rPr>
          <w:rFonts w:hint="eastAsia" w:ascii="宋体" w:hAnsi="宋体"/>
          <w:sz w:val="24"/>
        </w:rPr>
      </w:pPr>
      <w:r>
        <w:rPr>
          <w:rFonts w:hint="eastAsia" w:ascii="宋体" w:hAnsi="宋体"/>
          <w:sz w:val="24"/>
        </w:rPr>
        <w:t>（5）证明材料提供不全或无法证明的视为不符合政策功能的评标价格扣除要求，将不予评标价格的扣除。</w:t>
      </w:r>
    </w:p>
    <w:p>
      <w:pPr>
        <w:spacing w:line="360" w:lineRule="auto"/>
        <w:ind w:firstLine="480" w:firstLineChars="200"/>
        <w:jc w:val="left"/>
        <w:rPr>
          <w:rFonts w:hint="eastAsia" w:ascii="宋体" w:hAnsi="宋体"/>
          <w:sz w:val="24"/>
        </w:rPr>
      </w:pPr>
      <w:r>
        <w:rPr>
          <w:rFonts w:hint="eastAsia" w:ascii="宋体" w:hAnsi="宋体"/>
          <w:sz w:val="24"/>
        </w:rPr>
        <w:t>（6）</w:t>
      </w:r>
      <w:r>
        <w:rPr>
          <w:rFonts w:ascii="宋体" w:hAnsi="宋体"/>
          <w:sz w:val="24"/>
        </w:rPr>
        <w:t>此项由评标委员会集体核实后统一打分。</w:t>
      </w:r>
    </w:p>
    <w:p>
      <w:pPr>
        <w:spacing w:line="360" w:lineRule="auto"/>
        <w:ind w:firstLine="482" w:firstLineChars="200"/>
        <w:jc w:val="left"/>
        <w:rPr>
          <w:rFonts w:hint="eastAsia" w:ascii="宋体" w:hAnsi="宋体"/>
          <w:b/>
          <w:sz w:val="24"/>
          <w:szCs w:val="24"/>
        </w:rPr>
      </w:pPr>
      <w:r>
        <w:rPr>
          <w:rFonts w:hint="eastAsia" w:ascii="宋体" w:hAnsi="宋体"/>
          <w:b/>
          <w:sz w:val="24"/>
          <w:szCs w:val="24"/>
        </w:rPr>
        <w:t xml:space="preserve">3、修改评标结果 </w:t>
      </w:r>
    </w:p>
    <w:p>
      <w:pPr>
        <w:spacing w:line="360" w:lineRule="auto"/>
        <w:ind w:firstLine="480" w:firstLineChars="200"/>
        <w:rPr>
          <w:rFonts w:hint="eastAsia" w:ascii="宋体" w:hAnsi="宋体"/>
          <w:sz w:val="24"/>
          <w:szCs w:val="24"/>
        </w:rPr>
      </w:pPr>
      <w:r>
        <w:rPr>
          <w:rFonts w:hint="eastAsia" w:ascii="宋体" w:hAnsi="宋体"/>
          <w:sz w:val="24"/>
          <w:szCs w:val="24"/>
        </w:rPr>
        <w:t>评标结果汇总完成后，除下列情形外，任何人不得修改评标结果：</w:t>
      </w:r>
    </w:p>
    <w:p>
      <w:pPr>
        <w:spacing w:line="360" w:lineRule="auto"/>
        <w:ind w:firstLine="480" w:firstLineChars="200"/>
        <w:rPr>
          <w:rFonts w:hint="eastAsia" w:ascii="宋体" w:hAnsi="宋体"/>
          <w:sz w:val="24"/>
          <w:szCs w:val="24"/>
        </w:rPr>
      </w:pPr>
      <w:r>
        <w:rPr>
          <w:rFonts w:hint="eastAsia" w:ascii="宋体" w:hAnsi="宋体"/>
          <w:sz w:val="24"/>
          <w:szCs w:val="24"/>
        </w:rPr>
        <w:t>（1）分值汇总计算错误的；</w:t>
      </w:r>
    </w:p>
    <w:p>
      <w:pPr>
        <w:spacing w:line="360" w:lineRule="auto"/>
        <w:ind w:firstLine="480" w:firstLineChars="200"/>
        <w:rPr>
          <w:rFonts w:hint="eastAsia" w:ascii="宋体" w:hAnsi="宋体"/>
          <w:sz w:val="24"/>
          <w:szCs w:val="24"/>
        </w:rPr>
      </w:pPr>
      <w:r>
        <w:rPr>
          <w:rFonts w:hint="eastAsia" w:ascii="宋体" w:hAnsi="宋体"/>
          <w:sz w:val="24"/>
          <w:szCs w:val="24"/>
        </w:rPr>
        <w:t xml:space="preserve">（2）分项评分超出评分标准范围的； </w:t>
      </w:r>
    </w:p>
    <w:p>
      <w:pPr>
        <w:spacing w:line="360" w:lineRule="auto"/>
        <w:ind w:firstLine="480" w:firstLineChars="200"/>
        <w:rPr>
          <w:rFonts w:hint="eastAsia" w:ascii="宋体" w:hAnsi="宋体"/>
          <w:sz w:val="24"/>
          <w:szCs w:val="24"/>
        </w:rPr>
      </w:pPr>
      <w:r>
        <w:rPr>
          <w:rFonts w:hint="eastAsia" w:ascii="宋体" w:hAnsi="宋体"/>
          <w:sz w:val="24"/>
          <w:szCs w:val="24"/>
        </w:rPr>
        <w:t xml:space="preserve">（3）评标委员会成员对客观评审因素评分不一致的； </w:t>
      </w:r>
    </w:p>
    <w:p>
      <w:pPr>
        <w:spacing w:line="360" w:lineRule="auto"/>
        <w:ind w:firstLine="480" w:firstLineChars="200"/>
        <w:rPr>
          <w:rFonts w:hint="eastAsia" w:ascii="宋体" w:hAnsi="宋体"/>
          <w:sz w:val="24"/>
          <w:szCs w:val="24"/>
        </w:rPr>
      </w:pPr>
      <w:r>
        <w:rPr>
          <w:rFonts w:hint="eastAsia" w:ascii="宋体" w:hAnsi="宋体"/>
          <w:sz w:val="24"/>
          <w:szCs w:val="24"/>
        </w:rPr>
        <w:t xml:space="preserve">（4）经评标委员会认定评分畸高、畸低的。 </w:t>
      </w:r>
    </w:p>
    <w:p>
      <w:pPr>
        <w:spacing w:line="360" w:lineRule="auto"/>
        <w:ind w:firstLine="480" w:firstLineChars="200"/>
        <w:rPr>
          <w:rFonts w:hint="eastAsia" w:ascii="宋体" w:hAnsi="宋体"/>
          <w:sz w:val="24"/>
          <w:szCs w:val="24"/>
        </w:rPr>
      </w:pPr>
      <w:r>
        <w:rPr>
          <w:rFonts w:hint="eastAsia" w:ascii="宋体" w:hAnsi="宋体"/>
          <w:sz w:val="24"/>
          <w:szCs w:val="24"/>
        </w:rPr>
        <w:t>评标报告签署前，经复核发现存在以上情形之一的，评标委员会将当场修改评标结果，并在评标报告中记载。</w:t>
      </w:r>
    </w:p>
    <w:p>
      <w:pPr>
        <w:spacing w:line="360" w:lineRule="auto"/>
        <w:ind w:firstLine="480" w:firstLineChars="200"/>
        <w:rPr>
          <w:rFonts w:hint="eastAsia" w:ascii="宋体" w:hAnsi="宋体"/>
          <w:sz w:val="24"/>
          <w:szCs w:val="24"/>
        </w:rPr>
      </w:pPr>
      <w:bookmarkStart w:id="124" w:name="_Toc533527006"/>
      <w:r>
        <w:rPr>
          <w:rFonts w:hint="eastAsia" w:ascii="宋体" w:hAnsi="宋体"/>
          <w:sz w:val="24"/>
          <w:szCs w:val="24"/>
        </w:rPr>
        <w:t>4、评标委员会认为投标人的报价明显低于其他通过符合性审查投标人的报价，有可能不能诚信履约的，应当要求其在评标现场合理的时间内提供书面说明，必要时提交相关证明材料；投标人证明其能够诚信履约的，可以继续参加评审，否则评标委员会应当将其作为无效投标处理。</w:t>
      </w:r>
    </w:p>
    <w:p>
      <w:pPr>
        <w:pStyle w:val="4"/>
        <w:ind w:left="0" w:firstLine="0"/>
        <w:jc w:val="center"/>
        <w:rPr>
          <w:rFonts w:ascii="宋体" w:hAnsi="宋体" w:eastAsia="宋体"/>
          <w:sz w:val="28"/>
          <w:szCs w:val="28"/>
        </w:rPr>
      </w:pPr>
      <w:r>
        <w:rPr>
          <w:rFonts w:ascii="宋体" w:hAnsi="宋体" w:eastAsia="宋体"/>
          <w:sz w:val="28"/>
          <w:szCs w:val="28"/>
        </w:rPr>
        <w:br w:type="page"/>
      </w:r>
      <w:bookmarkStart w:id="125" w:name="_Toc83910221"/>
      <w:r>
        <w:rPr>
          <w:rFonts w:hint="eastAsia" w:ascii="宋体" w:hAnsi="宋体" w:eastAsia="宋体"/>
          <w:sz w:val="28"/>
          <w:szCs w:val="28"/>
        </w:rPr>
        <w:t>政府采购支持中小企业信用融资相关事项通知</w:t>
      </w:r>
      <w:bookmarkEnd w:id="124"/>
      <w:bookmarkEnd w:id="125"/>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360" w:lineRule="auto"/>
        <w:ind w:firstLine="480" w:firstLineChars="200"/>
        <w:rPr>
          <w:rFonts w:ascii="宋体" w:hAnsi="宋体"/>
          <w:sz w:val="24"/>
        </w:rPr>
      </w:pPr>
      <w:r>
        <w:rPr>
          <w:rFonts w:hint="eastAsia" w:ascii="宋体" w:hAnsi="宋体"/>
          <w:sz w:val="24"/>
        </w:rPr>
        <w:t>一、适用对象</w:t>
      </w:r>
    </w:p>
    <w:p>
      <w:pPr>
        <w:spacing w:line="360" w:lineRule="auto"/>
        <w:ind w:firstLine="480" w:firstLineChars="200"/>
        <w:rPr>
          <w:rFonts w:ascii="宋体" w:hAnsi="宋体"/>
          <w:sz w:val="24"/>
        </w:rPr>
      </w:pPr>
      <w:r>
        <w:rPr>
          <w:rFonts w:hint="eastAsia" w:ascii="宋体" w:hAnsi="宋体"/>
          <w:sz w:val="24"/>
        </w:rPr>
        <w:t>在杭州市政府采购网上注册入库，并取得杭州市政府采购合同的杭州市内中小企业供应商。</w:t>
      </w:r>
    </w:p>
    <w:p>
      <w:pPr>
        <w:spacing w:line="360" w:lineRule="auto"/>
        <w:ind w:firstLine="480" w:firstLineChars="200"/>
        <w:rPr>
          <w:rFonts w:ascii="宋体" w:hAnsi="宋体"/>
          <w:sz w:val="24"/>
        </w:rPr>
      </w:pPr>
      <w:r>
        <w:rPr>
          <w:rFonts w:hint="eastAsia" w:ascii="宋体" w:hAnsi="宋体"/>
          <w:sz w:val="24"/>
        </w:rPr>
        <w:t>二、相关信息获取方式</w:t>
      </w:r>
    </w:p>
    <w:p>
      <w:pPr>
        <w:spacing w:line="360" w:lineRule="auto"/>
        <w:ind w:firstLine="480" w:firstLineChars="200"/>
        <w:rPr>
          <w:rFonts w:ascii="宋体" w:hAnsi="宋体"/>
          <w:sz w:val="24"/>
        </w:rPr>
      </w:pPr>
      <w:r>
        <w:rPr>
          <w:rFonts w:hint="eastAsia" w:ascii="宋体" w:hAnsi="宋体"/>
          <w:sz w:val="24"/>
        </w:rPr>
        <w:t>请登陆杭州市政府采购网（http://cg.hzft.gov.cn）“中小企业信用融资”专栏，可查看信用融资政策文件及各相关银行服务方案。</w:t>
      </w:r>
    </w:p>
    <w:p>
      <w:pPr>
        <w:spacing w:line="360" w:lineRule="auto"/>
        <w:ind w:firstLine="480" w:firstLineChars="200"/>
        <w:rPr>
          <w:rFonts w:ascii="宋体" w:hAnsi="宋体"/>
          <w:sz w:val="24"/>
        </w:rPr>
      </w:pPr>
      <w:r>
        <w:rPr>
          <w:rFonts w:hint="eastAsia" w:ascii="宋体" w:hAnsi="宋体"/>
          <w:sz w:val="24"/>
        </w:rPr>
        <w:t>三、申请方式和步骤</w:t>
      </w:r>
    </w:p>
    <w:p>
      <w:pPr>
        <w:spacing w:line="360" w:lineRule="auto"/>
        <w:ind w:firstLine="480" w:firstLineChars="200"/>
        <w:rPr>
          <w:rFonts w:ascii="宋体" w:hAnsi="宋体"/>
          <w:sz w:val="24"/>
        </w:rPr>
      </w:pPr>
      <w:r>
        <w:rPr>
          <w:rFonts w:hint="eastAsia" w:ascii="宋体" w:hAnsi="宋体"/>
          <w:sz w:val="24"/>
        </w:rPr>
        <w:t>1、供应商若有融资意向，需先与六家合作银行对接，办理相关融资前期手续；</w:t>
      </w:r>
    </w:p>
    <w:p>
      <w:pPr>
        <w:spacing w:line="360" w:lineRule="auto"/>
        <w:ind w:firstLine="480" w:firstLineChars="200"/>
        <w:rPr>
          <w:rFonts w:ascii="宋体" w:hAnsi="宋体"/>
          <w:sz w:val="24"/>
        </w:rPr>
      </w:pPr>
      <w:r>
        <w:rPr>
          <w:rFonts w:hint="eastAsia" w:ascii="宋体" w:hAnsi="宋体"/>
          <w:sz w:val="24"/>
        </w:rPr>
        <w:t>2、中标后，供应商应与采购单位或者采购代理机构及时联系，告知融资需求；</w:t>
      </w:r>
    </w:p>
    <w:p>
      <w:pPr>
        <w:spacing w:line="360" w:lineRule="auto"/>
        <w:ind w:firstLine="480" w:firstLineChars="200"/>
        <w:rPr>
          <w:rFonts w:ascii="宋体" w:hAnsi="宋体"/>
          <w:sz w:val="24"/>
        </w:rPr>
      </w:pPr>
      <w:r>
        <w:rPr>
          <w:rFonts w:hint="eastAsia" w:ascii="宋体" w:hAnsi="宋体"/>
          <w:sz w:val="24"/>
        </w:rPr>
        <w:t>3、采购单位或者采购代理机构在政府采购信息系统录入中标合同信息时，须在合同备案页“是否为可融资合同”前打勾，并选择相应的信用融资合作银行，录入账号信息；</w:t>
      </w:r>
    </w:p>
    <w:p>
      <w:pPr>
        <w:spacing w:line="360" w:lineRule="auto"/>
        <w:ind w:firstLine="480" w:firstLineChars="200"/>
        <w:rPr>
          <w:rFonts w:ascii="宋体" w:hAnsi="宋体"/>
          <w:sz w:val="24"/>
        </w:rPr>
      </w:pPr>
      <w:r>
        <w:rPr>
          <w:rFonts w:hint="eastAsia" w:ascii="宋体" w:hAnsi="宋体"/>
          <w:sz w:val="24"/>
        </w:rPr>
        <w:t>4、相关信息录入后，相关合作银行将在政府采购信息系统查询到合同备案信息，经审核，与供应商联系并办理相关融资事宜。</w:t>
      </w:r>
    </w:p>
    <w:p>
      <w:pPr>
        <w:spacing w:line="360" w:lineRule="auto"/>
        <w:ind w:firstLine="480" w:firstLineChars="200"/>
        <w:rPr>
          <w:rFonts w:ascii="宋体" w:hAnsi="宋体"/>
          <w:sz w:val="24"/>
        </w:rPr>
      </w:pPr>
      <w:r>
        <w:rPr>
          <w:rFonts w:hint="eastAsia" w:ascii="宋体" w:hAnsi="宋体"/>
          <w:sz w:val="24"/>
        </w:rPr>
        <w:t>四、注意事项</w:t>
      </w:r>
    </w:p>
    <w:p>
      <w:pPr>
        <w:shd w:val="clear" w:color="auto" w:fill="FFFFFF"/>
        <w:adjustRightInd w:val="0"/>
        <w:spacing w:line="360" w:lineRule="auto"/>
        <w:rPr>
          <w:rFonts w:ascii="宋体" w:hAnsi="宋体"/>
          <w:sz w:val="24"/>
        </w:rPr>
      </w:pPr>
      <w:r>
        <w:rPr>
          <w:rFonts w:hint="eastAsia" w:ascii="宋体" w:hAnsi="宋体"/>
          <w:sz w:val="24"/>
        </w:rPr>
        <w:t xml:space="preserve">    请各采购单位和采购代理机构积极支持和配合政府采购信用融资工作，在合同备案环节务必请仔细核对收款银行、账号信息等内容，一旦录入将无法修改。</w:t>
      </w:r>
    </w:p>
    <w:p>
      <w:pPr>
        <w:pStyle w:val="202"/>
        <w:adjustRightInd w:val="0"/>
        <w:snapToGrid w:val="0"/>
        <w:spacing w:before="0"/>
        <w:ind w:firstLine="480"/>
        <w:rPr>
          <w:rFonts w:hint="eastAsia" w:ascii="宋体" w:hAnsi="宋体"/>
          <w:kern w:val="0"/>
        </w:rPr>
      </w:pPr>
    </w:p>
    <w:sectPr>
      <w:footerReference r:id="rId15" w:type="first"/>
      <w:footerReference r:id="rId13" w:type="default"/>
      <w:footerReference r:id="rId14" w:type="even"/>
      <w:pgSz w:w="11906" w:h="16838"/>
      <w:pgMar w:top="1440" w:right="1440" w:bottom="1440" w:left="1440" w:header="851" w:footer="85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F7FFAFFF" w:usb1="E9DFFFFF" w:usb2="0000003F" w:usb3="00000000" w:csb0="003F01FF"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auto"/>
    <w:pitch w:val="default"/>
    <w:sig w:usb0="00000000" w:usb1="00000000" w:usb2="00000010" w:usb3="00000000" w:csb0="0002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Helvetica Neue">
    <w:altName w:val="Times New Roman"/>
    <w:panose1 w:val="02000503000000020004"/>
    <w:charset w:val="00"/>
    <w:family w:val="auto"/>
    <w:pitch w:val="default"/>
    <w:sig w:usb0="00000003" w:usb1="00000000" w:usb2="00000000" w:usb3="00000000" w:csb0="00000001" w:csb1="00000000"/>
  </w:font>
  <w:font w:name="Univers 57 Condensed">
    <w:altName w:val="宋体"/>
    <w:panose1 w:val="00000000000000000000"/>
    <w:charset w:val="86"/>
    <w:family w:val="swiss"/>
    <w:pitch w:val="default"/>
    <w:sig w:usb0="00000001" w:usb1="080E0000" w:usb2="00000010" w:usb3="00000000" w:csb0="00040000" w:csb1="00000000"/>
  </w:font>
  <w:font w:name="HYKai U3HK">
    <w:altName w:val="MingLiU-ExtB"/>
    <w:panose1 w:val="00000000000000000000"/>
    <w:charset w:val="88"/>
    <w:family w:val="modern"/>
    <w:pitch w:val="default"/>
    <w:sig w:usb0="00000001" w:usb1="08080000" w:usb2="00000010" w:usb3="00000000" w:csb0="0010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dobeFangsongStd-Regular">
    <w:altName w:val="Times New Roman"/>
    <w:panose1 w:val="00000000000000000000"/>
    <w:charset w:val="00"/>
    <w:family w:val="roman"/>
    <w:pitch w:val="default"/>
    <w:sig w:usb0="00000003" w:usb1="00000000" w:usb2="00000000" w:usb3="00000000" w:csb0="00000001" w:csb1="00000000"/>
  </w:font>
  <w:font w:name="Arabic Typesetting">
    <w:altName w:val="Courier New"/>
    <w:panose1 w:val="03020402040406030203"/>
    <w:charset w:val="00"/>
    <w:family w:val="script"/>
    <w:pitch w:val="default"/>
    <w:sig w:usb0="A000206F" w:usb1="C0000000" w:usb2="00000008" w:usb3="00000000" w:csb0="000000D3" w:csb1="00000000"/>
  </w:font>
  <w:font w:name="Yu Gothic">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lang w:val="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lang/>
      </w:rPr>
      <w:t>1</w:t>
    </w:r>
    <w:r>
      <w:fldChar w:fldCharType="end"/>
    </w:r>
  </w:p>
  <w:p>
    <w:pPr>
      <w:pStyle w:val="55"/>
    </w:pPr>
  </w:p>
  <w:p/>
  <w:p/>
  <w:p/>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54</w:t>
    </w:r>
    <w:r>
      <w:rPr>
        <w:b/>
        <w:bCs/>
        <w:sz w:val="24"/>
        <w:szCs w:val="24"/>
      </w:rPr>
      <w:fldChar w:fldCharType="end"/>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separate"/>
    </w:r>
    <w:r>
      <w:fldChar w:fldCharType="end"/>
    </w:r>
  </w:p>
  <w:p>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35</w:t>
    </w:r>
    <w:r>
      <w:rPr>
        <w:b/>
        <w:bCs/>
        <w:sz w:val="24"/>
        <w:szCs w:val="24"/>
      </w:rPr>
      <w:fldChar w:fldCharType="end"/>
    </w:r>
    <w:r>
      <w:rPr>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lang/>
      </w:rPr>
      <w:t>1</w:t>
    </w:r>
    <w:r>
      <w:fldChar w:fldCharType="end"/>
    </w:r>
  </w:p>
  <w:p>
    <w:pPr>
      <w:pStyle w:val="55"/>
    </w:pPr>
  </w:p>
  <w:p/>
  <w:p/>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47</w:t>
    </w:r>
    <w:r>
      <w:rPr>
        <w:b/>
        <w:bCs/>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46</w:t>
    </w:r>
    <w:r>
      <w:rPr>
        <w:lang w:val="zh-CN"/>
      </w:rPr>
      <w:fldChar w:fldCharType="end"/>
    </w:r>
  </w:p>
  <w:p>
    <w:pPr>
      <w:pStyle w:val="5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53</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70</w:t>
    </w:r>
    <w:r>
      <w:rPr>
        <w:b/>
        <w:bCs/>
        <w:sz w:val="24"/>
        <w:szCs w:val="24"/>
      </w:rPr>
      <w:fldChar w:fldCharType="end"/>
    </w:r>
    <w:r>
      <w:rPr>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rFonts w:hint="eastAsia"/>
      </w:rPr>
    </w:pPr>
    <w:r>
      <w:rPr>
        <w:rFonts w:hint="eastAsia"/>
      </w:rPr>
      <w:drawing>
        <wp:inline distT="0" distB="0" distL="114300" distR="114300">
          <wp:extent cx="304165" cy="306705"/>
          <wp:effectExtent l="0" t="0" r="635" b="17145"/>
          <wp:docPr id="2" name="图片 3"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成套新logo"/>
                  <pic:cNvPicPr>
                    <a:picLocks noChangeAspect="1"/>
                  </pic:cNvPicPr>
                </pic:nvPicPr>
                <pic:blipFill>
                  <a:blip r:embed="rId1"/>
                  <a:stretch>
                    <a:fillRect/>
                  </a:stretch>
                </pic:blipFill>
                <pic:spPr>
                  <a:xfrm>
                    <a:off x="0" y="0"/>
                    <a:ext cx="304165" cy="306705"/>
                  </a:xfrm>
                  <a:prstGeom prst="rect">
                    <a:avLst/>
                  </a:prstGeom>
                  <a:noFill/>
                  <a:ln>
                    <a:noFill/>
                  </a:ln>
                </pic:spPr>
              </pic:pic>
            </a:graphicData>
          </a:graphic>
        </wp:inline>
      </w:drawing>
    </w:r>
    <w:r>
      <w:rPr>
        <w:rFonts w:hint="eastAsia"/>
        <w:i/>
        <w:szCs w:val="18"/>
      </w:rPr>
      <w:t xml:space="preserve">浙江省成套招标代理有限公司  </w:t>
    </w:r>
    <w:r>
      <w:rPr>
        <w:i/>
        <w:szCs w:val="18"/>
      </w:rPr>
      <w:t xml:space="preserve">     </w:t>
    </w:r>
    <w:r>
      <w:rPr>
        <w:rFonts w:hint="eastAsia"/>
        <w:i/>
        <w:szCs w:val="18"/>
      </w:rPr>
      <w:t xml:space="preserve">                                      </w:t>
    </w:r>
    <w:r>
      <w:rPr>
        <w:i/>
        <w:szCs w:val="18"/>
      </w:rPr>
      <w:t xml:space="preserve">     </w:t>
    </w:r>
    <w:r>
      <w:rPr>
        <w:rFonts w:hint="eastAsia"/>
        <w:i/>
        <w:szCs w:val="18"/>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pPr>
    <w:r>
      <w:rPr>
        <w:rFonts w:hint="eastAsia"/>
      </w:rPr>
      <w:drawing>
        <wp:inline distT="0" distB="0" distL="114300" distR="114300">
          <wp:extent cx="283210" cy="285750"/>
          <wp:effectExtent l="0" t="0" r="2540" b="0"/>
          <wp:docPr id="3" name="图片 4"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成套新logo"/>
                  <pic:cNvPicPr>
                    <a:picLocks noChangeAspect="1"/>
                  </pic:cNvPicPr>
                </pic:nvPicPr>
                <pic:blipFill>
                  <a:blip r:embed="rId1"/>
                  <a:stretch>
                    <a:fillRect/>
                  </a:stretch>
                </pic:blipFill>
                <pic:spPr>
                  <a:xfrm>
                    <a:off x="0" y="0"/>
                    <a:ext cx="283210" cy="285750"/>
                  </a:xfrm>
                  <a:prstGeom prst="rect">
                    <a:avLst/>
                  </a:prstGeom>
                  <a:noFill/>
                  <a:ln>
                    <a:noFill/>
                  </a:ln>
                </pic:spPr>
              </pic:pic>
            </a:graphicData>
          </a:graphic>
        </wp:inline>
      </w:drawing>
    </w:r>
    <w:r>
      <w:rPr>
        <w:rFonts w:hint="eastAsia"/>
        <w:i/>
        <w:szCs w:val="18"/>
      </w:rPr>
      <w:t xml:space="preserve">浙江省成套招标代理有限公司  </w:t>
    </w:r>
    <w:r>
      <w:rPr>
        <w:i/>
        <w:szCs w:val="18"/>
      </w:rPr>
      <w:t xml:space="preserve">     </w:t>
    </w:r>
    <w:r>
      <w:rPr>
        <w:rFonts w:hint="eastAsia"/>
        <w:i/>
        <w:szCs w:val="18"/>
      </w:rPr>
      <w:t xml:space="preserve">                                        </w:t>
    </w:r>
    <w:r>
      <w:rPr>
        <w:i/>
        <w:szCs w:val="18"/>
      </w:rPr>
      <w:t xml:space="preserve">    </w:t>
    </w:r>
    <w:r>
      <w:rPr>
        <w:rFonts w:hint="eastAsia"/>
        <w:i/>
        <w:szCs w:val="18"/>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6D94D"/>
    <w:multiLevelType w:val="singleLevel"/>
    <w:tmpl w:val="D7A6D94D"/>
    <w:lvl w:ilvl="0" w:tentative="0">
      <w:start w:val="6"/>
      <w:numFmt w:val="chineseCounting"/>
      <w:suff w:val="nothing"/>
      <w:lvlText w:val="%1、"/>
      <w:lvlJc w:val="left"/>
      <w:rPr>
        <w:rFonts w:hint="eastAsia"/>
      </w:rPr>
    </w:lvl>
  </w:abstractNum>
  <w:abstractNum w:abstractNumId="1">
    <w:nsid w:val="068E1A3F"/>
    <w:multiLevelType w:val="multilevel"/>
    <w:tmpl w:val="068E1A3F"/>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A6"/>
    <w:rsid w:val="000010E4"/>
    <w:rsid w:val="00002162"/>
    <w:rsid w:val="000049FC"/>
    <w:rsid w:val="00004FB6"/>
    <w:rsid w:val="00005F18"/>
    <w:rsid w:val="00006117"/>
    <w:rsid w:val="000065FE"/>
    <w:rsid w:val="00006BEE"/>
    <w:rsid w:val="0001013B"/>
    <w:rsid w:val="00016507"/>
    <w:rsid w:val="00016D53"/>
    <w:rsid w:val="0001799B"/>
    <w:rsid w:val="00022885"/>
    <w:rsid w:val="00022BC3"/>
    <w:rsid w:val="00024E85"/>
    <w:rsid w:val="00025801"/>
    <w:rsid w:val="000259A6"/>
    <w:rsid w:val="00025C1D"/>
    <w:rsid w:val="000267DC"/>
    <w:rsid w:val="000309BF"/>
    <w:rsid w:val="00030C84"/>
    <w:rsid w:val="000321E9"/>
    <w:rsid w:val="0003370A"/>
    <w:rsid w:val="000348B6"/>
    <w:rsid w:val="0004031D"/>
    <w:rsid w:val="000418C5"/>
    <w:rsid w:val="00041A3D"/>
    <w:rsid w:val="00041BF6"/>
    <w:rsid w:val="00043C9D"/>
    <w:rsid w:val="00046135"/>
    <w:rsid w:val="00046A8B"/>
    <w:rsid w:val="00046CC7"/>
    <w:rsid w:val="00050C90"/>
    <w:rsid w:val="0005150E"/>
    <w:rsid w:val="00051E1A"/>
    <w:rsid w:val="00052AE3"/>
    <w:rsid w:val="00052EC2"/>
    <w:rsid w:val="00053187"/>
    <w:rsid w:val="000535C2"/>
    <w:rsid w:val="0005696C"/>
    <w:rsid w:val="00056B12"/>
    <w:rsid w:val="00056DAB"/>
    <w:rsid w:val="000571AA"/>
    <w:rsid w:val="000573BB"/>
    <w:rsid w:val="00057F33"/>
    <w:rsid w:val="000606B0"/>
    <w:rsid w:val="000609D4"/>
    <w:rsid w:val="00060B7B"/>
    <w:rsid w:val="00061579"/>
    <w:rsid w:val="00061942"/>
    <w:rsid w:val="00061C69"/>
    <w:rsid w:val="00062DB0"/>
    <w:rsid w:val="00063E71"/>
    <w:rsid w:val="000659CD"/>
    <w:rsid w:val="00066A33"/>
    <w:rsid w:val="00066FE0"/>
    <w:rsid w:val="00067743"/>
    <w:rsid w:val="00067814"/>
    <w:rsid w:val="0007043C"/>
    <w:rsid w:val="000706EC"/>
    <w:rsid w:val="00071CE5"/>
    <w:rsid w:val="00072779"/>
    <w:rsid w:val="00072E66"/>
    <w:rsid w:val="00073CDA"/>
    <w:rsid w:val="000741B3"/>
    <w:rsid w:val="00074257"/>
    <w:rsid w:val="000749C3"/>
    <w:rsid w:val="00074A6C"/>
    <w:rsid w:val="00075604"/>
    <w:rsid w:val="00076DC2"/>
    <w:rsid w:val="00077613"/>
    <w:rsid w:val="00080780"/>
    <w:rsid w:val="00081143"/>
    <w:rsid w:val="000822DE"/>
    <w:rsid w:val="00082311"/>
    <w:rsid w:val="00082C58"/>
    <w:rsid w:val="00084BCF"/>
    <w:rsid w:val="00085154"/>
    <w:rsid w:val="00086040"/>
    <w:rsid w:val="00086D7C"/>
    <w:rsid w:val="000872C3"/>
    <w:rsid w:val="00091353"/>
    <w:rsid w:val="000916E2"/>
    <w:rsid w:val="000921F2"/>
    <w:rsid w:val="0009370B"/>
    <w:rsid w:val="00093AB7"/>
    <w:rsid w:val="00095D9C"/>
    <w:rsid w:val="00097FAE"/>
    <w:rsid w:val="000A0BE3"/>
    <w:rsid w:val="000A0D29"/>
    <w:rsid w:val="000A1C38"/>
    <w:rsid w:val="000A249C"/>
    <w:rsid w:val="000A24BA"/>
    <w:rsid w:val="000A27E8"/>
    <w:rsid w:val="000A3884"/>
    <w:rsid w:val="000A3FF4"/>
    <w:rsid w:val="000A4F15"/>
    <w:rsid w:val="000A5A2B"/>
    <w:rsid w:val="000A5B7C"/>
    <w:rsid w:val="000A5EF6"/>
    <w:rsid w:val="000A60A2"/>
    <w:rsid w:val="000A7830"/>
    <w:rsid w:val="000B0DBC"/>
    <w:rsid w:val="000B11A3"/>
    <w:rsid w:val="000B1221"/>
    <w:rsid w:val="000B1510"/>
    <w:rsid w:val="000B283D"/>
    <w:rsid w:val="000B4497"/>
    <w:rsid w:val="000B4807"/>
    <w:rsid w:val="000B50FD"/>
    <w:rsid w:val="000B5823"/>
    <w:rsid w:val="000B6200"/>
    <w:rsid w:val="000B7B77"/>
    <w:rsid w:val="000B7F1D"/>
    <w:rsid w:val="000C05F6"/>
    <w:rsid w:val="000C11A4"/>
    <w:rsid w:val="000C14A2"/>
    <w:rsid w:val="000C1C1E"/>
    <w:rsid w:val="000C23E1"/>
    <w:rsid w:val="000C40BA"/>
    <w:rsid w:val="000C64C2"/>
    <w:rsid w:val="000D0725"/>
    <w:rsid w:val="000D1474"/>
    <w:rsid w:val="000D3169"/>
    <w:rsid w:val="000D44A0"/>
    <w:rsid w:val="000D44B9"/>
    <w:rsid w:val="000D614B"/>
    <w:rsid w:val="000D68DD"/>
    <w:rsid w:val="000D7013"/>
    <w:rsid w:val="000D71F2"/>
    <w:rsid w:val="000D74D5"/>
    <w:rsid w:val="000D763D"/>
    <w:rsid w:val="000D7AD5"/>
    <w:rsid w:val="000D7F45"/>
    <w:rsid w:val="000E1E75"/>
    <w:rsid w:val="000E317C"/>
    <w:rsid w:val="000E3BCD"/>
    <w:rsid w:val="000E3EBC"/>
    <w:rsid w:val="000E57A5"/>
    <w:rsid w:val="000E5BF1"/>
    <w:rsid w:val="000E5FD4"/>
    <w:rsid w:val="000F20A1"/>
    <w:rsid w:val="000F2B90"/>
    <w:rsid w:val="000F3A1E"/>
    <w:rsid w:val="000F41C4"/>
    <w:rsid w:val="000F4BED"/>
    <w:rsid w:val="000F4EAE"/>
    <w:rsid w:val="000F6151"/>
    <w:rsid w:val="000F6BD4"/>
    <w:rsid w:val="000F70A2"/>
    <w:rsid w:val="000F70E6"/>
    <w:rsid w:val="000F7B4F"/>
    <w:rsid w:val="00100F1D"/>
    <w:rsid w:val="0010195B"/>
    <w:rsid w:val="0010349D"/>
    <w:rsid w:val="00103BA1"/>
    <w:rsid w:val="00104A16"/>
    <w:rsid w:val="00105C22"/>
    <w:rsid w:val="00107C0F"/>
    <w:rsid w:val="00107D61"/>
    <w:rsid w:val="00107E4E"/>
    <w:rsid w:val="00111AE0"/>
    <w:rsid w:val="00111D42"/>
    <w:rsid w:val="001132CC"/>
    <w:rsid w:val="00113B44"/>
    <w:rsid w:val="00114328"/>
    <w:rsid w:val="00115AA5"/>
    <w:rsid w:val="001161B3"/>
    <w:rsid w:val="0011693A"/>
    <w:rsid w:val="001204EE"/>
    <w:rsid w:val="001214CD"/>
    <w:rsid w:val="00122D0C"/>
    <w:rsid w:val="00122E64"/>
    <w:rsid w:val="00123CB3"/>
    <w:rsid w:val="00124430"/>
    <w:rsid w:val="00125593"/>
    <w:rsid w:val="00125C4B"/>
    <w:rsid w:val="0012636D"/>
    <w:rsid w:val="00126E79"/>
    <w:rsid w:val="00127413"/>
    <w:rsid w:val="00130F17"/>
    <w:rsid w:val="00130F92"/>
    <w:rsid w:val="0013138B"/>
    <w:rsid w:val="00131458"/>
    <w:rsid w:val="00132E51"/>
    <w:rsid w:val="001344B7"/>
    <w:rsid w:val="00135EB4"/>
    <w:rsid w:val="001362E0"/>
    <w:rsid w:val="0014089C"/>
    <w:rsid w:val="00142355"/>
    <w:rsid w:val="0014389B"/>
    <w:rsid w:val="00143EBB"/>
    <w:rsid w:val="00150A5D"/>
    <w:rsid w:val="00152DA6"/>
    <w:rsid w:val="0015320C"/>
    <w:rsid w:val="00154621"/>
    <w:rsid w:val="001546B9"/>
    <w:rsid w:val="00154802"/>
    <w:rsid w:val="00154F22"/>
    <w:rsid w:val="00155006"/>
    <w:rsid w:val="00155E3C"/>
    <w:rsid w:val="00156E08"/>
    <w:rsid w:val="00157CA8"/>
    <w:rsid w:val="001633C6"/>
    <w:rsid w:val="00165D03"/>
    <w:rsid w:val="001669F6"/>
    <w:rsid w:val="00167116"/>
    <w:rsid w:val="00167455"/>
    <w:rsid w:val="00167595"/>
    <w:rsid w:val="00167AC7"/>
    <w:rsid w:val="0017068E"/>
    <w:rsid w:val="0017077D"/>
    <w:rsid w:val="00171860"/>
    <w:rsid w:val="00171A7F"/>
    <w:rsid w:val="00172921"/>
    <w:rsid w:val="00172A2B"/>
    <w:rsid w:val="00175077"/>
    <w:rsid w:val="00177242"/>
    <w:rsid w:val="00177470"/>
    <w:rsid w:val="00177BCF"/>
    <w:rsid w:val="00180439"/>
    <w:rsid w:val="0018081A"/>
    <w:rsid w:val="00182D7F"/>
    <w:rsid w:val="00185941"/>
    <w:rsid w:val="00185FEF"/>
    <w:rsid w:val="00187C38"/>
    <w:rsid w:val="001900C8"/>
    <w:rsid w:val="00190A0B"/>
    <w:rsid w:val="00191904"/>
    <w:rsid w:val="001924D6"/>
    <w:rsid w:val="001928D6"/>
    <w:rsid w:val="0019326F"/>
    <w:rsid w:val="00194BAA"/>
    <w:rsid w:val="001958CA"/>
    <w:rsid w:val="001959F4"/>
    <w:rsid w:val="00195EF6"/>
    <w:rsid w:val="0019655C"/>
    <w:rsid w:val="001965B9"/>
    <w:rsid w:val="001970BC"/>
    <w:rsid w:val="001A02FE"/>
    <w:rsid w:val="001A0EDA"/>
    <w:rsid w:val="001A164D"/>
    <w:rsid w:val="001A166F"/>
    <w:rsid w:val="001A1882"/>
    <w:rsid w:val="001A3E65"/>
    <w:rsid w:val="001A73F7"/>
    <w:rsid w:val="001A7EAE"/>
    <w:rsid w:val="001B0A19"/>
    <w:rsid w:val="001B1412"/>
    <w:rsid w:val="001B276B"/>
    <w:rsid w:val="001B385C"/>
    <w:rsid w:val="001B41CD"/>
    <w:rsid w:val="001B49A4"/>
    <w:rsid w:val="001B4E7D"/>
    <w:rsid w:val="001B57D0"/>
    <w:rsid w:val="001B6D2D"/>
    <w:rsid w:val="001B71B4"/>
    <w:rsid w:val="001C08B5"/>
    <w:rsid w:val="001C229C"/>
    <w:rsid w:val="001C259E"/>
    <w:rsid w:val="001C5599"/>
    <w:rsid w:val="001C6B8E"/>
    <w:rsid w:val="001D00C4"/>
    <w:rsid w:val="001D0283"/>
    <w:rsid w:val="001D1915"/>
    <w:rsid w:val="001D1AF3"/>
    <w:rsid w:val="001D26A4"/>
    <w:rsid w:val="001D2AD0"/>
    <w:rsid w:val="001D2F8B"/>
    <w:rsid w:val="001D4048"/>
    <w:rsid w:val="001D50D9"/>
    <w:rsid w:val="001D523A"/>
    <w:rsid w:val="001D5A57"/>
    <w:rsid w:val="001D6824"/>
    <w:rsid w:val="001E1886"/>
    <w:rsid w:val="001E225C"/>
    <w:rsid w:val="001E24C2"/>
    <w:rsid w:val="001E2C0B"/>
    <w:rsid w:val="001E2D59"/>
    <w:rsid w:val="001E3934"/>
    <w:rsid w:val="001E396A"/>
    <w:rsid w:val="001E4846"/>
    <w:rsid w:val="001E48AD"/>
    <w:rsid w:val="001E48D2"/>
    <w:rsid w:val="001E5A9C"/>
    <w:rsid w:val="001E5D4E"/>
    <w:rsid w:val="001E62B8"/>
    <w:rsid w:val="001E62D0"/>
    <w:rsid w:val="001E69B6"/>
    <w:rsid w:val="001F0C28"/>
    <w:rsid w:val="001F0F16"/>
    <w:rsid w:val="001F1608"/>
    <w:rsid w:val="001F23BD"/>
    <w:rsid w:val="001F2C1E"/>
    <w:rsid w:val="001F31CC"/>
    <w:rsid w:val="001F5550"/>
    <w:rsid w:val="001F5566"/>
    <w:rsid w:val="001F5BF4"/>
    <w:rsid w:val="001F6F8A"/>
    <w:rsid w:val="001F7171"/>
    <w:rsid w:val="001F7A98"/>
    <w:rsid w:val="002001F2"/>
    <w:rsid w:val="00200BC3"/>
    <w:rsid w:val="00201499"/>
    <w:rsid w:val="002014C6"/>
    <w:rsid w:val="00201988"/>
    <w:rsid w:val="002020C0"/>
    <w:rsid w:val="00203721"/>
    <w:rsid w:val="00204CA8"/>
    <w:rsid w:val="00205C5F"/>
    <w:rsid w:val="00206CFD"/>
    <w:rsid w:val="00207235"/>
    <w:rsid w:val="00207C38"/>
    <w:rsid w:val="00210505"/>
    <w:rsid w:val="00210B7C"/>
    <w:rsid w:val="00210C37"/>
    <w:rsid w:val="00211C88"/>
    <w:rsid w:val="00212302"/>
    <w:rsid w:val="00212A99"/>
    <w:rsid w:val="0021347E"/>
    <w:rsid w:val="00214F1A"/>
    <w:rsid w:val="00215352"/>
    <w:rsid w:val="00215B29"/>
    <w:rsid w:val="00217A45"/>
    <w:rsid w:val="00220693"/>
    <w:rsid w:val="00221226"/>
    <w:rsid w:val="00222A53"/>
    <w:rsid w:val="00225DBE"/>
    <w:rsid w:val="00226FB7"/>
    <w:rsid w:val="002271D0"/>
    <w:rsid w:val="0022759F"/>
    <w:rsid w:val="002308B1"/>
    <w:rsid w:val="002344B7"/>
    <w:rsid w:val="00235578"/>
    <w:rsid w:val="00235835"/>
    <w:rsid w:val="002361BB"/>
    <w:rsid w:val="002366B7"/>
    <w:rsid w:val="00236D85"/>
    <w:rsid w:val="00237DB6"/>
    <w:rsid w:val="0024023B"/>
    <w:rsid w:val="002415DC"/>
    <w:rsid w:val="00241B12"/>
    <w:rsid w:val="0024233B"/>
    <w:rsid w:val="00243346"/>
    <w:rsid w:val="0024473C"/>
    <w:rsid w:val="00244986"/>
    <w:rsid w:val="002449BD"/>
    <w:rsid w:val="0024542D"/>
    <w:rsid w:val="00245E13"/>
    <w:rsid w:val="00245FBF"/>
    <w:rsid w:val="002466BE"/>
    <w:rsid w:val="0024766B"/>
    <w:rsid w:val="002476AD"/>
    <w:rsid w:val="00247D53"/>
    <w:rsid w:val="0025083B"/>
    <w:rsid w:val="002522D5"/>
    <w:rsid w:val="00252455"/>
    <w:rsid w:val="002531E0"/>
    <w:rsid w:val="002533E2"/>
    <w:rsid w:val="002544C6"/>
    <w:rsid w:val="0025692F"/>
    <w:rsid w:val="00256F1F"/>
    <w:rsid w:val="0025746D"/>
    <w:rsid w:val="00257A48"/>
    <w:rsid w:val="002619A2"/>
    <w:rsid w:val="00261BFA"/>
    <w:rsid w:val="0026246A"/>
    <w:rsid w:val="00262D33"/>
    <w:rsid w:val="00263256"/>
    <w:rsid w:val="00263855"/>
    <w:rsid w:val="00263DFE"/>
    <w:rsid w:val="002642DE"/>
    <w:rsid w:val="00264367"/>
    <w:rsid w:val="0026500F"/>
    <w:rsid w:val="00266223"/>
    <w:rsid w:val="002671DA"/>
    <w:rsid w:val="00267BD0"/>
    <w:rsid w:val="0027046F"/>
    <w:rsid w:val="00271612"/>
    <w:rsid w:val="00271938"/>
    <w:rsid w:val="0027201C"/>
    <w:rsid w:val="00272DCB"/>
    <w:rsid w:val="002733C5"/>
    <w:rsid w:val="00273543"/>
    <w:rsid w:val="00273EEC"/>
    <w:rsid w:val="00273F4D"/>
    <w:rsid w:val="0027426F"/>
    <w:rsid w:val="00274BB4"/>
    <w:rsid w:val="00275004"/>
    <w:rsid w:val="0027584C"/>
    <w:rsid w:val="002766B0"/>
    <w:rsid w:val="00276D01"/>
    <w:rsid w:val="00276FEF"/>
    <w:rsid w:val="00280F95"/>
    <w:rsid w:val="002839E3"/>
    <w:rsid w:val="00285126"/>
    <w:rsid w:val="002869BF"/>
    <w:rsid w:val="00286D0F"/>
    <w:rsid w:val="0029059E"/>
    <w:rsid w:val="00291599"/>
    <w:rsid w:val="0029168D"/>
    <w:rsid w:val="00291B39"/>
    <w:rsid w:val="00292E1B"/>
    <w:rsid w:val="002930A9"/>
    <w:rsid w:val="0029403D"/>
    <w:rsid w:val="00294154"/>
    <w:rsid w:val="00294D53"/>
    <w:rsid w:val="00295182"/>
    <w:rsid w:val="002959E3"/>
    <w:rsid w:val="00296B95"/>
    <w:rsid w:val="00297D42"/>
    <w:rsid w:val="002A20D0"/>
    <w:rsid w:val="002A34CC"/>
    <w:rsid w:val="002A3970"/>
    <w:rsid w:val="002A6670"/>
    <w:rsid w:val="002A6A82"/>
    <w:rsid w:val="002A75DA"/>
    <w:rsid w:val="002B032D"/>
    <w:rsid w:val="002B0ABB"/>
    <w:rsid w:val="002B0B53"/>
    <w:rsid w:val="002B26F1"/>
    <w:rsid w:val="002B2839"/>
    <w:rsid w:val="002B4025"/>
    <w:rsid w:val="002B4A4D"/>
    <w:rsid w:val="002B4A9E"/>
    <w:rsid w:val="002B5F9F"/>
    <w:rsid w:val="002B6D6A"/>
    <w:rsid w:val="002B7603"/>
    <w:rsid w:val="002C2D33"/>
    <w:rsid w:val="002C2E8D"/>
    <w:rsid w:val="002C4B41"/>
    <w:rsid w:val="002C5CF5"/>
    <w:rsid w:val="002C70F2"/>
    <w:rsid w:val="002D0E0B"/>
    <w:rsid w:val="002D369E"/>
    <w:rsid w:val="002D44DF"/>
    <w:rsid w:val="002D5AE5"/>
    <w:rsid w:val="002D5B34"/>
    <w:rsid w:val="002D620D"/>
    <w:rsid w:val="002D6543"/>
    <w:rsid w:val="002D687F"/>
    <w:rsid w:val="002D74A0"/>
    <w:rsid w:val="002E049E"/>
    <w:rsid w:val="002E22BB"/>
    <w:rsid w:val="002E290A"/>
    <w:rsid w:val="002E3194"/>
    <w:rsid w:val="002E51AF"/>
    <w:rsid w:val="002E530E"/>
    <w:rsid w:val="002E533E"/>
    <w:rsid w:val="002E5540"/>
    <w:rsid w:val="002E55C3"/>
    <w:rsid w:val="002E60C1"/>
    <w:rsid w:val="002E76C4"/>
    <w:rsid w:val="002E770F"/>
    <w:rsid w:val="002E7C37"/>
    <w:rsid w:val="002E7EF4"/>
    <w:rsid w:val="002F0A0F"/>
    <w:rsid w:val="002F49F9"/>
    <w:rsid w:val="002F5033"/>
    <w:rsid w:val="002F5302"/>
    <w:rsid w:val="002F6E3A"/>
    <w:rsid w:val="002F7524"/>
    <w:rsid w:val="00300945"/>
    <w:rsid w:val="003027DC"/>
    <w:rsid w:val="0030291D"/>
    <w:rsid w:val="0030305B"/>
    <w:rsid w:val="0030331F"/>
    <w:rsid w:val="0030388E"/>
    <w:rsid w:val="00303895"/>
    <w:rsid w:val="0030417C"/>
    <w:rsid w:val="0030461A"/>
    <w:rsid w:val="00305FB0"/>
    <w:rsid w:val="003063A4"/>
    <w:rsid w:val="003068A0"/>
    <w:rsid w:val="00306940"/>
    <w:rsid w:val="00306E1A"/>
    <w:rsid w:val="00307DA3"/>
    <w:rsid w:val="00307FC2"/>
    <w:rsid w:val="003104CE"/>
    <w:rsid w:val="0031157D"/>
    <w:rsid w:val="00311FEF"/>
    <w:rsid w:val="003141E2"/>
    <w:rsid w:val="00316BAA"/>
    <w:rsid w:val="00320CA2"/>
    <w:rsid w:val="00322C85"/>
    <w:rsid w:val="00322D12"/>
    <w:rsid w:val="00323029"/>
    <w:rsid w:val="00323179"/>
    <w:rsid w:val="00323858"/>
    <w:rsid w:val="003238A7"/>
    <w:rsid w:val="00323A3E"/>
    <w:rsid w:val="00325F16"/>
    <w:rsid w:val="003269FC"/>
    <w:rsid w:val="00326C1C"/>
    <w:rsid w:val="003273B8"/>
    <w:rsid w:val="00327C2F"/>
    <w:rsid w:val="00327D71"/>
    <w:rsid w:val="00330077"/>
    <w:rsid w:val="00330418"/>
    <w:rsid w:val="0033056C"/>
    <w:rsid w:val="00330A80"/>
    <w:rsid w:val="00331468"/>
    <w:rsid w:val="00331C90"/>
    <w:rsid w:val="00332987"/>
    <w:rsid w:val="003338DF"/>
    <w:rsid w:val="003369BE"/>
    <w:rsid w:val="00337B2E"/>
    <w:rsid w:val="00341AD2"/>
    <w:rsid w:val="00342742"/>
    <w:rsid w:val="0034381F"/>
    <w:rsid w:val="0034389A"/>
    <w:rsid w:val="00343B09"/>
    <w:rsid w:val="0035135D"/>
    <w:rsid w:val="0035219E"/>
    <w:rsid w:val="00352452"/>
    <w:rsid w:val="00353C6B"/>
    <w:rsid w:val="003543C2"/>
    <w:rsid w:val="00355C71"/>
    <w:rsid w:val="00357102"/>
    <w:rsid w:val="00360906"/>
    <w:rsid w:val="00360A5A"/>
    <w:rsid w:val="00363262"/>
    <w:rsid w:val="00363C77"/>
    <w:rsid w:val="00364856"/>
    <w:rsid w:val="00365163"/>
    <w:rsid w:val="00365794"/>
    <w:rsid w:val="0036602F"/>
    <w:rsid w:val="003672F8"/>
    <w:rsid w:val="00367B40"/>
    <w:rsid w:val="00367C1C"/>
    <w:rsid w:val="003706EA"/>
    <w:rsid w:val="003707FF"/>
    <w:rsid w:val="003708F7"/>
    <w:rsid w:val="00370A02"/>
    <w:rsid w:val="00371795"/>
    <w:rsid w:val="0037298F"/>
    <w:rsid w:val="003741FE"/>
    <w:rsid w:val="00374BCB"/>
    <w:rsid w:val="0037511D"/>
    <w:rsid w:val="00377079"/>
    <w:rsid w:val="00377538"/>
    <w:rsid w:val="00377702"/>
    <w:rsid w:val="00377F47"/>
    <w:rsid w:val="003802CB"/>
    <w:rsid w:val="00380DAC"/>
    <w:rsid w:val="00382238"/>
    <w:rsid w:val="00382CE8"/>
    <w:rsid w:val="00382E10"/>
    <w:rsid w:val="00383287"/>
    <w:rsid w:val="00383DB1"/>
    <w:rsid w:val="00384191"/>
    <w:rsid w:val="00384634"/>
    <w:rsid w:val="00384741"/>
    <w:rsid w:val="00384EA2"/>
    <w:rsid w:val="00386DF2"/>
    <w:rsid w:val="00387D3E"/>
    <w:rsid w:val="003917F9"/>
    <w:rsid w:val="00393CC6"/>
    <w:rsid w:val="00394553"/>
    <w:rsid w:val="00394D53"/>
    <w:rsid w:val="00394F8E"/>
    <w:rsid w:val="003952C9"/>
    <w:rsid w:val="0039650C"/>
    <w:rsid w:val="003A08ED"/>
    <w:rsid w:val="003A28FF"/>
    <w:rsid w:val="003A2AEB"/>
    <w:rsid w:val="003A2C79"/>
    <w:rsid w:val="003A319E"/>
    <w:rsid w:val="003A3E69"/>
    <w:rsid w:val="003A4C35"/>
    <w:rsid w:val="003A4ED8"/>
    <w:rsid w:val="003A661A"/>
    <w:rsid w:val="003A73F4"/>
    <w:rsid w:val="003A75AF"/>
    <w:rsid w:val="003B05A1"/>
    <w:rsid w:val="003B07E3"/>
    <w:rsid w:val="003B1902"/>
    <w:rsid w:val="003B343E"/>
    <w:rsid w:val="003B3709"/>
    <w:rsid w:val="003B3C07"/>
    <w:rsid w:val="003B4351"/>
    <w:rsid w:val="003B4E80"/>
    <w:rsid w:val="003B5466"/>
    <w:rsid w:val="003B6E85"/>
    <w:rsid w:val="003B6EAD"/>
    <w:rsid w:val="003B6EC2"/>
    <w:rsid w:val="003B72A4"/>
    <w:rsid w:val="003B74AB"/>
    <w:rsid w:val="003B7953"/>
    <w:rsid w:val="003C1981"/>
    <w:rsid w:val="003C1A6A"/>
    <w:rsid w:val="003C62C1"/>
    <w:rsid w:val="003C76ED"/>
    <w:rsid w:val="003C7A68"/>
    <w:rsid w:val="003C7B83"/>
    <w:rsid w:val="003D06C3"/>
    <w:rsid w:val="003D10FD"/>
    <w:rsid w:val="003D3593"/>
    <w:rsid w:val="003D39E2"/>
    <w:rsid w:val="003D6A4A"/>
    <w:rsid w:val="003E0E45"/>
    <w:rsid w:val="003E16CD"/>
    <w:rsid w:val="003E1A52"/>
    <w:rsid w:val="003E23A3"/>
    <w:rsid w:val="003E3578"/>
    <w:rsid w:val="003E3900"/>
    <w:rsid w:val="003E397B"/>
    <w:rsid w:val="003E4432"/>
    <w:rsid w:val="003E4620"/>
    <w:rsid w:val="003E5634"/>
    <w:rsid w:val="003E6B22"/>
    <w:rsid w:val="003E7C84"/>
    <w:rsid w:val="003F0440"/>
    <w:rsid w:val="003F0914"/>
    <w:rsid w:val="003F12A0"/>
    <w:rsid w:val="003F15BD"/>
    <w:rsid w:val="003F3257"/>
    <w:rsid w:val="003F3324"/>
    <w:rsid w:val="003F4109"/>
    <w:rsid w:val="00400846"/>
    <w:rsid w:val="0040097E"/>
    <w:rsid w:val="00401B61"/>
    <w:rsid w:val="00402540"/>
    <w:rsid w:val="004038BE"/>
    <w:rsid w:val="00403C1C"/>
    <w:rsid w:val="004055AF"/>
    <w:rsid w:val="00407519"/>
    <w:rsid w:val="004102DA"/>
    <w:rsid w:val="00410E4D"/>
    <w:rsid w:val="0041213B"/>
    <w:rsid w:val="0041244E"/>
    <w:rsid w:val="00412B3A"/>
    <w:rsid w:val="00413031"/>
    <w:rsid w:val="00413215"/>
    <w:rsid w:val="00413432"/>
    <w:rsid w:val="004134DC"/>
    <w:rsid w:val="004147BF"/>
    <w:rsid w:val="00415B83"/>
    <w:rsid w:val="00415C1F"/>
    <w:rsid w:val="00417EA7"/>
    <w:rsid w:val="00420111"/>
    <w:rsid w:val="004219A7"/>
    <w:rsid w:val="00422965"/>
    <w:rsid w:val="00422DF9"/>
    <w:rsid w:val="00423C9B"/>
    <w:rsid w:val="004251FD"/>
    <w:rsid w:val="00425C1B"/>
    <w:rsid w:val="00425D30"/>
    <w:rsid w:val="00425FF3"/>
    <w:rsid w:val="00426B02"/>
    <w:rsid w:val="00426F8E"/>
    <w:rsid w:val="00427A3B"/>
    <w:rsid w:val="00427C51"/>
    <w:rsid w:val="0043075B"/>
    <w:rsid w:val="00431419"/>
    <w:rsid w:val="004340AE"/>
    <w:rsid w:val="00434174"/>
    <w:rsid w:val="00434E97"/>
    <w:rsid w:val="00435523"/>
    <w:rsid w:val="0043577B"/>
    <w:rsid w:val="004367F7"/>
    <w:rsid w:val="004405D2"/>
    <w:rsid w:val="00441220"/>
    <w:rsid w:val="004426E2"/>
    <w:rsid w:val="00443534"/>
    <w:rsid w:val="004436B3"/>
    <w:rsid w:val="004440DD"/>
    <w:rsid w:val="00445198"/>
    <w:rsid w:val="0044519A"/>
    <w:rsid w:val="0044622F"/>
    <w:rsid w:val="004462DB"/>
    <w:rsid w:val="004467B0"/>
    <w:rsid w:val="00447C17"/>
    <w:rsid w:val="0045138C"/>
    <w:rsid w:val="00451B05"/>
    <w:rsid w:val="00451BA1"/>
    <w:rsid w:val="00452AA5"/>
    <w:rsid w:val="004536B5"/>
    <w:rsid w:val="00453909"/>
    <w:rsid w:val="00453C9E"/>
    <w:rsid w:val="00454AAF"/>
    <w:rsid w:val="0045536B"/>
    <w:rsid w:val="0045558F"/>
    <w:rsid w:val="0045791C"/>
    <w:rsid w:val="00457BF4"/>
    <w:rsid w:val="00457DC2"/>
    <w:rsid w:val="004600F3"/>
    <w:rsid w:val="00461178"/>
    <w:rsid w:val="00461FDC"/>
    <w:rsid w:val="0046252C"/>
    <w:rsid w:val="004629FD"/>
    <w:rsid w:val="0046625C"/>
    <w:rsid w:val="004666FF"/>
    <w:rsid w:val="00466D14"/>
    <w:rsid w:val="00466D58"/>
    <w:rsid w:val="00467E6A"/>
    <w:rsid w:val="0047088B"/>
    <w:rsid w:val="004710A4"/>
    <w:rsid w:val="0047178A"/>
    <w:rsid w:val="00471D0D"/>
    <w:rsid w:val="0047223A"/>
    <w:rsid w:val="00472A86"/>
    <w:rsid w:val="00473A25"/>
    <w:rsid w:val="00474246"/>
    <w:rsid w:val="00474CCB"/>
    <w:rsid w:val="00474F4B"/>
    <w:rsid w:val="004754FD"/>
    <w:rsid w:val="00475A27"/>
    <w:rsid w:val="00475F6E"/>
    <w:rsid w:val="00476242"/>
    <w:rsid w:val="004762E4"/>
    <w:rsid w:val="00476AC5"/>
    <w:rsid w:val="004774F7"/>
    <w:rsid w:val="00477CF5"/>
    <w:rsid w:val="0048227B"/>
    <w:rsid w:val="00482D92"/>
    <w:rsid w:val="0048417F"/>
    <w:rsid w:val="00484F53"/>
    <w:rsid w:val="004855C9"/>
    <w:rsid w:val="00486311"/>
    <w:rsid w:val="004864CB"/>
    <w:rsid w:val="00486617"/>
    <w:rsid w:val="00486E1C"/>
    <w:rsid w:val="0049101E"/>
    <w:rsid w:val="00491117"/>
    <w:rsid w:val="00491C1F"/>
    <w:rsid w:val="0049386D"/>
    <w:rsid w:val="00493B14"/>
    <w:rsid w:val="00493FB2"/>
    <w:rsid w:val="004942E2"/>
    <w:rsid w:val="0049456B"/>
    <w:rsid w:val="00495BB8"/>
    <w:rsid w:val="004960CD"/>
    <w:rsid w:val="0049729D"/>
    <w:rsid w:val="004A0121"/>
    <w:rsid w:val="004A0504"/>
    <w:rsid w:val="004A1D03"/>
    <w:rsid w:val="004A224C"/>
    <w:rsid w:val="004A35D8"/>
    <w:rsid w:val="004A51C6"/>
    <w:rsid w:val="004A5904"/>
    <w:rsid w:val="004A5CF5"/>
    <w:rsid w:val="004A7E97"/>
    <w:rsid w:val="004B458D"/>
    <w:rsid w:val="004B4631"/>
    <w:rsid w:val="004B4756"/>
    <w:rsid w:val="004B49CC"/>
    <w:rsid w:val="004B688D"/>
    <w:rsid w:val="004B74A3"/>
    <w:rsid w:val="004C116A"/>
    <w:rsid w:val="004C24A5"/>
    <w:rsid w:val="004C2F22"/>
    <w:rsid w:val="004C397E"/>
    <w:rsid w:val="004C3B86"/>
    <w:rsid w:val="004C75C0"/>
    <w:rsid w:val="004C7919"/>
    <w:rsid w:val="004D01E3"/>
    <w:rsid w:val="004D038F"/>
    <w:rsid w:val="004D30B2"/>
    <w:rsid w:val="004D3979"/>
    <w:rsid w:val="004D3A77"/>
    <w:rsid w:val="004D3D16"/>
    <w:rsid w:val="004D65A0"/>
    <w:rsid w:val="004D6735"/>
    <w:rsid w:val="004D6CE6"/>
    <w:rsid w:val="004D6E70"/>
    <w:rsid w:val="004D729F"/>
    <w:rsid w:val="004D72CE"/>
    <w:rsid w:val="004D7308"/>
    <w:rsid w:val="004E0754"/>
    <w:rsid w:val="004E0A81"/>
    <w:rsid w:val="004E16A7"/>
    <w:rsid w:val="004E19CE"/>
    <w:rsid w:val="004E21BE"/>
    <w:rsid w:val="004E3B59"/>
    <w:rsid w:val="004E458F"/>
    <w:rsid w:val="004E4F94"/>
    <w:rsid w:val="004E56A1"/>
    <w:rsid w:val="004E6172"/>
    <w:rsid w:val="004E663C"/>
    <w:rsid w:val="004E7802"/>
    <w:rsid w:val="004F04DD"/>
    <w:rsid w:val="004F0995"/>
    <w:rsid w:val="004F19F0"/>
    <w:rsid w:val="004F2B0F"/>
    <w:rsid w:val="004F3238"/>
    <w:rsid w:val="004F3C92"/>
    <w:rsid w:val="004F4F18"/>
    <w:rsid w:val="004F56CC"/>
    <w:rsid w:val="004F5D02"/>
    <w:rsid w:val="004F6062"/>
    <w:rsid w:val="004F60B2"/>
    <w:rsid w:val="004F67A2"/>
    <w:rsid w:val="004F6B2F"/>
    <w:rsid w:val="004F6F22"/>
    <w:rsid w:val="004F74E3"/>
    <w:rsid w:val="004F7F57"/>
    <w:rsid w:val="0050128E"/>
    <w:rsid w:val="0050138E"/>
    <w:rsid w:val="005013D0"/>
    <w:rsid w:val="0050179A"/>
    <w:rsid w:val="00502513"/>
    <w:rsid w:val="005050B8"/>
    <w:rsid w:val="00505670"/>
    <w:rsid w:val="00505E36"/>
    <w:rsid w:val="005062DD"/>
    <w:rsid w:val="00506760"/>
    <w:rsid w:val="00506952"/>
    <w:rsid w:val="00506C2B"/>
    <w:rsid w:val="0050731A"/>
    <w:rsid w:val="00507E0E"/>
    <w:rsid w:val="005108E8"/>
    <w:rsid w:val="00510DD2"/>
    <w:rsid w:val="00513F3C"/>
    <w:rsid w:val="00517DE9"/>
    <w:rsid w:val="00517FDE"/>
    <w:rsid w:val="00520070"/>
    <w:rsid w:val="00520DBA"/>
    <w:rsid w:val="005222F3"/>
    <w:rsid w:val="005236FE"/>
    <w:rsid w:val="00527389"/>
    <w:rsid w:val="00527B10"/>
    <w:rsid w:val="005317BF"/>
    <w:rsid w:val="00531963"/>
    <w:rsid w:val="00531C88"/>
    <w:rsid w:val="00531F26"/>
    <w:rsid w:val="00532E14"/>
    <w:rsid w:val="00533493"/>
    <w:rsid w:val="0053368A"/>
    <w:rsid w:val="00533756"/>
    <w:rsid w:val="00534F21"/>
    <w:rsid w:val="0053565F"/>
    <w:rsid w:val="005370FC"/>
    <w:rsid w:val="00537EF2"/>
    <w:rsid w:val="00541310"/>
    <w:rsid w:val="00542B5F"/>
    <w:rsid w:val="00542F34"/>
    <w:rsid w:val="0054331E"/>
    <w:rsid w:val="00543F3A"/>
    <w:rsid w:val="00544211"/>
    <w:rsid w:val="005447FD"/>
    <w:rsid w:val="00544881"/>
    <w:rsid w:val="00544901"/>
    <w:rsid w:val="0054492B"/>
    <w:rsid w:val="00545380"/>
    <w:rsid w:val="005465A5"/>
    <w:rsid w:val="00546B1D"/>
    <w:rsid w:val="00546DDF"/>
    <w:rsid w:val="005502E1"/>
    <w:rsid w:val="0055223C"/>
    <w:rsid w:val="005527FA"/>
    <w:rsid w:val="005540B3"/>
    <w:rsid w:val="0055476E"/>
    <w:rsid w:val="005548B9"/>
    <w:rsid w:val="005550CB"/>
    <w:rsid w:val="00555866"/>
    <w:rsid w:val="00555AD0"/>
    <w:rsid w:val="00557A61"/>
    <w:rsid w:val="00560146"/>
    <w:rsid w:val="0056042C"/>
    <w:rsid w:val="005618FE"/>
    <w:rsid w:val="005624ED"/>
    <w:rsid w:val="00565512"/>
    <w:rsid w:val="00565FD9"/>
    <w:rsid w:val="005660D2"/>
    <w:rsid w:val="005662C8"/>
    <w:rsid w:val="00567F5F"/>
    <w:rsid w:val="0057048A"/>
    <w:rsid w:val="0057299E"/>
    <w:rsid w:val="005743E5"/>
    <w:rsid w:val="00575554"/>
    <w:rsid w:val="00575DCE"/>
    <w:rsid w:val="005777E4"/>
    <w:rsid w:val="00581B55"/>
    <w:rsid w:val="00583CCF"/>
    <w:rsid w:val="0058502B"/>
    <w:rsid w:val="005850C0"/>
    <w:rsid w:val="00585385"/>
    <w:rsid w:val="00585653"/>
    <w:rsid w:val="0058641D"/>
    <w:rsid w:val="005869ED"/>
    <w:rsid w:val="0058741C"/>
    <w:rsid w:val="00587DBA"/>
    <w:rsid w:val="0059376C"/>
    <w:rsid w:val="00594949"/>
    <w:rsid w:val="00594B9C"/>
    <w:rsid w:val="00595A39"/>
    <w:rsid w:val="0059784C"/>
    <w:rsid w:val="005A0B54"/>
    <w:rsid w:val="005A1461"/>
    <w:rsid w:val="005A14CC"/>
    <w:rsid w:val="005A243C"/>
    <w:rsid w:val="005A2442"/>
    <w:rsid w:val="005A26AD"/>
    <w:rsid w:val="005A27FC"/>
    <w:rsid w:val="005A33FE"/>
    <w:rsid w:val="005A47E2"/>
    <w:rsid w:val="005A525D"/>
    <w:rsid w:val="005A5C8F"/>
    <w:rsid w:val="005A71ED"/>
    <w:rsid w:val="005B0863"/>
    <w:rsid w:val="005B1C41"/>
    <w:rsid w:val="005B1C61"/>
    <w:rsid w:val="005B22B8"/>
    <w:rsid w:val="005B25C4"/>
    <w:rsid w:val="005B262D"/>
    <w:rsid w:val="005B26B4"/>
    <w:rsid w:val="005B330C"/>
    <w:rsid w:val="005B3FB5"/>
    <w:rsid w:val="005B4813"/>
    <w:rsid w:val="005B5ECC"/>
    <w:rsid w:val="005B6256"/>
    <w:rsid w:val="005B7A95"/>
    <w:rsid w:val="005C0415"/>
    <w:rsid w:val="005C042F"/>
    <w:rsid w:val="005C0986"/>
    <w:rsid w:val="005C1EC9"/>
    <w:rsid w:val="005C2119"/>
    <w:rsid w:val="005C289E"/>
    <w:rsid w:val="005C5D9C"/>
    <w:rsid w:val="005C6C4B"/>
    <w:rsid w:val="005C6D2E"/>
    <w:rsid w:val="005D000E"/>
    <w:rsid w:val="005D0573"/>
    <w:rsid w:val="005D1085"/>
    <w:rsid w:val="005D27F1"/>
    <w:rsid w:val="005D2E79"/>
    <w:rsid w:val="005D59FF"/>
    <w:rsid w:val="005D5ABC"/>
    <w:rsid w:val="005D6018"/>
    <w:rsid w:val="005D60C8"/>
    <w:rsid w:val="005D68B3"/>
    <w:rsid w:val="005D6F49"/>
    <w:rsid w:val="005D757E"/>
    <w:rsid w:val="005D7719"/>
    <w:rsid w:val="005D7D74"/>
    <w:rsid w:val="005D7E5A"/>
    <w:rsid w:val="005E3367"/>
    <w:rsid w:val="005E38CF"/>
    <w:rsid w:val="005E394F"/>
    <w:rsid w:val="005E3A2E"/>
    <w:rsid w:val="005E3D36"/>
    <w:rsid w:val="005E4B1D"/>
    <w:rsid w:val="005E5942"/>
    <w:rsid w:val="005E69AC"/>
    <w:rsid w:val="005E719C"/>
    <w:rsid w:val="005F170E"/>
    <w:rsid w:val="005F2881"/>
    <w:rsid w:val="005F2EEF"/>
    <w:rsid w:val="005F2F07"/>
    <w:rsid w:val="005F3F4E"/>
    <w:rsid w:val="005F417F"/>
    <w:rsid w:val="005F41FE"/>
    <w:rsid w:val="005F6AA0"/>
    <w:rsid w:val="005F6ECF"/>
    <w:rsid w:val="005F7481"/>
    <w:rsid w:val="006000DA"/>
    <w:rsid w:val="006008A9"/>
    <w:rsid w:val="00601234"/>
    <w:rsid w:val="006022F2"/>
    <w:rsid w:val="00602826"/>
    <w:rsid w:val="00605602"/>
    <w:rsid w:val="0060632B"/>
    <w:rsid w:val="006073ED"/>
    <w:rsid w:val="00607FF4"/>
    <w:rsid w:val="00610491"/>
    <w:rsid w:val="0061157D"/>
    <w:rsid w:val="0061415B"/>
    <w:rsid w:val="006142AE"/>
    <w:rsid w:val="00614F05"/>
    <w:rsid w:val="0061646E"/>
    <w:rsid w:val="00616EC9"/>
    <w:rsid w:val="006174C2"/>
    <w:rsid w:val="00620123"/>
    <w:rsid w:val="006209FB"/>
    <w:rsid w:val="006211C4"/>
    <w:rsid w:val="0062173A"/>
    <w:rsid w:val="00621A84"/>
    <w:rsid w:val="00622FF1"/>
    <w:rsid w:val="00623011"/>
    <w:rsid w:val="00623A90"/>
    <w:rsid w:val="00624C96"/>
    <w:rsid w:val="00625EC5"/>
    <w:rsid w:val="006260D4"/>
    <w:rsid w:val="00626BEC"/>
    <w:rsid w:val="00626EC3"/>
    <w:rsid w:val="006274F5"/>
    <w:rsid w:val="00627FBB"/>
    <w:rsid w:val="00632F60"/>
    <w:rsid w:val="00633848"/>
    <w:rsid w:val="00634151"/>
    <w:rsid w:val="006360B7"/>
    <w:rsid w:val="00636EAD"/>
    <w:rsid w:val="00637DEC"/>
    <w:rsid w:val="00641E90"/>
    <w:rsid w:val="006426FD"/>
    <w:rsid w:val="00642FD7"/>
    <w:rsid w:val="00643C28"/>
    <w:rsid w:val="006445B2"/>
    <w:rsid w:val="006452A0"/>
    <w:rsid w:val="00645BFA"/>
    <w:rsid w:val="006464F6"/>
    <w:rsid w:val="00646764"/>
    <w:rsid w:val="006525C2"/>
    <w:rsid w:val="0065260A"/>
    <w:rsid w:val="006527F3"/>
    <w:rsid w:val="006532E3"/>
    <w:rsid w:val="00653954"/>
    <w:rsid w:val="006543AD"/>
    <w:rsid w:val="00654693"/>
    <w:rsid w:val="00654AB6"/>
    <w:rsid w:val="0065523B"/>
    <w:rsid w:val="006558E0"/>
    <w:rsid w:val="0065714B"/>
    <w:rsid w:val="00660B44"/>
    <w:rsid w:val="006610C2"/>
    <w:rsid w:val="00661C98"/>
    <w:rsid w:val="006648EF"/>
    <w:rsid w:val="00665945"/>
    <w:rsid w:val="00665D5D"/>
    <w:rsid w:val="00666C0D"/>
    <w:rsid w:val="00670F3F"/>
    <w:rsid w:val="0067101F"/>
    <w:rsid w:val="00672065"/>
    <w:rsid w:val="00672CBF"/>
    <w:rsid w:val="00672FAE"/>
    <w:rsid w:val="00674B8E"/>
    <w:rsid w:val="00676A34"/>
    <w:rsid w:val="00676E5C"/>
    <w:rsid w:val="00677BC7"/>
    <w:rsid w:val="006800EB"/>
    <w:rsid w:val="00681340"/>
    <w:rsid w:val="0068299D"/>
    <w:rsid w:val="00683765"/>
    <w:rsid w:val="00683A7E"/>
    <w:rsid w:val="00686075"/>
    <w:rsid w:val="00686426"/>
    <w:rsid w:val="00687411"/>
    <w:rsid w:val="00690238"/>
    <w:rsid w:val="00690371"/>
    <w:rsid w:val="006912B5"/>
    <w:rsid w:val="00691827"/>
    <w:rsid w:val="006919F9"/>
    <w:rsid w:val="006924B0"/>
    <w:rsid w:val="0069421F"/>
    <w:rsid w:val="006946B5"/>
    <w:rsid w:val="00695364"/>
    <w:rsid w:val="00695B34"/>
    <w:rsid w:val="00696E5D"/>
    <w:rsid w:val="00697957"/>
    <w:rsid w:val="006A1839"/>
    <w:rsid w:val="006A1F05"/>
    <w:rsid w:val="006A2607"/>
    <w:rsid w:val="006A5745"/>
    <w:rsid w:val="006A5A40"/>
    <w:rsid w:val="006A66DE"/>
    <w:rsid w:val="006A705C"/>
    <w:rsid w:val="006A7EAB"/>
    <w:rsid w:val="006B0B86"/>
    <w:rsid w:val="006B28AE"/>
    <w:rsid w:val="006B2ED1"/>
    <w:rsid w:val="006B35EF"/>
    <w:rsid w:val="006B46EA"/>
    <w:rsid w:val="006B4D3E"/>
    <w:rsid w:val="006B50B9"/>
    <w:rsid w:val="006B68D3"/>
    <w:rsid w:val="006B72CB"/>
    <w:rsid w:val="006C05CD"/>
    <w:rsid w:val="006C1544"/>
    <w:rsid w:val="006C16C4"/>
    <w:rsid w:val="006C278A"/>
    <w:rsid w:val="006C380B"/>
    <w:rsid w:val="006C3D15"/>
    <w:rsid w:val="006C3ECD"/>
    <w:rsid w:val="006C4333"/>
    <w:rsid w:val="006C5FFC"/>
    <w:rsid w:val="006C66E0"/>
    <w:rsid w:val="006C7830"/>
    <w:rsid w:val="006D02F5"/>
    <w:rsid w:val="006D046E"/>
    <w:rsid w:val="006D0BC2"/>
    <w:rsid w:val="006D4B87"/>
    <w:rsid w:val="006D5629"/>
    <w:rsid w:val="006D5C7C"/>
    <w:rsid w:val="006D5D18"/>
    <w:rsid w:val="006D62FF"/>
    <w:rsid w:val="006D6AD6"/>
    <w:rsid w:val="006D6F16"/>
    <w:rsid w:val="006E0867"/>
    <w:rsid w:val="006E0ED4"/>
    <w:rsid w:val="006E19AA"/>
    <w:rsid w:val="006E1E22"/>
    <w:rsid w:val="006E20D4"/>
    <w:rsid w:val="006E3742"/>
    <w:rsid w:val="006E3EE8"/>
    <w:rsid w:val="006E40FB"/>
    <w:rsid w:val="006E416F"/>
    <w:rsid w:val="006E4584"/>
    <w:rsid w:val="006E50C2"/>
    <w:rsid w:val="006E54CC"/>
    <w:rsid w:val="006E6AB4"/>
    <w:rsid w:val="006E6BE3"/>
    <w:rsid w:val="006F0E61"/>
    <w:rsid w:val="006F17BC"/>
    <w:rsid w:val="006F313B"/>
    <w:rsid w:val="006F39E7"/>
    <w:rsid w:val="006F4512"/>
    <w:rsid w:val="006F4C80"/>
    <w:rsid w:val="006F648D"/>
    <w:rsid w:val="006F73C7"/>
    <w:rsid w:val="006F7CD5"/>
    <w:rsid w:val="00700535"/>
    <w:rsid w:val="00701167"/>
    <w:rsid w:val="007027C2"/>
    <w:rsid w:val="00702BC1"/>
    <w:rsid w:val="00703F6D"/>
    <w:rsid w:val="00704845"/>
    <w:rsid w:val="007053A2"/>
    <w:rsid w:val="0070548E"/>
    <w:rsid w:val="0070635F"/>
    <w:rsid w:val="00710295"/>
    <w:rsid w:val="00710F64"/>
    <w:rsid w:val="00713029"/>
    <w:rsid w:val="00714874"/>
    <w:rsid w:val="00714E67"/>
    <w:rsid w:val="00715C8F"/>
    <w:rsid w:val="00717405"/>
    <w:rsid w:val="0072004A"/>
    <w:rsid w:val="007209EE"/>
    <w:rsid w:val="00722B58"/>
    <w:rsid w:val="00723454"/>
    <w:rsid w:val="00723472"/>
    <w:rsid w:val="00725A2B"/>
    <w:rsid w:val="00726DFA"/>
    <w:rsid w:val="00727596"/>
    <w:rsid w:val="00727FFA"/>
    <w:rsid w:val="00730039"/>
    <w:rsid w:val="007319ED"/>
    <w:rsid w:val="007329A1"/>
    <w:rsid w:val="007351D5"/>
    <w:rsid w:val="00735BCC"/>
    <w:rsid w:val="00736ADE"/>
    <w:rsid w:val="007372F2"/>
    <w:rsid w:val="0074083E"/>
    <w:rsid w:val="00740EA3"/>
    <w:rsid w:val="00740F7D"/>
    <w:rsid w:val="00741376"/>
    <w:rsid w:val="00742662"/>
    <w:rsid w:val="007433EA"/>
    <w:rsid w:val="00747075"/>
    <w:rsid w:val="00750594"/>
    <w:rsid w:val="00750D95"/>
    <w:rsid w:val="00750EA5"/>
    <w:rsid w:val="00751883"/>
    <w:rsid w:val="00751FC5"/>
    <w:rsid w:val="007520E7"/>
    <w:rsid w:val="007520EC"/>
    <w:rsid w:val="00753148"/>
    <w:rsid w:val="00753771"/>
    <w:rsid w:val="00753774"/>
    <w:rsid w:val="00753AC3"/>
    <w:rsid w:val="007542C3"/>
    <w:rsid w:val="007547E8"/>
    <w:rsid w:val="00754F8E"/>
    <w:rsid w:val="0076022B"/>
    <w:rsid w:val="00760EA4"/>
    <w:rsid w:val="00760F02"/>
    <w:rsid w:val="0076115C"/>
    <w:rsid w:val="00761DB3"/>
    <w:rsid w:val="00761FF1"/>
    <w:rsid w:val="00762596"/>
    <w:rsid w:val="007633DF"/>
    <w:rsid w:val="007638C3"/>
    <w:rsid w:val="007639EB"/>
    <w:rsid w:val="00763D36"/>
    <w:rsid w:val="0076498A"/>
    <w:rsid w:val="0076538F"/>
    <w:rsid w:val="00765D47"/>
    <w:rsid w:val="00772A10"/>
    <w:rsid w:val="007737A1"/>
    <w:rsid w:val="007743D2"/>
    <w:rsid w:val="007743F4"/>
    <w:rsid w:val="00776152"/>
    <w:rsid w:val="00776CBA"/>
    <w:rsid w:val="007778BF"/>
    <w:rsid w:val="007817FA"/>
    <w:rsid w:val="0078248E"/>
    <w:rsid w:val="0078371D"/>
    <w:rsid w:val="00783D77"/>
    <w:rsid w:val="00783ECB"/>
    <w:rsid w:val="007841C1"/>
    <w:rsid w:val="00785FEA"/>
    <w:rsid w:val="0078674D"/>
    <w:rsid w:val="0078750E"/>
    <w:rsid w:val="00790CF9"/>
    <w:rsid w:val="00790DE6"/>
    <w:rsid w:val="00791CE9"/>
    <w:rsid w:val="00792059"/>
    <w:rsid w:val="00792727"/>
    <w:rsid w:val="007928D8"/>
    <w:rsid w:val="00792F14"/>
    <w:rsid w:val="00794A0E"/>
    <w:rsid w:val="0079579E"/>
    <w:rsid w:val="00796828"/>
    <w:rsid w:val="00797327"/>
    <w:rsid w:val="00797777"/>
    <w:rsid w:val="00797D12"/>
    <w:rsid w:val="007A1138"/>
    <w:rsid w:val="007A2B39"/>
    <w:rsid w:val="007A4EFC"/>
    <w:rsid w:val="007A54CA"/>
    <w:rsid w:val="007A6C9D"/>
    <w:rsid w:val="007A6E50"/>
    <w:rsid w:val="007B1873"/>
    <w:rsid w:val="007B1B9B"/>
    <w:rsid w:val="007B2503"/>
    <w:rsid w:val="007B28A1"/>
    <w:rsid w:val="007B2F23"/>
    <w:rsid w:val="007B3FDE"/>
    <w:rsid w:val="007B5B3F"/>
    <w:rsid w:val="007B605A"/>
    <w:rsid w:val="007B79A0"/>
    <w:rsid w:val="007C05F4"/>
    <w:rsid w:val="007C0861"/>
    <w:rsid w:val="007C09DD"/>
    <w:rsid w:val="007C298F"/>
    <w:rsid w:val="007C2E10"/>
    <w:rsid w:val="007C32C1"/>
    <w:rsid w:val="007C33C1"/>
    <w:rsid w:val="007C41E1"/>
    <w:rsid w:val="007C6046"/>
    <w:rsid w:val="007D13B3"/>
    <w:rsid w:val="007D14FD"/>
    <w:rsid w:val="007D28D4"/>
    <w:rsid w:val="007D2C7D"/>
    <w:rsid w:val="007D3DA7"/>
    <w:rsid w:val="007D4422"/>
    <w:rsid w:val="007D466D"/>
    <w:rsid w:val="007D4C62"/>
    <w:rsid w:val="007D5306"/>
    <w:rsid w:val="007D5B85"/>
    <w:rsid w:val="007E0C73"/>
    <w:rsid w:val="007E1121"/>
    <w:rsid w:val="007E16D1"/>
    <w:rsid w:val="007E1BAB"/>
    <w:rsid w:val="007E292F"/>
    <w:rsid w:val="007E3581"/>
    <w:rsid w:val="007E4BFD"/>
    <w:rsid w:val="007E558D"/>
    <w:rsid w:val="007E609F"/>
    <w:rsid w:val="007E63BB"/>
    <w:rsid w:val="007E6D82"/>
    <w:rsid w:val="007F0CF6"/>
    <w:rsid w:val="007F4859"/>
    <w:rsid w:val="007F4F41"/>
    <w:rsid w:val="007F566F"/>
    <w:rsid w:val="007F7EA6"/>
    <w:rsid w:val="0080034B"/>
    <w:rsid w:val="0080042E"/>
    <w:rsid w:val="00801B46"/>
    <w:rsid w:val="00801CE8"/>
    <w:rsid w:val="00803F29"/>
    <w:rsid w:val="00804506"/>
    <w:rsid w:val="008051DE"/>
    <w:rsid w:val="008057E9"/>
    <w:rsid w:val="00806186"/>
    <w:rsid w:val="00806343"/>
    <w:rsid w:val="008068AD"/>
    <w:rsid w:val="00806F2B"/>
    <w:rsid w:val="008075EB"/>
    <w:rsid w:val="00807640"/>
    <w:rsid w:val="00807E3E"/>
    <w:rsid w:val="00810B66"/>
    <w:rsid w:val="008113E7"/>
    <w:rsid w:val="00811812"/>
    <w:rsid w:val="00811820"/>
    <w:rsid w:val="00811BCA"/>
    <w:rsid w:val="00812003"/>
    <w:rsid w:val="00812A41"/>
    <w:rsid w:val="00813983"/>
    <w:rsid w:val="00813E23"/>
    <w:rsid w:val="008140B0"/>
    <w:rsid w:val="008144B9"/>
    <w:rsid w:val="00815848"/>
    <w:rsid w:val="008170F9"/>
    <w:rsid w:val="00820154"/>
    <w:rsid w:val="008212F3"/>
    <w:rsid w:val="008214B6"/>
    <w:rsid w:val="008236E2"/>
    <w:rsid w:val="00823803"/>
    <w:rsid w:val="0082406E"/>
    <w:rsid w:val="00825180"/>
    <w:rsid w:val="00825B0D"/>
    <w:rsid w:val="00825EC4"/>
    <w:rsid w:val="008265D8"/>
    <w:rsid w:val="0082748B"/>
    <w:rsid w:val="00831B57"/>
    <w:rsid w:val="00832E2F"/>
    <w:rsid w:val="00833496"/>
    <w:rsid w:val="00833ECF"/>
    <w:rsid w:val="00835D44"/>
    <w:rsid w:val="00835D74"/>
    <w:rsid w:val="00836983"/>
    <w:rsid w:val="00836F8D"/>
    <w:rsid w:val="00837419"/>
    <w:rsid w:val="00837A48"/>
    <w:rsid w:val="00841B59"/>
    <w:rsid w:val="008426FA"/>
    <w:rsid w:val="00844608"/>
    <w:rsid w:val="008459CA"/>
    <w:rsid w:val="00846146"/>
    <w:rsid w:val="0084634C"/>
    <w:rsid w:val="00846A92"/>
    <w:rsid w:val="00846AA9"/>
    <w:rsid w:val="00846D9D"/>
    <w:rsid w:val="00846EEF"/>
    <w:rsid w:val="008475B7"/>
    <w:rsid w:val="008528B3"/>
    <w:rsid w:val="0085398D"/>
    <w:rsid w:val="00853E35"/>
    <w:rsid w:val="008550AC"/>
    <w:rsid w:val="00857971"/>
    <w:rsid w:val="00861F4A"/>
    <w:rsid w:val="0086454A"/>
    <w:rsid w:val="00864F96"/>
    <w:rsid w:val="00865ECA"/>
    <w:rsid w:val="00866E6C"/>
    <w:rsid w:val="00867B80"/>
    <w:rsid w:val="00871CB3"/>
    <w:rsid w:val="00871F7B"/>
    <w:rsid w:val="00872A8E"/>
    <w:rsid w:val="0087334A"/>
    <w:rsid w:val="00874EE5"/>
    <w:rsid w:val="008752C9"/>
    <w:rsid w:val="00875778"/>
    <w:rsid w:val="0087631C"/>
    <w:rsid w:val="00876A65"/>
    <w:rsid w:val="0088589A"/>
    <w:rsid w:val="00885BD9"/>
    <w:rsid w:val="008860E1"/>
    <w:rsid w:val="00886F58"/>
    <w:rsid w:val="00887031"/>
    <w:rsid w:val="0088774E"/>
    <w:rsid w:val="00887971"/>
    <w:rsid w:val="00887D1E"/>
    <w:rsid w:val="00892156"/>
    <w:rsid w:val="00892409"/>
    <w:rsid w:val="008938FD"/>
    <w:rsid w:val="00893E30"/>
    <w:rsid w:val="0089475E"/>
    <w:rsid w:val="0089621A"/>
    <w:rsid w:val="00897C08"/>
    <w:rsid w:val="008A0316"/>
    <w:rsid w:val="008A2516"/>
    <w:rsid w:val="008A3111"/>
    <w:rsid w:val="008A484C"/>
    <w:rsid w:val="008A4A87"/>
    <w:rsid w:val="008A4AC1"/>
    <w:rsid w:val="008A4F66"/>
    <w:rsid w:val="008A5CFE"/>
    <w:rsid w:val="008A5E7C"/>
    <w:rsid w:val="008A6001"/>
    <w:rsid w:val="008A66A0"/>
    <w:rsid w:val="008A6F28"/>
    <w:rsid w:val="008A7E44"/>
    <w:rsid w:val="008B0130"/>
    <w:rsid w:val="008B0590"/>
    <w:rsid w:val="008B08DE"/>
    <w:rsid w:val="008B1026"/>
    <w:rsid w:val="008B1F16"/>
    <w:rsid w:val="008B26E8"/>
    <w:rsid w:val="008B51BC"/>
    <w:rsid w:val="008B611A"/>
    <w:rsid w:val="008B692F"/>
    <w:rsid w:val="008B7DD9"/>
    <w:rsid w:val="008C05D6"/>
    <w:rsid w:val="008C0A22"/>
    <w:rsid w:val="008C0B7E"/>
    <w:rsid w:val="008C20F8"/>
    <w:rsid w:val="008C336B"/>
    <w:rsid w:val="008C42E5"/>
    <w:rsid w:val="008C4511"/>
    <w:rsid w:val="008C4800"/>
    <w:rsid w:val="008C6047"/>
    <w:rsid w:val="008C60FF"/>
    <w:rsid w:val="008C6E37"/>
    <w:rsid w:val="008C73EA"/>
    <w:rsid w:val="008C7A07"/>
    <w:rsid w:val="008D0DFA"/>
    <w:rsid w:val="008D1D84"/>
    <w:rsid w:val="008D20C9"/>
    <w:rsid w:val="008D2F7F"/>
    <w:rsid w:val="008D7120"/>
    <w:rsid w:val="008D74CF"/>
    <w:rsid w:val="008D7B72"/>
    <w:rsid w:val="008D7BF6"/>
    <w:rsid w:val="008E1424"/>
    <w:rsid w:val="008E28A1"/>
    <w:rsid w:val="008E2D2F"/>
    <w:rsid w:val="008E2EA0"/>
    <w:rsid w:val="008E3456"/>
    <w:rsid w:val="008E37B2"/>
    <w:rsid w:val="008E3898"/>
    <w:rsid w:val="008E3990"/>
    <w:rsid w:val="008E58A3"/>
    <w:rsid w:val="008E5B1E"/>
    <w:rsid w:val="008E63D3"/>
    <w:rsid w:val="008E657F"/>
    <w:rsid w:val="008E67DA"/>
    <w:rsid w:val="008E7F8F"/>
    <w:rsid w:val="008F00BA"/>
    <w:rsid w:val="008F09E1"/>
    <w:rsid w:val="008F1553"/>
    <w:rsid w:val="008F2A00"/>
    <w:rsid w:val="008F34D4"/>
    <w:rsid w:val="008F535F"/>
    <w:rsid w:val="008F5605"/>
    <w:rsid w:val="008F5C62"/>
    <w:rsid w:val="008F5E96"/>
    <w:rsid w:val="008F654E"/>
    <w:rsid w:val="008F676F"/>
    <w:rsid w:val="008F7091"/>
    <w:rsid w:val="008F755C"/>
    <w:rsid w:val="009000C4"/>
    <w:rsid w:val="00900490"/>
    <w:rsid w:val="00900660"/>
    <w:rsid w:val="0090210C"/>
    <w:rsid w:val="00902B9D"/>
    <w:rsid w:val="00902BB0"/>
    <w:rsid w:val="00903751"/>
    <w:rsid w:val="00903FA0"/>
    <w:rsid w:val="009050E3"/>
    <w:rsid w:val="0090569C"/>
    <w:rsid w:val="00905E99"/>
    <w:rsid w:val="00906F8E"/>
    <w:rsid w:val="00907EF4"/>
    <w:rsid w:val="00910B64"/>
    <w:rsid w:val="00912819"/>
    <w:rsid w:val="009136B6"/>
    <w:rsid w:val="00913ADA"/>
    <w:rsid w:val="00914999"/>
    <w:rsid w:val="00914A23"/>
    <w:rsid w:val="00915098"/>
    <w:rsid w:val="00915AC1"/>
    <w:rsid w:val="00916693"/>
    <w:rsid w:val="00920DDA"/>
    <w:rsid w:val="00921324"/>
    <w:rsid w:val="00923B87"/>
    <w:rsid w:val="00925380"/>
    <w:rsid w:val="009258E9"/>
    <w:rsid w:val="0092672C"/>
    <w:rsid w:val="00926A77"/>
    <w:rsid w:val="00926BBF"/>
    <w:rsid w:val="00926F28"/>
    <w:rsid w:val="009307CB"/>
    <w:rsid w:val="00931DCF"/>
    <w:rsid w:val="00933CA6"/>
    <w:rsid w:val="00934D56"/>
    <w:rsid w:val="00936840"/>
    <w:rsid w:val="0093732F"/>
    <w:rsid w:val="00937458"/>
    <w:rsid w:val="00937A82"/>
    <w:rsid w:val="00937B08"/>
    <w:rsid w:val="00937B16"/>
    <w:rsid w:val="00937EA4"/>
    <w:rsid w:val="009403ED"/>
    <w:rsid w:val="00940A2F"/>
    <w:rsid w:val="00940B51"/>
    <w:rsid w:val="0094130D"/>
    <w:rsid w:val="00941538"/>
    <w:rsid w:val="009422A4"/>
    <w:rsid w:val="009424DA"/>
    <w:rsid w:val="00942BF4"/>
    <w:rsid w:val="00942CC8"/>
    <w:rsid w:val="009432A0"/>
    <w:rsid w:val="00943464"/>
    <w:rsid w:val="00943D02"/>
    <w:rsid w:val="00943FE4"/>
    <w:rsid w:val="00944C06"/>
    <w:rsid w:val="009450F3"/>
    <w:rsid w:val="00945898"/>
    <w:rsid w:val="00945F26"/>
    <w:rsid w:val="009464BC"/>
    <w:rsid w:val="009471FA"/>
    <w:rsid w:val="0094765A"/>
    <w:rsid w:val="00950774"/>
    <w:rsid w:val="009510FA"/>
    <w:rsid w:val="0095231A"/>
    <w:rsid w:val="00953CFF"/>
    <w:rsid w:val="00954FB5"/>
    <w:rsid w:val="00955755"/>
    <w:rsid w:val="009559EA"/>
    <w:rsid w:val="0095734D"/>
    <w:rsid w:val="00957AA8"/>
    <w:rsid w:val="0096031D"/>
    <w:rsid w:val="0096124E"/>
    <w:rsid w:val="00961BDE"/>
    <w:rsid w:val="00961D9E"/>
    <w:rsid w:val="00962B8A"/>
    <w:rsid w:val="00967378"/>
    <w:rsid w:val="00970D0C"/>
    <w:rsid w:val="009714B7"/>
    <w:rsid w:val="00971DDC"/>
    <w:rsid w:val="00971E31"/>
    <w:rsid w:val="00973473"/>
    <w:rsid w:val="0097373D"/>
    <w:rsid w:val="00974D03"/>
    <w:rsid w:val="009808AD"/>
    <w:rsid w:val="00980A23"/>
    <w:rsid w:val="00981DA4"/>
    <w:rsid w:val="00983F79"/>
    <w:rsid w:val="00984203"/>
    <w:rsid w:val="0098479A"/>
    <w:rsid w:val="009867E3"/>
    <w:rsid w:val="00986C0F"/>
    <w:rsid w:val="0098770D"/>
    <w:rsid w:val="009877C2"/>
    <w:rsid w:val="00987C15"/>
    <w:rsid w:val="00990ABE"/>
    <w:rsid w:val="0099196E"/>
    <w:rsid w:val="009925F3"/>
    <w:rsid w:val="00992A62"/>
    <w:rsid w:val="00993097"/>
    <w:rsid w:val="00993D53"/>
    <w:rsid w:val="00994492"/>
    <w:rsid w:val="00995035"/>
    <w:rsid w:val="009952E9"/>
    <w:rsid w:val="0099543B"/>
    <w:rsid w:val="00996EA5"/>
    <w:rsid w:val="009A042D"/>
    <w:rsid w:val="009A07DD"/>
    <w:rsid w:val="009A187B"/>
    <w:rsid w:val="009A1A1F"/>
    <w:rsid w:val="009A416B"/>
    <w:rsid w:val="009A42BD"/>
    <w:rsid w:val="009A4FA5"/>
    <w:rsid w:val="009A57CE"/>
    <w:rsid w:val="009A5A5E"/>
    <w:rsid w:val="009A708C"/>
    <w:rsid w:val="009A76CC"/>
    <w:rsid w:val="009B0C2C"/>
    <w:rsid w:val="009B2CD2"/>
    <w:rsid w:val="009B2FAF"/>
    <w:rsid w:val="009B37E4"/>
    <w:rsid w:val="009B3CE3"/>
    <w:rsid w:val="009B69C6"/>
    <w:rsid w:val="009C0865"/>
    <w:rsid w:val="009C0DD9"/>
    <w:rsid w:val="009C1303"/>
    <w:rsid w:val="009C189F"/>
    <w:rsid w:val="009C2A4C"/>
    <w:rsid w:val="009C5837"/>
    <w:rsid w:val="009C6979"/>
    <w:rsid w:val="009D09A1"/>
    <w:rsid w:val="009D336F"/>
    <w:rsid w:val="009D4336"/>
    <w:rsid w:val="009D4F6D"/>
    <w:rsid w:val="009D5BC5"/>
    <w:rsid w:val="009D7629"/>
    <w:rsid w:val="009E1A31"/>
    <w:rsid w:val="009E1F08"/>
    <w:rsid w:val="009E2514"/>
    <w:rsid w:val="009E52E6"/>
    <w:rsid w:val="009E7FE3"/>
    <w:rsid w:val="009F0B92"/>
    <w:rsid w:val="009F18D5"/>
    <w:rsid w:val="009F232C"/>
    <w:rsid w:val="009F250B"/>
    <w:rsid w:val="009F73BA"/>
    <w:rsid w:val="009F7C4D"/>
    <w:rsid w:val="00A000BF"/>
    <w:rsid w:val="00A00442"/>
    <w:rsid w:val="00A00A85"/>
    <w:rsid w:val="00A011E0"/>
    <w:rsid w:val="00A02195"/>
    <w:rsid w:val="00A0349F"/>
    <w:rsid w:val="00A05414"/>
    <w:rsid w:val="00A059E7"/>
    <w:rsid w:val="00A05F01"/>
    <w:rsid w:val="00A0676A"/>
    <w:rsid w:val="00A0691B"/>
    <w:rsid w:val="00A075A8"/>
    <w:rsid w:val="00A103DC"/>
    <w:rsid w:val="00A11D46"/>
    <w:rsid w:val="00A13D71"/>
    <w:rsid w:val="00A13F64"/>
    <w:rsid w:val="00A1618A"/>
    <w:rsid w:val="00A170D3"/>
    <w:rsid w:val="00A20BA7"/>
    <w:rsid w:val="00A20C9E"/>
    <w:rsid w:val="00A21C19"/>
    <w:rsid w:val="00A2294D"/>
    <w:rsid w:val="00A22B0A"/>
    <w:rsid w:val="00A23B38"/>
    <w:rsid w:val="00A24924"/>
    <w:rsid w:val="00A262B5"/>
    <w:rsid w:val="00A262CD"/>
    <w:rsid w:val="00A274FC"/>
    <w:rsid w:val="00A301EA"/>
    <w:rsid w:val="00A30AF7"/>
    <w:rsid w:val="00A31F8A"/>
    <w:rsid w:val="00A32BF8"/>
    <w:rsid w:val="00A33371"/>
    <w:rsid w:val="00A3373E"/>
    <w:rsid w:val="00A33F84"/>
    <w:rsid w:val="00A347AB"/>
    <w:rsid w:val="00A34D32"/>
    <w:rsid w:val="00A357EF"/>
    <w:rsid w:val="00A35FD5"/>
    <w:rsid w:val="00A36AA4"/>
    <w:rsid w:val="00A36F4B"/>
    <w:rsid w:val="00A37C16"/>
    <w:rsid w:val="00A37F55"/>
    <w:rsid w:val="00A4051D"/>
    <w:rsid w:val="00A40F1A"/>
    <w:rsid w:val="00A414C2"/>
    <w:rsid w:val="00A41BFA"/>
    <w:rsid w:val="00A424FA"/>
    <w:rsid w:val="00A43984"/>
    <w:rsid w:val="00A448B8"/>
    <w:rsid w:val="00A4610D"/>
    <w:rsid w:val="00A50065"/>
    <w:rsid w:val="00A519A2"/>
    <w:rsid w:val="00A521AC"/>
    <w:rsid w:val="00A522E5"/>
    <w:rsid w:val="00A52DBA"/>
    <w:rsid w:val="00A560E2"/>
    <w:rsid w:val="00A56697"/>
    <w:rsid w:val="00A568CE"/>
    <w:rsid w:val="00A56DB4"/>
    <w:rsid w:val="00A6077D"/>
    <w:rsid w:val="00A61B00"/>
    <w:rsid w:val="00A631D0"/>
    <w:rsid w:val="00A633A6"/>
    <w:rsid w:val="00A63B11"/>
    <w:rsid w:val="00A64195"/>
    <w:rsid w:val="00A6465A"/>
    <w:rsid w:val="00A65A5C"/>
    <w:rsid w:val="00A66C42"/>
    <w:rsid w:val="00A67DD4"/>
    <w:rsid w:val="00A70334"/>
    <w:rsid w:val="00A71353"/>
    <w:rsid w:val="00A71AB4"/>
    <w:rsid w:val="00A720D3"/>
    <w:rsid w:val="00A72126"/>
    <w:rsid w:val="00A72DDB"/>
    <w:rsid w:val="00A731C7"/>
    <w:rsid w:val="00A734AC"/>
    <w:rsid w:val="00A73805"/>
    <w:rsid w:val="00A73BC7"/>
    <w:rsid w:val="00A74C72"/>
    <w:rsid w:val="00A7532D"/>
    <w:rsid w:val="00A76EAB"/>
    <w:rsid w:val="00A7735E"/>
    <w:rsid w:val="00A77494"/>
    <w:rsid w:val="00A7763D"/>
    <w:rsid w:val="00A77F46"/>
    <w:rsid w:val="00A8106F"/>
    <w:rsid w:val="00A81178"/>
    <w:rsid w:val="00A826D8"/>
    <w:rsid w:val="00A83F2A"/>
    <w:rsid w:val="00A841BF"/>
    <w:rsid w:val="00A866BC"/>
    <w:rsid w:val="00A8756A"/>
    <w:rsid w:val="00A8762E"/>
    <w:rsid w:val="00A87C5E"/>
    <w:rsid w:val="00A90BF3"/>
    <w:rsid w:val="00A92183"/>
    <w:rsid w:val="00A9250B"/>
    <w:rsid w:val="00A925CC"/>
    <w:rsid w:val="00A950EC"/>
    <w:rsid w:val="00A96127"/>
    <w:rsid w:val="00A97CF9"/>
    <w:rsid w:val="00AA1322"/>
    <w:rsid w:val="00AA179C"/>
    <w:rsid w:val="00AA28CE"/>
    <w:rsid w:val="00AA34BE"/>
    <w:rsid w:val="00AA40D1"/>
    <w:rsid w:val="00AA418D"/>
    <w:rsid w:val="00AA43CE"/>
    <w:rsid w:val="00AA4C11"/>
    <w:rsid w:val="00AA54D3"/>
    <w:rsid w:val="00AA5A1F"/>
    <w:rsid w:val="00AA5F59"/>
    <w:rsid w:val="00AA6326"/>
    <w:rsid w:val="00AA6E24"/>
    <w:rsid w:val="00AA6F58"/>
    <w:rsid w:val="00AA7864"/>
    <w:rsid w:val="00AB0DE7"/>
    <w:rsid w:val="00AB1E2D"/>
    <w:rsid w:val="00AB2B75"/>
    <w:rsid w:val="00AB3C47"/>
    <w:rsid w:val="00AB4243"/>
    <w:rsid w:val="00AB49F2"/>
    <w:rsid w:val="00AB4F01"/>
    <w:rsid w:val="00AB5F67"/>
    <w:rsid w:val="00AB638F"/>
    <w:rsid w:val="00AB72FA"/>
    <w:rsid w:val="00AC0E5E"/>
    <w:rsid w:val="00AC147C"/>
    <w:rsid w:val="00AC1911"/>
    <w:rsid w:val="00AC1B6B"/>
    <w:rsid w:val="00AC29D4"/>
    <w:rsid w:val="00AC31BD"/>
    <w:rsid w:val="00AC3BAF"/>
    <w:rsid w:val="00AC417E"/>
    <w:rsid w:val="00AC6D8D"/>
    <w:rsid w:val="00AD2001"/>
    <w:rsid w:val="00AD26FA"/>
    <w:rsid w:val="00AD4696"/>
    <w:rsid w:val="00AD707E"/>
    <w:rsid w:val="00AD731F"/>
    <w:rsid w:val="00AD786B"/>
    <w:rsid w:val="00AD7A93"/>
    <w:rsid w:val="00AE2DF9"/>
    <w:rsid w:val="00AE33E8"/>
    <w:rsid w:val="00AE4F66"/>
    <w:rsid w:val="00AE50A8"/>
    <w:rsid w:val="00AE52CE"/>
    <w:rsid w:val="00AE5AD4"/>
    <w:rsid w:val="00AE5B80"/>
    <w:rsid w:val="00AE5BBE"/>
    <w:rsid w:val="00AE6917"/>
    <w:rsid w:val="00AE6D85"/>
    <w:rsid w:val="00AE74FE"/>
    <w:rsid w:val="00AE7E7C"/>
    <w:rsid w:val="00AE7E96"/>
    <w:rsid w:val="00AF014F"/>
    <w:rsid w:val="00AF1005"/>
    <w:rsid w:val="00AF2087"/>
    <w:rsid w:val="00AF2754"/>
    <w:rsid w:val="00AF2994"/>
    <w:rsid w:val="00AF2B96"/>
    <w:rsid w:val="00AF2EB3"/>
    <w:rsid w:val="00AF53B2"/>
    <w:rsid w:val="00AF570B"/>
    <w:rsid w:val="00AF587B"/>
    <w:rsid w:val="00AF5C25"/>
    <w:rsid w:val="00AF6030"/>
    <w:rsid w:val="00AF7456"/>
    <w:rsid w:val="00AF7F8E"/>
    <w:rsid w:val="00B01701"/>
    <w:rsid w:val="00B01B01"/>
    <w:rsid w:val="00B01F27"/>
    <w:rsid w:val="00B03A93"/>
    <w:rsid w:val="00B03C82"/>
    <w:rsid w:val="00B04607"/>
    <w:rsid w:val="00B04F3C"/>
    <w:rsid w:val="00B04FD1"/>
    <w:rsid w:val="00B059F6"/>
    <w:rsid w:val="00B05E49"/>
    <w:rsid w:val="00B06150"/>
    <w:rsid w:val="00B065D0"/>
    <w:rsid w:val="00B07335"/>
    <w:rsid w:val="00B07F45"/>
    <w:rsid w:val="00B1095C"/>
    <w:rsid w:val="00B10E49"/>
    <w:rsid w:val="00B12B63"/>
    <w:rsid w:val="00B131C0"/>
    <w:rsid w:val="00B1583C"/>
    <w:rsid w:val="00B1598D"/>
    <w:rsid w:val="00B162C4"/>
    <w:rsid w:val="00B1661B"/>
    <w:rsid w:val="00B168B7"/>
    <w:rsid w:val="00B17320"/>
    <w:rsid w:val="00B17DC5"/>
    <w:rsid w:val="00B21016"/>
    <w:rsid w:val="00B21E4B"/>
    <w:rsid w:val="00B22A3F"/>
    <w:rsid w:val="00B23906"/>
    <w:rsid w:val="00B2390C"/>
    <w:rsid w:val="00B2433A"/>
    <w:rsid w:val="00B24431"/>
    <w:rsid w:val="00B249AB"/>
    <w:rsid w:val="00B25F69"/>
    <w:rsid w:val="00B269AA"/>
    <w:rsid w:val="00B271BA"/>
    <w:rsid w:val="00B27452"/>
    <w:rsid w:val="00B3146D"/>
    <w:rsid w:val="00B332F7"/>
    <w:rsid w:val="00B3445E"/>
    <w:rsid w:val="00B35417"/>
    <w:rsid w:val="00B35A50"/>
    <w:rsid w:val="00B36655"/>
    <w:rsid w:val="00B408C4"/>
    <w:rsid w:val="00B41160"/>
    <w:rsid w:val="00B41921"/>
    <w:rsid w:val="00B43D75"/>
    <w:rsid w:val="00B458FA"/>
    <w:rsid w:val="00B46A80"/>
    <w:rsid w:val="00B478B7"/>
    <w:rsid w:val="00B50129"/>
    <w:rsid w:val="00B509A0"/>
    <w:rsid w:val="00B51DB2"/>
    <w:rsid w:val="00B54AE7"/>
    <w:rsid w:val="00B553E6"/>
    <w:rsid w:val="00B56B54"/>
    <w:rsid w:val="00B57E61"/>
    <w:rsid w:val="00B60501"/>
    <w:rsid w:val="00B60BFC"/>
    <w:rsid w:val="00B62670"/>
    <w:rsid w:val="00B6364F"/>
    <w:rsid w:val="00B63ADE"/>
    <w:rsid w:val="00B64BC0"/>
    <w:rsid w:val="00B65BED"/>
    <w:rsid w:val="00B6656C"/>
    <w:rsid w:val="00B665A0"/>
    <w:rsid w:val="00B66D99"/>
    <w:rsid w:val="00B6779C"/>
    <w:rsid w:val="00B67D09"/>
    <w:rsid w:val="00B67E18"/>
    <w:rsid w:val="00B712D3"/>
    <w:rsid w:val="00B7174D"/>
    <w:rsid w:val="00B72305"/>
    <w:rsid w:val="00B74540"/>
    <w:rsid w:val="00B74BD5"/>
    <w:rsid w:val="00B76030"/>
    <w:rsid w:val="00B76EEB"/>
    <w:rsid w:val="00B76F84"/>
    <w:rsid w:val="00B77880"/>
    <w:rsid w:val="00B77A5D"/>
    <w:rsid w:val="00B82848"/>
    <w:rsid w:val="00B82DC4"/>
    <w:rsid w:val="00B832EB"/>
    <w:rsid w:val="00B83AEF"/>
    <w:rsid w:val="00B86797"/>
    <w:rsid w:val="00B86D3B"/>
    <w:rsid w:val="00B9089D"/>
    <w:rsid w:val="00B90B02"/>
    <w:rsid w:val="00B9486B"/>
    <w:rsid w:val="00B96415"/>
    <w:rsid w:val="00B96B60"/>
    <w:rsid w:val="00B973A6"/>
    <w:rsid w:val="00B97F39"/>
    <w:rsid w:val="00BA0032"/>
    <w:rsid w:val="00BA0CCC"/>
    <w:rsid w:val="00BA0DEA"/>
    <w:rsid w:val="00BA12F8"/>
    <w:rsid w:val="00BA1509"/>
    <w:rsid w:val="00BA4A75"/>
    <w:rsid w:val="00BA5F6B"/>
    <w:rsid w:val="00BA6035"/>
    <w:rsid w:val="00BA6254"/>
    <w:rsid w:val="00BB2197"/>
    <w:rsid w:val="00BB3D37"/>
    <w:rsid w:val="00BB4D3D"/>
    <w:rsid w:val="00BB4F47"/>
    <w:rsid w:val="00BB5052"/>
    <w:rsid w:val="00BB690B"/>
    <w:rsid w:val="00BB7DBA"/>
    <w:rsid w:val="00BC1357"/>
    <w:rsid w:val="00BC1A71"/>
    <w:rsid w:val="00BC24DD"/>
    <w:rsid w:val="00BC39F8"/>
    <w:rsid w:val="00BC4C30"/>
    <w:rsid w:val="00BC4C7D"/>
    <w:rsid w:val="00BC4F90"/>
    <w:rsid w:val="00BC6347"/>
    <w:rsid w:val="00BC76A2"/>
    <w:rsid w:val="00BC78D7"/>
    <w:rsid w:val="00BD02B9"/>
    <w:rsid w:val="00BD0E7B"/>
    <w:rsid w:val="00BD169C"/>
    <w:rsid w:val="00BD171F"/>
    <w:rsid w:val="00BD1A7C"/>
    <w:rsid w:val="00BD25F0"/>
    <w:rsid w:val="00BD2996"/>
    <w:rsid w:val="00BD4B49"/>
    <w:rsid w:val="00BD5586"/>
    <w:rsid w:val="00BD7EBC"/>
    <w:rsid w:val="00BD7F6A"/>
    <w:rsid w:val="00BE02B3"/>
    <w:rsid w:val="00BE0CEB"/>
    <w:rsid w:val="00BE130C"/>
    <w:rsid w:val="00BE1B78"/>
    <w:rsid w:val="00BE29FB"/>
    <w:rsid w:val="00BE2ED2"/>
    <w:rsid w:val="00BE5468"/>
    <w:rsid w:val="00BE6DE1"/>
    <w:rsid w:val="00BE74E6"/>
    <w:rsid w:val="00BF0A15"/>
    <w:rsid w:val="00BF0EFD"/>
    <w:rsid w:val="00BF1410"/>
    <w:rsid w:val="00BF3A2F"/>
    <w:rsid w:val="00BF4886"/>
    <w:rsid w:val="00BF5856"/>
    <w:rsid w:val="00BF59A4"/>
    <w:rsid w:val="00BF679B"/>
    <w:rsid w:val="00C00528"/>
    <w:rsid w:val="00C01692"/>
    <w:rsid w:val="00C018AF"/>
    <w:rsid w:val="00C02E24"/>
    <w:rsid w:val="00C066BA"/>
    <w:rsid w:val="00C07B22"/>
    <w:rsid w:val="00C10225"/>
    <w:rsid w:val="00C10CDB"/>
    <w:rsid w:val="00C10EA1"/>
    <w:rsid w:val="00C11613"/>
    <w:rsid w:val="00C120FE"/>
    <w:rsid w:val="00C12273"/>
    <w:rsid w:val="00C141AD"/>
    <w:rsid w:val="00C14735"/>
    <w:rsid w:val="00C15C89"/>
    <w:rsid w:val="00C20333"/>
    <w:rsid w:val="00C21A1B"/>
    <w:rsid w:val="00C2205F"/>
    <w:rsid w:val="00C2275B"/>
    <w:rsid w:val="00C22D3A"/>
    <w:rsid w:val="00C2589D"/>
    <w:rsid w:val="00C25B39"/>
    <w:rsid w:val="00C304D3"/>
    <w:rsid w:val="00C307B5"/>
    <w:rsid w:val="00C320BC"/>
    <w:rsid w:val="00C32AC1"/>
    <w:rsid w:val="00C32AE9"/>
    <w:rsid w:val="00C347EC"/>
    <w:rsid w:val="00C34A42"/>
    <w:rsid w:val="00C358C4"/>
    <w:rsid w:val="00C365D4"/>
    <w:rsid w:val="00C36E2A"/>
    <w:rsid w:val="00C36E7B"/>
    <w:rsid w:val="00C37757"/>
    <w:rsid w:val="00C37994"/>
    <w:rsid w:val="00C40E99"/>
    <w:rsid w:val="00C41C61"/>
    <w:rsid w:val="00C41E58"/>
    <w:rsid w:val="00C42325"/>
    <w:rsid w:val="00C44AF7"/>
    <w:rsid w:val="00C453F8"/>
    <w:rsid w:val="00C47811"/>
    <w:rsid w:val="00C47BDB"/>
    <w:rsid w:val="00C47D75"/>
    <w:rsid w:val="00C51276"/>
    <w:rsid w:val="00C519B2"/>
    <w:rsid w:val="00C52940"/>
    <w:rsid w:val="00C52A03"/>
    <w:rsid w:val="00C52D99"/>
    <w:rsid w:val="00C54AA3"/>
    <w:rsid w:val="00C55A14"/>
    <w:rsid w:val="00C56B71"/>
    <w:rsid w:val="00C56BF5"/>
    <w:rsid w:val="00C6090A"/>
    <w:rsid w:val="00C61426"/>
    <w:rsid w:val="00C61637"/>
    <w:rsid w:val="00C61AF1"/>
    <w:rsid w:val="00C6404B"/>
    <w:rsid w:val="00C64FCA"/>
    <w:rsid w:val="00C67731"/>
    <w:rsid w:val="00C67732"/>
    <w:rsid w:val="00C67A21"/>
    <w:rsid w:val="00C67B57"/>
    <w:rsid w:val="00C707CF"/>
    <w:rsid w:val="00C70D49"/>
    <w:rsid w:val="00C72344"/>
    <w:rsid w:val="00C727C4"/>
    <w:rsid w:val="00C72F51"/>
    <w:rsid w:val="00C734F7"/>
    <w:rsid w:val="00C7463E"/>
    <w:rsid w:val="00C74F52"/>
    <w:rsid w:val="00C750A5"/>
    <w:rsid w:val="00C75396"/>
    <w:rsid w:val="00C765BE"/>
    <w:rsid w:val="00C76730"/>
    <w:rsid w:val="00C76D3B"/>
    <w:rsid w:val="00C77813"/>
    <w:rsid w:val="00C80043"/>
    <w:rsid w:val="00C83C9E"/>
    <w:rsid w:val="00C8552C"/>
    <w:rsid w:val="00C856EF"/>
    <w:rsid w:val="00C85C0A"/>
    <w:rsid w:val="00C86D21"/>
    <w:rsid w:val="00C8787C"/>
    <w:rsid w:val="00C90152"/>
    <w:rsid w:val="00C93222"/>
    <w:rsid w:val="00C94E96"/>
    <w:rsid w:val="00CA0398"/>
    <w:rsid w:val="00CA0561"/>
    <w:rsid w:val="00CA15FF"/>
    <w:rsid w:val="00CA190B"/>
    <w:rsid w:val="00CA1B62"/>
    <w:rsid w:val="00CA2280"/>
    <w:rsid w:val="00CA35A7"/>
    <w:rsid w:val="00CA40A1"/>
    <w:rsid w:val="00CA4D68"/>
    <w:rsid w:val="00CA57CD"/>
    <w:rsid w:val="00CA5822"/>
    <w:rsid w:val="00CA646F"/>
    <w:rsid w:val="00CA675C"/>
    <w:rsid w:val="00CA6920"/>
    <w:rsid w:val="00CA798C"/>
    <w:rsid w:val="00CA7A95"/>
    <w:rsid w:val="00CB2A50"/>
    <w:rsid w:val="00CB3A92"/>
    <w:rsid w:val="00CB6371"/>
    <w:rsid w:val="00CB68B1"/>
    <w:rsid w:val="00CC08F6"/>
    <w:rsid w:val="00CC0C47"/>
    <w:rsid w:val="00CC217B"/>
    <w:rsid w:val="00CC2F1E"/>
    <w:rsid w:val="00CC34D1"/>
    <w:rsid w:val="00CC3EFA"/>
    <w:rsid w:val="00CC44CC"/>
    <w:rsid w:val="00CC53FD"/>
    <w:rsid w:val="00CC6F25"/>
    <w:rsid w:val="00CC7BCF"/>
    <w:rsid w:val="00CD0B90"/>
    <w:rsid w:val="00CD0F1A"/>
    <w:rsid w:val="00CD1557"/>
    <w:rsid w:val="00CD19A5"/>
    <w:rsid w:val="00CD29EB"/>
    <w:rsid w:val="00CD2BE7"/>
    <w:rsid w:val="00CD40BF"/>
    <w:rsid w:val="00CD40DC"/>
    <w:rsid w:val="00CD6115"/>
    <w:rsid w:val="00CD77E7"/>
    <w:rsid w:val="00CD78B0"/>
    <w:rsid w:val="00CE02AC"/>
    <w:rsid w:val="00CE1715"/>
    <w:rsid w:val="00CE1CF0"/>
    <w:rsid w:val="00CE2078"/>
    <w:rsid w:val="00CE269B"/>
    <w:rsid w:val="00CE3253"/>
    <w:rsid w:val="00CE545A"/>
    <w:rsid w:val="00CE5DAB"/>
    <w:rsid w:val="00CE5F6B"/>
    <w:rsid w:val="00CE5FF3"/>
    <w:rsid w:val="00CE773A"/>
    <w:rsid w:val="00CE7B90"/>
    <w:rsid w:val="00CE7E95"/>
    <w:rsid w:val="00CF1185"/>
    <w:rsid w:val="00CF1E90"/>
    <w:rsid w:val="00CF1F0D"/>
    <w:rsid w:val="00CF2049"/>
    <w:rsid w:val="00CF364B"/>
    <w:rsid w:val="00CF48CF"/>
    <w:rsid w:val="00CF52DA"/>
    <w:rsid w:val="00CF5E18"/>
    <w:rsid w:val="00CF696B"/>
    <w:rsid w:val="00CF7172"/>
    <w:rsid w:val="00CF76AC"/>
    <w:rsid w:val="00CF7B7A"/>
    <w:rsid w:val="00CF7BD6"/>
    <w:rsid w:val="00D00198"/>
    <w:rsid w:val="00D02772"/>
    <w:rsid w:val="00D0543F"/>
    <w:rsid w:val="00D06748"/>
    <w:rsid w:val="00D076F2"/>
    <w:rsid w:val="00D07ED5"/>
    <w:rsid w:val="00D10ECC"/>
    <w:rsid w:val="00D12706"/>
    <w:rsid w:val="00D128C8"/>
    <w:rsid w:val="00D12A7E"/>
    <w:rsid w:val="00D12C25"/>
    <w:rsid w:val="00D130FD"/>
    <w:rsid w:val="00D13DFA"/>
    <w:rsid w:val="00D14E70"/>
    <w:rsid w:val="00D15233"/>
    <w:rsid w:val="00D152A4"/>
    <w:rsid w:val="00D17286"/>
    <w:rsid w:val="00D17B40"/>
    <w:rsid w:val="00D17C38"/>
    <w:rsid w:val="00D20B9F"/>
    <w:rsid w:val="00D22DDE"/>
    <w:rsid w:val="00D242CA"/>
    <w:rsid w:val="00D24ACA"/>
    <w:rsid w:val="00D24BBF"/>
    <w:rsid w:val="00D253D6"/>
    <w:rsid w:val="00D26094"/>
    <w:rsid w:val="00D26D50"/>
    <w:rsid w:val="00D26D93"/>
    <w:rsid w:val="00D26DB9"/>
    <w:rsid w:val="00D27127"/>
    <w:rsid w:val="00D27202"/>
    <w:rsid w:val="00D273A1"/>
    <w:rsid w:val="00D300E4"/>
    <w:rsid w:val="00D305C6"/>
    <w:rsid w:val="00D3096F"/>
    <w:rsid w:val="00D30A7B"/>
    <w:rsid w:val="00D310F1"/>
    <w:rsid w:val="00D318D0"/>
    <w:rsid w:val="00D32A14"/>
    <w:rsid w:val="00D35FFC"/>
    <w:rsid w:val="00D361AB"/>
    <w:rsid w:val="00D376E5"/>
    <w:rsid w:val="00D40A7A"/>
    <w:rsid w:val="00D42780"/>
    <w:rsid w:val="00D43552"/>
    <w:rsid w:val="00D4700A"/>
    <w:rsid w:val="00D47205"/>
    <w:rsid w:val="00D47402"/>
    <w:rsid w:val="00D47494"/>
    <w:rsid w:val="00D47752"/>
    <w:rsid w:val="00D47807"/>
    <w:rsid w:val="00D50819"/>
    <w:rsid w:val="00D50FD0"/>
    <w:rsid w:val="00D51870"/>
    <w:rsid w:val="00D52204"/>
    <w:rsid w:val="00D530EE"/>
    <w:rsid w:val="00D53348"/>
    <w:rsid w:val="00D54202"/>
    <w:rsid w:val="00D5439B"/>
    <w:rsid w:val="00D55498"/>
    <w:rsid w:val="00D55BF2"/>
    <w:rsid w:val="00D55EDD"/>
    <w:rsid w:val="00D57139"/>
    <w:rsid w:val="00D60789"/>
    <w:rsid w:val="00D60961"/>
    <w:rsid w:val="00D6155F"/>
    <w:rsid w:val="00D619C6"/>
    <w:rsid w:val="00D61B14"/>
    <w:rsid w:val="00D62A11"/>
    <w:rsid w:val="00D631D2"/>
    <w:rsid w:val="00D63D1E"/>
    <w:rsid w:val="00D63FFD"/>
    <w:rsid w:val="00D64096"/>
    <w:rsid w:val="00D66345"/>
    <w:rsid w:val="00D6643D"/>
    <w:rsid w:val="00D66DD4"/>
    <w:rsid w:val="00D67A6F"/>
    <w:rsid w:val="00D723B1"/>
    <w:rsid w:val="00D73B7C"/>
    <w:rsid w:val="00D73E65"/>
    <w:rsid w:val="00D751DA"/>
    <w:rsid w:val="00D75584"/>
    <w:rsid w:val="00D75CBD"/>
    <w:rsid w:val="00D75D83"/>
    <w:rsid w:val="00D80671"/>
    <w:rsid w:val="00D81578"/>
    <w:rsid w:val="00D8192A"/>
    <w:rsid w:val="00D81CBB"/>
    <w:rsid w:val="00D835F8"/>
    <w:rsid w:val="00D839F6"/>
    <w:rsid w:val="00D841A3"/>
    <w:rsid w:val="00D862E6"/>
    <w:rsid w:val="00D86ABB"/>
    <w:rsid w:val="00D86FE1"/>
    <w:rsid w:val="00D91C6A"/>
    <w:rsid w:val="00D93494"/>
    <w:rsid w:val="00D934E4"/>
    <w:rsid w:val="00D93811"/>
    <w:rsid w:val="00D94A33"/>
    <w:rsid w:val="00D9606B"/>
    <w:rsid w:val="00D968A5"/>
    <w:rsid w:val="00DA0C2D"/>
    <w:rsid w:val="00DA18DF"/>
    <w:rsid w:val="00DA3575"/>
    <w:rsid w:val="00DA37B7"/>
    <w:rsid w:val="00DA3C88"/>
    <w:rsid w:val="00DA415F"/>
    <w:rsid w:val="00DA61D6"/>
    <w:rsid w:val="00DB05E8"/>
    <w:rsid w:val="00DB07DF"/>
    <w:rsid w:val="00DB0973"/>
    <w:rsid w:val="00DB16AC"/>
    <w:rsid w:val="00DB17E2"/>
    <w:rsid w:val="00DB18A3"/>
    <w:rsid w:val="00DB1C96"/>
    <w:rsid w:val="00DB2641"/>
    <w:rsid w:val="00DB3AFC"/>
    <w:rsid w:val="00DB3D95"/>
    <w:rsid w:val="00DB3F9E"/>
    <w:rsid w:val="00DB4E2B"/>
    <w:rsid w:val="00DB4F70"/>
    <w:rsid w:val="00DB5882"/>
    <w:rsid w:val="00DB62C1"/>
    <w:rsid w:val="00DB660A"/>
    <w:rsid w:val="00DB70C5"/>
    <w:rsid w:val="00DB713C"/>
    <w:rsid w:val="00DB733E"/>
    <w:rsid w:val="00DB7F6E"/>
    <w:rsid w:val="00DC010B"/>
    <w:rsid w:val="00DC1366"/>
    <w:rsid w:val="00DC19DE"/>
    <w:rsid w:val="00DC1C6A"/>
    <w:rsid w:val="00DC31B6"/>
    <w:rsid w:val="00DC5568"/>
    <w:rsid w:val="00DC60E4"/>
    <w:rsid w:val="00DC69C4"/>
    <w:rsid w:val="00DD0514"/>
    <w:rsid w:val="00DD0F72"/>
    <w:rsid w:val="00DD232C"/>
    <w:rsid w:val="00DD268B"/>
    <w:rsid w:val="00DD27BC"/>
    <w:rsid w:val="00DD29B4"/>
    <w:rsid w:val="00DD3280"/>
    <w:rsid w:val="00DD50F7"/>
    <w:rsid w:val="00DD53E0"/>
    <w:rsid w:val="00DD5D38"/>
    <w:rsid w:val="00DD6668"/>
    <w:rsid w:val="00DD76A6"/>
    <w:rsid w:val="00DD7A50"/>
    <w:rsid w:val="00DD7AAF"/>
    <w:rsid w:val="00DE002B"/>
    <w:rsid w:val="00DE1313"/>
    <w:rsid w:val="00DE1B62"/>
    <w:rsid w:val="00DE1D47"/>
    <w:rsid w:val="00DE2619"/>
    <w:rsid w:val="00DE2AE5"/>
    <w:rsid w:val="00DE3A48"/>
    <w:rsid w:val="00DE3CA1"/>
    <w:rsid w:val="00DE449B"/>
    <w:rsid w:val="00DE6556"/>
    <w:rsid w:val="00DE6754"/>
    <w:rsid w:val="00DF029F"/>
    <w:rsid w:val="00DF0D2B"/>
    <w:rsid w:val="00DF284F"/>
    <w:rsid w:val="00DF36AD"/>
    <w:rsid w:val="00DF3924"/>
    <w:rsid w:val="00DF3D27"/>
    <w:rsid w:val="00DF4BD9"/>
    <w:rsid w:val="00DF550A"/>
    <w:rsid w:val="00DF5778"/>
    <w:rsid w:val="00DF67C4"/>
    <w:rsid w:val="00E00EF1"/>
    <w:rsid w:val="00E00FC5"/>
    <w:rsid w:val="00E0129D"/>
    <w:rsid w:val="00E014D7"/>
    <w:rsid w:val="00E02940"/>
    <w:rsid w:val="00E0337B"/>
    <w:rsid w:val="00E046C0"/>
    <w:rsid w:val="00E047ED"/>
    <w:rsid w:val="00E05E44"/>
    <w:rsid w:val="00E07DFC"/>
    <w:rsid w:val="00E10E34"/>
    <w:rsid w:val="00E1197D"/>
    <w:rsid w:val="00E157AF"/>
    <w:rsid w:val="00E177AF"/>
    <w:rsid w:val="00E202A8"/>
    <w:rsid w:val="00E20395"/>
    <w:rsid w:val="00E20CD4"/>
    <w:rsid w:val="00E21481"/>
    <w:rsid w:val="00E217C6"/>
    <w:rsid w:val="00E23BC2"/>
    <w:rsid w:val="00E243EF"/>
    <w:rsid w:val="00E24AD3"/>
    <w:rsid w:val="00E25677"/>
    <w:rsid w:val="00E25DF8"/>
    <w:rsid w:val="00E26DC2"/>
    <w:rsid w:val="00E27F23"/>
    <w:rsid w:val="00E30F28"/>
    <w:rsid w:val="00E316B6"/>
    <w:rsid w:val="00E316FB"/>
    <w:rsid w:val="00E31D2F"/>
    <w:rsid w:val="00E31EF5"/>
    <w:rsid w:val="00E32A66"/>
    <w:rsid w:val="00E33682"/>
    <w:rsid w:val="00E347D3"/>
    <w:rsid w:val="00E34CAB"/>
    <w:rsid w:val="00E34D62"/>
    <w:rsid w:val="00E351E8"/>
    <w:rsid w:val="00E35C54"/>
    <w:rsid w:val="00E3757D"/>
    <w:rsid w:val="00E378BD"/>
    <w:rsid w:val="00E37A97"/>
    <w:rsid w:val="00E40216"/>
    <w:rsid w:val="00E402B5"/>
    <w:rsid w:val="00E407A7"/>
    <w:rsid w:val="00E435EA"/>
    <w:rsid w:val="00E43791"/>
    <w:rsid w:val="00E43A3B"/>
    <w:rsid w:val="00E44621"/>
    <w:rsid w:val="00E46AC2"/>
    <w:rsid w:val="00E46B2B"/>
    <w:rsid w:val="00E47BA7"/>
    <w:rsid w:val="00E5056D"/>
    <w:rsid w:val="00E5075F"/>
    <w:rsid w:val="00E508BE"/>
    <w:rsid w:val="00E51561"/>
    <w:rsid w:val="00E515C8"/>
    <w:rsid w:val="00E52215"/>
    <w:rsid w:val="00E53267"/>
    <w:rsid w:val="00E54699"/>
    <w:rsid w:val="00E54771"/>
    <w:rsid w:val="00E5665E"/>
    <w:rsid w:val="00E614EC"/>
    <w:rsid w:val="00E62897"/>
    <w:rsid w:val="00E62BA6"/>
    <w:rsid w:val="00E63216"/>
    <w:rsid w:val="00E650E1"/>
    <w:rsid w:val="00E65C80"/>
    <w:rsid w:val="00E66009"/>
    <w:rsid w:val="00E660D4"/>
    <w:rsid w:val="00E6611E"/>
    <w:rsid w:val="00E666C0"/>
    <w:rsid w:val="00E66C8B"/>
    <w:rsid w:val="00E673CE"/>
    <w:rsid w:val="00E71438"/>
    <w:rsid w:val="00E7229C"/>
    <w:rsid w:val="00E72876"/>
    <w:rsid w:val="00E72AD5"/>
    <w:rsid w:val="00E73521"/>
    <w:rsid w:val="00E743A0"/>
    <w:rsid w:val="00E76E9C"/>
    <w:rsid w:val="00E774C7"/>
    <w:rsid w:val="00E8153A"/>
    <w:rsid w:val="00E81912"/>
    <w:rsid w:val="00E81C72"/>
    <w:rsid w:val="00E81D03"/>
    <w:rsid w:val="00E82350"/>
    <w:rsid w:val="00E828BD"/>
    <w:rsid w:val="00E83BD0"/>
    <w:rsid w:val="00E84E3D"/>
    <w:rsid w:val="00E86B87"/>
    <w:rsid w:val="00E90B5D"/>
    <w:rsid w:val="00E9161C"/>
    <w:rsid w:val="00E94376"/>
    <w:rsid w:val="00E94B47"/>
    <w:rsid w:val="00E9638B"/>
    <w:rsid w:val="00E96C75"/>
    <w:rsid w:val="00E96E42"/>
    <w:rsid w:val="00E96FAF"/>
    <w:rsid w:val="00E97BC6"/>
    <w:rsid w:val="00EA124E"/>
    <w:rsid w:val="00EA1600"/>
    <w:rsid w:val="00EA2CCA"/>
    <w:rsid w:val="00EA4ADC"/>
    <w:rsid w:val="00EA520F"/>
    <w:rsid w:val="00EA60FF"/>
    <w:rsid w:val="00EA71D0"/>
    <w:rsid w:val="00EA7A54"/>
    <w:rsid w:val="00EB1103"/>
    <w:rsid w:val="00EB5B76"/>
    <w:rsid w:val="00EB6696"/>
    <w:rsid w:val="00EB6CE2"/>
    <w:rsid w:val="00EB7081"/>
    <w:rsid w:val="00EB7741"/>
    <w:rsid w:val="00EC0723"/>
    <w:rsid w:val="00EC0B6D"/>
    <w:rsid w:val="00EC1FDE"/>
    <w:rsid w:val="00EC4A81"/>
    <w:rsid w:val="00EC4BBC"/>
    <w:rsid w:val="00EC6CA0"/>
    <w:rsid w:val="00ED0538"/>
    <w:rsid w:val="00ED0A95"/>
    <w:rsid w:val="00ED47E1"/>
    <w:rsid w:val="00ED525C"/>
    <w:rsid w:val="00ED71DC"/>
    <w:rsid w:val="00EE0B0C"/>
    <w:rsid w:val="00EE10DD"/>
    <w:rsid w:val="00EE1CA9"/>
    <w:rsid w:val="00EE1F17"/>
    <w:rsid w:val="00EE209B"/>
    <w:rsid w:val="00EE27C1"/>
    <w:rsid w:val="00EE3139"/>
    <w:rsid w:val="00EE3EA4"/>
    <w:rsid w:val="00EE59C4"/>
    <w:rsid w:val="00EE5F67"/>
    <w:rsid w:val="00EE61E1"/>
    <w:rsid w:val="00EE637B"/>
    <w:rsid w:val="00EE6490"/>
    <w:rsid w:val="00EE7962"/>
    <w:rsid w:val="00EF0236"/>
    <w:rsid w:val="00EF12FC"/>
    <w:rsid w:val="00EF20EA"/>
    <w:rsid w:val="00EF3AAE"/>
    <w:rsid w:val="00EF3B77"/>
    <w:rsid w:val="00EF5B2C"/>
    <w:rsid w:val="00EF7894"/>
    <w:rsid w:val="00EF7A35"/>
    <w:rsid w:val="00EF7B36"/>
    <w:rsid w:val="00EF7BB2"/>
    <w:rsid w:val="00EF7D0E"/>
    <w:rsid w:val="00F00C13"/>
    <w:rsid w:val="00F02228"/>
    <w:rsid w:val="00F02829"/>
    <w:rsid w:val="00F02AC3"/>
    <w:rsid w:val="00F04F1A"/>
    <w:rsid w:val="00F07BFE"/>
    <w:rsid w:val="00F1084B"/>
    <w:rsid w:val="00F120D7"/>
    <w:rsid w:val="00F14966"/>
    <w:rsid w:val="00F14C6F"/>
    <w:rsid w:val="00F16A99"/>
    <w:rsid w:val="00F173E5"/>
    <w:rsid w:val="00F177B3"/>
    <w:rsid w:val="00F21E49"/>
    <w:rsid w:val="00F23153"/>
    <w:rsid w:val="00F232B9"/>
    <w:rsid w:val="00F24EA2"/>
    <w:rsid w:val="00F253C5"/>
    <w:rsid w:val="00F25D9F"/>
    <w:rsid w:val="00F2627F"/>
    <w:rsid w:val="00F278E8"/>
    <w:rsid w:val="00F27F8B"/>
    <w:rsid w:val="00F30D21"/>
    <w:rsid w:val="00F325E1"/>
    <w:rsid w:val="00F32A47"/>
    <w:rsid w:val="00F3333E"/>
    <w:rsid w:val="00F3426E"/>
    <w:rsid w:val="00F344FF"/>
    <w:rsid w:val="00F35946"/>
    <w:rsid w:val="00F367DC"/>
    <w:rsid w:val="00F37230"/>
    <w:rsid w:val="00F37B56"/>
    <w:rsid w:val="00F419F0"/>
    <w:rsid w:val="00F42711"/>
    <w:rsid w:val="00F429FC"/>
    <w:rsid w:val="00F44462"/>
    <w:rsid w:val="00F4475B"/>
    <w:rsid w:val="00F462E5"/>
    <w:rsid w:val="00F5020B"/>
    <w:rsid w:val="00F505BF"/>
    <w:rsid w:val="00F50B8B"/>
    <w:rsid w:val="00F52492"/>
    <w:rsid w:val="00F52F7A"/>
    <w:rsid w:val="00F531C0"/>
    <w:rsid w:val="00F5505D"/>
    <w:rsid w:val="00F551D9"/>
    <w:rsid w:val="00F55AB2"/>
    <w:rsid w:val="00F568E4"/>
    <w:rsid w:val="00F605F0"/>
    <w:rsid w:val="00F6231B"/>
    <w:rsid w:val="00F63035"/>
    <w:rsid w:val="00F64407"/>
    <w:rsid w:val="00F647CE"/>
    <w:rsid w:val="00F6711F"/>
    <w:rsid w:val="00F6798A"/>
    <w:rsid w:val="00F701D6"/>
    <w:rsid w:val="00F70BAC"/>
    <w:rsid w:val="00F71E56"/>
    <w:rsid w:val="00F724CB"/>
    <w:rsid w:val="00F72738"/>
    <w:rsid w:val="00F72888"/>
    <w:rsid w:val="00F7359A"/>
    <w:rsid w:val="00F74C41"/>
    <w:rsid w:val="00F75DDA"/>
    <w:rsid w:val="00F778B7"/>
    <w:rsid w:val="00F77A1D"/>
    <w:rsid w:val="00F77A93"/>
    <w:rsid w:val="00F80B1E"/>
    <w:rsid w:val="00F811AC"/>
    <w:rsid w:val="00F82943"/>
    <w:rsid w:val="00F833AB"/>
    <w:rsid w:val="00F839B4"/>
    <w:rsid w:val="00F83C17"/>
    <w:rsid w:val="00F8438E"/>
    <w:rsid w:val="00F84FE5"/>
    <w:rsid w:val="00F85367"/>
    <w:rsid w:val="00F85C98"/>
    <w:rsid w:val="00F85E02"/>
    <w:rsid w:val="00F8642D"/>
    <w:rsid w:val="00F8687B"/>
    <w:rsid w:val="00F8760A"/>
    <w:rsid w:val="00F87E49"/>
    <w:rsid w:val="00F90B34"/>
    <w:rsid w:val="00F9132C"/>
    <w:rsid w:val="00F917C8"/>
    <w:rsid w:val="00F91FE7"/>
    <w:rsid w:val="00F928C7"/>
    <w:rsid w:val="00F92CF9"/>
    <w:rsid w:val="00F93F9E"/>
    <w:rsid w:val="00F95434"/>
    <w:rsid w:val="00F9591E"/>
    <w:rsid w:val="00F9636C"/>
    <w:rsid w:val="00F96445"/>
    <w:rsid w:val="00F968B4"/>
    <w:rsid w:val="00FA3206"/>
    <w:rsid w:val="00FA3C15"/>
    <w:rsid w:val="00FA5CDC"/>
    <w:rsid w:val="00FA68F8"/>
    <w:rsid w:val="00FB01FA"/>
    <w:rsid w:val="00FB228C"/>
    <w:rsid w:val="00FB34FD"/>
    <w:rsid w:val="00FB3663"/>
    <w:rsid w:val="00FB57AA"/>
    <w:rsid w:val="00FC00F3"/>
    <w:rsid w:val="00FC0268"/>
    <w:rsid w:val="00FC02D9"/>
    <w:rsid w:val="00FC0487"/>
    <w:rsid w:val="00FC0D3D"/>
    <w:rsid w:val="00FC184A"/>
    <w:rsid w:val="00FC1856"/>
    <w:rsid w:val="00FC1BBB"/>
    <w:rsid w:val="00FC41C1"/>
    <w:rsid w:val="00FC4B13"/>
    <w:rsid w:val="00FC510C"/>
    <w:rsid w:val="00FC58A0"/>
    <w:rsid w:val="00FC6650"/>
    <w:rsid w:val="00FC6E8B"/>
    <w:rsid w:val="00FC7030"/>
    <w:rsid w:val="00FC7141"/>
    <w:rsid w:val="00FD02E7"/>
    <w:rsid w:val="00FD0A49"/>
    <w:rsid w:val="00FD2ACB"/>
    <w:rsid w:val="00FD2CA9"/>
    <w:rsid w:val="00FD40EC"/>
    <w:rsid w:val="00FD4D40"/>
    <w:rsid w:val="00FD4FB4"/>
    <w:rsid w:val="00FD53F1"/>
    <w:rsid w:val="00FD7170"/>
    <w:rsid w:val="00FD76F2"/>
    <w:rsid w:val="00FE0EF0"/>
    <w:rsid w:val="00FE1C35"/>
    <w:rsid w:val="00FE324E"/>
    <w:rsid w:val="00FE36E3"/>
    <w:rsid w:val="00FE3BFC"/>
    <w:rsid w:val="00FE407C"/>
    <w:rsid w:val="00FE41EA"/>
    <w:rsid w:val="00FE56BC"/>
    <w:rsid w:val="00FE5F2D"/>
    <w:rsid w:val="00FE6DEC"/>
    <w:rsid w:val="00FE6ECE"/>
    <w:rsid w:val="00FE7E1D"/>
    <w:rsid w:val="00FF1D03"/>
    <w:rsid w:val="00FF2199"/>
    <w:rsid w:val="00FF233E"/>
    <w:rsid w:val="00FF2BDB"/>
    <w:rsid w:val="00FF2E07"/>
    <w:rsid w:val="00FF4569"/>
    <w:rsid w:val="00FF5928"/>
    <w:rsid w:val="024105DB"/>
    <w:rsid w:val="02D9138F"/>
    <w:rsid w:val="032867B3"/>
    <w:rsid w:val="0C752C81"/>
    <w:rsid w:val="0D0D0F55"/>
    <w:rsid w:val="0DDF4D88"/>
    <w:rsid w:val="11B16044"/>
    <w:rsid w:val="128B7E49"/>
    <w:rsid w:val="12A95B64"/>
    <w:rsid w:val="136D6CF9"/>
    <w:rsid w:val="137D0B98"/>
    <w:rsid w:val="157E4B9C"/>
    <w:rsid w:val="161150ED"/>
    <w:rsid w:val="178E3467"/>
    <w:rsid w:val="198821F0"/>
    <w:rsid w:val="1A280FE2"/>
    <w:rsid w:val="1D714420"/>
    <w:rsid w:val="1E3E7C2F"/>
    <w:rsid w:val="20224E75"/>
    <w:rsid w:val="246F712F"/>
    <w:rsid w:val="25667384"/>
    <w:rsid w:val="2BD701EC"/>
    <w:rsid w:val="2E4A7E95"/>
    <w:rsid w:val="2F9D2D30"/>
    <w:rsid w:val="2F9E7CDD"/>
    <w:rsid w:val="30E30042"/>
    <w:rsid w:val="34B846B8"/>
    <w:rsid w:val="351F4714"/>
    <w:rsid w:val="362D6E0F"/>
    <w:rsid w:val="36D5512B"/>
    <w:rsid w:val="38676A4C"/>
    <w:rsid w:val="3C604022"/>
    <w:rsid w:val="3E7B4581"/>
    <w:rsid w:val="3F8632C3"/>
    <w:rsid w:val="3FAF5780"/>
    <w:rsid w:val="3FEFCE49"/>
    <w:rsid w:val="3FFF3D03"/>
    <w:rsid w:val="420E6E77"/>
    <w:rsid w:val="423C55DB"/>
    <w:rsid w:val="46E16F49"/>
    <w:rsid w:val="479B227C"/>
    <w:rsid w:val="48F17AF0"/>
    <w:rsid w:val="4A7B75F7"/>
    <w:rsid w:val="4AF4282A"/>
    <w:rsid w:val="4B297DB4"/>
    <w:rsid w:val="4C431FAB"/>
    <w:rsid w:val="5074255F"/>
    <w:rsid w:val="52077770"/>
    <w:rsid w:val="53330D16"/>
    <w:rsid w:val="54172C43"/>
    <w:rsid w:val="56FA0FAD"/>
    <w:rsid w:val="57061F69"/>
    <w:rsid w:val="59E66891"/>
    <w:rsid w:val="5A274E5B"/>
    <w:rsid w:val="5C0B7045"/>
    <w:rsid w:val="5CE01866"/>
    <w:rsid w:val="5D295D34"/>
    <w:rsid w:val="5DDF29E7"/>
    <w:rsid w:val="5F1941A2"/>
    <w:rsid w:val="600B200A"/>
    <w:rsid w:val="60A82480"/>
    <w:rsid w:val="62304231"/>
    <w:rsid w:val="6792648C"/>
    <w:rsid w:val="686E77F3"/>
    <w:rsid w:val="689269A4"/>
    <w:rsid w:val="6944023A"/>
    <w:rsid w:val="69D528E0"/>
    <w:rsid w:val="6AC32939"/>
    <w:rsid w:val="6BD40ECD"/>
    <w:rsid w:val="6DAA4661"/>
    <w:rsid w:val="6E960A7C"/>
    <w:rsid w:val="6F231156"/>
    <w:rsid w:val="709B0B13"/>
    <w:rsid w:val="714F6BE8"/>
    <w:rsid w:val="72B134C2"/>
    <w:rsid w:val="72C479E1"/>
    <w:rsid w:val="730D1E95"/>
    <w:rsid w:val="74D43582"/>
    <w:rsid w:val="75E216ED"/>
    <w:rsid w:val="75FE1295"/>
    <w:rsid w:val="776C5FB8"/>
    <w:rsid w:val="776F27BB"/>
    <w:rsid w:val="789428BA"/>
    <w:rsid w:val="7A7D6DB9"/>
    <w:rsid w:val="7AAE30A3"/>
    <w:rsid w:val="7BE65D8C"/>
    <w:rsid w:val="7C7D3D80"/>
    <w:rsid w:val="7D2F054C"/>
    <w:rsid w:val="7DAE2ABC"/>
    <w:rsid w:val="7EB916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
    <w:lsdException w:unhideWhenUsed="0" w:uiPriority="0" w:semiHidden="0" w:nam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0"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next w:val="2"/>
    <w:qFormat/>
    <w:uiPriority w:val="0"/>
    <w:pPr>
      <w:widowControl w:val="0"/>
      <w:jc w:val="both"/>
    </w:pPr>
    <w:rPr>
      <w:kern w:val="2"/>
      <w:sz w:val="28"/>
      <w:lang w:val="en-US" w:eastAsia="zh-CN" w:bidi="ar-SA"/>
    </w:rPr>
  </w:style>
  <w:style w:type="paragraph" w:styleId="2">
    <w:name w:val="heading 1"/>
    <w:basedOn w:val="1"/>
    <w:next w:val="1"/>
    <w:link w:val="99"/>
    <w:qFormat/>
    <w:uiPriority w:val="0"/>
    <w:pPr>
      <w:keepNext/>
      <w:widowControl/>
      <w:spacing w:line="360" w:lineRule="auto"/>
      <w:jc w:val="center"/>
      <w:outlineLvl w:val="0"/>
    </w:pPr>
    <w:rPr>
      <w:rFonts w:ascii="黑体"/>
      <w:b/>
      <w:kern w:val="0"/>
      <w:sz w:val="32"/>
    </w:rPr>
  </w:style>
  <w:style w:type="paragraph" w:styleId="4">
    <w:name w:val="heading 2"/>
    <w:basedOn w:val="1"/>
    <w:next w:val="1"/>
    <w:link w:val="101"/>
    <w:qFormat/>
    <w:uiPriority w:val="0"/>
    <w:pPr>
      <w:keepNext/>
      <w:keepLines/>
      <w:tabs>
        <w:tab w:val="left" w:pos="706"/>
        <w:tab w:val="left" w:pos="1110"/>
      </w:tabs>
      <w:spacing w:line="360" w:lineRule="auto"/>
      <w:ind w:left="106" w:firstLine="454"/>
      <w:outlineLvl w:val="1"/>
    </w:pPr>
    <w:rPr>
      <w:rFonts w:ascii="Arial" w:hAnsi="Arial" w:eastAsia="黑体"/>
      <w:b/>
      <w:bCs/>
      <w:sz w:val="21"/>
      <w:szCs w:val="32"/>
    </w:rPr>
  </w:style>
  <w:style w:type="paragraph" w:styleId="5">
    <w:name w:val="heading 3"/>
    <w:basedOn w:val="1"/>
    <w:next w:val="6"/>
    <w:link w:val="102"/>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104"/>
    <w:qFormat/>
    <w:uiPriority w:val="0"/>
    <w:pPr>
      <w:keepNext/>
      <w:keepLines/>
      <w:spacing w:before="280" w:beforeLines="0" w:after="290" w:afterLines="0" w:line="376" w:lineRule="auto"/>
      <w:outlineLvl w:val="3"/>
    </w:pPr>
    <w:rPr>
      <w:rFonts w:ascii="Arial" w:hAnsi="Arial" w:eastAsia="黑体"/>
      <w:b/>
      <w:bCs/>
      <w:szCs w:val="28"/>
    </w:rPr>
  </w:style>
  <w:style w:type="paragraph" w:styleId="8">
    <w:name w:val="heading 5"/>
    <w:basedOn w:val="1"/>
    <w:next w:val="1"/>
    <w:link w:val="105"/>
    <w:qFormat/>
    <w:uiPriority w:val="0"/>
    <w:pPr>
      <w:keepNext/>
      <w:keepLines/>
      <w:spacing w:before="280" w:beforeLines="0" w:after="290" w:afterLines="0" w:line="376" w:lineRule="auto"/>
      <w:outlineLvl w:val="4"/>
    </w:pPr>
    <w:rPr>
      <w:b/>
      <w:bCs/>
      <w:szCs w:val="28"/>
    </w:rPr>
  </w:style>
  <w:style w:type="paragraph" w:styleId="9">
    <w:name w:val="heading 6"/>
    <w:basedOn w:val="1"/>
    <w:next w:val="1"/>
    <w:link w:val="10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07"/>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0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0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1"/>
      <w:szCs w:val="21"/>
    </w:rPr>
  </w:style>
  <w:style w:type="character" w:default="1" w:styleId="90">
    <w:name w:val="Default Paragraph Font"/>
    <w:semiHidden/>
    <w:uiPriority w:val="0"/>
  </w:style>
  <w:style w:type="table" w:default="1" w:styleId="88">
    <w:name w:val="Normal Table"/>
    <w:unhideWhenUsed/>
    <w:uiPriority w:val="99"/>
    <w:tblPr>
      <w:tblStyle w:val="88"/>
      <w:tblCellMar>
        <w:top w:w="0" w:type="dxa"/>
        <w:left w:w="108" w:type="dxa"/>
        <w:bottom w:w="0" w:type="dxa"/>
        <w:right w:w="108" w:type="dxa"/>
      </w:tblCellMar>
    </w:tblPr>
  </w:style>
  <w:style w:type="paragraph" w:styleId="3">
    <w:name w:val="macro"/>
    <w:link w:val="10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lang w:val="en-US" w:eastAsia="zh-CN" w:bidi="ar-SA"/>
    </w:rPr>
  </w:style>
  <w:style w:type="paragraph" w:styleId="6">
    <w:name w:val="Normal Indent"/>
    <w:basedOn w:val="1"/>
    <w:link w:val="103"/>
    <w:uiPriority w:val="0"/>
    <w:pPr>
      <w:widowControl/>
      <w:ind w:firstLine="420"/>
      <w:jc w:val="left"/>
    </w:pPr>
    <w:rPr>
      <w:kern w:val="0"/>
      <w:sz w:val="24"/>
      <w:szCs w:val="24"/>
    </w:rPr>
  </w:style>
  <w:style w:type="paragraph" w:styleId="13">
    <w:name w:val="List 3"/>
    <w:basedOn w:val="1"/>
    <w:uiPriority w:val="0"/>
    <w:pPr>
      <w:ind w:left="100" w:leftChars="400" w:hanging="200" w:hangingChars="200"/>
    </w:pPr>
    <w:rPr>
      <w:sz w:val="21"/>
      <w:szCs w:val="24"/>
    </w:rPr>
  </w:style>
  <w:style w:type="paragraph" w:styleId="14">
    <w:name w:val="toc 7"/>
    <w:basedOn w:val="1"/>
    <w:next w:val="1"/>
    <w:uiPriority w:val="39"/>
    <w:pPr>
      <w:ind w:left="1680"/>
      <w:jc w:val="left"/>
    </w:pPr>
    <w:rPr>
      <w:rFonts w:ascii="Calibri" w:hAnsi="Calibri"/>
      <w:sz w:val="18"/>
      <w:szCs w:val="18"/>
    </w:rPr>
  </w:style>
  <w:style w:type="paragraph" w:styleId="15">
    <w:name w:val="List Number 2"/>
    <w:basedOn w:val="1"/>
    <w:uiPriority w:val="0"/>
    <w:pPr>
      <w:tabs>
        <w:tab w:val="left" w:pos="0"/>
      </w:tabs>
      <w:ind w:left="1146" w:hanging="720"/>
    </w:pPr>
    <w:rPr>
      <w:sz w:val="21"/>
      <w:szCs w:val="24"/>
    </w:rPr>
  </w:style>
  <w:style w:type="paragraph" w:styleId="16">
    <w:name w:val="table of authorities"/>
    <w:basedOn w:val="1"/>
    <w:next w:val="1"/>
    <w:uiPriority w:val="0"/>
    <w:pPr>
      <w:ind w:left="420" w:leftChars="200"/>
    </w:pPr>
    <w:rPr>
      <w:sz w:val="21"/>
    </w:rPr>
  </w:style>
  <w:style w:type="paragraph" w:styleId="17">
    <w:name w:val="Note Heading"/>
    <w:basedOn w:val="1"/>
    <w:next w:val="1"/>
    <w:link w:val="110"/>
    <w:uiPriority w:val="0"/>
    <w:pPr>
      <w:jc w:val="center"/>
    </w:pPr>
    <w:rPr>
      <w:sz w:val="21"/>
    </w:rPr>
  </w:style>
  <w:style w:type="paragraph" w:styleId="18">
    <w:name w:val="List Bullet 4"/>
    <w:basedOn w:val="1"/>
    <w:uiPriority w:val="0"/>
    <w:pPr>
      <w:tabs>
        <w:tab w:val="left" w:pos="1620"/>
      </w:tabs>
      <w:ind w:left="1620" w:hanging="360"/>
    </w:pPr>
    <w:rPr>
      <w:sz w:val="21"/>
    </w:rPr>
  </w:style>
  <w:style w:type="paragraph" w:styleId="19">
    <w:name w:val="index 8"/>
    <w:basedOn w:val="1"/>
    <w:next w:val="1"/>
    <w:uiPriority w:val="0"/>
    <w:pPr>
      <w:ind w:left="1400" w:leftChars="1400"/>
    </w:pPr>
    <w:rPr>
      <w:sz w:val="21"/>
    </w:rPr>
  </w:style>
  <w:style w:type="paragraph" w:styleId="20">
    <w:name w:val="E-mail Signature"/>
    <w:basedOn w:val="1"/>
    <w:link w:val="111"/>
    <w:uiPriority w:val="0"/>
    <w:rPr>
      <w:sz w:val="21"/>
    </w:rPr>
  </w:style>
  <w:style w:type="paragraph" w:styleId="21">
    <w:name w:val="List Number"/>
    <w:basedOn w:val="1"/>
    <w:uiPriority w:val="0"/>
    <w:pPr>
      <w:tabs>
        <w:tab w:val="left" w:pos="360"/>
      </w:tabs>
      <w:ind w:left="360" w:hanging="360"/>
    </w:pPr>
    <w:rPr>
      <w:sz w:val="21"/>
    </w:rPr>
  </w:style>
  <w:style w:type="paragraph" w:styleId="22">
    <w:name w:val="caption"/>
    <w:basedOn w:val="1"/>
    <w:next w:val="1"/>
    <w:qFormat/>
    <w:uiPriority w:val="0"/>
    <w:rPr>
      <w:rFonts w:ascii="Arial" w:hAnsi="Arial" w:eastAsia="黑体" w:cs="Arial"/>
      <w:sz w:val="20"/>
    </w:rPr>
  </w:style>
  <w:style w:type="paragraph" w:styleId="23">
    <w:name w:val="index 5"/>
    <w:basedOn w:val="1"/>
    <w:next w:val="1"/>
    <w:uiPriority w:val="0"/>
    <w:pPr>
      <w:ind w:left="800" w:leftChars="800"/>
    </w:pPr>
    <w:rPr>
      <w:sz w:val="21"/>
    </w:rPr>
  </w:style>
  <w:style w:type="paragraph" w:styleId="24">
    <w:name w:val="List Bullet"/>
    <w:basedOn w:val="1"/>
    <w:uiPriority w:val="0"/>
    <w:pPr>
      <w:tabs>
        <w:tab w:val="left" w:pos="735"/>
      </w:tabs>
      <w:ind w:left="735"/>
    </w:pPr>
    <w:rPr>
      <w:sz w:val="21"/>
    </w:rPr>
  </w:style>
  <w:style w:type="paragraph" w:styleId="25">
    <w:name w:val="envelope address"/>
    <w:basedOn w:val="1"/>
    <w:uiPriority w:val="0"/>
    <w:pPr>
      <w:snapToGrid w:val="0"/>
      <w:ind w:left="100" w:leftChars="1400"/>
    </w:pPr>
    <w:rPr>
      <w:rFonts w:ascii="Arial" w:hAnsi="Arial"/>
      <w:sz w:val="24"/>
    </w:rPr>
  </w:style>
  <w:style w:type="paragraph" w:styleId="26">
    <w:name w:val="Document Map"/>
    <w:basedOn w:val="1"/>
    <w:link w:val="112"/>
    <w:uiPriority w:val="0"/>
    <w:pPr>
      <w:shd w:val="clear" w:color="auto" w:fill="000080"/>
    </w:pPr>
  </w:style>
  <w:style w:type="paragraph" w:styleId="27">
    <w:name w:val="toa heading"/>
    <w:basedOn w:val="1"/>
    <w:next w:val="1"/>
    <w:uiPriority w:val="0"/>
    <w:pPr>
      <w:spacing w:before="120"/>
    </w:pPr>
    <w:rPr>
      <w:rFonts w:ascii="Arial" w:hAnsi="Arial" w:cs="Arial"/>
      <w:sz w:val="24"/>
      <w:szCs w:val="24"/>
    </w:rPr>
  </w:style>
  <w:style w:type="paragraph" w:styleId="28">
    <w:name w:val="annotation text"/>
    <w:basedOn w:val="1"/>
    <w:link w:val="113"/>
    <w:uiPriority w:val="0"/>
    <w:pPr>
      <w:jc w:val="left"/>
    </w:pPr>
    <w:rPr>
      <w:sz w:val="21"/>
      <w:szCs w:val="24"/>
    </w:rPr>
  </w:style>
  <w:style w:type="paragraph" w:styleId="29">
    <w:name w:val="index 6"/>
    <w:basedOn w:val="1"/>
    <w:next w:val="1"/>
    <w:uiPriority w:val="0"/>
    <w:pPr>
      <w:ind w:left="1000" w:leftChars="1000"/>
    </w:pPr>
    <w:rPr>
      <w:sz w:val="21"/>
    </w:rPr>
  </w:style>
  <w:style w:type="paragraph" w:styleId="30">
    <w:name w:val="Salutation"/>
    <w:basedOn w:val="1"/>
    <w:next w:val="1"/>
    <w:link w:val="114"/>
    <w:uiPriority w:val="0"/>
    <w:rPr>
      <w:rFonts w:ascii="宋体"/>
    </w:rPr>
  </w:style>
  <w:style w:type="paragraph" w:styleId="31">
    <w:name w:val="Body Text 3"/>
    <w:basedOn w:val="1"/>
    <w:link w:val="115"/>
    <w:uiPriority w:val="0"/>
    <w:pPr>
      <w:spacing w:after="120"/>
    </w:pPr>
    <w:rPr>
      <w:sz w:val="16"/>
      <w:szCs w:val="16"/>
    </w:rPr>
  </w:style>
  <w:style w:type="paragraph" w:styleId="32">
    <w:name w:val="Closing"/>
    <w:basedOn w:val="1"/>
    <w:link w:val="116"/>
    <w:uiPriority w:val="0"/>
    <w:pPr>
      <w:ind w:left="100" w:leftChars="2100"/>
    </w:pPr>
    <w:rPr>
      <w:sz w:val="21"/>
    </w:rPr>
  </w:style>
  <w:style w:type="paragraph" w:styleId="33">
    <w:name w:val="List Bullet 3"/>
    <w:basedOn w:val="1"/>
    <w:uiPriority w:val="0"/>
    <w:pPr>
      <w:tabs>
        <w:tab w:val="left" w:pos="1200"/>
      </w:tabs>
      <w:ind w:left="1200" w:hanging="360"/>
    </w:pPr>
    <w:rPr>
      <w:sz w:val="21"/>
    </w:rPr>
  </w:style>
  <w:style w:type="paragraph" w:styleId="34">
    <w:name w:val="Body Text"/>
    <w:basedOn w:val="1"/>
    <w:link w:val="117"/>
    <w:uiPriority w:val="0"/>
    <w:rPr>
      <w:sz w:val="24"/>
    </w:rPr>
  </w:style>
  <w:style w:type="paragraph" w:styleId="35">
    <w:name w:val="Body Text Indent"/>
    <w:basedOn w:val="1"/>
    <w:link w:val="118"/>
    <w:uiPriority w:val="0"/>
    <w:pPr>
      <w:spacing w:line="480" w:lineRule="atLeast"/>
      <w:ind w:firstLine="570"/>
    </w:pPr>
    <w:rPr>
      <w:rFonts w:ascii="黑体" w:eastAsia="黑体"/>
    </w:rPr>
  </w:style>
  <w:style w:type="paragraph" w:styleId="36">
    <w:name w:val="List Number 3"/>
    <w:basedOn w:val="1"/>
    <w:uiPriority w:val="0"/>
    <w:pPr>
      <w:tabs>
        <w:tab w:val="left" w:pos="1200"/>
      </w:tabs>
      <w:ind w:left="1200" w:hanging="360"/>
    </w:pPr>
    <w:rPr>
      <w:sz w:val="21"/>
    </w:rPr>
  </w:style>
  <w:style w:type="paragraph" w:styleId="37">
    <w:name w:val="List 2"/>
    <w:basedOn w:val="1"/>
    <w:uiPriority w:val="0"/>
    <w:pPr>
      <w:ind w:left="100" w:leftChars="200" w:hanging="200" w:hangingChars="200"/>
    </w:pPr>
    <w:rPr>
      <w:sz w:val="21"/>
      <w:szCs w:val="24"/>
    </w:rPr>
  </w:style>
  <w:style w:type="paragraph" w:styleId="38">
    <w:name w:val="List Continue"/>
    <w:basedOn w:val="1"/>
    <w:uiPriority w:val="0"/>
    <w:pPr>
      <w:spacing w:after="120"/>
      <w:ind w:left="420" w:leftChars="200"/>
    </w:pPr>
    <w:rPr>
      <w:sz w:val="21"/>
    </w:rPr>
  </w:style>
  <w:style w:type="paragraph" w:styleId="39">
    <w:name w:val="Block Text"/>
    <w:basedOn w:val="1"/>
    <w:uiPriority w:val="0"/>
    <w:pPr>
      <w:spacing w:line="240" w:lineRule="exact"/>
      <w:ind w:left="475" w:leftChars="240" w:right="292" w:rightChars="292" w:firstLine="473"/>
    </w:pPr>
    <w:rPr>
      <w:rFonts w:ascii="宋体" w:hAnsi="宋体"/>
      <w:spacing w:val="-6"/>
      <w:sz w:val="21"/>
    </w:rPr>
  </w:style>
  <w:style w:type="paragraph" w:styleId="40">
    <w:name w:val="List Bullet 2"/>
    <w:basedOn w:val="1"/>
    <w:uiPriority w:val="0"/>
    <w:pPr>
      <w:tabs>
        <w:tab w:val="left" w:pos="780"/>
      </w:tabs>
      <w:ind w:left="780" w:hanging="360"/>
    </w:pPr>
    <w:rPr>
      <w:sz w:val="21"/>
    </w:rPr>
  </w:style>
  <w:style w:type="paragraph" w:styleId="41">
    <w:name w:val="HTML Address"/>
    <w:basedOn w:val="1"/>
    <w:link w:val="119"/>
    <w:uiPriority w:val="0"/>
    <w:rPr>
      <w:i/>
      <w:sz w:val="21"/>
    </w:rPr>
  </w:style>
  <w:style w:type="paragraph" w:styleId="42">
    <w:name w:val="index 4"/>
    <w:basedOn w:val="1"/>
    <w:next w:val="1"/>
    <w:uiPriority w:val="0"/>
    <w:pPr>
      <w:ind w:left="600" w:leftChars="600"/>
    </w:pPr>
    <w:rPr>
      <w:sz w:val="21"/>
    </w:rPr>
  </w:style>
  <w:style w:type="paragraph" w:styleId="43">
    <w:name w:val="toc 5"/>
    <w:basedOn w:val="1"/>
    <w:next w:val="1"/>
    <w:uiPriority w:val="39"/>
    <w:pPr>
      <w:ind w:left="1120"/>
      <w:jc w:val="left"/>
    </w:pPr>
    <w:rPr>
      <w:rFonts w:ascii="Calibri" w:hAnsi="Calibri"/>
      <w:sz w:val="18"/>
      <w:szCs w:val="18"/>
    </w:rPr>
  </w:style>
  <w:style w:type="paragraph" w:styleId="44">
    <w:name w:val="toc 3"/>
    <w:basedOn w:val="1"/>
    <w:next w:val="1"/>
    <w:qFormat/>
    <w:uiPriority w:val="39"/>
    <w:pPr>
      <w:ind w:left="560"/>
      <w:jc w:val="left"/>
    </w:pPr>
    <w:rPr>
      <w:rFonts w:ascii="Calibri" w:hAnsi="Calibri"/>
      <w:i/>
      <w:iCs/>
      <w:sz w:val="20"/>
    </w:rPr>
  </w:style>
  <w:style w:type="paragraph" w:styleId="45">
    <w:name w:val="Plain Text"/>
    <w:basedOn w:val="1"/>
    <w:link w:val="120"/>
    <w:qFormat/>
    <w:uiPriority w:val="99"/>
    <w:rPr>
      <w:rFonts w:ascii="宋体" w:hAnsi="Courier New"/>
      <w:sz w:val="21"/>
      <w:szCs w:val="21"/>
    </w:rPr>
  </w:style>
  <w:style w:type="paragraph" w:styleId="46">
    <w:name w:val="List Bullet 5"/>
    <w:basedOn w:val="1"/>
    <w:uiPriority w:val="0"/>
    <w:pPr>
      <w:tabs>
        <w:tab w:val="left" w:pos="2040"/>
      </w:tabs>
      <w:ind w:left="2040" w:hanging="360"/>
    </w:pPr>
    <w:rPr>
      <w:sz w:val="21"/>
    </w:rPr>
  </w:style>
  <w:style w:type="paragraph" w:styleId="47">
    <w:name w:val="List Number 4"/>
    <w:basedOn w:val="1"/>
    <w:uiPriority w:val="0"/>
    <w:pPr>
      <w:tabs>
        <w:tab w:val="left" w:pos="1620"/>
      </w:tabs>
      <w:ind w:left="1620" w:hanging="360"/>
    </w:pPr>
    <w:rPr>
      <w:sz w:val="21"/>
    </w:rPr>
  </w:style>
  <w:style w:type="paragraph" w:styleId="48">
    <w:name w:val="toc 8"/>
    <w:basedOn w:val="1"/>
    <w:next w:val="1"/>
    <w:uiPriority w:val="39"/>
    <w:pPr>
      <w:ind w:left="1960"/>
      <w:jc w:val="left"/>
    </w:pPr>
    <w:rPr>
      <w:rFonts w:ascii="Calibri" w:hAnsi="Calibri"/>
      <w:sz w:val="18"/>
      <w:szCs w:val="18"/>
    </w:rPr>
  </w:style>
  <w:style w:type="paragraph" w:styleId="49">
    <w:name w:val="index 3"/>
    <w:basedOn w:val="1"/>
    <w:next w:val="1"/>
    <w:uiPriority w:val="0"/>
    <w:pPr>
      <w:ind w:left="400" w:leftChars="400"/>
    </w:pPr>
    <w:rPr>
      <w:sz w:val="21"/>
      <w:szCs w:val="24"/>
    </w:rPr>
  </w:style>
  <w:style w:type="paragraph" w:styleId="50">
    <w:name w:val="Date"/>
    <w:basedOn w:val="1"/>
    <w:next w:val="1"/>
    <w:link w:val="121"/>
    <w:uiPriority w:val="99"/>
    <w:pPr>
      <w:adjustRightInd w:val="0"/>
      <w:jc w:val="right"/>
      <w:textAlignment w:val="baseline"/>
    </w:pPr>
    <w:rPr>
      <w:rFonts w:eastAsia="仿宋_GB2312"/>
      <w:b/>
      <w:kern w:val="0"/>
    </w:rPr>
  </w:style>
  <w:style w:type="paragraph" w:styleId="51">
    <w:name w:val="Body Text Indent 2"/>
    <w:basedOn w:val="1"/>
    <w:link w:val="122"/>
    <w:uiPriority w:val="0"/>
    <w:pPr>
      <w:spacing w:line="520" w:lineRule="exact"/>
      <w:ind w:firstLine="848" w:firstLineChars="303"/>
    </w:pPr>
    <w:rPr>
      <w:rFonts w:ascii="黑体" w:eastAsia="黑体"/>
    </w:rPr>
  </w:style>
  <w:style w:type="paragraph" w:styleId="52">
    <w:name w:val="endnote text"/>
    <w:basedOn w:val="1"/>
    <w:link w:val="123"/>
    <w:uiPriority w:val="0"/>
    <w:pPr>
      <w:snapToGrid w:val="0"/>
    </w:pPr>
    <w:rPr>
      <w:sz w:val="21"/>
    </w:rPr>
  </w:style>
  <w:style w:type="paragraph" w:styleId="53">
    <w:name w:val="List Continue 5"/>
    <w:basedOn w:val="1"/>
    <w:uiPriority w:val="0"/>
    <w:pPr>
      <w:spacing w:after="120"/>
      <w:ind w:left="2100" w:leftChars="1000"/>
    </w:pPr>
    <w:rPr>
      <w:sz w:val="21"/>
    </w:rPr>
  </w:style>
  <w:style w:type="paragraph" w:styleId="54">
    <w:name w:val="Balloon Text"/>
    <w:basedOn w:val="1"/>
    <w:link w:val="124"/>
    <w:uiPriority w:val="0"/>
    <w:rPr>
      <w:sz w:val="18"/>
      <w:szCs w:val="18"/>
    </w:rPr>
  </w:style>
  <w:style w:type="paragraph" w:styleId="55">
    <w:name w:val="footer"/>
    <w:basedOn w:val="1"/>
    <w:link w:val="125"/>
    <w:qFormat/>
    <w:uiPriority w:val="99"/>
    <w:pPr>
      <w:tabs>
        <w:tab w:val="center" w:pos="4153"/>
        <w:tab w:val="right" w:pos="8306"/>
      </w:tabs>
      <w:snapToGrid w:val="0"/>
      <w:jc w:val="left"/>
    </w:pPr>
    <w:rPr>
      <w:sz w:val="18"/>
    </w:rPr>
  </w:style>
  <w:style w:type="paragraph" w:styleId="56">
    <w:name w:val="envelope return"/>
    <w:basedOn w:val="1"/>
    <w:uiPriority w:val="0"/>
    <w:pPr>
      <w:snapToGrid w:val="0"/>
    </w:pPr>
    <w:rPr>
      <w:rFonts w:ascii="Arial" w:hAnsi="Arial"/>
      <w:sz w:val="21"/>
    </w:rPr>
  </w:style>
  <w:style w:type="paragraph" w:styleId="57">
    <w:name w:val="header"/>
    <w:basedOn w:val="1"/>
    <w:link w:val="126"/>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127"/>
    <w:uiPriority w:val="0"/>
    <w:pPr>
      <w:ind w:left="100" w:leftChars="2100"/>
    </w:pPr>
    <w:rPr>
      <w:sz w:val="21"/>
    </w:rPr>
  </w:style>
  <w:style w:type="paragraph" w:styleId="59">
    <w:name w:val="toc 1"/>
    <w:basedOn w:val="1"/>
    <w:next w:val="1"/>
    <w:qFormat/>
    <w:uiPriority w:val="39"/>
    <w:pPr>
      <w:tabs>
        <w:tab w:val="right" w:leader="dot" w:pos="8364"/>
      </w:tabs>
      <w:spacing w:before="120" w:beforeLines="0" w:after="120" w:afterLines="0" w:line="360" w:lineRule="auto"/>
      <w:jc w:val="left"/>
    </w:pPr>
    <w:rPr>
      <w:rFonts w:ascii="Calibri" w:hAnsi="Calibri"/>
      <w:b/>
      <w:bCs/>
      <w:caps/>
      <w:sz w:val="20"/>
    </w:rPr>
  </w:style>
  <w:style w:type="paragraph" w:styleId="60">
    <w:name w:val="List Continue 4"/>
    <w:basedOn w:val="1"/>
    <w:uiPriority w:val="0"/>
    <w:pPr>
      <w:spacing w:after="120"/>
      <w:ind w:left="1680" w:leftChars="800"/>
    </w:pPr>
    <w:rPr>
      <w:sz w:val="21"/>
    </w:rPr>
  </w:style>
  <w:style w:type="paragraph" w:styleId="61">
    <w:name w:val="toc 4"/>
    <w:basedOn w:val="1"/>
    <w:next w:val="1"/>
    <w:uiPriority w:val="39"/>
    <w:pPr>
      <w:ind w:left="840"/>
      <w:jc w:val="left"/>
    </w:pPr>
    <w:rPr>
      <w:rFonts w:ascii="Calibri" w:hAnsi="Calibri"/>
      <w:sz w:val="18"/>
      <w:szCs w:val="18"/>
    </w:rPr>
  </w:style>
  <w:style w:type="paragraph" w:styleId="62">
    <w:name w:val="index heading"/>
    <w:basedOn w:val="1"/>
    <w:next w:val="63"/>
    <w:uiPriority w:val="0"/>
    <w:rPr>
      <w:rFonts w:ascii="Arial" w:hAnsi="Arial"/>
      <w:b/>
      <w:sz w:val="21"/>
    </w:rPr>
  </w:style>
  <w:style w:type="paragraph" w:styleId="63">
    <w:name w:val="index 1"/>
    <w:basedOn w:val="1"/>
    <w:next w:val="1"/>
    <w:uiPriority w:val="0"/>
    <w:pPr>
      <w:spacing w:line="320" w:lineRule="exact"/>
    </w:pPr>
    <w:rPr>
      <w:snapToGrid w:val="0"/>
      <w:color w:val="FF6600"/>
      <w:kern w:val="0"/>
      <w:sz w:val="18"/>
      <w:szCs w:val="21"/>
    </w:rPr>
  </w:style>
  <w:style w:type="paragraph" w:styleId="64">
    <w:name w:val="Subtitle"/>
    <w:basedOn w:val="1"/>
    <w:next w:val="1"/>
    <w:link w:val="128"/>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uiPriority w:val="0"/>
    <w:pPr>
      <w:tabs>
        <w:tab w:val="left" w:pos="2040"/>
      </w:tabs>
      <w:ind w:left="2040" w:hanging="360"/>
    </w:pPr>
    <w:rPr>
      <w:sz w:val="21"/>
    </w:rPr>
  </w:style>
  <w:style w:type="paragraph" w:styleId="66">
    <w:name w:val="List"/>
    <w:basedOn w:val="1"/>
    <w:uiPriority w:val="0"/>
    <w:pPr>
      <w:ind w:left="200" w:hanging="200" w:hangingChars="200"/>
    </w:pPr>
    <w:rPr>
      <w:sz w:val="21"/>
      <w:szCs w:val="24"/>
    </w:rPr>
  </w:style>
  <w:style w:type="paragraph" w:styleId="67">
    <w:name w:val="footnote text"/>
    <w:basedOn w:val="1"/>
    <w:link w:val="129"/>
    <w:uiPriority w:val="0"/>
    <w:pPr>
      <w:snapToGrid w:val="0"/>
      <w:jc w:val="left"/>
    </w:pPr>
    <w:rPr>
      <w:sz w:val="18"/>
      <w:szCs w:val="18"/>
    </w:rPr>
  </w:style>
  <w:style w:type="paragraph" w:styleId="68">
    <w:name w:val="toc 6"/>
    <w:basedOn w:val="1"/>
    <w:next w:val="1"/>
    <w:uiPriority w:val="39"/>
    <w:pPr>
      <w:ind w:left="1400"/>
      <w:jc w:val="left"/>
    </w:pPr>
    <w:rPr>
      <w:rFonts w:ascii="Calibri" w:hAnsi="Calibri"/>
      <w:sz w:val="18"/>
      <w:szCs w:val="18"/>
    </w:rPr>
  </w:style>
  <w:style w:type="paragraph" w:styleId="69">
    <w:name w:val="List 5"/>
    <w:basedOn w:val="1"/>
    <w:uiPriority w:val="0"/>
    <w:pPr>
      <w:ind w:left="100" w:leftChars="800" w:hanging="200" w:hangingChars="200"/>
    </w:pPr>
    <w:rPr>
      <w:sz w:val="21"/>
    </w:rPr>
  </w:style>
  <w:style w:type="paragraph" w:styleId="70">
    <w:name w:val="Body Text Indent 3"/>
    <w:basedOn w:val="1"/>
    <w:link w:val="130"/>
    <w:uiPriority w:val="0"/>
    <w:pPr>
      <w:spacing w:line="520" w:lineRule="exact"/>
      <w:ind w:firstLine="547"/>
    </w:pPr>
  </w:style>
  <w:style w:type="paragraph" w:styleId="71">
    <w:name w:val="index 7"/>
    <w:basedOn w:val="1"/>
    <w:next w:val="1"/>
    <w:uiPriority w:val="0"/>
    <w:pPr>
      <w:ind w:left="1200" w:leftChars="1200"/>
    </w:pPr>
    <w:rPr>
      <w:sz w:val="21"/>
    </w:rPr>
  </w:style>
  <w:style w:type="paragraph" w:styleId="72">
    <w:name w:val="index 9"/>
    <w:basedOn w:val="1"/>
    <w:next w:val="1"/>
    <w:uiPriority w:val="0"/>
    <w:pPr>
      <w:ind w:left="1600" w:leftChars="1600"/>
    </w:pPr>
    <w:rPr>
      <w:sz w:val="21"/>
    </w:rPr>
  </w:style>
  <w:style w:type="paragraph" w:styleId="73">
    <w:name w:val="table of figures"/>
    <w:basedOn w:val="1"/>
    <w:next w:val="1"/>
    <w:uiPriority w:val="0"/>
    <w:pPr>
      <w:ind w:left="560" w:hanging="560"/>
      <w:jc w:val="left"/>
    </w:pPr>
    <w:rPr>
      <w:rFonts w:ascii="Calibri" w:hAnsi="Calibri"/>
      <w:smallCaps/>
      <w:sz w:val="20"/>
    </w:rPr>
  </w:style>
  <w:style w:type="paragraph" w:styleId="74">
    <w:name w:val="toc 2"/>
    <w:basedOn w:val="1"/>
    <w:next w:val="1"/>
    <w:qFormat/>
    <w:uiPriority w:val="39"/>
    <w:pPr>
      <w:tabs>
        <w:tab w:val="right" w:leader="dot" w:pos="8364"/>
      </w:tabs>
      <w:spacing w:line="360" w:lineRule="auto"/>
      <w:ind w:left="280"/>
      <w:jc w:val="left"/>
    </w:pPr>
    <w:rPr>
      <w:rFonts w:ascii="仿宋" w:hAnsi="仿宋" w:eastAsia="仿宋"/>
      <w:b/>
      <w:smallCaps/>
      <w:sz w:val="24"/>
      <w:szCs w:val="24"/>
      <w:lang/>
    </w:rPr>
  </w:style>
  <w:style w:type="paragraph" w:styleId="75">
    <w:name w:val="toc 9"/>
    <w:basedOn w:val="1"/>
    <w:next w:val="1"/>
    <w:uiPriority w:val="39"/>
    <w:pPr>
      <w:ind w:left="2240"/>
      <w:jc w:val="left"/>
    </w:pPr>
    <w:rPr>
      <w:rFonts w:ascii="Calibri" w:hAnsi="Calibri"/>
      <w:sz w:val="18"/>
      <w:szCs w:val="18"/>
    </w:rPr>
  </w:style>
  <w:style w:type="paragraph" w:styleId="76">
    <w:name w:val="Body Text 2"/>
    <w:basedOn w:val="1"/>
    <w:link w:val="131"/>
    <w:uiPriority w:val="0"/>
    <w:pPr>
      <w:spacing w:after="120" w:line="480" w:lineRule="auto"/>
    </w:pPr>
    <w:rPr>
      <w:sz w:val="21"/>
      <w:szCs w:val="24"/>
    </w:rPr>
  </w:style>
  <w:style w:type="paragraph" w:styleId="77">
    <w:name w:val="List 4"/>
    <w:basedOn w:val="1"/>
    <w:uiPriority w:val="0"/>
    <w:pPr>
      <w:ind w:left="100" w:leftChars="600" w:hanging="200" w:hangingChars="200"/>
    </w:pPr>
    <w:rPr>
      <w:sz w:val="21"/>
      <w:szCs w:val="24"/>
    </w:rPr>
  </w:style>
  <w:style w:type="paragraph" w:styleId="78">
    <w:name w:val="List Continue 2"/>
    <w:basedOn w:val="1"/>
    <w:uiPriority w:val="0"/>
    <w:pPr>
      <w:spacing w:after="120"/>
      <w:ind w:left="840" w:leftChars="400"/>
    </w:pPr>
    <w:rPr>
      <w:sz w:val="21"/>
      <w:szCs w:val="24"/>
    </w:rPr>
  </w:style>
  <w:style w:type="paragraph" w:styleId="79">
    <w:name w:val="Message Header"/>
    <w:basedOn w:val="1"/>
    <w:link w:val="132"/>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13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81">
    <w:name w:val="Normal (Web)"/>
    <w:basedOn w:val="1"/>
    <w:uiPriority w:val="99"/>
    <w:pPr>
      <w:widowControl/>
      <w:spacing w:before="100" w:beforeLines="0" w:beforeAutospacing="1" w:after="100" w:afterLines="0" w:afterAutospacing="1"/>
      <w:jc w:val="left"/>
    </w:pPr>
    <w:rPr>
      <w:rFonts w:ascii="宋体" w:hAnsi="宋体"/>
      <w:kern w:val="0"/>
      <w:sz w:val="24"/>
      <w:szCs w:val="24"/>
    </w:rPr>
  </w:style>
  <w:style w:type="paragraph" w:styleId="82">
    <w:name w:val="List Continue 3"/>
    <w:basedOn w:val="1"/>
    <w:uiPriority w:val="0"/>
    <w:pPr>
      <w:spacing w:after="120"/>
      <w:ind w:left="1260" w:leftChars="600"/>
    </w:pPr>
    <w:rPr>
      <w:sz w:val="21"/>
    </w:rPr>
  </w:style>
  <w:style w:type="paragraph" w:styleId="83">
    <w:name w:val="index 2"/>
    <w:basedOn w:val="1"/>
    <w:next w:val="1"/>
    <w:uiPriority w:val="0"/>
    <w:pPr>
      <w:ind w:left="200" w:leftChars="200"/>
    </w:pPr>
    <w:rPr>
      <w:sz w:val="21"/>
      <w:szCs w:val="24"/>
    </w:rPr>
  </w:style>
  <w:style w:type="paragraph" w:styleId="84">
    <w:name w:val="Title"/>
    <w:basedOn w:val="1"/>
    <w:link w:val="134"/>
    <w:qFormat/>
    <w:uiPriority w:val="0"/>
    <w:pPr>
      <w:widowControl/>
      <w:overflowPunct w:val="0"/>
      <w:autoSpaceDE w:val="0"/>
      <w:autoSpaceDN w:val="0"/>
      <w:adjustRightInd w:val="0"/>
      <w:jc w:val="center"/>
      <w:textAlignment w:val="baseline"/>
    </w:pPr>
    <w:rPr>
      <w:b/>
      <w:kern w:val="0"/>
      <w:sz w:val="24"/>
      <w:lang w:val="en-GB"/>
    </w:rPr>
  </w:style>
  <w:style w:type="paragraph" w:styleId="85">
    <w:name w:val="annotation subject"/>
    <w:basedOn w:val="28"/>
    <w:next w:val="28"/>
    <w:link w:val="135"/>
    <w:uiPriority w:val="0"/>
    <w:rPr>
      <w:b/>
      <w:bCs/>
    </w:rPr>
  </w:style>
  <w:style w:type="paragraph" w:styleId="86">
    <w:name w:val="Body Text First Indent"/>
    <w:basedOn w:val="34"/>
    <w:link w:val="136"/>
    <w:uiPriority w:val="0"/>
    <w:pPr>
      <w:spacing w:after="120"/>
      <w:ind w:firstLine="420" w:firstLineChars="100"/>
    </w:pPr>
    <w:rPr>
      <w:rFonts w:ascii="等线" w:hAnsi="等线" w:eastAsia="等线"/>
      <w:sz w:val="21"/>
      <w:szCs w:val="24"/>
    </w:rPr>
  </w:style>
  <w:style w:type="paragraph" w:styleId="87">
    <w:name w:val="Body Text First Indent 2"/>
    <w:basedOn w:val="35"/>
    <w:link w:val="137"/>
    <w:uiPriority w:val="0"/>
    <w:pPr>
      <w:spacing w:after="120" w:line="240" w:lineRule="auto"/>
      <w:ind w:left="420" w:leftChars="200" w:firstLine="420" w:firstLineChars="200"/>
    </w:pPr>
    <w:rPr>
      <w:rFonts w:ascii="等线" w:hAnsi="等线" w:eastAsia="等线"/>
      <w:sz w:val="21"/>
      <w:szCs w:val="24"/>
    </w:rPr>
  </w:style>
  <w:style w:type="table" w:styleId="89">
    <w:name w:val="Table Grid"/>
    <w:basedOn w:val="88"/>
    <w:unhideWhenUsed/>
    <w:qFormat/>
    <w:uiPriority w:val="0"/>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endnote reference"/>
    <w:uiPriority w:val="0"/>
    <w:rPr>
      <w:vertAlign w:val="superscript"/>
    </w:rPr>
  </w:style>
  <w:style w:type="character" w:styleId="93">
    <w:name w:val="page number"/>
    <w:uiPriority w:val="0"/>
  </w:style>
  <w:style w:type="character" w:styleId="94">
    <w:name w:val="FollowedHyperlink"/>
    <w:uiPriority w:val="99"/>
    <w:rPr>
      <w:color w:val="800080"/>
      <w:u w:val="single"/>
    </w:rPr>
  </w:style>
  <w:style w:type="character" w:styleId="95">
    <w:name w:val="Emphasis"/>
    <w:qFormat/>
    <w:uiPriority w:val="20"/>
    <w:rPr>
      <w:color w:val="CC0000"/>
    </w:rPr>
  </w:style>
  <w:style w:type="character" w:styleId="96">
    <w:name w:val="Hyperlink"/>
    <w:uiPriority w:val="99"/>
    <w:rPr>
      <w:color w:val="0000FF"/>
      <w:u w:val="single"/>
    </w:rPr>
  </w:style>
  <w:style w:type="character" w:styleId="97">
    <w:name w:val="annotation reference"/>
    <w:uiPriority w:val="0"/>
    <w:rPr>
      <w:sz w:val="21"/>
      <w:szCs w:val="21"/>
    </w:rPr>
  </w:style>
  <w:style w:type="character" w:styleId="98">
    <w:name w:val="footnote reference"/>
    <w:uiPriority w:val="0"/>
    <w:rPr>
      <w:vertAlign w:val="superscript"/>
    </w:rPr>
  </w:style>
  <w:style w:type="character" w:customStyle="1" w:styleId="99">
    <w:name w:val="标题 1 Char"/>
    <w:link w:val="2"/>
    <w:uiPriority w:val="0"/>
    <w:rPr>
      <w:rFonts w:ascii="黑体"/>
      <w:b/>
      <w:sz w:val="32"/>
    </w:rPr>
  </w:style>
  <w:style w:type="character" w:customStyle="1" w:styleId="100">
    <w:name w:val="宏文本 Char"/>
    <w:link w:val="3"/>
    <w:uiPriority w:val="0"/>
    <w:rPr>
      <w:rFonts w:ascii="Courier New" w:hAnsi="Courier New"/>
      <w:kern w:val="2"/>
      <w:sz w:val="24"/>
      <w:lang w:val="en-US" w:eastAsia="zh-CN" w:bidi="ar-SA"/>
    </w:rPr>
  </w:style>
  <w:style w:type="character" w:customStyle="1" w:styleId="101">
    <w:name w:val="标题 2 Char2"/>
    <w:link w:val="4"/>
    <w:uiPriority w:val="0"/>
    <w:rPr>
      <w:rFonts w:ascii="Arial" w:hAnsi="Arial" w:eastAsia="黑体"/>
      <w:b/>
      <w:bCs/>
      <w:kern w:val="2"/>
      <w:sz w:val="21"/>
      <w:szCs w:val="32"/>
    </w:rPr>
  </w:style>
  <w:style w:type="character" w:customStyle="1" w:styleId="102">
    <w:name w:val="标题 3 Char"/>
    <w:link w:val="5"/>
    <w:uiPriority w:val="0"/>
    <w:rPr>
      <w:b/>
      <w:sz w:val="32"/>
    </w:rPr>
  </w:style>
  <w:style w:type="character" w:customStyle="1" w:styleId="103">
    <w:name w:val="正文缩进 Char"/>
    <w:link w:val="6"/>
    <w:uiPriority w:val="0"/>
    <w:rPr>
      <w:rFonts w:eastAsia="宋体"/>
      <w:sz w:val="24"/>
      <w:szCs w:val="24"/>
      <w:lang w:val="en-US" w:eastAsia="zh-CN" w:bidi="ar-SA"/>
    </w:rPr>
  </w:style>
  <w:style w:type="character" w:customStyle="1" w:styleId="104">
    <w:name w:val="标题 4 Char"/>
    <w:link w:val="7"/>
    <w:uiPriority w:val="0"/>
    <w:rPr>
      <w:rFonts w:ascii="Arial" w:hAnsi="Arial" w:eastAsia="黑体"/>
      <w:b/>
      <w:bCs/>
      <w:kern w:val="2"/>
      <w:sz w:val="28"/>
      <w:szCs w:val="28"/>
    </w:rPr>
  </w:style>
  <w:style w:type="character" w:customStyle="1" w:styleId="105">
    <w:name w:val="标题 5 Char"/>
    <w:link w:val="8"/>
    <w:uiPriority w:val="0"/>
    <w:rPr>
      <w:b/>
      <w:bCs/>
      <w:kern w:val="2"/>
      <w:sz w:val="28"/>
      <w:szCs w:val="28"/>
    </w:rPr>
  </w:style>
  <w:style w:type="character" w:customStyle="1" w:styleId="106">
    <w:name w:val="标题 6 Char"/>
    <w:link w:val="9"/>
    <w:uiPriority w:val="0"/>
    <w:rPr>
      <w:rFonts w:ascii="Arial" w:hAnsi="Arial" w:eastAsia="黑体"/>
      <w:b/>
      <w:bCs/>
      <w:sz w:val="24"/>
    </w:rPr>
  </w:style>
  <w:style w:type="character" w:customStyle="1" w:styleId="107">
    <w:name w:val="标题 7 Char"/>
    <w:link w:val="10"/>
    <w:uiPriority w:val="0"/>
    <w:rPr>
      <w:b/>
      <w:bCs/>
      <w:sz w:val="24"/>
    </w:rPr>
  </w:style>
  <w:style w:type="character" w:customStyle="1" w:styleId="108">
    <w:name w:val="标题 8 Char"/>
    <w:link w:val="11"/>
    <w:uiPriority w:val="0"/>
    <w:rPr>
      <w:rFonts w:ascii="Arial" w:hAnsi="Arial" w:eastAsia="黑体"/>
      <w:sz w:val="24"/>
    </w:rPr>
  </w:style>
  <w:style w:type="character" w:customStyle="1" w:styleId="109">
    <w:name w:val="标题 9 Char"/>
    <w:link w:val="12"/>
    <w:uiPriority w:val="0"/>
    <w:rPr>
      <w:rFonts w:ascii="Arial" w:hAnsi="Arial" w:eastAsia="黑体"/>
      <w:sz w:val="21"/>
      <w:szCs w:val="21"/>
    </w:rPr>
  </w:style>
  <w:style w:type="character" w:customStyle="1" w:styleId="110">
    <w:name w:val="注释标题 Char"/>
    <w:link w:val="17"/>
    <w:uiPriority w:val="0"/>
    <w:rPr>
      <w:kern w:val="2"/>
      <w:sz w:val="21"/>
    </w:rPr>
  </w:style>
  <w:style w:type="character" w:customStyle="1" w:styleId="111">
    <w:name w:val="电子邮件签名 Char"/>
    <w:link w:val="20"/>
    <w:uiPriority w:val="0"/>
    <w:rPr>
      <w:kern w:val="2"/>
      <w:sz w:val="21"/>
    </w:rPr>
  </w:style>
  <w:style w:type="character" w:customStyle="1" w:styleId="112">
    <w:name w:val="文档结构图 Char"/>
    <w:link w:val="26"/>
    <w:uiPriority w:val="0"/>
    <w:rPr>
      <w:kern w:val="2"/>
      <w:sz w:val="28"/>
      <w:shd w:val="clear" w:color="auto" w:fill="000080"/>
    </w:rPr>
  </w:style>
  <w:style w:type="character" w:customStyle="1" w:styleId="113">
    <w:name w:val="批注文字 Char"/>
    <w:link w:val="28"/>
    <w:uiPriority w:val="0"/>
    <w:rPr>
      <w:kern w:val="2"/>
      <w:sz w:val="21"/>
      <w:szCs w:val="24"/>
    </w:rPr>
  </w:style>
  <w:style w:type="character" w:customStyle="1" w:styleId="114">
    <w:name w:val="称呼 Char"/>
    <w:link w:val="30"/>
    <w:uiPriority w:val="0"/>
    <w:rPr>
      <w:rFonts w:ascii="宋体"/>
      <w:kern w:val="2"/>
      <w:sz w:val="28"/>
    </w:rPr>
  </w:style>
  <w:style w:type="character" w:customStyle="1" w:styleId="115">
    <w:name w:val="正文文本 3 Char"/>
    <w:link w:val="31"/>
    <w:uiPriority w:val="0"/>
    <w:rPr>
      <w:kern w:val="2"/>
      <w:sz w:val="16"/>
      <w:szCs w:val="16"/>
    </w:rPr>
  </w:style>
  <w:style w:type="character" w:customStyle="1" w:styleId="116">
    <w:name w:val="结束语 Char"/>
    <w:link w:val="32"/>
    <w:uiPriority w:val="0"/>
    <w:rPr>
      <w:kern w:val="2"/>
      <w:sz w:val="21"/>
    </w:rPr>
  </w:style>
  <w:style w:type="character" w:customStyle="1" w:styleId="117">
    <w:name w:val="正文文本 Char2"/>
    <w:link w:val="34"/>
    <w:uiPriority w:val="0"/>
    <w:rPr>
      <w:kern w:val="2"/>
      <w:sz w:val="24"/>
    </w:rPr>
  </w:style>
  <w:style w:type="character" w:customStyle="1" w:styleId="118">
    <w:name w:val="正文文本缩进 Char2"/>
    <w:link w:val="35"/>
    <w:uiPriority w:val="0"/>
    <w:rPr>
      <w:rFonts w:ascii="黑体" w:eastAsia="黑体"/>
      <w:kern w:val="2"/>
      <w:sz w:val="28"/>
    </w:rPr>
  </w:style>
  <w:style w:type="character" w:customStyle="1" w:styleId="119">
    <w:name w:val="HTML 地址 Char"/>
    <w:link w:val="41"/>
    <w:uiPriority w:val="0"/>
    <w:rPr>
      <w:i/>
      <w:kern w:val="2"/>
      <w:sz w:val="21"/>
    </w:rPr>
  </w:style>
  <w:style w:type="character" w:customStyle="1" w:styleId="120">
    <w:name w:val="纯文本 Char3"/>
    <w:link w:val="45"/>
    <w:uiPriority w:val="99"/>
    <w:rPr>
      <w:rFonts w:ascii="宋体" w:hAnsi="Courier New" w:eastAsia="宋体"/>
      <w:kern w:val="2"/>
      <w:sz w:val="21"/>
      <w:szCs w:val="21"/>
      <w:lang w:bidi="ar-SA"/>
    </w:rPr>
  </w:style>
  <w:style w:type="character" w:customStyle="1" w:styleId="121">
    <w:name w:val="日期 Char2"/>
    <w:link w:val="50"/>
    <w:uiPriority w:val="99"/>
    <w:rPr>
      <w:rFonts w:eastAsia="仿宋_GB2312"/>
      <w:b/>
      <w:sz w:val="28"/>
    </w:rPr>
  </w:style>
  <w:style w:type="character" w:customStyle="1" w:styleId="122">
    <w:name w:val="正文文本缩进 2 Char1"/>
    <w:link w:val="51"/>
    <w:uiPriority w:val="0"/>
    <w:rPr>
      <w:rFonts w:ascii="黑体" w:eastAsia="黑体"/>
      <w:kern w:val="2"/>
      <w:sz w:val="28"/>
    </w:rPr>
  </w:style>
  <w:style w:type="character" w:customStyle="1" w:styleId="123">
    <w:name w:val="尾注文本 Char"/>
    <w:link w:val="52"/>
    <w:uiPriority w:val="0"/>
    <w:rPr>
      <w:kern w:val="2"/>
      <w:sz w:val="21"/>
    </w:rPr>
  </w:style>
  <w:style w:type="character" w:customStyle="1" w:styleId="124">
    <w:name w:val="批注框文本 Char"/>
    <w:link w:val="54"/>
    <w:uiPriority w:val="0"/>
    <w:rPr>
      <w:kern w:val="2"/>
      <w:sz w:val="18"/>
      <w:szCs w:val="18"/>
    </w:rPr>
  </w:style>
  <w:style w:type="character" w:customStyle="1" w:styleId="125">
    <w:name w:val="页脚 Char2"/>
    <w:link w:val="55"/>
    <w:uiPriority w:val="99"/>
    <w:rPr>
      <w:kern w:val="2"/>
      <w:sz w:val="18"/>
    </w:rPr>
  </w:style>
  <w:style w:type="character" w:customStyle="1" w:styleId="126">
    <w:name w:val="页眉 Char2"/>
    <w:link w:val="57"/>
    <w:uiPriority w:val="0"/>
    <w:rPr>
      <w:kern w:val="2"/>
      <w:sz w:val="18"/>
    </w:rPr>
  </w:style>
  <w:style w:type="character" w:customStyle="1" w:styleId="127">
    <w:name w:val="签名 Char"/>
    <w:link w:val="58"/>
    <w:uiPriority w:val="0"/>
    <w:rPr>
      <w:kern w:val="2"/>
      <w:sz w:val="21"/>
    </w:rPr>
  </w:style>
  <w:style w:type="character" w:customStyle="1" w:styleId="128">
    <w:name w:val="副标题 Char"/>
    <w:link w:val="64"/>
    <w:uiPriority w:val="0"/>
    <w:rPr>
      <w:rFonts w:ascii="Cambria" w:hAnsi="Cambria"/>
      <w:b/>
      <w:bCs/>
      <w:kern w:val="28"/>
      <w:sz w:val="32"/>
      <w:szCs w:val="32"/>
    </w:rPr>
  </w:style>
  <w:style w:type="character" w:customStyle="1" w:styleId="129">
    <w:name w:val="脚注文本 Char"/>
    <w:link w:val="67"/>
    <w:uiPriority w:val="0"/>
    <w:rPr>
      <w:kern w:val="2"/>
      <w:sz w:val="18"/>
      <w:szCs w:val="18"/>
    </w:rPr>
  </w:style>
  <w:style w:type="character" w:customStyle="1" w:styleId="130">
    <w:name w:val="正文文本缩进 3 Char1"/>
    <w:link w:val="70"/>
    <w:uiPriority w:val="0"/>
    <w:rPr>
      <w:kern w:val="2"/>
      <w:sz w:val="28"/>
    </w:rPr>
  </w:style>
  <w:style w:type="character" w:customStyle="1" w:styleId="131">
    <w:name w:val="正文文本 2 Char1"/>
    <w:link w:val="76"/>
    <w:uiPriority w:val="0"/>
    <w:rPr>
      <w:kern w:val="2"/>
      <w:sz w:val="21"/>
      <w:szCs w:val="24"/>
    </w:rPr>
  </w:style>
  <w:style w:type="character" w:customStyle="1" w:styleId="132">
    <w:name w:val="信息标题 Char"/>
    <w:link w:val="79"/>
    <w:uiPriority w:val="0"/>
    <w:rPr>
      <w:rFonts w:ascii="Arial" w:hAnsi="Arial"/>
      <w:kern w:val="2"/>
      <w:sz w:val="24"/>
      <w:shd w:val="pct20" w:color="auto" w:fill="auto"/>
    </w:rPr>
  </w:style>
  <w:style w:type="character" w:customStyle="1" w:styleId="133">
    <w:name w:val="HTML 预设格式 Char2"/>
    <w:link w:val="80"/>
    <w:uiPriority w:val="99"/>
    <w:rPr>
      <w:rFonts w:ascii="黑体" w:hAnsi="Courier New" w:eastAsia="黑体" w:cs="Courier New"/>
    </w:rPr>
  </w:style>
  <w:style w:type="character" w:customStyle="1" w:styleId="134">
    <w:name w:val="标题 Char3"/>
    <w:link w:val="84"/>
    <w:uiPriority w:val="0"/>
    <w:rPr>
      <w:b/>
      <w:sz w:val="24"/>
      <w:lang w:val="en-GB"/>
    </w:rPr>
  </w:style>
  <w:style w:type="character" w:customStyle="1" w:styleId="135">
    <w:name w:val="批注主题 Char1"/>
    <w:link w:val="85"/>
    <w:locked/>
    <w:uiPriority w:val="0"/>
    <w:rPr>
      <w:b/>
      <w:bCs/>
      <w:kern w:val="2"/>
      <w:sz w:val="21"/>
      <w:szCs w:val="24"/>
    </w:rPr>
  </w:style>
  <w:style w:type="character" w:customStyle="1" w:styleId="136">
    <w:name w:val="正文首行缩进 Char1"/>
    <w:link w:val="86"/>
    <w:uiPriority w:val="0"/>
    <w:rPr>
      <w:rFonts w:ascii="等线" w:hAnsi="等线" w:eastAsia="等线"/>
      <w:kern w:val="2"/>
      <w:sz w:val="21"/>
      <w:szCs w:val="24"/>
    </w:rPr>
  </w:style>
  <w:style w:type="character" w:customStyle="1" w:styleId="137">
    <w:name w:val="正文首行缩进 2 Char"/>
    <w:link w:val="87"/>
    <w:uiPriority w:val="0"/>
    <w:rPr>
      <w:rFonts w:ascii="等线" w:hAnsi="等线" w:eastAsia="等线"/>
      <w:kern w:val="2"/>
      <w:sz w:val="21"/>
      <w:szCs w:val="24"/>
    </w:rPr>
  </w:style>
  <w:style w:type="character" w:customStyle="1" w:styleId="138">
    <w:name w:val="批注框文本 Char1"/>
    <w:uiPriority w:val="0"/>
    <w:rPr>
      <w:rFonts w:eastAsia="宋体"/>
      <w:kern w:val="2"/>
      <w:sz w:val="18"/>
      <w:lang w:val="en-US" w:eastAsia="zh-CN"/>
    </w:rPr>
  </w:style>
  <w:style w:type="character" w:customStyle="1" w:styleId="139">
    <w:name w:val="无"/>
    <w:uiPriority w:val="0"/>
  </w:style>
  <w:style w:type="character" w:customStyle="1" w:styleId="140">
    <w:name w:val="样式 正文文本 Char"/>
    <w:link w:val="141"/>
    <w:uiPriority w:val="0"/>
    <w:rPr>
      <w:rFonts w:ascii="Arial" w:hAnsi="Arial"/>
      <w:color w:val="000000"/>
      <w:kern w:val="2"/>
      <w:sz w:val="21"/>
    </w:rPr>
  </w:style>
  <w:style w:type="paragraph" w:customStyle="1" w:styleId="141">
    <w:name w:val="样式 正文文本"/>
    <w:basedOn w:val="1"/>
    <w:link w:val="140"/>
    <w:uiPriority w:val="0"/>
    <w:pPr>
      <w:adjustRightInd w:val="0"/>
      <w:snapToGrid w:val="0"/>
      <w:spacing w:line="400" w:lineRule="exact"/>
      <w:ind w:firstLine="200" w:firstLineChars="200"/>
    </w:pPr>
    <w:rPr>
      <w:rFonts w:ascii="Arial" w:hAnsi="Arial"/>
      <w:color w:val="000000"/>
      <w:sz w:val="21"/>
    </w:rPr>
  </w:style>
  <w:style w:type="character" w:customStyle="1" w:styleId="142">
    <w:name w:val="副标题 字符"/>
    <w:uiPriority w:val="11"/>
    <w:rPr>
      <w:rFonts w:ascii="等线 Light" w:hAnsi="等线 Light" w:cs="Times New Roman"/>
      <w:b/>
      <w:bCs/>
      <w:kern w:val="28"/>
      <w:sz w:val="32"/>
      <w:szCs w:val="32"/>
    </w:rPr>
  </w:style>
  <w:style w:type="character" w:customStyle="1" w:styleId="143">
    <w:name w:val="标题 7 字符"/>
    <w:semiHidden/>
    <w:uiPriority w:val="9"/>
    <w:rPr>
      <w:rFonts w:ascii="Times New Roman" w:hAnsi="Times New Roman" w:eastAsia="宋体"/>
      <w:b/>
      <w:bCs/>
      <w:kern w:val="2"/>
      <w:sz w:val="24"/>
      <w:szCs w:val="24"/>
    </w:rPr>
  </w:style>
  <w:style w:type="character" w:customStyle="1" w:styleId="144">
    <w:name w:val="bemq"/>
    <w:uiPriority w:val="0"/>
  </w:style>
  <w:style w:type="character" w:customStyle="1" w:styleId="145">
    <w:name w:val="lemmatitleh11"/>
    <w:uiPriority w:val="0"/>
  </w:style>
  <w:style w:type="character" w:customStyle="1" w:styleId="146">
    <w:name w:val="结束语 字符"/>
    <w:uiPriority w:val="99"/>
    <w:rPr>
      <w:kern w:val="2"/>
      <w:sz w:val="28"/>
    </w:rPr>
  </w:style>
  <w:style w:type="character" w:customStyle="1" w:styleId="147">
    <w:name w:val="8953"/>
    <w:uiPriority w:val="0"/>
  </w:style>
  <w:style w:type="character" w:customStyle="1" w:styleId="148">
    <w:name w:val="s81i"/>
    <w:uiPriority w:val="0"/>
  </w:style>
  <w:style w:type="character" w:customStyle="1" w:styleId="149">
    <w:name w:val="Plain Text Char"/>
    <w:locked/>
    <w:uiPriority w:val="0"/>
    <w:rPr>
      <w:rFonts w:ascii="宋体" w:hAnsi="Courier New" w:eastAsia="宋体" w:cs="Courier New"/>
      <w:kern w:val="2"/>
      <w:sz w:val="21"/>
      <w:szCs w:val="21"/>
      <w:lang w:val="en-US" w:eastAsia="zh-CN" w:bidi="ar-SA"/>
    </w:rPr>
  </w:style>
  <w:style w:type="character" w:customStyle="1" w:styleId="150">
    <w:name w:val="标题 9 字符"/>
    <w:semiHidden/>
    <w:uiPriority w:val="9"/>
    <w:rPr>
      <w:rFonts w:ascii="等线 Light" w:hAnsi="等线 Light" w:eastAsia="等线 Light" w:cs="Times New Roman"/>
      <w:kern w:val="2"/>
      <w:sz w:val="21"/>
      <w:szCs w:val="21"/>
    </w:rPr>
  </w:style>
  <w:style w:type="character" w:customStyle="1" w:styleId="151">
    <w:name w:val="标题 2 Char"/>
    <w:aliases w:val="H2 Char2,(C+F2) Char2,(F3) Char2,Title2 Char,2nd level Char2,h2 Char2,Header 2 Char2,l2 Char2,heading 2 Char2,I2 Char2,l2+toc 2 Char,Section Title Char,12 Char,orderpara1 Char,section:2 Char,section:21 Char,section:22 Char,section:23 Char"/>
    <w:uiPriority w:val="0"/>
    <w:rPr>
      <w:rFonts w:ascii="Arial" w:hAnsi="Arial" w:eastAsia="黑体"/>
      <w:b/>
      <w:bCs/>
      <w:kern w:val="2"/>
      <w:sz w:val="32"/>
      <w:szCs w:val="32"/>
      <w:lang w:val="en-US" w:eastAsia="zh-CN" w:bidi="ar-SA"/>
    </w:rPr>
  </w:style>
  <w:style w:type="character" w:customStyle="1" w:styleId="152">
    <w:name w:val="font11"/>
    <w:uiPriority w:val="0"/>
    <w:rPr>
      <w:rFonts w:hint="eastAsia" w:ascii="宋体" w:hAnsi="宋体" w:eastAsia="宋体"/>
      <w:color w:val="000000"/>
      <w:sz w:val="21"/>
      <w:szCs w:val="21"/>
      <w:u w:val="none"/>
      <w:vertAlign w:val="superscript"/>
    </w:rPr>
  </w:style>
  <w:style w:type="character" w:customStyle="1" w:styleId="153">
    <w:name w:val="正文文本 Char1"/>
    <w:uiPriority w:val="0"/>
    <w:rPr>
      <w:rFonts w:ascii="宋体" w:hAnsi="宋体" w:eastAsia="宋体"/>
      <w:spacing w:val="-6"/>
      <w:kern w:val="2"/>
      <w:sz w:val="21"/>
      <w:lang w:val="en-US" w:eastAsia="zh-CN"/>
    </w:rPr>
  </w:style>
  <w:style w:type="character" w:customStyle="1" w:styleId="154">
    <w:name w:val="批注文字 Char1"/>
    <w:uiPriority w:val="0"/>
    <w:rPr>
      <w:rFonts w:eastAsia="宋体"/>
      <w:kern w:val="2"/>
      <w:sz w:val="21"/>
      <w:lang w:val="en-US" w:eastAsia="zh-CN"/>
    </w:rPr>
  </w:style>
  <w:style w:type="character" w:customStyle="1" w:styleId="155">
    <w:name w:val="样式 标题 3Heading 3 Char1Heading 3 Char Char列表编号33 bullet2ERM... Char"/>
    <w:link w:val="156"/>
    <w:uiPriority w:val="0"/>
    <w:rPr>
      <w:rFonts w:cs="宋体"/>
      <w:b/>
      <w:bCs/>
      <w:kern w:val="2"/>
      <w:sz w:val="21"/>
    </w:rPr>
  </w:style>
  <w:style w:type="paragraph" w:customStyle="1" w:styleId="156">
    <w:name w:val="样式 标题 3Heading 3 Char1Heading 3 Char Char列表编号33 bullet2ERM..."/>
    <w:basedOn w:val="5"/>
    <w:link w:val="155"/>
    <w:uiPriority w:val="0"/>
    <w:pPr>
      <w:widowControl w:val="0"/>
      <w:numPr>
        <w:ilvl w:val="0"/>
        <w:numId w:val="0"/>
      </w:numPr>
      <w:tabs>
        <w:tab w:val="clear" w:pos="720"/>
      </w:tabs>
      <w:adjustRightInd w:val="0"/>
      <w:snapToGrid w:val="0"/>
      <w:spacing w:before="0" w:after="0"/>
      <w:jc w:val="both"/>
    </w:pPr>
    <w:rPr>
      <w:bCs/>
      <w:kern w:val="2"/>
      <w:sz w:val="21"/>
    </w:rPr>
  </w:style>
  <w:style w:type="character" w:customStyle="1" w:styleId="157">
    <w:name w:val="注释标题 字符"/>
    <w:uiPriority w:val="99"/>
    <w:rPr>
      <w:kern w:val="2"/>
      <w:sz w:val="28"/>
    </w:rPr>
  </w:style>
  <w:style w:type="character" w:customStyle="1" w:styleId="158">
    <w:name w:val="HTML 预设格式 Char"/>
    <w:link w:val="159"/>
    <w:uiPriority w:val="0"/>
    <w:rPr>
      <w:rFonts w:ascii="Courier New" w:hAnsi="Courier New" w:cs="Courier New"/>
      <w:kern w:val="2"/>
    </w:rPr>
  </w:style>
  <w:style w:type="paragraph" w:customStyle="1" w:styleId="159">
    <w:name w:val="HTML 预设格式1"/>
    <w:basedOn w:val="1"/>
    <w:link w:val="158"/>
    <w:uiPriority w:val="0"/>
    <w:rPr>
      <w:rFonts w:ascii="Courier New" w:hAnsi="Courier New"/>
      <w:sz w:val="20"/>
    </w:rPr>
  </w:style>
  <w:style w:type="character" w:customStyle="1" w:styleId="160">
    <w:name w:val="HTML 定义1"/>
    <w:uiPriority w:val="0"/>
    <w:rPr>
      <w:i/>
      <w:iCs/>
    </w:rPr>
  </w:style>
  <w:style w:type="character" w:customStyle="1" w:styleId="161">
    <w:name w:val="标题 1 Char Char"/>
    <w:uiPriority w:val="0"/>
    <w:rPr>
      <w:rFonts w:ascii="Arial" w:hAnsi="Arial" w:eastAsia="黑体"/>
      <w:bCs/>
      <w:kern w:val="44"/>
      <w:sz w:val="24"/>
      <w:szCs w:val="44"/>
      <w:lang w:val="en-US" w:eastAsia="zh-CN" w:bidi="ar-SA"/>
    </w:rPr>
  </w:style>
  <w:style w:type="character" w:customStyle="1" w:styleId="162">
    <w:name w:val="75pk"/>
    <w:uiPriority w:val="0"/>
  </w:style>
  <w:style w:type="character" w:customStyle="1" w:styleId="163">
    <w:name w:val="标题 Char1"/>
    <w:uiPriority w:val="0"/>
    <w:rPr>
      <w:rFonts w:ascii="Cambria" w:hAnsi="Cambria" w:eastAsia="宋体" w:cs="Times New Roman"/>
      <w:b/>
      <w:bCs/>
      <w:sz w:val="32"/>
      <w:szCs w:val="32"/>
    </w:rPr>
  </w:style>
  <w:style w:type="character" w:customStyle="1" w:styleId="164">
    <w:name w:val="脚注文本 Char1"/>
    <w:uiPriority w:val="0"/>
    <w:rPr>
      <w:rFonts w:eastAsia="宋体"/>
      <w:kern w:val="2"/>
      <w:sz w:val="18"/>
      <w:lang w:val="en-US" w:eastAsia="zh-CN"/>
    </w:rPr>
  </w:style>
  <w:style w:type="character" w:customStyle="1" w:styleId="165">
    <w:name w:val="信息标题 字符"/>
    <w:uiPriority w:val="99"/>
    <w:rPr>
      <w:rFonts w:ascii="等线 Light" w:hAnsi="等线 Light" w:eastAsia="等线 Light" w:cs="Times New Roman"/>
      <w:kern w:val="2"/>
      <w:sz w:val="24"/>
      <w:szCs w:val="24"/>
      <w:shd w:val="pct20" w:color="auto" w:fill="auto"/>
    </w:rPr>
  </w:style>
  <w:style w:type="character" w:customStyle="1" w:styleId="166">
    <w:name w:val="批注文字 字符"/>
    <w:uiPriority w:val="99"/>
    <w:rPr>
      <w:kern w:val="2"/>
      <w:sz w:val="28"/>
    </w:rPr>
  </w:style>
  <w:style w:type="character" w:customStyle="1" w:styleId="167">
    <w:name w:val="15"/>
    <w:uiPriority w:val="0"/>
  </w:style>
  <w:style w:type="character" w:customStyle="1" w:styleId="168">
    <w:name w:val="正文文本 字符"/>
    <w:semiHidden/>
    <w:uiPriority w:val="99"/>
    <w:rPr>
      <w:rFonts w:ascii="Times New Roman" w:hAnsi="Times New Roman" w:eastAsia="宋体"/>
      <w:kern w:val="2"/>
      <w:sz w:val="21"/>
      <w:szCs w:val="24"/>
    </w:rPr>
  </w:style>
  <w:style w:type="character" w:customStyle="1" w:styleId="169">
    <w:name w:val="标题 2 Char1"/>
    <w:aliases w:val="H2 Char1,(C+F2) Char1,(F3) Char1,Title2 Char1,2nd level Char1,h2 Char1,Header 2 Char1,l2 Char1,heading 2 Char1,I2 Char1,l2+toc 2 Char1,Section Title Char1,12 Char1,orderpara1 Char1,section:2 Char1,section:21 Char1,section:22 Char1"/>
    <w:uiPriority w:val="0"/>
    <w:rPr>
      <w:rFonts w:ascii="Arial" w:hAnsi="Arial" w:eastAsia="黑体"/>
      <w:b/>
      <w:sz w:val="32"/>
      <w:lang w:val="en-US" w:eastAsia="zh-CN"/>
    </w:rPr>
  </w:style>
  <w:style w:type="character" w:customStyle="1" w:styleId="170">
    <w:name w:val="Char Char22"/>
    <w:uiPriority w:val="0"/>
    <w:rPr>
      <w:rFonts w:ascii="Arial" w:hAnsi="Arial" w:eastAsia="黑体"/>
      <w:b/>
      <w:bCs/>
      <w:kern w:val="2"/>
      <w:sz w:val="32"/>
      <w:szCs w:val="32"/>
      <w:lang w:val="en-US" w:eastAsia="zh-CN" w:bidi="ar-SA"/>
    </w:rPr>
  </w:style>
  <w:style w:type="character" w:customStyle="1" w:styleId="171">
    <w:name w:val="HTML 地址 字符"/>
    <w:uiPriority w:val="99"/>
    <w:rPr>
      <w:i/>
      <w:iCs/>
      <w:kern w:val="2"/>
      <w:sz w:val="28"/>
    </w:rPr>
  </w:style>
  <w:style w:type="character" w:customStyle="1" w:styleId="172">
    <w:name w:val="副标题 Char1"/>
    <w:uiPriority w:val="11"/>
    <w:rPr>
      <w:rFonts w:ascii="Calibri Light" w:hAnsi="Calibri Light" w:eastAsia="宋体" w:cs="Times New Roman"/>
      <w:b/>
      <w:bCs/>
      <w:kern w:val="28"/>
      <w:sz w:val="32"/>
      <w:szCs w:val="32"/>
    </w:rPr>
  </w:style>
  <w:style w:type="character" w:customStyle="1" w:styleId="173">
    <w:name w:val="正文文本缩进 字符"/>
    <w:semiHidden/>
    <w:uiPriority w:val="99"/>
    <w:rPr>
      <w:rFonts w:ascii="Times New Roman" w:hAnsi="Times New Roman" w:eastAsia="宋体"/>
      <w:kern w:val="2"/>
      <w:sz w:val="21"/>
      <w:szCs w:val="24"/>
    </w:rPr>
  </w:style>
  <w:style w:type="character" w:customStyle="1" w:styleId="174">
    <w:name w:val="Char Char21"/>
    <w:uiPriority w:val="0"/>
    <w:rPr>
      <w:rFonts w:eastAsia="楷体_GB2312"/>
      <w:kern w:val="2"/>
      <w:sz w:val="28"/>
      <w:lang w:val="en-US" w:eastAsia="zh-CN" w:bidi="ar-SA"/>
    </w:rPr>
  </w:style>
  <w:style w:type="character" w:customStyle="1" w:styleId="175">
    <w:name w:val="页眉 Char1"/>
    <w:aliases w:val="even Char"/>
    <w:locked/>
    <w:uiPriority w:val="0"/>
    <w:rPr>
      <w:rFonts w:eastAsia="宋体"/>
      <w:kern w:val="2"/>
      <w:sz w:val="18"/>
      <w:lang w:val="en-US" w:eastAsia="zh-CN" w:bidi="ar-SA"/>
    </w:rPr>
  </w:style>
  <w:style w:type="character" w:customStyle="1" w:styleId="176">
    <w:name w:val="zbggmain style9"/>
    <w:uiPriority w:val="0"/>
  </w:style>
  <w:style w:type="character" w:customStyle="1" w:styleId="177">
    <w:name w:val="font21"/>
    <w:uiPriority w:val="0"/>
    <w:rPr>
      <w:rFonts w:hint="eastAsia" w:ascii="宋体" w:hAnsi="宋体" w:eastAsia="宋体"/>
      <w:color w:val="FF0000"/>
      <w:sz w:val="21"/>
      <w:szCs w:val="21"/>
      <w:u w:val="none"/>
      <w:vertAlign w:val="superscript"/>
    </w:rPr>
  </w:style>
  <w:style w:type="character" w:customStyle="1" w:styleId="178">
    <w:name w:val="Char Char"/>
    <w:link w:val="179"/>
    <w:uiPriority w:val="0"/>
    <w:rPr>
      <w:rFonts w:eastAsia="仿宋_GB2312"/>
      <w:kern w:val="2"/>
      <w:sz w:val="28"/>
      <w:szCs w:val="24"/>
    </w:rPr>
  </w:style>
  <w:style w:type="paragraph" w:customStyle="1" w:styleId="179">
    <w:name w:val="Char"/>
    <w:basedOn w:val="1"/>
    <w:link w:val="178"/>
    <w:uiPriority w:val="0"/>
    <w:rPr>
      <w:rFonts w:eastAsia="仿宋_GB2312"/>
      <w:szCs w:val="24"/>
    </w:rPr>
  </w:style>
  <w:style w:type="character" w:customStyle="1" w:styleId="180">
    <w:name w:val="文档结构图 字符"/>
    <w:semiHidden/>
    <w:uiPriority w:val="99"/>
    <w:rPr>
      <w:rFonts w:ascii="Microsoft YaHei UI" w:hAnsi="Times New Roman" w:eastAsia="Microsoft YaHei UI"/>
      <w:kern w:val="2"/>
      <w:sz w:val="18"/>
      <w:szCs w:val="18"/>
    </w:rPr>
  </w:style>
  <w:style w:type="character" w:customStyle="1" w:styleId="181">
    <w:name w:val="正文文本 3 Char1"/>
    <w:uiPriority w:val="0"/>
    <w:rPr>
      <w:rFonts w:eastAsia="宋体"/>
      <w:color w:val="FF0000"/>
      <w:kern w:val="2"/>
      <w:sz w:val="24"/>
      <w:lang w:val="en-US" w:eastAsia="zh-CN"/>
    </w:rPr>
  </w:style>
  <w:style w:type="character" w:customStyle="1" w:styleId="182">
    <w:name w:val="h2 Char"/>
    <w:aliases w:val="sect 1.2 Char,节标题 Char,一级节名 Char,标题1 Char,2nd level Char,2 Char,Header 2 Char,l2 Char,Titre2 Char,H2 Char,Level 2 Head Char,heading 2 Char,Heading 2 Hidden Char,Heading 2 CCBS Char,Titre3 Char,HD2 Char,第一章 标题 2 Char,(C+F2) Char,(F3) Char,I2 Char"/>
    <w:uiPriority w:val="0"/>
    <w:rPr>
      <w:rFonts w:ascii="Arial" w:hAnsi="Arial" w:eastAsia="黑体"/>
      <w:color w:val="0000FF"/>
      <w:sz w:val="24"/>
      <w:lang w:val="en-US" w:eastAsia="zh-CN" w:bidi="ar-SA"/>
    </w:rPr>
  </w:style>
  <w:style w:type="character" w:customStyle="1" w:styleId="183">
    <w:name w:val="标题 3 Char Char Char"/>
    <w:uiPriority w:val="0"/>
    <w:rPr>
      <w:rFonts w:eastAsia="宋体"/>
      <w:b/>
      <w:bCs/>
      <w:kern w:val="2"/>
      <w:sz w:val="32"/>
      <w:szCs w:val="32"/>
      <w:lang w:val="en-US" w:eastAsia="zh-CN" w:bidi="ar-SA"/>
    </w:rPr>
  </w:style>
  <w:style w:type="character" w:customStyle="1" w:styleId="184">
    <w:name w:val="HTML 键盘1"/>
    <w:uiPriority w:val="0"/>
    <w:rPr>
      <w:rFonts w:ascii="Courier New" w:hAnsi="Courier New"/>
      <w:sz w:val="20"/>
      <w:szCs w:val="20"/>
    </w:rPr>
  </w:style>
  <w:style w:type="character" w:customStyle="1" w:styleId="185">
    <w:name w:val="正文文本缩进 Char1"/>
    <w:uiPriority w:val="0"/>
    <w:rPr>
      <w:rFonts w:ascii="宋体" w:hAnsi="宋体" w:eastAsia="宋体"/>
      <w:spacing w:val="-6"/>
      <w:kern w:val="2"/>
      <w:sz w:val="21"/>
      <w:lang w:val="en-US" w:eastAsia="zh-CN"/>
    </w:rPr>
  </w:style>
  <w:style w:type="character" w:customStyle="1" w:styleId="186">
    <w:name w:val="p7"/>
    <w:uiPriority w:val="0"/>
  </w:style>
  <w:style w:type="character" w:customStyle="1" w:styleId="187">
    <w:name w:val="locality"/>
    <w:uiPriority w:val="0"/>
  </w:style>
  <w:style w:type="character" w:customStyle="1" w:styleId="188">
    <w:name w:val="尾注文本 字符"/>
    <w:uiPriority w:val="99"/>
    <w:rPr>
      <w:kern w:val="2"/>
      <w:sz w:val="28"/>
    </w:rPr>
  </w:style>
  <w:style w:type="character" w:customStyle="1" w:styleId="189">
    <w:name w:val="正文文字4 Char Char"/>
    <w:uiPriority w:val="0"/>
    <w:rPr>
      <w:rFonts w:ascii="宋体" w:hAnsi="宋体" w:eastAsia="宋体"/>
      <w:spacing w:val="-6"/>
      <w:kern w:val="2"/>
      <w:sz w:val="21"/>
      <w:lang w:val="en-US" w:eastAsia="zh-CN"/>
    </w:rPr>
  </w:style>
  <w:style w:type="character" w:customStyle="1" w:styleId="190">
    <w:name w:val="正文文本缩进 3 字符"/>
    <w:uiPriority w:val="0"/>
    <w:rPr>
      <w:rFonts w:ascii="Times New Roman" w:hAnsi="Times New Roman" w:eastAsia="宋体"/>
      <w:kern w:val="2"/>
      <w:sz w:val="16"/>
      <w:szCs w:val="16"/>
    </w:rPr>
  </w:style>
  <w:style w:type="character" w:customStyle="1" w:styleId="191">
    <w:name w:val="标题 3 Char1"/>
    <w:aliases w:val="H3 Char1,章标题1 Char1,l3 Char1,CT Char1,h3 Char1,3rd level Char1,3 Char1,Level 3 Head Char1,level_3 Char1,PIM 3 Char1,sect1.2.3 Char1,prop3 Char1,3heading Char1,heading 3 Char1,Heading 31 Char1,1.1.1 Heading 3 Char1,Bold Head Char1,bh Char1"/>
    <w:uiPriority w:val="0"/>
    <w:rPr>
      <w:rFonts w:eastAsia="宋体"/>
      <w:b/>
      <w:kern w:val="2"/>
      <w:sz w:val="32"/>
      <w:lang w:val="en-US" w:eastAsia="zh-CN"/>
    </w:rPr>
  </w:style>
  <w:style w:type="character" w:customStyle="1" w:styleId="192">
    <w:name w:val="country-name"/>
    <w:uiPriority w:val="0"/>
  </w:style>
  <w:style w:type="character" w:customStyle="1" w:styleId="193">
    <w:name w:val="正文（首行缩进两字） + Arial Char Char Char Char Char Char Char Char Char Char Char Char Char Char Char Char Char Char Char Char Char Char Char Char Char Char Char"/>
    <w:uiPriority w:val="0"/>
    <w:rPr>
      <w:rFonts w:ascii="Arial" w:hAnsi="Arial" w:eastAsia="宋体"/>
      <w:sz w:val="24"/>
      <w:lang w:val="en-US" w:eastAsia="zh-CN" w:bidi="ar-SA"/>
    </w:rPr>
  </w:style>
  <w:style w:type="character" w:customStyle="1" w:styleId="194">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195">
    <w:name w:val="qclx"/>
    <w:uiPriority w:val="0"/>
  </w:style>
  <w:style w:type="character" w:customStyle="1" w:styleId="196">
    <w:name w:val="页脚 Char1"/>
    <w:locked/>
    <w:uiPriority w:val="0"/>
    <w:rPr>
      <w:rFonts w:eastAsia="宋体"/>
      <w:kern w:val="2"/>
      <w:sz w:val="18"/>
      <w:lang w:val="en-US" w:eastAsia="zh-CN" w:bidi="ar-SA"/>
    </w:rPr>
  </w:style>
  <w:style w:type="character" w:customStyle="1" w:styleId="197">
    <w:name w:val="列出段落 字符"/>
    <w:uiPriority w:val="34"/>
    <w:rPr>
      <w:kern w:val="2"/>
      <w:sz w:val="21"/>
      <w:szCs w:val="24"/>
    </w:rPr>
  </w:style>
  <w:style w:type="character" w:customStyle="1" w:styleId="198">
    <w:name w:val="内文 Char Char"/>
    <w:link w:val="199"/>
    <w:uiPriority w:val="0"/>
    <w:rPr>
      <w:rFonts w:ascii="Arial" w:hAnsi="Arial" w:eastAsia="Times New Roman"/>
      <w:kern w:val="2"/>
      <w:sz w:val="21"/>
      <w:lang w:val="en-US" w:eastAsia="zh-CN" w:bidi="ar-SA"/>
    </w:rPr>
  </w:style>
  <w:style w:type="paragraph" w:customStyle="1" w:styleId="199">
    <w:name w:val="内文"/>
    <w:link w:val="198"/>
    <w:uiPriority w:val="0"/>
    <w:pPr>
      <w:adjustRightInd w:val="0"/>
      <w:snapToGrid w:val="0"/>
      <w:spacing w:line="400" w:lineRule="exact"/>
      <w:ind w:firstLine="200" w:firstLineChars="200"/>
      <w:jc w:val="both"/>
    </w:pPr>
    <w:rPr>
      <w:rFonts w:ascii="Arial" w:hAnsi="Arial" w:eastAsia="Times New Roman"/>
      <w:kern w:val="2"/>
      <w:sz w:val="21"/>
      <w:lang w:val="en-US" w:eastAsia="zh-CN" w:bidi="ar-SA"/>
    </w:rPr>
  </w:style>
  <w:style w:type="character" w:customStyle="1" w:styleId="200">
    <w:name w:val="文档结构图 Char1"/>
    <w:uiPriority w:val="0"/>
    <w:rPr>
      <w:rFonts w:eastAsia="宋体"/>
      <w:kern w:val="2"/>
      <w:sz w:val="21"/>
      <w:lang w:val="en-US" w:eastAsia="zh-CN"/>
    </w:rPr>
  </w:style>
  <w:style w:type="character" w:customStyle="1" w:styleId="201">
    <w:name w:val="正文2 Char"/>
    <w:link w:val="202"/>
    <w:qFormat/>
    <w:locked/>
    <w:uiPriority w:val="0"/>
    <w:rPr>
      <w:rFonts w:eastAsia="宋体"/>
      <w:kern w:val="2"/>
      <w:sz w:val="24"/>
      <w:lang w:val="en-US" w:eastAsia="zh-CN" w:bidi="ar-SA"/>
    </w:rPr>
  </w:style>
  <w:style w:type="paragraph" w:customStyle="1" w:styleId="202">
    <w:name w:val="正文2"/>
    <w:basedOn w:val="1"/>
    <w:link w:val="201"/>
    <w:qFormat/>
    <w:uiPriority w:val="0"/>
    <w:pPr>
      <w:spacing w:before="156" w:beforeLines="0" w:line="360" w:lineRule="auto"/>
      <w:ind w:firstLine="510" w:firstLineChars="200"/>
    </w:pPr>
    <w:rPr>
      <w:sz w:val="24"/>
    </w:rPr>
  </w:style>
  <w:style w:type="character" w:customStyle="1" w:styleId="203">
    <w:name w:val="日期 Char"/>
    <w:uiPriority w:val="0"/>
    <w:rPr>
      <w:b/>
      <w:bCs/>
      <w:kern w:val="2"/>
      <w:sz w:val="36"/>
      <w:szCs w:val="24"/>
    </w:rPr>
  </w:style>
  <w:style w:type="character" w:customStyle="1" w:styleId="204">
    <w:name w:val="HTML 样本1"/>
    <w:uiPriority w:val="0"/>
    <w:rPr>
      <w:rFonts w:ascii="Courier New" w:hAnsi="Courier New"/>
    </w:rPr>
  </w:style>
  <w:style w:type="character" w:customStyle="1" w:styleId="205">
    <w:name w:val="彩色列表 - 着色 1 字符"/>
    <w:aliases w:val="标题2_hw 字符,Figure_name 字符"/>
    <w:link w:val="206"/>
    <w:uiPriority w:val="34"/>
    <w:rPr>
      <w:kern w:val="2"/>
      <w:sz w:val="21"/>
      <w:szCs w:val="24"/>
    </w:rPr>
  </w:style>
  <w:style w:type="paragraph" w:customStyle="1" w:styleId="206">
    <w:name w:val="彩色列表 - 着色 12"/>
    <w:basedOn w:val="1"/>
    <w:link w:val="205"/>
    <w:qFormat/>
    <w:uiPriority w:val="34"/>
    <w:pPr>
      <w:ind w:firstLine="420" w:firstLineChars="200"/>
    </w:pPr>
    <w:rPr>
      <w:sz w:val="21"/>
      <w:szCs w:val="24"/>
    </w:rPr>
  </w:style>
  <w:style w:type="character" w:customStyle="1" w:styleId="207">
    <w:name w:val="签名 字符"/>
    <w:uiPriority w:val="99"/>
    <w:rPr>
      <w:kern w:val="2"/>
      <w:sz w:val="28"/>
    </w:rPr>
  </w:style>
  <w:style w:type="character" w:customStyle="1" w:styleId="208">
    <w:name w:val="j23x"/>
    <w:uiPriority w:val="0"/>
  </w:style>
  <w:style w:type="character" w:customStyle="1" w:styleId="209">
    <w:name w:val="street-address"/>
    <w:uiPriority w:val="0"/>
  </w:style>
  <w:style w:type="character" w:customStyle="1" w:styleId="210">
    <w:name w:val="Char Char12"/>
    <w:uiPriority w:val="0"/>
    <w:rPr>
      <w:rFonts w:ascii="Arial" w:hAnsi="Arial" w:eastAsia="黑体" w:cs="Times New Roman"/>
      <w:b/>
      <w:bCs/>
      <w:sz w:val="24"/>
      <w:szCs w:val="24"/>
    </w:rPr>
  </w:style>
  <w:style w:type="character" w:customStyle="1" w:styleId="211">
    <w:name w:val="Comment Text Char"/>
    <w:locked/>
    <w:uiPriority w:val="0"/>
    <w:rPr>
      <w:rFonts w:ascii="Times New Roman" w:hAnsi="Times New Roman" w:eastAsia="宋体" w:cs="Times New Roman"/>
      <w:sz w:val="24"/>
      <w:szCs w:val="24"/>
    </w:rPr>
  </w:style>
  <w:style w:type="character" w:customStyle="1" w:styleId="212">
    <w:name w:val="HTML 代码1"/>
    <w:uiPriority w:val="0"/>
    <w:rPr>
      <w:rFonts w:ascii="Courier New" w:hAnsi="Courier New"/>
      <w:sz w:val="20"/>
      <w:szCs w:val="20"/>
    </w:rPr>
  </w:style>
  <w:style w:type="character" w:customStyle="1" w:styleId="213">
    <w:name w:val="Char Char17"/>
    <w:uiPriority w:val="0"/>
    <w:rPr>
      <w:kern w:val="2"/>
      <w:sz w:val="18"/>
      <w:szCs w:val="18"/>
    </w:rPr>
  </w:style>
  <w:style w:type="character" w:customStyle="1" w:styleId="214">
    <w:name w:val="apple-converted-space"/>
    <w:uiPriority w:val="0"/>
  </w:style>
  <w:style w:type="character" w:customStyle="1" w:styleId="215">
    <w:name w:val="正文首行缩进 Char"/>
    <w:link w:val="216"/>
    <w:uiPriority w:val="0"/>
    <w:rPr>
      <w:rFonts w:ascii="宋体"/>
      <w:color w:val="000000"/>
      <w:szCs w:val="24"/>
    </w:rPr>
  </w:style>
  <w:style w:type="paragraph" w:customStyle="1" w:styleId="216">
    <w:name w:val="正文首行缩进1"/>
    <w:basedOn w:val="34"/>
    <w:link w:val="215"/>
    <w:uiPriority w:val="0"/>
    <w:pPr>
      <w:ind w:firstLine="420" w:firstLineChars="100"/>
    </w:pPr>
    <w:rPr>
      <w:rFonts w:ascii="宋体"/>
      <w:color w:val="000000"/>
      <w:kern w:val="0"/>
      <w:sz w:val="20"/>
      <w:szCs w:val="24"/>
    </w:rPr>
  </w:style>
  <w:style w:type="character" w:customStyle="1" w:styleId="217">
    <w:name w:val="正文文本缩进 2 Char"/>
    <w:link w:val="218"/>
    <w:uiPriority w:val="0"/>
    <w:rPr>
      <w:rFonts w:ascii="宋体"/>
      <w:sz w:val="24"/>
    </w:rPr>
  </w:style>
  <w:style w:type="paragraph" w:customStyle="1" w:styleId="218">
    <w:name w:val="正文文本缩进 22"/>
    <w:basedOn w:val="1"/>
    <w:link w:val="217"/>
    <w:uiPriority w:val="0"/>
    <w:pPr>
      <w:adjustRightInd w:val="0"/>
      <w:spacing w:line="400" w:lineRule="atLeast"/>
      <w:ind w:firstLine="540"/>
      <w:textAlignment w:val="baseline"/>
    </w:pPr>
    <w:rPr>
      <w:rFonts w:ascii="宋体"/>
      <w:kern w:val="0"/>
      <w:sz w:val="24"/>
    </w:rPr>
  </w:style>
  <w:style w:type="character" w:customStyle="1" w:styleId="219">
    <w:name w:val="个人答复风格"/>
    <w:uiPriority w:val="0"/>
    <w:rPr>
      <w:rFonts w:ascii="Arial" w:hAnsi="Arial" w:eastAsia="宋体" w:cs="Arial"/>
      <w:color w:val="auto"/>
      <w:sz w:val="20"/>
    </w:rPr>
  </w:style>
  <w:style w:type="character" w:customStyle="1" w:styleId="220">
    <w:name w:val="无格式表格 31"/>
    <w:qFormat/>
    <w:uiPriority w:val="19"/>
    <w:rPr>
      <w:i/>
      <w:iCs/>
      <w:color w:val="808080"/>
    </w:rPr>
  </w:style>
  <w:style w:type="character" w:customStyle="1" w:styleId="221">
    <w:name w:val="标题 4 字符"/>
    <w:semiHidden/>
    <w:uiPriority w:val="9"/>
    <w:rPr>
      <w:rFonts w:ascii="等线 Light" w:hAnsi="等线 Light" w:eastAsia="等线 Light" w:cs="Times New Roman"/>
      <w:b/>
      <w:bCs/>
      <w:kern w:val="2"/>
      <w:sz w:val="28"/>
      <w:szCs w:val="28"/>
    </w:rPr>
  </w:style>
  <w:style w:type="character" w:customStyle="1" w:styleId="222">
    <w:name w:val="正文文本缩进 3 Char"/>
    <w:link w:val="223"/>
    <w:uiPriority w:val="0"/>
    <w:rPr>
      <w:bCs/>
      <w:sz w:val="24"/>
      <w:szCs w:val="24"/>
    </w:rPr>
  </w:style>
  <w:style w:type="paragraph" w:customStyle="1" w:styleId="223">
    <w:name w:val="正文文本缩进 31"/>
    <w:basedOn w:val="1"/>
    <w:link w:val="222"/>
    <w:uiPriority w:val="0"/>
    <w:pPr>
      <w:spacing w:line="360" w:lineRule="auto"/>
      <w:ind w:firstLine="490" w:firstLineChars="204"/>
    </w:pPr>
    <w:rPr>
      <w:bCs/>
      <w:kern w:val="0"/>
      <w:sz w:val="24"/>
      <w:szCs w:val="24"/>
    </w:rPr>
  </w:style>
  <w:style w:type="character" w:customStyle="1" w:styleId="224">
    <w:name w:val="标题 1 1 Char"/>
    <w:aliases w:val="合同标题 Char,卷标题 Char Char,卷标题 Char"/>
    <w:uiPriority w:val="0"/>
    <w:rPr>
      <w:rFonts w:ascii="Times New Roman" w:hAnsi="Times New Roman" w:eastAsia="宋体" w:cs="Times New Roman"/>
      <w:b/>
      <w:bCs/>
      <w:kern w:val="44"/>
      <w:sz w:val="44"/>
      <w:szCs w:val="44"/>
    </w:rPr>
  </w:style>
  <w:style w:type="character" w:customStyle="1" w:styleId="225">
    <w:name w:val="标题 5 字符"/>
    <w:semiHidden/>
    <w:uiPriority w:val="9"/>
    <w:rPr>
      <w:rFonts w:ascii="Times New Roman" w:hAnsi="Times New Roman" w:eastAsia="宋体"/>
      <w:b/>
      <w:bCs/>
      <w:kern w:val="2"/>
      <w:sz w:val="28"/>
      <w:szCs w:val="28"/>
    </w:rPr>
  </w:style>
  <w:style w:type="character" w:customStyle="1" w:styleId="226">
    <w:name w:val="标题 9 Char1"/>
    <w:uiPriority w:val="0"/>
    <w:rPr>
      <w:rFonts w:ascii="Arial" w:hAnsi="Arial" w:eastAsia="黑体"/>
      <w:sz w:val="21"/>
      <w:lang w:val="en-US" w:eastAsia="zh-CN"/>
    </w:rPr>
  </w:style>
  <w:style w:type="character" w:customStyle="1" w:styleId="227">
    <w:name w:val="样式10 Char"/>
    <w:link w:val="228"/>
    <w:uiPriority w:val="0"/>
    <w:rPr>
      <w:b/>
      <w:kern w:val="2"/>
      <w:sz w:val="24"/>
      <w:szCs w:val="24"/>
    </w:rPr>
  </w:style>
  <w:style w:type="paragraph" w:customStyle="1" w:styleId="228">
    <w:name w:val="样式10"/>
    <w:basedOn w:val="1"/>
    <w:link w:val="227"/>
    <w:qFormat/>
    <w:uiPriority w:val="0"/>
    <w:pPr>
      <w:spacing w:line="360" w:lineRule="auto"/>
    </w:pPr>
    <w:rPr>
      <w:b/>
      <w:sz w:val="24"/>
      <w:szCs w:val="24"/>
    </w:rPr>
  </w:style>
  <w:style w:type="character" w:customStyle="1" w:styleId="229">
    <w:name w:val="z-窗体顶端 Char1"/>
    <w:link w:val="230"/>
    <w:uiPriority w:val="0"/>
    <w:rPr>
      <w:rFonts w:ascii="Arial" w:hAnsi="Arial" w:cs="Arial"/>
      <w:vanish/>
      <w:kern w:val="2"/>
      <w:sz w:val="16"/>
      <w:szCs w:val="16"/>
    </w:rPr>
  </w:style>
  <w:style w:type="paragraph" w:styleId="230">
    <w:name w:val=""/>
    <w:basedOn w:val="1"/>
    <w:next w:val="1"/>
    <w:link w:val="229"/>
    <w:uiPriority w:val="0"/>
    <w:pPr>
      <w:pBdr>
        <w:bottom w:val="single" w:color="auto" w:sz="6" w:space="1"/>
      </w:pBdr>
      <w:jc w:val="center"/>
    </w:pPr>
    <w:rPr>
      <w:rFonts w:ascii="Arial" w:hAnsi="Arial"/>
      <w:vanish/>
      <w:sz w:val="16"/>
      <w:szCs w:val="16"/>
    </w:rPr>
  </w:style>
  <w:style w:type="character" w:customStyle="1" w:styleId="231">
    <w:name w:val="brown1"/>
    <w:uiPriority w:val="0"/>
    <w:rPr>
      <w:color w:val="80786A"/>
    </w:rPr>
  </w:style>
  <w:style w:type="character" w:customStyle="1" w:styleId="232">
    <w:name w:val="Char Char16"/>
    <w:uiPriority w:val="0"/>
    <w:rPr>
      <w:kern w:val="2"/>
      <w:sz w:val="18"/>
      <w:szCs w:val="18"/>
    </w:rPr>
  </w:style>
  <w:style w:type="character" w:customStyle="1" w:styleId="233">
    <w:name w:val="正文首行缩进 2 字符"/>
    <w:uiPriority w:val="99"/>
  </w:style>
  <w:style w:type="character" w:customStyle="1" w:styleId="234">
    <w:name w:val="标题 6 字符"/>
    <w:semiHidden/>
    <w:uiPriority w:val="9"/>
    <w:rPr>
      <w:rFonts w:ascii="等线 Light" w:hAnsi="等线 Light" w:eastAsia="等线 Light" w:cs="Times New Roman"/>
      <w:b/>
      <w:bCs/>
      <w:kern w:val="2"/>
      <w:sz w:val="24"/>
      <w:szCs w:val="24"/>
    </w:rPr>
  </w:style>
  <w:style w:type="character" w:customStyle="1" w:styleId="235">
    <w:name w:val="纯文本 Char"/>
    <w:qFormat/>
    <w:uiPriority w:val="0"/>
    <w:rPr>
      <w:rFonts w:ascii="宋体" w:hAnsi="Courier New" w:eastAsia="宋体"/>
      <w:kern w:val="2"/>
      <w:sz w:val="21"/>
      <w:szCs w:val="21"/>
      <w:lang w:bidi="ar-SA"/>
    </w:rPr>
  </w:style>
  <w:style w:type="character" w:customStyle="1" w:styleId="236">
    <w:name w:val="even Char Char"/>
    <w:uiPriority w:val="0"/>
    <w:rPr>
      <w:rFonts w:ascii="Times New Roman" w:hAnsi="Times New Roman" w:eastAsia="宋体" w:cs="Times New Roman"/>
      <w:sz w:val="18"/>
      <w:szCs w:val="18"/>
    </w:rPr>
  </w:style>
  <w:style w:type="character" w:customStyle="1" w:styleId="237">
    <w:name w:val="标题 1 1 Char1"/>
    <w:aliases w:val="标题 1 Char Char Char Char Char1,H1 Char1,标题 卷标题 Char1,-*+ Char1,章标题 1 Char1,Heading 1 Char2 Char1,Heading 1 Char Char1 Char1,标题 1 1 Char Char1 Char1,head:1# Char Char1 Char1,Head 1 字元 Char Char1 Char1,Head 1 Char Char1 Char1"/>
    <w:uiPriority w:val="0"/>
    <w:rPr>
      <w:rFonts w:ascii="Times New Roman" w:hAnsi="Times New Roman" w:eastAsia="宋体" w:cs="Times New Roman"/>
      <w:b/>
      <w:bCs/>
      <w:kern w:val="44"/>
      <w:sz w:val="44"/>
      <w:szCs w:val="44"/>
    </w:rPr>
  </w:style>
  <w:style w:type="character" w:customStyle="1" w:styleId="238">
    <w:name w:val="标题 1 Char2"/>
    <w:aliases w:val="H1 Char2,Heading 0 Char1,Section Head Char1,h1 Char1,1st level Char1,l1 Char1,H11 Char1,H12 Char1,H13 Char1,H14 Char1,H15 Char1,H16 Char1,H17 Char1,PIM 1 Char1,(F2) Char1,titre niveau 1 Char1,H111 Char1,H112 Char1,TITRE1 Char1,Title1 Char1"/>
    <w:uiPriority w:val="0"/>
    <w:rPr>
      <w:rFonts w:ascii="Arial Unicode MS" w:hAnsi="Arial Unicode MS" w:eastAsia="Arial Unicode MS"/>
      <w:b/>
      <w:kern w:val="36"/>
      <w:sz w:val="48"/>
      <w:lang w:val="en-US" w:eastAsia="zh-CN"/>
    </w:rPr>
  </w:style>
  <w:style w:type="character" w:customStyle="1" w:styleId="239">
    <w:name w:val="样式1 Char Char"/>
    <w:link w:val="240"/>
    <w:uiPriority w:val="0"/>
    <w:rPr>
      <w:rFonts w:ascii="黑体"/>
      <w:b/>
      <w:sz w:val="32"/>
    </w:rPr>
  </w:style>
  <w:style w:type="paragraph" w:customStyle="1" w:styleId="240">
    <w:name w:val="样式1"/>
    <w:basedOn w:val="2"/>
    <w:link w:val="239"/>
    <w:uiPriority w:val="0"/>
    <w:pPr>
      <w:tabs>
        <w:tab w:val="left" w:pos="-839"/>
      </w:tabs>
      <w:ind w:left="1320" w:hanging="1320"/>
    </w:pPr>
  </w:style>
  <w:style w:type="character" w:customStyle="1" w:styleId="241">
    <w:name w:val="标题 6 Char1"/>
    <w:uiPriority w:val="0"/>
    <w:rPr>
      <w:rFonts w:ascii="Arial" w:hAnsi="Arial" w:eastAsia="黑体"/>
      <w:b/>
      <w:sz w:val="24"/>
      <w:lang w:val="en-US" w:eastAsia="zh-CN"/>
    </w:rPr>
  </w:style>
  <w:style w:type="character" w:customStyle="1" w:styleId="242">
    <w:name w:val="zbggmain"/>
    <w:uiPriority w:val="0"/>
  </w:style>
  <w:style w:type="character" w:customStyle="1" w:styleId="243">
    <w:name w:val="标题 4 Char1"/>
    <w:uiPriority w:val="0"/>
    <w:rPr>
      <w:rFonts w:ascii="Arial" w:hAnsi="Arial" w:eastAsia="黑体"/>
      <w:b/>
      <w:kern w:val="2"/>
      <w:sz w:val="28"/>
      <w:lang w:val="en-US" w:eastAsia="zh-CN"/>
    </w:rPr>
  </w:style>
  <w:style w:type="character" w:customStyle="1" w:styleId="244">
    <w:name w:val="Char Char23"/>
    <w:uiPriority w:val="0"/>
    <w:rPr>
      <w:rFonts w:eastAsia="宋体"/>
      <w:b/>
      <w:bCs/>
      <w:kern w:val="44"/>
      <w:sz w:val="44"/>
      <w:szCs w:val="44"/>
      <w:lang w:val="en-US" w:eastAsia="zh-CN" w:bidi="ar-SA"/>
    </w:rPr>
  </w:style>
  <w:style w:type="character" w:customStyle="1" w:styleId="245">
    <w:name w:val="正文2 Char Char"/>
    <w:qFormat/>
    <w:uiPriority w:val="0"/>
    <w:rPr>
      <w:rFonts w:eastAsia="宋体"/>
      <w:kern w:val="2"/>
      <w:sz w:val="24"/>
      <w:lang w:val="en-US" w:eastAsia="zh-CN" w:bidi="ar-SA"/>
    </w:rPr>
  </w:style>
  <w:style w:type="character" w:customStyle="1" w:styleId="246">
    <w:name w:val="Hyperlink.0"/>
    <w:uiPriority w:val="0"/>
    <w:rPr>
      <w:rFonts w:ascii="宋体" w:hAnsi="宋体" w:eastAsia="宋体"/>
      <w:sz w:val="24"/>
      <w:lang w:val="en-US"/>
    </w:rPr>
  </w:style>
  <w:style w:type="character" w:customStyle="1" w:styleId="247">
    <w:name w:val="HTML 引文1"/>
    <w:uiPriority w:val="0"/>
    <w:rPr>
      <w:i/>
      <w:iCs/>
    </w:rPr>
  </w:style>
  <w:style w:type="character" w:customStyle="1" w:styleId="248">
    <w:name w:val="fonts11"/>
    <w:uiPriority w:val="0"/>
    <w:rPr>
      <w:sz w:val="18"/>
      <w:szCs w:val="18"/>
    </w:rPr>
  </w:style>
  <w:style w:type="character" w:customStyle="1" w:styleId="249">
    <w:name w:val="批注主题 字符"/>
    <w:uiPriority w:val="99"/>
    <w:rPr>
      <w:b/>
      <w:bCs/>
      <w:kern w:val="2"/>
      <w:sz w:val="28"/>
    </w:rPr>
  </w:style>
  <w:style w:type="character" w:customStyle="1" w:styleId="250">
    <w:name w:val="批注引用1"/>
    <w:uiPriority w:val="0"/>
    <w:rPr>
      <w:sz w:val="21"/>
      <w:szCs w:val="21"/>
    </w:rPr>
  </w:style>
  <w:style w:type="character" w:customStyle="1" w:styleId="251">
    <w:name w:val="批注主题 Char"/>
    <w:link w:val="252"/>
    <w:uiPriority w:val="0"/>
    <w:rPr>
      <w:rFonts w:ascii="宋体"/>
      <w:b/>
      <w:bCs/>
      <w:kern w:val="2"/>
      <w:sz w:val="28"/>
      <w:szCs w:val="24"/>
    </w:rPr>
  </w:style>
  <w:style w:type="paragraph" w:customStyle="1" w:styleId="252">
    <w:name w:val="批注主题1"/>
    <w:basedOn w:val="28"/>
    <w:next w:val="28"/>
    <w:link w:val="251"/>
    <w:uiPriority w:val="0"/>
    <w:rPr>
      <w:rFonts w:ascii="宋体"/>
      <w:b/>
      <w:bCs/>
      <w:sz w:val="28"/>
    </w:rPr>
  </w:style>
  <w:style w:type="character" w:customStyle="1" w:styleId="253">
    <w:name w:val="z-窗体底端 字符"/>
    <w:semiHidden/>
    <w:uiPriority w:val="99"/>
    <w:rPr>
      <w:rFonts w:ascii="Arial" w:hAnsi="Arial" w:cs="Arial"/>
      <w:vanish/>
      <w:kern w:val="2"/>
      <w:sz w:val="16"/>
      <w:szCs w:val="16"/>
    </w:rPr>
  </w:style>
  <w:style w:type="character" w:customStyle="1" w:styleId="254">
    <w:name w:val="公文正文 Char"/>
    <w:link w:val="255"/>
    <w:uiPriority w:val="0"/>
    <w:rPr>
      <w:rFonts w:ascii="仿宋_GB2312" w:eastAsia="仿宋_GB2312"/>
      <w:kern w:val="2"/>
      <w:sz w:val="24"/>
      <w:szCs w:val="24"/>
      <w:lang w:val="en-US" w:eastAsia="zh-CN" w:bidi="ar-SA"/>
    </w:rPr>
  </w:style>
  <w:style w:type="paragraph" w:customStyle="1" w:styleId="255">
    <w:name w:val="公文正文"/>
    <w:basedOn w:val="1"/>
    <w:link w:val="254"/>
    <w:uiPriority w:val="0"/>
    <w:pPr>
      <w:spacing w:before="156" w:beforeLines="0" w:line="360" w:lineRule="auto"/>
      <w:ind w:firstLine="360" w:firstLineChars="200"/>
    </w:pPr>
    <w:rPr>
      <w:rFonts w:ascii="仿宋_GB2312" w:eastAsia="仿宋_GB2312"/>
      <w:sz w:val="24"/>
      <w:szCs w:val="24"/>
    </w:rPr>
  </w:style>
  <w:style w:type="character" w:customStyle="1" w:styleId="256">
    <w:name w:val="纯文本 Char2"/>
    <w:aliases w:val="纯文本 Char Char Char1 Char,纯文本 Char Char2 Char,普通文字 Char Char Char Char1 Char,普通文字 Char Char Char Char Char Char,纯文本 Char1 Char Char Char Char,纯文本 Char Char1 Char Char,纯文本 Char1 Char Char1 Char,纯文本 Char Char Char Char Char"/>
    <w:uiPriority w:val="0"/>
    <w:rPr>
      <w:rFonts w:ascii="宋体" w:hAnsi="Courier New" w:eastAsia="宋体"/>
      <w:kern w:val="2"/>
      <w:sz w:val="21"/>
      <w:lang w:val="en-US" w:eastAsia="zh-CN"/>
    </w:rPr>
  </w:style>
  <w:style w:type="character" w:customStyle="1" w:styleId="257">
    <w:name w:val="font31"/>
    <w:uiPriority w:val="0"/>
    <w:rPr>
      <w:rFonts w:hint="eastAsia" w:ascii="宋体" w:hAnsi="宋体" w:eastAsia="宋体"/>
      <w:color w:val="0000FF"/>
      <w:sz w:val="21"/>
      <w:szCs w:val="21"/>
      <w:u w:val="none"/>
      <w:vertAlign w:val="superscript"/>
    </w:rPr>
  </w:style>
  <w:style w:type="character" w:customStyle="1" w:styleId="258">
    <w:name w:val="正文文本 3 字符"/>
    <w:uiPriority w:val="99"/>
    <w:rPr>
      <w:kern w:val="2"/>
      <w:sz w:val="16"/>
      <w:szCs w:val="16"/>
    </w:rPr>
  </w:style>
  <w:style w:type="character" w:customStyle="1" w:styleId="259">
    <w:name w:val="my Char"/>
    <w:link w:val="260"/>
    <w:uiPriority w:val="0"/>
    <w:rPr>
      <w:rFonts w:ascii="宋体" w:hAnsi="宋体"/>
      <w:snapToGrid/>
      <w:kern w:val="2"/>
      <w:sz w:val="24"/>
    </w:rPr>
  </w:style>
  <w:style w:type="paragraph" w:customStyle="1" w:styleId="260">
    <w:name w:val="my"/>
    <w:basedOn w:val="1"/>
    <w:link w:val="259"/>
    <w:uiPriority w:val="0"/>
    <w:pPr>
      <w:widowControl/>
      <w:tabs>
        <w:tab w:val="left" w:pos="0"/>
        <w:tab w:val="left" w:pos="5823"/>
      </w:tabs>
      <w:adjustRightInd w:val="0"/>
      <w:ind w:firstLine="480" w:firstLineChars="200"/>
    </w:pPr>
    <w:rPr>
      <w:rFonts w:ascii="宋体" w:hAnsi="宋体"/>
      <w:sz w:val="24"/>
    </w:rPr>
  </w:style>
  <w:style w:type="character" w:customStyle="1" w:styleId="261">
    <w:name w:val="Title Char"/>
    <w:locked/>
    <w:uiPriority w:val="0"/>
    <w:rPr>
      <w:rFonts w:ascii="Arial" w:hAnsi="Arial" w:eastAsia="宋体" w:cs="Arial"/>
      <w:b/>
      <w:bCs/>
      <w:kern w:val="2"/>
      <w:sz w:val="32"/>
      <w:szCs w:val="32"/>
      <w:lang w:val="en-US" w:eastAsia="zh-CN" w:bidi="ar-SA"/>
    </w:rPr>
  </w:style>
  <w:style w:type="character" w:customStyle="1" w:styleId="262">
    <w:name w:val="HTML 打字机1"/>
    <w:uiPriority w:val="0"/>
    <w:rPr>
      <w:rFonts w:ascii="Courier New" w:hAnsi="Courier New"/>
      <w:sz w:val="20"/>
      <w:szCs w:val="20"/>
    </w:rPr>
  </w:style>
  <w:style w:type="character" w:customStyle="1" w:styleId="263">
    <w:name w:val="HTML 缩写1"/>
    <w:uiPriority w:val="0"/>
  </w:style>
  <w:style w:type="character" w:customStyle="1" w:styleId="264">
    <w:name w:val="标题 Char2"/>
    <w:uiPriority w:val="0"/>
    <w:rPr>
      <w:rFonts w:ascii="Arial" w:hAnsi="Arial" w:eastAsia="宋体"/>
      <w:b/>
      <w:sz w:val="32"/>
      <w:lang w:val="en-US" w:eastAsia="zh-CN"/>
    </w:rPr>
  </w:style>
  <w:style w:type="character" w:customStyle="1" w:styleId="265">
    <w:name w:val="页码1"/>
    <w:uiPriority w:val="0"/>
  </w:style>
  <w:style w:type="character" w:customStyle="1" w:styleId="266">
    <w:name w:val="发布"/>
    <w:uiPriority w:val="0"/>
    <w:rPr>
      <w:rFonts w:ascii="黑体" w:eastAsia="黑体"/>
      <w:spacing w:val="22"/>
      <w:w w:val="100"/>
      <w:position w:val="3"/>
      <w:sz w:val="28"/>
    </w:rPr>
  </w:style>
  <w:style w:type="character" w:customStyle="1" w:styleId="267">
    <w:name w:val="textnorm_chn1"/>
    <w:qFormat/>
    <w:uiPriority w:val="0"/>
    <w:rPr>
      <w:rFonts w:hint="default" w:ascii="Arial" w:hAnsi="Arial" w:cs="Arial"/>
      <w:color w:val="21254A"/>
      <w:sz w:val="22"/>
      <w:szCs w:val="22"/>
    </w:rPr>
  </w:style>
  <w:style w:type="character" w:customStyle="1" w:styleId="268">
    <w:name w:val="页脚 Char"/>
    <w:qFormat/>
    <w:uiPriority w:val="99"/>
    <w:rPr>
      <w:rFonts w:eastAsia="宋体"/>
      <w:kern w:val="2"/>
      <w:sz w:val="18"/>
      <w:szCs w:val="18"/>
      <w:lang w:val="en-US" w:eastAsia="zh-CN" w:bidi="ar-SA"/>
    </w:rPr>
  </w:style>
  <w:style w:type="character" w:customStyle="1" w:styleId="269">
    <w:name w:val="bulletintext1"/>
    <w:uiPriority w:val="0"/>
    <w:rPr>
      <w:color w:val="000000"/>
      <w:sz w:val="18"/>
    </w:rPr>
  </w:style>
  <w:style w:type="character" w:customStyle="1" w:styleId="270">
    <w:name w:val="批注框文本 字符"/>
    <w:semiHidden/>
    <w:uiPriority w:val="99"/>
    <w:rPr>
      <w:rFonts w:ascii="Times New Roman" w:hAnsi="Times New Roman" w:eastAsia="宋体"/>
      <w:kern w:val="2"/>
      <w:sz w:val="18"/>
      <w:szCs w:val="18"/>
    </w:rPr>
  </w:style>
  <w:style w:type="character" w:customStyle="1" w:styleId="271">
    <w:name w:val="font14news1"/>
    <w:uiPriority w:val="0"/>
    <w:rPr>
      <w:color w:val="333333"/>
      <w:sz w:val="21"/>
    </w:rPr>
  </w:style>
  <w:style w:type="character" w:customStyle="1" w:styleId="272">
    <w:name w:val="标题 8 字符"/>
    <w:semiHidden/>
    <w:uiPriority w:val="9"/>
    <w:rPr>
      <w:rFonts w:ascii="等线 Light" w:hAnsi="等线 Light" w:eastAsia="等线 Light" w:cs="Times New Roman"/>
      <w:kern w:val="2"/>
      <w:sz w:val="24"/>
      <w:szCs w:val="24"/>
    </w:rPr>
  </w:style>
  <w:style w:type="character" w:customStyle="1" w:styleId="273">
    <w:name w:val="highlight1"/>
    <w:uiPriority w:val="0"/>
    <w:rPr>
      <w:color w:val="FF0000"/>
    </w:rPr>
  </w:style>
  <w:style w:type="character" w:customStyle="1" w:styleId="274">
    <w:name w:val="HTML 预设格式 Char1"/>
    <w:locked/>
    <w:uiPriority w:val="0"/>
    <w:rPr>
      <w:rFonts w:ascii="Courier New" w:hAnsi="Courier New" w:eastAsia="宋体"/>
      <w:kern w:val="2"/>
    </w:rPr>
  </w:style>
  <w:style w:type="character" w:customStyle="1" w:styleId="275">
    <w:name w:val="宏文本 字符"/>
    <w:uiPriority w:val="99"/>
    <w:rPr>
      <w:rFonts w:ascii="Courier New" w:hAnsi="Courier New" w:cs="Courier New"/>
      <w:kern w:val="2"/>
      <w:sz w:val="24"/>
      <w:szCs w:val="24"/>
    </w:rPr>
  </w:style>
  <w:style w:type="character" w:customStyle="1" w:styleId="276">
    <w:name w:val="标题 4 Char Char Char Char Char Char"/>
    <w:aliases w:val="标题 4 Char Char Char Char Char1,标题 4 Char Char Char Char Char2"/>
    <w:uiPriority w:val="0"/>
    <w:rPr>
      <w:rFonts w:eastAsia="宋体"/>
      <w:kern w:val="2"/>
      <w:sz w:val="24"/>
      <w:szCs w:val="24"/>
      <w:lang w:val="en-US" w:eastAsia="zh-CN" w:bidi="ar-SA"/>
    </w:rPr>
  </w:style>
  <w:style w:type="character" w:customStyle="1" w:styleId="277">
    <w:name w:val="正文文本 Char"/>
    <w:uiPriority w:val="0"/>
    <w:rPr>
      <w:kern w:val="2"/>
      <w:sz w:val="21"/>
      <w:szCs w:val="24"/>
    </w:rPr>
  </w:style>
  <w:style w:type="character" w:customStyle="1" w:styleId="278">
    <w:name w:val="标题 3 字符"/>
    <w:semiHidden/>
    <w:uiPriority w:val="9"/>
    <w:rPr>
      <w:rFonts w:ascii="Times New Roman" w:hAnsi="Times New Roman" w:eastAsia="宋体"/>
      <w:b/>
      <w:bCs/>
      <w:kern w:val="2"/>
      <w:sz w:val="32"/>
      <w:szCs w:val="32"/>
    </w:rPr>
  </w:style>
  <w:style w:type="character" w:customStyle="1" w:styleId="279">
    <w:name w:val="标题1"/>
    <w:uiPriority w:val="0"/>
    <w:rPr>
      <w:b/>
      <w:bCs/>
      <w:sz w:val="28"/>
    </w:rPr>
  </w:style>
  <w:style w:type="character" w:customStyle="1" w:styleId="280">
    <w:name w:val="标题 7 Char1"/>
    <w:uiPriority w:val="0"/>
    <w:rPr>
      <w:rFonts w:eastAsia="宋体"/>
      <w:b/>
      <w:sz w:val="24"/>
      <w:lang w:val="en-US" w:eastAsia="zh-CN"/>
    </w:rPr>
  </w:style>
  <w:style w:type="character" w:customStyle="1" w:styleId="281">
    <w:name w:val="电子邮件签名 字符"/>
    <w:uiPriority w:val="99"/>
    <w:rPr>
      <w:kern w:val="2"/>
      <w:sz w:val="28"/>
    </w:rPr>
  </w:style>
  <w:style w:type="character" w:customStyle="1" w:styleId="282">
    <w:name w:val="bookmark-item"/>
    <w:uiPriority w:val="0"/>
  </w:style>
  <w:style w:type="character" w:customStyle="1" w:styleId="283">
    <w:name w:val="个人撰写风格"/>
    <w:uiPriority w:val="0"/>
    <w:rPr>
      <w:rFonts w:ascii="Arial" w:hAnsi="Arial" w:eastAsia="宋体" w:cs="Arial"/>
      <w:color w:val="auto"/>
      <w:sz w:val="20"/>
    </w:rPr>
  </w:style>
  <w:style w:type="character" w:customStyle="1" w:styleId="284">
    <w:name w:val="纯文本 字符"/>
    <w:aliases w:val="普通文字 Char 字符,纯文本 Char Char 字符,普通文字 字符,普通文字 Char Char Char Char 字符,普通文字 Char Char Char 字符,纯文本 Char Char Char Char Char Char Char Char Char Char Char Char Char 字符,小 字符,普通文字1 字符,普通文字2 字符,普通文字3 字符,普通文字4 字符,普通文字5 字符,普通文字6 字符,普通文字11 字符,普通文字21 字符,普通 字符"/>
    <w:uiPriority w:val="99"/>
    <w:rPr>
      <w:rFonts w:ascii="宋体" w:hAnsi="Courier New" w:eastAsia="宋体"/>
      <w:kern w:val="2"/>
      <w:sz w:val="21"/>
      <w:szCs w:val="21"/>
      <w:lang w:bidi="ar-SA"/>
    </w:rPr>
  </w:style>
  <w:style w:type="character" w:customStyle="1" w:styleId="285">
    <w:name w:val="正文文本缩进 Char"/>
    <w:uiPriority w:val="0"/>
    <w:rPr>
      <w:kern w:val="2"/>
      <w:sz w:val="21"/>
      <w:szCs w:val="24"/>
    </w:rPr>
  </w:style>
  <w:style w:type="character" w:customStyle="1" w:styleId="286">
    <w:name w:val="标题 8 Char1"/>
    <w:uiPriority w:val="0"/>
    <w:rPr>
      <w:rFonts w:ascii="Arial" w:hAnsi="Arial" w:eastAsia="黑体"/>
      <w:sz w:val="24"/>
      <w:lang w:val="en-US" w:eastAsia="zh-CN"/>
    </w:rPr>
  </w:style>
  <w:style w:type="character" w:customStyle="1" w:styleId="287">
    <w:name w:val="标题 1 Char1"/>
    <w:aliases w:val="标题 1 Char Char Char Char Char,标题 卷标题 Char,-*+ Char,章标题 1 Char,Heading 1 Char2 Char,Heading 1 Char Char1 Char,标题 1 1 Char Char1 Char,head:1# Char Char1 Char,Head 1 字元 Char Char1 Char,Head 1 Char Char1 Char,标题 1 1 Char2 Char"/>
    <w:uiPriority w:val="0"/>
    <w:rPr>
      <w:rFonts w:eastAsia="宋体"/>
      <w:b/>
      <w:bCs/>
      <w:kern w:val="44"/>
      <w:sz w:val="44"/>
      <w:szCs w:val="44"/>
      <w:lang w:val="en-US" w:eastAsia="zh-CN"/>
    </w:rPr>
  </w:style>
  <w:style w:type="character" w:customStyle="1" w:styleId="288">
    <w:name w:val="content3"/>
    <w:uiPriority w:val="0"/>
    <w:rPr>
      <w:b/>
      <w:bCs/>
      <w:sz w:val="18"/>
      <w:szCs w:val="18"/>
    </w:rPr>
  </w:style>
  <w:style w:type="character" w:customStyle="1" w:styleId="289">
    <w:name w:val="Char Char13"/>
    <w:uiPriority w:val="0"/>
    <w:rPr>
      <w:rFonts w:ascii="Times New Roman" w:hAnsi="Times New Roman" w:eastAsia="宋体" w:cs="Times New Roman"/>
      <w:b/>
      <w:bCs/>
      <w:sz w:val="28"/>
      <w:szCs w:val="28"/>
    </w:rPr>
  </w:style>
  <w:style w:type="character" w:customStyle="1" w:styleId="290">
    <w:name w:val="H3 Char"/>
    <w:aliases w:val="章标题1 Char,l3 Char,CT Char,h3 Char,3rd level Char,3 Char,Level 3 Head Char,level_3 Char,PIM 3 Char,sect1.2.3 Char,prop3 Char,3heading Char,heading 3 Char,Heading 31 Char,1.1.1 Heading 3 Char,Bold Head Char,bh Char,sect1.2.31 Char,sect1.2.32 Char"/>
    <w:uiPriority w:val="0"/>
    <w:rPr>
      <w:rFonts w:eastAsia="宋体"/>
      <w:b/>
      <w:kern w:val="2"/>
      <w:sz w:val="32"/>
      <w:lang w:val="en-US" w:eastAsia="zh-CN"/>
    </w:rPr>
  </w:style>
  <w:style w:type="character" w:customStyle="1" w:styleId="291">
    <w:name w:val="z-窗体底端 Char"/>
    <w:link w:val="292"/>
    <w:uiPriority w:val="0"/>
    <w:rPr>
      <w:rFonts w:ascii="Arial" w:hAnsi="Arial" w:cs="Arial"/>
      <w:vanish/>
      <w:kern w:val="2"/>
      <w:sz w:val="16"/>
      <w:szCs w:val="16"/>
    </w:rPr>
  </w:style>
  <w:style w:type="paragraph" w:styleId="292">
    <w:name w:val=""/>
    <w:basedOn w:val="1"/>
    <w:next w:val="1"/>
    <w:link w:val="291"/>
    <w:uiPriority w:val="0"/>
    <w:pPr>
      <w:pBdr>
        <w:top w:val="single" w:color="auto" w:sz="6" w:space="1"/>
      </w:pBdr>
      <w:jc w:val="center"/>
    </w:pPr>
    <w:rPr>
      <w:rFonts w:ascii="Arial" w:hAnsi="Arial"/>
      <w:vanish/>
      <w:sz w:val="16"/>
      <w:szCs w:val="16"/>
    </w:rPr>
  </w:style>
  <w:style w:type="character" w:customStyle="1" w:styleId="293">
    <w:name w:val="Char Char6"/>
    <w:uiPriority w:val="0"/>
    <w:rPr>
      <w:rFonts w:ascii="宋体" w:hAnsi="Courier New" w:eastAsia="宋体" w:cs="Courier New"/>
      <w:kern w:val="2"/>
      <w:sz w:val="21"/>
      <w:szCs w:val="21"/>
      <w:lang w:val="en-US" w:eastAsia="zh-CN" w:bidi="ar-SA"/>
    </w:rPr>
  </w:style>
  <w:style w:type="character" w:customStyle="1" w:styleId="294">
    <w:name w:val="标题 Char"/>
    <w:uiPriority w:val="0"/>
    <w:rPr>
      <w:rFonts w:ascii="Arial" w:hAnsi="Arial" w:eastAsia="宋体" w:cs="Arial"/>
      <w:b/>
      <w:bCs/>
      <w:kern w:val="2"/>
      <w:sz w:val="32"/>
      <w:szCs w:val="32"/>
      <w:lang w:val="en-US" w:eastAsia="zh-CN" w:bidi="ar-SA"/>
    </w:rPr>
  </w:style>
  <w:style w:type="character" w:customStyle="1" w:styleId="295">
    <w:name w:val="页眉 Char"/>
    <w:aliases w:val="even Char1"/>
    <w:uiPriority w:val="99"/>
    <w:rPr>
      <w:rFonts w:eastAsia="宋体"/>
      <w:kern w:val="2"/>
      <w:sz w:val="18"/>
      <w:szCs w:val="18"/>
      <w:lang w:val="en-US" w:eastAsia="zh-CN" w:bidi="ar-SA"/>
    </w:rPr>
  </w:style>
  <w:style w:type="character" w:customStyle="1" w:styleId="296">
    <w:name w:val="脚注文本 字符"/>
    <w:uiPriority w:val="99"/>
    <w:rPr>
      <w:kern w:val="2"/>
      <w:sz w:val="18"/>
      <w:szCs w:val="18"/>
    </w:rPr>
  </w:style>
  <w:style w:type="character" w:customStyle="1" w:styleId="297">
    <w:name w:val="正文文本缩进 2 字符"/>
    <w:semiHidden/>
    <w:uiPriority w:val="99"/>
    <w:rPr>
      <w:rFonts w:ascii="Times New Roman" w:hAnsi="Times New Roman" w:eastAsia="宋体"/>
      <w:kern w:val="2"/>
      <w:sz w:val="21"/>
      <w:szCs w:val="24"/>
    </w:rPr>
  </w:style>
  <w:style w:type="character" w:customStyle="1" w:styleId="298">
    <w:name w:val="H1 Char"/>
    <w:aliases w:val="Heading 0 Char,Section Head Char,h1 Char,1st level Char,l1 Char,H11 Char,H12 Char,H13 Char,H14 Char,H15 Char,H16 Char,H17 Char,PIM 1 Char,(F2) Char,titre niveau 1 Char,H111 Char,H112 Char,TITRE1 Char,Title1 Char,I1 Char,heading 1 Char,Sec1 Char"/>
    <w:uiPriority w:val="0"/>
    <w:rPr>
      <w:rFonts w:ascii="Arial Unicode MS" w:hAnsi="Arial Unicode MS" w:eastAsia="Arial Unicode MS"/>
      <w:b/>
      <w:kern w:val="36"/>
      <w:sz w:val="48"/>
      <w:lang w:val="en-US" w:eastAsia="zh-CN"/>
    </w:rPr>
  </w:style>
  <w:style w:type="character" w:customStyle="1" w:styleId="299">
    <w:name w:val="正文文本 2 字符"/>
    <w:uiPriority w:val="99"/>
    <w:rPr>
      <w:kern w:val="2"/>
      <w:sz w:val="28"/>
    </w:rPr>
  </w:style>
  <w:style w:type="character" w:customStyle="1" w:styleId="300">
    <w:name w:val="标题 5 Char1"/>
    <w:aliases w:val=" Char Char Char Char1,标题 5 Char Char,标题1.1.1.1.1 Char,55 Char,H5 Char,h5 Char,PIM 5 Char,55 Char Char Char"/>
    <w:uiPriority w:val="0"/>
    <w:rPr>
      <w:rFonts w:eastAsia="宋体"/>
      <w:b/>
      <w:sz w:val="28"/>
      <w:lang w:val="en-US" w:eastAsia="zh-CN" w:bidi="ar-SA"/>
    </w:rPr>
  </w:style>
  <w:style w:type="character" w:customStyle="1" w:styleId="301">
    <w:name w:val="567r"/>
    <w:uiPriority w:val="0"/>
  </w:style>
  <w:style w:type="character" w:customStyle="1" w:styleId="302">
    <w:name w:val="style1 style6 style7"/>
    <w:uiPriority w:val="0"/>
  </w:style>
  <w:style w:type="character" w:customStyle="1" w:styleId="303">
    <w:name w:val="HTML 变量1"/>
    <w:uiPriority w:val="0"/>
    <w:rPr>
      <w:i/>
      <w:iCs/>
    </w:rPr>
  </w:style>
  <w:style w:type="character" w:customStyle="1" w:styleId="304">
    <w:name w:val="日期 Char1"/>
    <w:semiHidden/>
    <w:uiPriority w:val="99"/>
    <w:rPr>
      <w:rFonts w:ascii="Times New Roman" w:hAnsi="Times New Roman" w:eastAsia="宋体" w:cs="Times New Roman"/>
      <w:szCs w:val="24"/>
    </w:rPr>
  </w:style>
  <w:style w:type="character" w:customStyle="1" w:styleId="305">
    <w:name w:val="font161"/>
    <w:uiPriority w:val="0"/>
    <w:rPr>
      <w:b/>
      <w:sz w:val="32"/>
    </w:rPr>
  </w:style>
  <w:style w:type="character" w:customStyle="1" w:styleId="306">
    <w:name w:val="正文文本 2 Char"/>
    <w:link w:val="307"/>
    <w:uiPriority w:val="0"/>
    <w:rPr>
      <w:rFonts w:eastAsia="@幼圆"/>
      <w:kern w:val="2"/>
      <w:sz w:val="32"/>
    </w:rPr>
  </w:style>
  <w:style w:type="paragraph" w:customStyle="1" w:styleId="307">
    <w:name w:val="正文文本 22"/>
    <w:basedOn w:val="1"/>
    <w:link w:val="306"/>
    <w:uiPriority w:val="0"/>
    <w:pPr>
      <w:adjustRightInd w:val="0"/>
      <w:ind w:firstLine="510"/>
      <w:jc w:val="left"/>
      <w:textAlignment w:val="baseline"/>
    </w:pPr>
    <w:rPr>
      <w:rFonts w:eastAsia="@幼圆"/>
      <w:sz w:val="32"/>
    </w:rPr>
  </w:style>
  <w:style w:type="character" w:customStyle="1" w:styleId="308">
    <w:name w:val="z-窗体顶端 Char"/>
    <w:link w:val="309"/>
    <w:uiPriority w:val="0"/>
    <w:rPr>
      <w:rFonts w:ascii="Arial" w:hAnsi="Arial" w:cs="Arial"/>
      <w:vanish/>
      <w:kern w:val="2"/>
      <w:sz w:val="16"/>
      <w:szCs w:val="16"/>
    </w:rPr>
  </w:style>
  <w:style w:type="paragraph" w:customStyle="1" w:styleId="309">
    <w:name w:val="z-窗体顶端1"/>
    <w:basedOn w:val="1"/>
    <w:next w:val="1"/>
    <w:link w:val="308"/>
    <w:uiPriority w:val="0"/>
    <w:pPr>
      <w:pBdr>
        <w:bottom w:val="single" w:color="auto" w:sz="6" w:space="1"/>
      </w:pBdr>
      <w:jc w:val="center"/>
    </w:pPr>
    <w:rPr>
      <w:rFonts w:ascii="Arial" w:hAnsi="Arial"/>
      <w:vanish/>
      <w:sz w:val="16"/>
      <w:szCs w:val="16"/>
    </w:rPr>
  </w:style>
  <w:style w:type="character" w:customStyle="1" w:styleId="310">
    <w:name w:val="称呼 字符"/>
    <w:uiPriority w:val="99"/>
    <w:rPr>
      <w:kern w:val="2"/>
      <w:sz w:val="28"/>
    </w:rPr>
  </w:style>
  <w:style w:type="character" w:customStyle="1" w:styleId="311">
    <w:name w:val="纯文本 Char1"/>
    <w:aliases w:val="普通文字 Char Char,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
    <w:uiPriority w:val="0"/>
    <w:rPr>
      <w:rFonts w:ascii="宋体" w:hAnsi="Courier New" w:eastAsia="宋体"/>
      <w:kern w:val="2"/>
      <w:sz w:val="21"/>
      <w:szCs w:val="21"/>
      <w:lang w:bidi="ar-SA"/>
    </w:rPr>
  </w:style>
  <w:style w:type="paragraph" w:customStyle="1" w:styleId="312">
    <w:name w:val="二级条标题"/>
    <w:basedOn w:val="1"/>
    <w:next w:val="313"/>
    <w:uiPriority w:val="0"/>
    <w:pPr>
      <w:widowControl/>
      <w:tabs>
        <w:tab w:val="left" w:pos="360"/>
      </w:tabs>
      <w:outlineLvl w:val="3"/>
    </w:pPr>
    <w:rPr>
      <w:rFonts w:ascii="黑体" w:eastAsia="黑体"/>
      <w:kern w:val="0"/>
      <w:sz w:val="21"/>
    </w:rPr>
  </w:style>
  <w:style w:type="paragraph" w:customStyle="1" w:styleId="313">
    <w:name w:val="段"/>
    <w:uiPriority w:val="0"/>
    <w:pPr>
      <w:ind w:firstLine="200" w:firstLineChars="200"/>
      <w:jc w:val="both"/>
    </w:pPr>
    <w:rPr>
      <w:rFonts w:ascii="宋体"/>
      <w:sz w:val="21"/>
      <w:lang w:val="en-US" w:eastAsia="zh-CN" w:bidi="ar-SA"/>
    </w:rPr>
  </w:style>
  <w:style w:type="paragraph" w:customStyle="1" w:styleId="314">
    <w:name w:val="目次、索引正文"/>
    <w:uiPriority w:val="0"/>
    <w:pPr>
      <w:spacing w:line="320" w:lineRule="exact"/>
      <w:jc w:val="both"/>
    </w:pPr>
    <w:rPr>
      <w:rFonts w:ascii="宋体"/>
      <w:lang w:val="en-US" w:eastAsia="zh-CN" w:bidi="ar-SA"/>
    </w:rPr>
  </w:style>
  <w:style w:type="paragraph" w:customStyle="1" w:styleId="315">
    <w:name w:val="表格6"/>
    <w:basedOn w:val="1"/>
    <w:uiPriority w:val="0"/>
    <w:pPr>
      <w:adjustRightInd w:val="0"/>
      <w:spacing w:line="420" w:lineRule="atLeast"/>
      <w:ind w:left="737"/>
      <w:textAlignment w:val="baseline"/>
    </w:pPr>
    <w:rPr>
      <w:rFonts w:ascii="宋体"/>
      <w:kern w:val="0"/>
      <w:sz w:val="21"/>
    </w:rPr>
  </w:style>
  <w:style w:type="paragraph" w:customStyle="1" w:styleId="31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17">
    <w:name w:val="四级条标题"/>
    <w:basedOn w:val="318"/>
    <w:next w:val="313"/>
    <w:uiPriority w:val="0"/>
    <w:pPr>
      <w:numPr>
        <w:ilvl w:val="4"/>
        <w:numId w:val="0"/>
      </w:numPr>
      <w:tabs>
        <w:tab w:val="left" w:pos="720"/>
        <w:tab w:val="left" w:pos="3600"/>
      </w:tabs>
      <w:outlineLvl w:val="5"/>
    </w:pPr>
  </w:style>
  <w:style w:type="paragraph" w:customStyle="1" w:styleId="318">
    <w:name w:val="三级条标题"/>
    <w:basedOn w:val="312"/>
    <w:next w:val="313"/>
    <w:uiPriority w:val="0"/>
    <w:pPr>
      <w:tabs>
        <w:tab w:val="left" w:pos="720"/>
        <w:tab w:val="left" w:pos="3600"/>
        <w:tab w:val="clear" w:pos="360"/>
      </w:tabs>
      <w:ind w:left="2100" w:hanging="420"/>
      <w:jc w:val="left"/>
      <w:outlineLvl w:val="4"/>
    </w:pPr>
    <w:rPr>
      <w:rFonts w:ascii="Times New Roman"/>
      <w:sz w:val="20"/>
    </w:rPr>
  </w:style>
  <w:style w:type="paragraph" w:customStyle="1" w:styleId="319">
    <w:name w:val="注："/>
    <w:next w:val="313"/>
    <w:uiPriority w:val="0"/>
    <w:pPr>
      <w:widowControl w:val="0"/>
      <w:tabs>
        <w:tab w:val="left" w:pos="360"/>
        <w:tab w:val="left" w:pos="720"/>
      </w:tabs>
      <w:autoSpaceDE w:val="0"/>
      <w:autoSpaceDN w:val="0"/>
      <w:ind w:left="360" w:hanging="360"/>
      <w:jc w:val="both"/>
    </w:pPr>
    <w:rPr>
      <w:rFonts w:ascii="宋体"/>
      <w:sz w:val="18"/>
      <w:lang w:val="en-US" w:eastAsia="zh-CN" w:bidi="ar-SA"/>
    </w:rPr>
  </w:style>
  <w:style w:type="paragraph" w:customStyle="1" w:styleId="320">
    <w:name w:val="样式 居中 行距: 固定值 60 磅"/>
    <w:basedOn w:val="1"/>
    <w:uiPriority w:val="0"/>
    <w:pPr>
      <w:spacing w:line="360" w:lineRule="auto"/>
      <w:jc w:val="center"/>
    </w:pPr>
    <w:rPr>
      <w:sz w:val="21"/>
    </w:rPr>
  </w:style>
  <w:style w:type="paragraph" w:customStyle="1" w:styleId="321">
    <w:name w:val="正文内"/>
    <w:basedOn w:val="1"/>
    <w:uiPriority w:val="0"/>
    <w:pPr>
      <w:spacing w:line="400" w:lineRule="exact"/>
      <w:ind w:firstLine="200" w:firstLineChars="200"/>
    </w:pPr>
    <w:rPr>
      <w:rFonts w:ascii="宋体" w:hAnsi="宋体"/>
      <w:sz w:val="21"/>
    </w:rPr>
  </w:style>
  <w:style w:type="paragraph" w:customStyle="1" w:styleId="322">
    <w:name w:val="正文表标题"/>
    <w:next w:val="313"/>
    <w:uiPriority w:val="0"/>
    <w:pPr>
      <w:jc w:val="center"/>
    </w:pPr>
    <w:rPr>
      <w:rFonts w:ascii="黑体" w:eastAsia="黑体"/>
      <w:sz w:val="21"/>
      <w:lang w:val="en-US" w:eastAsia="zh-CN" w:bidi="ar-SA"/>
    </w:rPr>
  </w:style>
  <w:style w:type="paragraph" w:customStyle="1" w:styleId="323">
    <w:name w:val="Char Char Char Char1"/>
    <w:basedOn w:val="1"/>
    <w:uiPriority w:val="0"/>
    <w:rPr>
      <w:sz w:val="21"/>
    </w:rPr>
  </w:style>
  <w:style w:type="paragraph" w:customStyle="1" w:styleId="324">
    <w:name w:val="修订1"/>
    <w:uiPriority w:val="0"/>
    <w:rPr>
      <w:rFonts w:ascii="宋体"/>
      <w:bCs/>
      <w:kern w:val="2"/>
      <w:sz w:val="28"/>
      <w:lang w:val="en-US" w:eastAsia="zh-CN" w:bidi="ar-SA"/>
    </w:rPr>
  </w:style>
  <w:style w:type="paragraph" w:customStyle="1" w:styleId="325">
    <w:name w:val="Char Char Char Char Char Char Char Char Char"/>
    <w:basedOn w:val="1"/>
    <w:uiPriority w:val="0"/>
    <w:pPr>
      <w:widowControl/>
      <w:spacing w:after="160" w:line="240" w:lineRule="exact"/>
      <w:jc w:val="left"/>
    </w:pPr>
    <w:rPr>
      <w:sz w:val="21"/>
    </w:rPr>
  </w:style>
  <w:style w:type="paragraph" w:customStyle="1" w:styleId="32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cs="宋体"/>
      <w:kern w:val="0"/>
      <w:sz w:val="24"/>
      <w:szCs w:val="24"/>
    </w:rPr>
  </w:style>
  <w:style w:type="paragraph" w:customStyle="1" w:styleId="327">
    <w:name w:val="3级"/>
    <w:basedOn w:val="1"/>
    <w:uiPriority w:val="0"/>
    <w:pPr>
      <w:snapToGrid w:val="0"/>
      <w:spacing w:afterLines="30" w:line="360" w:lineRule="auto"/>
      <w:ind w:firstLine="200" w:firstLineChars="200"/>
    </w:pPr>
    <w:rPr>
      <w:rFonts w:ascii="宋体" w:hAnsi="Tahoma"/>
      <w:b/>
      <w:color w:val="0000FF"/>
      <w:szCs w:val="28"/>
    </w:rPr>
  </w:style>
  <w:style w:type="paragraph" w:customStyle="1" w:styleId="328">
    <w:name w:val="xl559"/>
    <w:basedOn w:val="1"/>
    <w:uiPriority w:val="0"/>
    <w:pPr>
      <w:widowControl/>
      <w:spacing w:before="100" w:beforeAutospacing="1" w:after="100" w:afterAutospacing="1"/>
      <w:jc w:val="center"/>
    </w:pPr>
    <w:rPr>
      <w:rFonts w:ascii="宋体" w:hAnsi="宋体" w:cs="宋体"/>
      <w:color w:val="000000"/>
      <w:kern w:val="0"/>
      <w:sz w:val="20"/>
    </w:rPr>
  </w:style>
  <w:style w:type="paragraph" w:customStyle="1" w:styleId="329">
    <w:name w:val="图表小四中对齐"/>
    <w:basedOn w:val="1"/>
    <w:uiPriority w:val="0"/>
    <w:pPr>
      <w:adjustRightInd w:val="0"/>
      <w:spacing w:line="360" w:lineRule="exact"/>
      <w:jc w:val="center"/>
      <w:textAlignment w:val="baseline"/>
    </w:pPr>
    <w:rPr>
      <w:color w:val="000000"/>
      <w:spacing w:val="-10"/>
      <w:sz w:val="24"/>
      <w:szCs w:val="21"/>
    </w:rPr>
  </w:style>
  <w:style w:type="paragraph" w:customStyle="1" w:styleId="330">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331">
    <w:name w:val="xl27"/>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szCs w:val="21"/>
    </w:rPr>
  </w:style>
  <w:style w:type="paragraph" w:customStyle="1" w:styleId="332">
    <w:name w:val="样式3"/>
    <w:basedOn w:val="5"/>
    <w:uiPriority w:val="0"/>
    <w:pPr>
      <w:widowControl w:val="0"/>
      <w:numPr>
        <w:ilvl w:val="0"/>
        <w:numId w:val="0"/>
      </w:numPr>
      <w:tabs>
        <w:tab w:val="clear" w:pos="720"/>
      </w:tabs>
      <w:jc w:val="both"/>
    </w:pPr>
    <w:rPr>
      <w:b w:val="0"/>
      <w:kern w:val="2"/>
      <w:sz w:val="24"/>
      <w:szCs w:val="24"/>
    </w:rPr>
  </w:style>
  <w:style w:type="paragraph" w:customStyle="1" w:styleId="333">
    <w:name w:val="标准书脚_偶数页"/>
    <w:uiPriority w:val="0"/>
    <w:pPr>
      <w:spacing w:before="120"/>
    </w:pPr>
    <w:rPr>
      <w:sz w:val="18"/>
      <w:lang w:val="en-US" w:eastAsia="zh-CN" w:bidi="ar-SA"/>
    </w:rPr>
  </w:style>
  <w:style w:type="paragraph" w:customStyle="1" w:styleId="334">
    <w:name w:val="正文文本 31"/>
    <w:basedOn w:val="1"/>
    <w:uiPriority w:val="0"/>
    <w:rPr>
      <w:rFonts w:eastAsia="隶书"/>
      <w:kern w:val="0"/>
      <w:sz w:val="24"/>
      <w:szCs w:val="24"/>
    </w:rPr>
  </w:style>
  <w:style w:type="paragraph" w:customStyle="1" w:styleId="335">
    <w:name w:val="xl2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336">
    <w:name w:val="xl38"/>
    <w:basedOn w:val="1"/>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337">
    <w:name w:val="表内居中"/>
    <w:uiPriority w:val="0"/>
    <w:pPr>
      <w:jc w:val="center"/>
    </w:pPr>
    <w:rPr>
      <w:szCs w:val="24"/>
      <w:lang w:val="en-US" w:eastAsia="zh-CN" w:bidi="ar-SA"/>
    </w:rPr>
  </w:style>
  <w:style w:type="paragraph" w:customStyle="1" w:styleId="338">
    <w:name w:val="样式 标题 2 + Times New Roman 四号 非加粗 段前: 5 磅 段后: 0 磅 行距: 固定值 20..."/>
    <w:basedOn w:val="4"/>
    <w:uiPriority w:val="0"/>
    <w:pPr>
      <w:numPr>
        <w:ilvl w:val="0"/>
        <w:numId w:val="0"/>
      </w:numPr>
      <w:tabs>
        <w:tab w:val="clear" w:pos="706"/>
        <w:tab w:val="clear" w:pos="1110"/>
      </w:tabs>
      <w:spacing w:before="100" w:line="400" w:lineRule="exact"/>
    </w:pPr>
    <w:rPr>
      <w:rFonts w:ascii="Times New Roman" w:hAnsi="Times New Roman"/>
      <w:b w:val="0"/>
      <w:bCs w:val="0"/>
      <w:kern w:val="0"/>
      <w:sz w:val="28"/>
      <w:szCs w:val="20"/>
    </w:rPr>
  </w:style>
  <w:style w:type="paragraph" w:customStyle="1" w:styleId="339">
    <w:name w:val="No Spacing"/>
    <w:uiPriority w:val="0"/>
    <w:rPr>
      <w:rFonts w:ascii="Calibri" w:hAnsi="Calibri"/>
      <w:sz w:val="22"/>
      <w:szCs w:val="22"/>
      <w:lang w:val="en-US" w:eastAsia="en-US" w:bidi="ar-SA"/>
    </w:rPr>
  </w:style>
  <w:style w:type="paragraph" w:customStyle="1" w:styleId="340">
    <w:name w:val="表格3"/>
    <w:basedOn w:val="1"/>
    <w:uiPriority w:val="0"/>
    <w:pPr>
      <w:adjustRightInd w:val="0"/>
      <w:spacing w:line="420" w:lineRule="atLeast"/>
      <w:textAlignment w:val="baseline"/>
    </w:pPr>
    <w:rPr>
      <w:rFonts w:eastAsia="楷体"/>
      <w:kern w:val="0"/>
      <w:sz w:val="21"/>
    </w:rPr>
  </w:style>
  <w:style w:type="paragraph" w:customStyle="1" w:styleId="341">
    <w:name w:val="标准书眉一"/>
    <w:uiPriority w:val="0"/>
    <w:pPr>
      <w:jc w:val="both"/>
    </w:pPr>
    <w:rPr>
      <w:lang w:val="en-US" w:eastAsia="zh-CN" w:bidi="ar-SA"/>
    </w:rPr>
  </w:style>
  <w:style w:type="paragraph" w:customStyle="1" w:styleId="342">
    <w:name w:val="xl5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3">
    <w:name w:val="表格一"/>
    <w:basedOn w:val="1"/>
    <w:uiPriority w:val="0"/>
    <w:pPr>
      <w:spacing w:line="240" w:lineRule="exact"/>
      <w:ind w:left="105" w:leftChars="50"/>
    </w:pPr>
    <w:rPr>
      <w:sz w:val="18"/>
      <w:szCs w:val="21"/>
    </w:rPr>
  </w:style>
  <w:style w:type="paragraph" w:customStyle="1" w:styleId="344">
    <w:name w:val="参考文献、索引标题"/>
    <w:basedOn w:val="345"/>
    <w:next w:val="1"/>
    <w:uiPriority w:val="0"/>
    <w:pPr>
      <w:spacing w:after="200"/>
    </w:pPr>
    <w:rPr>
      <w:sz w:val="21"/>
    </w:rPr>
  </w:style>
  <w:style w:type="paragraph" w:customStyle="1" w:styleId="345">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346">
    <w:name w:val="封面标准代替信息"/>
    <w:basedOn w:val="347"/>
    <w:uiPriority w:val="0"/>
    <w:pPr>
      <w:spacing w:before="57"/>
    </w:pPr>
    <w:rPr>
      <w:rFonts w:ascii="宋体"/>
      <w:sz w:val="21"/>
    </w:rPr>
  </w:style>
  <w:style w:type="paragraph" w:customStyle="1" w:styleId="347">
    <w:name w:val="封面标准号2"/>
    <w:basedOn w:val="348"/>
    <w:uiPriority w:val="0"/>
    <w:pPr>
      <w:adjustRightInd w:val="0"/>
      <w:spacing w:before="357" w:line="280" w:lineRule="exact"/>
    </w:pPr>
  </w:style>
  <w:style w:type="paragraph" w:customStyle="1" w:styleId="348">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349">
    <w:name w:val="p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日期1"/>
    <w:basedOn w:val="1"/>
    <w:next w:val="1"/>
    <w:uiPriority w:val="0"/>
    <w:pPr>
      <w:ind w:left="100" w:leftChars="2500"/>
    </w:pPr>
    <w:rPr>
      <w:kern w:val="0"/>
      <w:sz w:val="20"/>
      <w:szCs w:val="24"/>
    </w:rPr>
  </w:style>
  <w:style w:type="paragraph" w:customStyle="1" w:styleId="351">
    <w:name w:val="Char Char Char Char Char Char Char Char Char Char Char Char1 Char"/>
    <w:basedOn w:val="26"/>
    <w:uiPriority w:val="0"/>
    <w:rPr>
      <w:rFonts w:ascii="等线" w:hAnsi="等线"/>
      <w:sz w:val="21"/>
    </w:rPr>
  </w:style>
  <w:style w:type="paragraph" w:customStyle="1" w:styleId="352">
    <w:name w:val="附录图标题"/>
    <w:next w:val="313"/>
    <w:uiPriority w:val="0"/>
    <w:pPr>
      <w:tabs>
        <w:tab w:val="left" w:pos="360"/>
      </w:tabs>
      <w:jc w:val="center"/>
    </w:pPr>
    <w:rPr>
      <w:rFonts w:ascii="黑体" w:eastAsia="黑体"/>
      <w:sz w:val="21"/>
      <w:lang w:val="en-US" w:eastAsia="zh-CN" w:bidi="ar-SA"/>
    </w:rPr>
  </w:style>
  <w:style w:type="paragraph" w:customStyle="1" w:styleId="353">
    <w:name w:val="目录3"/>
    <w:basedOn w:val="1"/>
    <w:uiPriority w:val="0"/>
    <w:pPr>
      <w:adjustRightInd w:val="0"/>
      <w:spacing w:line="420" w:lineRule="atLeast"/>
      <w:ind w:left="454"/>
      <w:textAlignment w:val="baseline"/>
    </w:pPr>
    <w:rPr>
      <w:kern w:val="0"/>
      <w:sz w:val="21"/>
    </w:rPr>
  </w:style>
  <w:style w:type="paragraph" w:customStyle="1" w:styleId="354">
    <w:name w:val="正文段"/>
    <w:basedOn w:val="1"/>
    <w:uiPriority w:val="0"/>
    <w:pPr>
      <w:widowControl/>
      <w:snapToGrid w:val="0"/>
      <w:spacing w:after="156" w:afterLines="50"/>
      <w:ind w:firstLine="200" w:firstLineChars="200"/>
    </w:pPr>
    <w:rPr>
      <w:kern w:val="0"/>
      <w:sz w:val="24"/>
    </w:rPr>
  </w:style>
  <w:style w:type="paragraph" w:customStyle="1" w:styleId="355">
    <w:name w:val="1"/>
    <w:basedOn w:val="1"/>
    <w:uiPriority w:val="0"/>
    <w:pPr>
      <w:adjustRightInd w:val="0"/>
      <w:spacing w:before="360" w:after="240" w:line="420" w:lineRule="atLeast"/>
      <w:ind w:firstLine="454"/>
      <w:textAlignment w:val="baseline"/>
    </w:pPr>
    <w:rPr>
      <w:b/>
      <w:kern w:val="0"/>
      <w:sz w:val="21"/>
    </w:rPr>
  </w:style>
  <w:style w:type="paragraph" w:customStyle="1" w:styleId="356">
    <w:name w:val="xl5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57">
    <w:name w:val="xl36"/>
    <w:basedOn w:val="1"/>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358">
    <w:name w:val="样式 标题 4 + 五号"/>
    <w:basedOn w:val="7"/>
    <w:uiPriority w:val="0"/>
    <w:rPr>
      <w:kern w:val="0"/>
      <w:sz w:val="21"/>
    </w:rPr>
  </w:style>
  <w:style w:type="paragraph" w:customStyle="1" w:styleId="359">
    <w:name w:val="Char Char Char 字元 字元"/>
    <w:basedOn w:val="1"/>
    <w:uiPriority w:val="0"/>
    <w:rPr>
      <w:rFonts w:ascii="Tahoma" w:hAnsi="Tahoma"/>
      <w:sz w:val="24"/>
    </w:rPr>
  </w:style>
  <w:style w:type="paragraph" w:customStyle="1" w:styleId="360">
    <w:name w:val="xl558"/>
    <w:basedOn w:val="1"/>
    <w:uiPriority w:val="0"/>
    <w:pPr>
      <w:widowControl/>
      <w:spacing w:before="100" w:beforeAutospacing="1" w:after="100" w:afterAutospacing="1"/>
      <w:jc w:val="left"/>
    </w:pPr>
    <w:rPr>
      <w:rFonts w:ascii="宋体" w:hAnsi="宋体" w:cs="宋体"/>
      <w:kern w:val="0"/>
      <w:sz w:val="20"/>
    </w:rPr>
  </w:style>
  <w:style w:type="paragraph" w:customStyle="1" w:styleId="361">
    <w:name w:val="注×："/>
    <w:uiPriority w:val="0"/>
    <w:pPr>
      <w:widowControl w:val="0"/>
      <w:tabs>
        <w:tab w:val="left" w:pos="630"/>
        <w:tab w:val="left" w:pos="720"/>
      </w:tabs>
      <w:autoSpaceDE w:val="0"/>
      <w:autoSpaceDN w:val="0"/>
      <w:ind w:left="360" w:hanging="360"/>
      <w:jc w:val="both"/>
    </w:pPr>
    <w:rPr>
      <w:rFonts w:ascii="宋体"/>
      <w:sz w:val="18"/>
      <w:lang w:val="en-US" w:eastAsia="zh-CN" w:bidi="ar-SA"/>
    </w:rPr>
  </w:style>
  <w:style w:type="paragraph" w:customStyle="1" w:styleId="362">
    <w:name w:val="xl31"/>
    <w:basedOn w:val="1"/>
    <w:uiPriority w:val="0"/>
    <w:pPr>
      <w:widowControl/>
      <w:pBdr>
        <w:bottom w:val="single" w:color="auto" w:sz="4" w:space="0"/>
      </w:pBdr>
      <w:spacing w:before="100" w:beforeLines="0" w:beforeAutospacing="1" w:after="100" w:afterLines="0" w:afterAutospacing="1"/>
      <w:jc w:val="center"/>
    </w:pPr>
    <w:rPr>
      <w:rFonts w:ascii="宋体" w:hAnsi="宋体"/>
      <w:kern w:val="0"/>
      <w:sz w:val="24"/>
      <w:szCs w:val="24"/>
    </w:rPr>
  </w:style>
  <w:style w:type="paragraph" w:customStyle="1" w:styleId="363">
    <w:name w:val="_Style 1"/>
    <w:basedOn w:val="1"/>
    <w:qFormat/>
    <w:uiPriority w:val="34"/>
    <w:pPr>
      <w:ind w:firstLine="420" w:firstLineChars="200"/>
    </w:pPr>
    <w:rPr>
      <w:rFonts w:ascii="Calibri" w:hAnsi="Calibri"/>
      <w:sz w:val="21"/>
      <w:szCs w:val="24"/>
    </w:rPr>
  </w:style>
  <w:style w:type="paragraph" w:customStyle="1" w:styleId="364">
    <w:name w:val="Blockquote"/>
    <w:basedOn w:val="1"/>
    <w:uiPriority w:val="0"/>
    <w:pPr>
      <w:autoSpaceDE w:val="0"/>
      <w:autoSpaceDN w:val="0"/>
      <w:adjustRightInd w:val="0"/>
      <w:spacing w:before="100" w:beforeLines="0" w:after="100" w:afterLines="0"/>
      <w:ind w:left="360" w:right="360"/>
      <w:jc w:val="left"/>
    </w:pPr>
    <w:rPr>
      <w:kern w:val="0"/>
      <w:sz w:val="24"/>
    </w:rPr>
  </w:style>
  <w:style w:type="paragraph" w:customStyle="1" w:styleId="365">
    <w:name w:val="封面一致性程度标识"/>
    <w:uiPriority w:val="0"/>
    <w:pPr>
      <w:spacing w:before="440" w:line="400" w:lineRule="exact"/>
      <w:jc w:val="center"/>
    </w:pPr>
    <w:rPr>
      <w:rFonts w:ascii="宋体"/>
      <w:sz w:val="28"/>
      <w:lang w:val="en-US" w:eastAsia="zh-CN" w:bidi="ar-SA"/>
    </w:rPr>
  </w:style>
  <w:style w:type="paragraph" w:customStyle="1" w:styleId="366">
    <w:name w:val="附录三级条标题"/>
    <w:basedOn w:val="367"/>
    <w:next w:val="313"/>
    <w:uiPriority w:val="0"/>
    <w:pPr>
      <w:tabs>
        <w:tab w:val="left" w:pos="720"/>
        <w:tab w:val="left" w:pos="840"/>
        <w:tab w:val="left" w:pos="1440"/>
      </w:tabs>
      <w:outlineLvl w:val="4"/>
    </w:pPr>
  </w:style>
  <w:style w:type="paragraph" w:customStyle="1" w:styleId="367">
    <w:name w:val="附录二级条标题"/>
    <w:basedOn w:val="368"/>
    <w:next w:val="313"/>
    <w:uiPriority w:val="0"/>
    <w:pPr>
      <w:numPr>
        <w:ilvl w:val="0"/>
        <w:numId w:val="0"/>
      </w:numPr>
      <w:tabs>
        <w:tab w:val="left" w:pos="720"/>
        <w:tab w:val="left" w:pos="840"/>
        <w:tab w:val="left" w:pos="1440"/>
      </w:tabs>
      <w:outlineLvl w:val="3"/>
    </w:pPr>
  </w:style>
  <w:style w:type="paragraph" w:customStyle="1" w:styleId="368">
    <w:name w:val="附录一级条标题"/>
    <w:basedOn w:val="369"/>
    <w:next w:val="313"/>
    <w:uiPriority w:val="0"/>
    <w:pPr>
      <w:numPr>
        <w:ilvl w:val="1"/>
        <w:numId w:val="0"/>
      </w:numPr>
      <w:tabs>
        <w:tab w:val="left" w:pos="720"/>
        <w:tab w:val="left" w:pos="840"/>
        <w:tab w:val="left" w:pos="1440"/>
      </w:tabs>
      <w:autoSpaceDN w:val="0"/>
      <w:outlineLvl w:val="2"/>
    </w:pPr>
  </w:style>
  <w:style w:type="paragraph" w:customStyle="1" w:styleId="369">
    <w:name w:val="附录章标题"/>
    <w:next w:val="313"/>
    <w:uiPriority w:val="0"/>
    <w:pPr>
      <w:tabs>
        <w:tab w:val="left" w:pos="720"/>
        <w:tab w:val="left" w:pos="840"/>
        <w:tab w:val="left" w:pos="1440"/>
      </w:tabs>
      <w:wordWrap w:val="0"/>
      <w:overflowPunct w:val="0"/>
      <w:autoSpaceDE w:val="0"/>
      <w:spacing w:beforeLines="50" w:afterLines="50"/>
      <w:ind w:left="840" w:hanging="420"/>
      <w:jc w:val="both"/>
      <w:textAlignment w:val="baseline"/>
      <w:outlineLvl w:val="1"/>
    </w:pPr>
    <w:rPr>
      <w:rFonts w:ascii="黑体" w:eastAsia="黑体"/>
      <w:kern w:val="21"/>
      <w:lang w:val="en-US" w:eastAsia="zh-CN" w:bidi="ar-SA"/>
    </w:rPr>
  </w:style>
  <w:style w:type="paragraph" w:customStyle="1" w:styleId="370">
    <w:name w:val="列项●（二级）"/>
    <w:uiPriority w:val="0"/>
    <w:pPr>
      <w:tabs>
        <w:tab w:val="left" w:pos="480"/>
        <w:tab w:val="left" w:pos="720"/>
        <w:tab w:val="left" w:pos="760"/>
        <w:tab w:val="left" w:pos="840"/>
      </w:tabs>
      <w:ind w:left="600" w:leftChars="400" w:hanging="200" w:hangingChars="200"/>
      <w:jc w:val="both"/>
    </w:pPr>
    <w:rPr>
      <w:rFonts w:ascii="宋体"/>
      <w:lang w:val="en-US" w:eastAsia="zh-CN" w:bidi="ar-SA"/>
    </w:rPr>
  </w:style>
  <w:style w:type="paragraph" w:customStyle="1" w:styleId="371">
    <w:name w:val="正文2 Char Char Char Char Char Char Char Char Char Char Char Char1 Char Char Char Char Char Char Char Char1 Char Char Char Char Char Char"/>
    <w:basedOn w:val="1"/>
    <w:uiPriority w:val="0"/>
    <w:pPr>
      <w:widowControl/>
      <w:spacing w:line="400" w:lineRule="exact"/>
    </w:pPr>
    <w:rPr>
      <w:rFonts w:ascii="Verdana" w:hAnsi="Verdana" w:eastAsia="楷体_GB2312"/>
      <w:kern w:val="0"/>
      <w:lang w:eastAsia="en-US"/>
    </w:rPr>
  </w:style>
  <w:style w:type="paragraph" w:customStyle="1" w:styleId="372">
    <w:name w:val="数字编号列项（二级）"/>
    <w:uiPriority w:val="0"/>
    <w:pPr>
      <w:ind w:left="1260" w:leftChars="400" w:hanging="420" w:hangingChars="200"/>
      <w:jc w:val="both"/>
    </w:pPr>
    <w:rPr>
      <w:rFonts w:ascii="宋体"/>
      <w:lang w:val="en-US" w:eastAsia="zh-CN" w:bidi="ar-SA"/>
    </w:rPr>
  </w:style>
  <w:style w:type="paragraph" w:customStyle="1" w:styleId="373">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374">
    <w:name w:val="xl26"/>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75">
    <w:name w:val="多级符号1"/>
    <w:basedOn w:val="1"/>
    <w:next w:val="1"/>
    <w:uiPriority w:val="0"/>
    <w:pPr>
      <w:spacing w:line="360" w:lineRule="auto"/>
      <w:jc w:val="left"/>
      <w:outlineLvl w:val="0"/>
    </w:pPr>
    <w:rPr>
      <w:rFonts w:eastAsia="仿宋_GB2312"/>
      <w:b/>
      <w:sz w:val="30"/>
      <w:szCs w:val="24"/>
    </w:rPr>
  </w:style>
  <w:style w:type="paragraph" w:customStyle="1" w:styleId="376">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377">
    <w:name w:val="Table textB"/>
    <w:basedOn w:val="1"/>
    <w:next w:val="1"/>
    <w:uiPriority w:val="0"/>
    <w:pPr>
      <w:widowControl/>
      <w:spacing w:before="80" w:after="80"/>
      <w:jc w:val="center"/>
    </w:pPr>
    <w:rPr>
      <w:rFonts w:ascii="Arial" w:hAnsi="Arial"/>
      <w:b/>
      <w:spacing w:val="-5"/>
      <w:kern w:val="0"/>
      <w:sz w:val="18"/>
    </w:rPr>
  </w:style>
  <w:style w:type="paragraph" w:customStyle="1" w:styleId="378">
    <w:name w:val="xl560"/>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379">
    <w:name w:val="HTML 地址1"/>
    <w:basedOn w:val="1"/>
    <w:uiPriority w:val="0"/>
    <w:rPr>
      <w:i/>
      <w:iCs/>
      <w:kern w:val="0"/>
      <w:sz w:val="20"/>
      <w:szCs w:val="24"/>
    </w:rPr>
  </w:style>
  <w:style w:type="paragraph" w:customStyle="1" w:styleId="380">
    <w:name w:val="表格1"/>
    <w:basedOn w:val="1"/>
    <w:uiPriority w:val="0"/>
    <w:pPr>
      <w:adjustRightInd w:val="0"/>
      <w:spacing w:line="420" w:lineRule="atLeast"/>
      <w:ind w:left="284"/>
      <w:textAlignment w:val="baseline"/>
    </w:pPr>
    <w:rPr>
      <w:kern w:val="0"/>
      <w:sz w:val="21"/>
    </w:rPr>
  </w:style>
  <w:style w:type="paragraph" w:customStyle="1" w:styleId="381">
    <w:name w:val="章标题"/>
    <w:next w:val="313"/>
    <w:uiPriority w:val="0"/>
    <w:pPr>
      <w:tabs>
        <w:tab w:val="left" w:pos="420"/>
        <w:tab w:val="left" w:pos="480"/>
      </w:tabs>
      <w:spacing w:beforeLines="50" w:afterLines="50"/>
      <w:ind w:left="480" w:hanging="480"/>
      <w:jc w:val="both"/>
      <w:outlineLvl w:val="1"/>
    </w:pPr>
    <w:rPr>
      <w:rFonts w:ascii="黑体" w:eastAsia="黑体"/>
      <w:b/>
      <w:lang w:val="en-US" w:eastAsia="zh-CN" w:bidi="ar-SA"/>
    </w:rPr>
  </w:style>
  <w:style w:type="paragraph" w:customStyle="1" w:styleId="382">
    <w:name w:val="Char1"/>
    <w:basedOn w:val="1"/>
    <w:uiPriority w:val="0"/>
    <w:rPr>
      <w:rFonts w:ascii="仿宋_GB2312" w:eastAsia="仿宋_GB2312"/>
      <w:b/>
      <w:sz w:val="32"/>
      <w:szCs w:val="32"/>
    </w:rPr>
  </w:style>
  <w:style w:type="paragraph" w:customStyle="1" w:styleId="383">
    <w:name w:val="2"/>
    <w:basedOn w:val="1"/>
    <w:uiPriority w:val="0"/>
    <w:rPr>
      <w:rFonts w:ascii="Tahoma" w:hAnsi="Tahoma"/>
      <w:sz w:val="24"/>
    </w:rPr>
  </w:style>
  <w:style w:type="paragraph" w:customStyle="1" w:styleId="384">
    <w:name w:val="封面正文"/>
    <w:uiPriority w:val="0"/>
    <w:pPr>
      <w:jc w:val="both"/>
    </w:pPr>
    <w:rPr>
      <w:lang w:val="en-US" w:eastAsia="zh-CN" w:bidi="ar-SA"/>
    </w:rPr>
  </w:style>
  <w:style w:type="paragraph" w:customStyle="1" w:styleId="385">
    <w:name w:val="五级条标题"/>
    <w:basedOn w:val="317"/>
    <w:next w:val="313"/>
    <w:uiPriority w:val="0"/>
    <w:pPr>
      <w:numPr>
        <w:ilvl w:val="0"/>
        <w:numId w:val="0"/>
      </w:numPr>
      <w:outlineLvl w:val="6"/>
    </w:pPr>
  </w:style>
  <w:style w:type="paragraph" w:customStyle="1" w:styleId="386">
    <w:name w:val="标准标志"/>
    <w:next w:val="1"/>
    <w:uiPriority w:val="0"/>
    <w:pPr>
      <w:shd w:val="solid" w:color="FFFFFF" w:fill="FFFFFF"/>
      <w:spacing w:line="0" w:lineRule="atLeast"/>
      <w:jc w:val="right"/>
    </w:pPr>
    <w:rPr>
      <w:b/>
      <w:w w:val="130"/>
      <w:sz w:val="96"/>
      <w:lang w:val="en-US" w:eastAsia="zh-CN" w:bidi="ar-SA"/>
    </w:rPr>
  </w:style>
  <w:style w:type="paragraph" w:customStyle="1" w:styleId="387">
    <w:name w:val="xl5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88">
    <w:name w:val="Char11"/>
    <w:basedOn w:val="1"/>
    <w:uiPriority w:val="0"/>
    <w:pPr>
      <w:widowControl/>
      <w:spacing w:after="160" w:line="240" w:lineRule="exact"/>
      <w:jc w:val="left"/>
    </w:pPr>
    <w:rPr>
      <w:rFonts w:ascii="Tahoma" w:hAnsi="Tahoma"/>
      <w:kern w:val="0"/>
      <w:sz w:val="24"/>
      <w:szCs w:val="24"/>
      <w:lang w:eastAsia="en-US"/>
    </w:rPr>
  </w:style>
  <w:style w:type="paragraph" w:customStyle="1" w:styleId="389">
    <w:name w:val="标题 0"/>
    <w:basedOn w:val="2"/>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390">
    <w:name w:val="_Style 40"/>
    <w:basedOn w:val="1"/>
    <w:uiPriority w:val="0"/>
    <w:rPr>
      <w:sz w:val="21"/>
    </w:rPr>
  </w:style>
  <w:style w:type="paragraph" w:customStyle="1" w:styleId="391">
    <w:name w:val="正文图标题"/>
    <w:next w:val="313"/>
    <w:uiPriority w:val="0"/>
    <w:pPr>
      <w:tabs>
        <w:tab w:val="left" w:pos="720"/>
      </w:tabs>
      <w:ind w:left="780" w:hanging="360"/>
      <w:jc w:val="center"/>
    </w:pPr>
    <w:rPr>
      <w:rFonts w:ascii="黑体" w:eastAsia="黑体"/>
      <w:lang w:val="en-US" w:eastAsia="zh-CN" w:bidi="ar-SA"/>
    </w:rPr>
  </w:style>
  <w:style w:type="paragraph" w:customStyle="1" w:styleId="392">
    <w:name w:val="19"/>
    <w:basedOn w:val="1"/>
    <w:uiPriority w:val="0"/>
    <w:pPr>
      <w:widowControl/>
      <w:snapToGrid w:val="0"/>
      <w:spacing w:before="100" w:beforeAutospacing="1" w:after="120" w:line="360" w:lineRule="atLeast"/>
      <w:jc w:val="left"/>
    </w:pPr>
    <w:rPr>
      <w:rFonts w:ascii="宋体" w:hAnsi="宋体"/>
      <w:kern w:val="0"/>
    </w:rPr>
  </w:style>
  <w:style w:type="paragraph" w:customStyle="1" w:styleId="393">
    <w:name w:val="表文C"/>
    <w:basedOn w:val="1"/>
    <w:uiPriority w:val="0"/>
    <w:pPr>
      <w:widowControl/>
      <w:tabs>
        <w:tab w:val="left" w:pos="0"/>
      </w:tabs>
      <w:adjustRightInd w:val="0"/>
      <w:snapToGrid w:val="0"/>
    </w:pPr>
    <w:rPr>
      <w:snapToGrid w:val="0"/>
      <w:kern w:val="0"/>
      <w:sz w:val="21"/>
    </w:rPr>
  </w:style>
  <w:style w:type="paragraph" w:customStyle="1" w:styleId="394">
    <w:name w:val="正文3"/>
    <w:uiPriority w:val="0"/>
    <w:pPr>
      <w:widowControl w:val="0"/>
      <w:adjustRightInd w:val="0"/>
      <w:spacing w:line="360" w:lineRule="atLeast"/>
      <w:textAlignment w:val="baseline"/>
    </w:pPr>
    <w:rPr>
      <w:rFonts w:ascii="宋体"/>
      <w:sz w:val="34"/>
      <w:lang w:val="en-US" w:eastAsia="zh-CN" w:bidi="ar-SA"/>
    </w:rPr>
  </w:style>
  <w:style w:type="paragraph" w:customStyle="1" w:styleId="395">
    <w:name w:val="样式 居中"/>
    <w:basedOn w:val="1"/>
    <w:uiPriority w:val="0"/>
    <w:pPr>
      <w:spacing w:line="360" w:lineRule="auto"/>
      <w:jc w:val="center"/>
    </w:pPr>
    <w:rPr>
      <w:sz w:val="21"/>
    </w:rPr>
  </w:style>
  <w:style w:type="paragraph" w:customStyle="1" w:styleId="396">
    <w:name w:val="Char Char Char"/>
    <w:basedOn w:val="1"/>
    <w:uiPriority w:val="0"/>
    <w:pPr>
      <w:spacing w:line="360" w:lineRule="auto"/>
      <w:ind w:firstLine="200" w:firstLineChars="200"/>
    </w:pPr>
    <w:rPr>
      <w:rFonts w:ascii="宋体" w:hAnsi="宋体"/>
      <w:sz w:val="24"/>
    </w:rPr>
  </w:style>
  <w:style w:type="paragraph" w:customStyle="1" w:styleId="397">
    <w:name w:val="一般格式"/>
    <w:basedOn w:val="1"/>
    <w:uiPriority w:val="0"/>
    <w:pPr>
      <w:spacing w:line="360" w:lineRule="auto"/>
      <w:ind w:firstLine="200" w:firstLineChars="200"/>
    </w:pPr>
    <w:rPr>
      <w:sz w:val="24"/>
      <w:szCs w:val="24"/>
    </w:rPr>
  </w:style>
  <w:style w:type="paragraph" w:customStyle="1" w:styleId="398">
    <w:name w:val=" Char Char Char Char Char Char Char Char Char Char Char Char Char Char Char Char Char Char Char Char Char Char Char Char Char"/>
    <w:basedOn w:val="1"/>
    <w:uiPriority w:val="0"/>
    <w:rPr>
      <w:rFonts w:ascii="Tahoma" w:hAnsi="Tahoma"/>
      <w:sz w:val="24"/>
    </w:rPr>
  </w:style>
  <w:style w:type="paragraph" w:customStyle="1" w:styleId="399">
    <w:name w:val="正文A Char Char Char"/>
    <w:uiPriority w:val="0"/>
    <w:pPr>
      <w:tabs>
        <w:tab w:val="left" w:pos="0"/>
      </w:tabs>
      <w:adjustRightInd w:val="0"/>
      <w:spacing w:before="120" w:line="360" w:lineRule="auto"/>
      <w:ind w:firstLine="480"/>
      <w:jc w:val="both"/>
    </w:pPr>
    <w:rPr>
      <w:snapToGrid w:val="0"/>
      <w:sz w:val="24"/>
      <w:lang w:val="en-US" w:eastAsia="zh-CN" w:bidi="ar-SA"/>
    </w:rPr>
  </w:style>
  <w:style w:type="paragraph" w:customStyle="1" w:styleId="400">
    <w:name w:val="普通(网站)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01">
    <w:name w:val="p17"/>
    <w:basedOn w:val="1"/>
    <w:uiPriority w:val="0"/>
    <w:pPr>
      <w:widowControl/>
      <w:spacing w:before="100" w:after="100" w:line="432" w:lineRule="auto"/>
      <w:jc w:val="left"/>
    </w:pPr>
    <w:rPr>
      <w:rFonts w:ascii="宋体" w:hAnsi="宋体" w:cs="宋体"/>
      <w:kern w:val="0"/>
      <w:sz w:val="27"/>
      <w:szCs w:val="27"/>
    </w:rPr>
  </w:style>
  <w:style w:type="paragraph" w:customStyle="1" w:styleId="402">
    <w:name w:val="reader-word-layer reader-word-s1-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03">
    <w:name w:val="xl6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cs="宋体"/>
      <w:kern w:val="0"/>
      <w:sz w:val="24"/>
      <w:szCs w:val="24"/>
    </w:rPr>
  </w:style>
  <w:style w:type="paragraph" w:customStyle="1" w:styleId="404">
    <w:name w:val="彩色底纹 - 强调文字颜色 11"/>
    <w:uiPriority w:val="0"/>
    <w:rPr>
      <w:kern w:val="2"/>
      <w:sz w:val="21"/>
      <w:szCs w:val="24"/>
      <w:lang w:val="en-US" w:eastAsia="zh-CN" w:bidi="ar-SA"/>
    </w:rPr>
  </w:style>
  <w:style w:type="paragraph" w:customStyle="1" w:styleId="405">
    <w:name w:val="其他发布部门"/>
    <w:basedOn w:val="406"/>
    <w:uiPriority w:val="0"/>
    <w:pPr>
      <w:spacing w:line="0" w:lineRule="atLeast"/>
    </w:pPr>
    <w:rPr>
      <w:rFonts w:ascii="黑体" w:eastAsia="黑体"/>
      <w:b w:val="0"/>
    </w:rPr>
  </w:style>
  <w:style w:type="paragraph" w:customStyle="1" w:styleId="406">
    <w:name w:val="发布部门"/>
    <w:next w:val="313"/>
    <w:uiPriority w:val="0"/>
    <w:pPr>
      <w:jc w:val="center"/>
    </w:pPr>
    <w:rPr>
      <w:rFonts w:ascii="宋体"/>
      <w:b/>
      <w:spacing w:val="20"/>
      <w:w w:val="135"/>
      <w:sz w:val="36"/>
      <w:lang w:val="en-US" w:eastAsia="zh-CN" w:bidi="ar-SA"/>
    </w:rPr>
  </w:style>
  <w:style w:type="paragraph" w:customStyle="1" w:styleId="407">
    <w:name w:val="xl5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s="宋体"/>
      <w:kern w:val="0"/>
      <w:sz w:val="20"/>
    </w:rPr>
  </w:style>
  <w:style w:type="paragraph" w:customStyle="1" w:styleId="408">
    <w:name w:val="封面标准文稿编辑信息"/>
    <w:uiPriority w:val="0"/>
    <w:pPr>
      <w:spacing w:before="180" w:line="180" w:lineRule="exact"/>
      <w:jc w:val="center"/>
    </w:pPr>
    <w:rPr>
      <w:rFonts w:ascii="宋体"/>
      <w:sz w:val="21"/>
      <w:lang w:val="en-US" w:eastAsia="zh-CN" w:bidi="ar-SA"/>
    </w:rPr>
  </w:style>
  <w:style w:type="paragraph" w:customStyle="1" w:styleId="409">
    <w:name w:val="font0"/>
    <w:basedOn w:val="1"/>
    <w:uiPriority w:val="0"/>
    <w:pPr>
      <w:widowControl/>
      <w:spacing w:before="100" w:beforeAutospacing="1" w:after="100" w:afterAutospacing="1"/>
    </w:pPr>
    <w:rPr>
      <w:rFonts w:hint="eastAsia" w:ascii="宋体" w:hAnsi="宋体"/>
      <w:kern w:val="0"/>
      <w:sz w:val="24"/>
    </w:rPr>
  </w:style>
  <w:style w:type="paragraph" w:customStyle="1" w:styleId="410">
    <w:name w:val="附录表标题"/>
    <w:next w:val="313"/>
    <w:uiPriority w:val="0"/>
    <w:pPr>
      <w:tabs>
        <w:tab w:val="left" w:pos="360"/>
        <w:tab w:val="left" w:pos="720"/>
      </w:tabs>
      <w:jc w:val="center"/>
      <w:textAlignment w:val="baseline"/>
    </w:pPr>
    <w:rPr>
      <w:rFonts w:ascii="黑体" w:eastAsia="黑体"/>
      <w:kern w:val="21"/>
      <w:lang w:val="en-US" w:eastAsia="zh-CN" w:bidi="ar-SA"/>
    </w:rPr>
  </w:style>
  <w:style w:type="paragraph" w:customStyle="1" w:styleId="411">
    <w:name w:val="xl5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2">
    <w:name w:val="0"/>
    <w:basedOn w:val="1"/>
    <w:uiPriority w:val="0"/>
    <w:pPr>
      <w:widowControl/>
    </w:pPr>
    <w:rPr>
      <w:kern w:val="0"/>
      <w:sz w:val="21"/>
    </w:rPr>
  </w:style>
  <w:style w:type="paragraph" w:customStyle="1" w:styleId="413">
    <w:name w:val="封面标准英文名称"/>
    <w:uiPriority w:val="0"/>
    <w:pPr>
      <w:widowControl w:val="0"/>
      <w:spacing w:before="370" w:line="400" w:lineRule="exact"/>
      <w:jc w:val="center"/>
    </w:pPr>
    <w:rPr>
      <w:sz w:val="28"/>
      <w:lang w:val="en-US" w:eastAsia="zh-CN" w:bidi="ar-SA"/>
    </w:rPr>
  </w:style>
  <w:style w:type="paragraph" w:customStyle="1" w:styleId="414">
    <w:name w:val="xl37"/>
    <w:basedOn w:val="1"/>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15">
    <w:name w:val="示例"/>
    <w:next w:val="313"/>
    <w:uiPriority w:val="0"/>
    <w:pPr>
      <w:tabs>
        <w:tab w:val="left" w:pos="720"/>
        <w:tab w:val="left" w:pos="816"/>
      </w:tabs>
      <w:ind w:firstLine="419" w:firstLineChars="233"/>
      <w:jc w:val="both"/>
    </w:pPr>
    <w:rPr>
      <w:rFonts w:ascii="宋体"/>
      <w:sz w:val="18"/>
      <w:lang w:val="en-US" w:eastAsia="zh-CN" w:bidi="ar-SA"/>
    </w:rPr>
  </w:style>
  <w:style w:type="paragraph" w:customStyle="1" w:styleId="41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417">
    <w:name w:val="彩色列表 - 着色 11"/>
    <w:basedOn w:val="1"/>
    <w:qFormat/>
    <w:uiPriority w:val="34"/>
    <w:pPr>
      <w:widowControl/>
      <w:ind w:firstLine="420" w:firstLineChars="200"/>
      <w:jc w:val="left"/>
    </w:pPr>
    <w:rPr>
      <w:rFonts w:ascii="宋体" w:hAnsi="宋体" w:cs="宋体"/>
      <w:kern w:val="0"/>
      <w:sz w:val="24"/>
      <w:szCs w:val="24"/>
    </w:rPr>
  </w:style>
  <w:style w:type="paragraph" w:customStyle="1" w:styleId="418">
    <w:name w:val="font6"/>
    <w:basedOn w:val="1"/>
    <w:uiPriority w:val="0"/>
    <w:pPr>
      <w:widowControl/>
      <w:spacing w:before="100" w:beforeAutospacing="1" w:after="100" w:afterAutospacing="1"/>
    </w:pPr>
    <w:rPr>
      <w:rFonts w:hint="eastAsia" w:ascii="宋体" w:hAnsi="宋体"/>
      <w:b/>
      <w:kern w:val="0"/>
      <w:sz w:val="36"/>
      <w:u w:val="single"/>
    </w:rPr>
  </w:style>
  <w:style w:type="paragraph" w:customStyle="1" w:styleId="419">
    <w:name w:val="表格文字2"/>
    <w:basedOn w:val="1"/>
    <w:uiPriority w:val="0"/>
    <w:rPr>
      <w:spacing w:val="-4"/>
      <w:sz w:val="24"/>
    </w:rPr>
  </w:style>
  <w:style w:type="paragraph" w:customStyle="1" w:styleId="420">
    <w:name w:val="列出段落3"/>
    <w:basedOn w:val="1"/>
    <w:qFormat/>
    <w:uiPriority w:val="0"/>
    <w:pPr>
      <w:spacing w:before="100" w:beforeAutospacing="1" w:after="100" w:afterAutospacing="1" w:line="300" w:lineRule="auto"/>
      <w:ind w:firstLine="420" w:firstLineChars="200"/>
    </w:pPr>
    <w:rPr>
      <w:rFonts w:ascii="Calibri" w:hAnsi="Calibri"/>
      <w:sz w:val="21"/>
      <w:szCs w:val="22"/>
    </w:rPr>
  </w:style>
  <w:style w:type="paragraph" w:customStyle="1" w:styleId="421">
    <w:name w:val="內文"/>
    <w:qFormat/>
    <w:uiPriority w:val="0"/>
    <w:pPr>
      <w:framePr w:wrap="around" w:vAnchor="margin" w:hAnchor="text" w:y="1"/>
    </w:pPr>
    <w:rPr>
      <w:rFonts w:ascii="Helvetica" w:hAnsi="Helvetica" w:eastAsia="Arial Unicode MS" w:cs="Arial Unicode MS"/>
      <w:color w:val="000000"/>
      <w:sz w:val="22"/>
      <w:szCs w:val="22"/>
      <w:lang w:val="zh-CN" w:eastAsia="zh-CN" w:bidi="ar-SA"/>
    </w:rPr>
  </w:style>
  <w:style w:type="paragraph" w:customStyle="1" w:styleId="422">
    <w:name w:val="附录四级条标题"/>
    <w:basedOn w:val="366"/>
    <w:next w:val="313"/>
    <w:uiPriority w:val="0"/>
    <w:pPr>
      <w:outlineLvl w:val="5"/>
    </w:pPr>
  </w:style>
  <w:style w:type="paragraph" w:customStyle="1" w:styleId="423">
    <w:name w:val="列项◆（三级）"/>
    <w:uiPriority w:val="0"/>
    <w:pPr>
      <w:tabs>
        <w:tab w:val="left" w:pos="720"/>
        <w:tab w:val="left" w:pos="960"/>
      </w:tabs>
      <w:ind w:left="800" w:leftChars="600" w:hanging="200" w:hangingChars="200"/>
    </w:pPr>
    <w:rPr>
      <w:rFonts w:ascii="宋体"/>
      <w:lang w:val="en-US" w:eastAsia="zh-CN" w:bidi="ar-SA"/>
    </w:rPr>
  </w:style>
  <w:style w:type="paragraph" w:customStyle="1" w:styleId="424">
    <w:name w:val="z-窗体底端1"/>
    <w:basedOn w:val="1"/>
    <w:next w:val="1"/>
    <w:uiPriority w:val="0"/>
    <w:pPr>
      <w:pBdr>
        <w:top w:val="single" w:color="auto" w:sz="6" w:space="1"/>
      </w:pBdr>
      <w:jc w:val="center"/>
    </w:pPr>
    <w:rPr>
      <w:rFonts w:ascii="Arial" w:hAnsi="Arial" w:cs="Arial"/>
      <w:vanish/>
      <w:sz w:val="16"/>
      <w:szCs w:val="16"/>
    </w:rPr>
  </w:style>
  <w:style w:type="paragraph" w:customStyle="1" w:styleId="425">
    <w:name w:val="Default"/>
    <w:uiPriority w:val="0"/>
    <w:pPr>
      <w:widowControl w:val="0"/>
      <w:autoSpaceDE w:val="0"/>
      <w:autoSpaceDN w:val="0"/>
      <w:adjustRightInd w:val="0"/>
    </w:pPr>
    <w:rPr>
      <w:rFonts w:ascii="Arial" w:hAnsi="Arial" w:cs="Arial"/>
      <w:color w:val="000000"/>
      <w:sz w:val="24"/>
      <w:szCs w:val="24"/>
      <w:lang w:val="en-US" w:eastAsia="zh-CN" w:bidi="ar-SA"/>
    </w:rPr>
  </w:style>
  <w:style w:type="paragraph" w:customStyle="1" w:styleId="426">
    <w:name w:val="xl34"/>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427">
    <w:name w:val="表名A"/>
    <w:basedOn w:val="1"/>
    <w:uiPriority w:val="0"/>
    <w:pPr>
      <w:widowControl/>
      <w:tabs>
        <w:tab w:val="left" w:pos="0"/>
      </w:tabs>
      <w:adjustRightInd w:val="0"/>
      <w:snapToGrid w:val="0"/>
      <w:spacing w:beforeLines="80" w:afterLines="20"/>
    </w:pPr>
    <w:rPr>
      <w:b/>
      <w:snapToGrid w:val="0"/>
      <w:kern w:val="0"/>
      <w:sz w:val="21"/>
    </w:rPr>
  </w:style>
  <w:style w:type="paragraph" w:customStyle="1" w:styleId="428">
    <w:name w:val="Char Char Char1 Char"/>
    <w:basedOn w:val="1"/>
    <w:next w:val="1"/>
    <w:uiPriority w:val="0"/>
    <w:rPr>
      <w:sz w:val="21"/>
    </w:rPr>
  </w:style>
  <w:style w:type="paragraph" w:customStyle="1" w:styleId="429">
    <w:name w:val=" Char Char2"/>
    <w:basedOn w:val="1"/>
    <w:uiPriority w:val="0"/>
    <w:rPr>
      <w:rFonts w:ascii="Tahoma" w:hAnsi="Tahoma"/>
      <w:sz w:val="24"/>
    </w:rPr>
  </w:style>
  <w:style w:type="paragraph" w:customStyle="1" w:styleId="430">
    <w:name w:val="样式 标题 1 + 黑体 三号 非加粗 居中 段前: 6 磅 段后: 6 磅 行距: 固定值 20 磅"/>
    <w:basedOn w:val="2"/>
    <w:uiPriority w:val="0"/>
    <w:pPr>
      <w:keepLines/>
      <w:widowControl w:val="0"/>
      <w:spacing w:before="120" w:after="120" w:line="400" w:lineRule="exact"/>
      <w:jc w:val="both"/>
    </w:pPr>
    <w:rPr>
      <w:rFonts w:hAnsi="黑体" w:eastAsia="黑体"/>
      <w:b w:val="0"/>
      <w:kern w:val="44"/>
    </w:rPr>
  </w:style>
  <w:style w:type="paragraph" w:customStyle="1" w:styleId="431">
    <w:name w:val="font7"/>
    <w:basedOn w:val="1"/>
    <w:uiPriority w:val="0"/>
    <w:pPr>
      <w:widowControl/>
      <w:spacing w:before="100" w:beforeAutospacing="1" w:after="100" w:afterAutospacing="1"/>
    </w:pPr>
    <w:rPr>
      <w:rFonts w:hint="eastAsia" w:ascii="宋体" w:hAnsi="宋体"/>
      <w:kern w:val="0"/>
      <w:sz w:val="24"/>
    </w:rPr>
  </w:style>
  <w:style w:type="paragraph" w:customStyle="1" w:styleId="432">
    <w:name w:val="xl2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433">
    <w:name w:val="xl39"/>
    <w:basedOn w:val="1"/>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434">
    <w:name w:val="正文21"/>
    <w:basedOn w:val="1"/>
    <w:uiPriority w:val="0"/>
    <w:pPr>
      <w:adjustRightInd w:val="0"/>
      <w:spacing w:line="420" w:lineRule="atLeast"/>
      <w:textAlignment w:val="baseline"/>
    </w:pPr>
    <w:rPr>
      <w:kern w:val="0"/>
      <w:sz w:val="21"/>
    </w:rPr>
  </w:style>
  <w:style w:type="paragraph" w:customStyle="1" w:styleId="435">
    <w:name w:val="xl32"/>
    <w:basedOn w:val="1"/>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36">
    <w:name w:val="图表左对齐"/>
    <w:basedOn w:val="1"/>
    <w:uiPriority w:val="0"/>
    <w:pPr>
      <w:spacing w:line="360" w:lineRule="exact"/>
      <w:jc w:val="left"/>
    </w:pPr>
    <w:rPr>
      <w:spacing w:val="-10"/>
      <w:sz w:val="24"/>
      <w:szCs w:val="28"/>
    </w:rPr>
  </w:style>
  <w:style w:type="paragraph" w:customStyle="1" w:styleId="437">
    <w:name w:val="样式 标题 3 + (中文) 黑体 小四 非加粗 段前: 7.8 磅 段后: 0 磅 行距: 固定值 20 磅"/>
    <w:basedOn w:val="5"/>
    <w:uiPriority w:val="0"/>
    <w:pPr>
      <w:widowControl w:val="0"/>
      <w:numPr>
        <w:ilvl w:val="0"/>
        <w:numId w:val="0"/>
      </w:numPr>
      <w:tabs>
        <w:tab w:val="clear" w:pos="720"/>
      </w:tabs>
      <w:spacing w:before="0" w:after="0" w:line="400" w:lineRule="exact"/>
      <w:jc w:val="both"/>
    </w:pPr>
    <w:rPr>
      <w:rFonts w:eastAsia="黑体"/>
      <w:b w:val="0"/>
      <w:kern w:val="2"/>
      <w:sz w:val="24"/>
    </w:rPr>
  </w:style>
  <w:style w:type="paragraph" w:customStyle="1" w:styleId="438">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439">
    <w:name w:val="网格表 31"/>
    <w:basedOn w:val="2"/>
    <w:next w:val="1"/>
    <w:qFormat/>
    <w:uiPriority w:val="0"/>
    <w:pPr>
      <w:keepLines/>
      <w:spacing w:before="480" w:beforeLines="0" w:line="276" w:lineRule="auto"/>
      <w:jc w:val="left"/>
      <w:outlineLvl w:val="9"/>
    </w:pPr>
    <w:rPr>
      <w:rFonts w:ascii="Cambria" w:hAnsi="Cambria"/>
      <w:bCs/>
      <w:color w:val="365F91"/>
      <w:sz w:val="28"/>
      <w:szCs w:val="28"/>
    </w:rPr>
  </w:style>
  <w:style w:type="paragraph" w:customStyle="1" w:styleId="440">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szCs w:val="24"/>
    </w:rPr>
  </w:style>
  <w:style w:type="paragraph" w:customStyle="1" w:styleId="441">
    <w:name w:val="xl5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2">
    <w:name w:val="1.4"/>
    <w:basedOn w:val="1"/>
    <w:uiPriority w:val="0"/>
    <w:pPr>
      <w:widowControl/>
      <w:spacing w:line="288" w:lineRule="auto"/>
      <w:ind w:left="3" w:firstLine="503"/>
    </w:pPr>
    <w:rPr>
      <w:rFonts w:ascii="宋体" w:hAnsi="宋体"/>
      <w:kern w:val="0"/>
      <w:sz w:val="24"/>
      <w:szCs w:val="26"/>
    </w:rPr>
  </w:style>
  <w:style w:type="paragraph" w:customStyle="1" w:styleId="443">
    <w:name w:val="默认段落字体 Para Char Char Char Char"/>
    <w:basedOn w:val="1"/>
    <w:uiPriority w:val="0"/>
    <w:pPr>
      <w:spacing w:line="360" w:lineRule="auto"/>
      <w:ind w:firstLine="200" w:firstLineChars="200"/>
    </w:pPr>
    <w:rPr>
      <w:rFonts w:ascii="宋体" w:hAnsi="宋体" w:cs="宋体"/>
      <w:sz w:val="24"/>
      <w:szCs w:val="24"/>
    </w:rPr>
  </w:style>
  <w:style w:type="paragraph" w:customStyle="1" w:styleId="444">
    <w:name w:val="默认"/>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paragraph" w:customStyle="1" w:styleId="445">
    <w:name w:val="实施日期"/>
    <w:basedOn w:val="446"/>
    <w:uiPriority w:val="0"/>
    <w:pPr>
      <w:jc w:val="right"/>
    </w:pPr>
  </w:style>
  <w:style w:type="paragraph" w:customStyle="1" w:styleId="446">
    <w:name w:val="发布日期"/>
    <w:uiPriority w:val="0"/>
    <w:rPr>
      <w:rFonts w:eastAsia="黑体"/>
      <w:sz w:val="28"/>
      <w:lang w:val="en-US" w:eastAsia="zh-CN" w:bidi="ar-SA"/>
    </w:rPr>
  </w:style>
  <w:style w:type="paragraph" w:customStyle="1" w:styleId="447">
    <w:name w:val="xl5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8">
    <w:name w:val="文档结构图1"/>
    <w:basedOn w:val="1"/>
    <w:uiPriority w:val="0"/>
    <w:pPr>
      <w:shd w:val="clear" w:color="auto" w:fill="000080"/>
    </w:pPr>
    <w:rPr>
      <w:kern w:val="0"/>
      <w:sz w:val="20"/>
      <w:szCs w:val="24"/>
      <w:shd w:val="clear" w:color="auto" w:fill="000080"/>
    </w:rPr>
  </w:style>
  <w:style w:type="paragraph" w:customStyle="1" w:styleId="449">
    <w:name w:val="font1"/>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450">
    <w:name w:val="样式 正文（首行缩进两字） + 首行缩进:  2 字符"/>
    <w:basedOn w:val="6"/>
    <w:unhideWhenUsed/>
    <w:uiPriority w:val="0"/>
    <w:pPr>
      <w:widowControl w:val="0"/>
      <w:autoSpaceDE w:val="0"/>
      <w:autoSpaceDN w:val="0"/>
      <w:adjustRightInd w:val="0"/>
      <w:spacing w:line="460" w:lineRule="exact"/>
      <w:ind w:firstLine="536"/>
    </w:pPr>
    <w:rPr>
      <w:rFonts w:hint="eastAsia" w:ascii="宋体"/>
      <w:spacing w:val="6"/>
      <w:kern w:val="24"/>
      <w:szCs w:val="20"/>
    </w:rPr>
  </w:style>
  <w:style w:type="paragraph" w:customStyle="1" w:styleId="451">
    <w:name w:val="p16"/>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标准书脚_奇数页"/>
    <w:uiPriority w:val="0"/>
    <w:pPr>
      <w:spacing w:before="120"/>
      <w:jc w:val="right"/>
    </w:pPr>
    <w:rPr>
      <w:sz w:val="18"/>
      <w:lang w:val="en-US" w:eastAsia="zh-CN" w:bidi="ar-SA"/>
    </w:rPr>
  </w:style>
  <w:style w:type="paragraph" w:customStyle="1" w:styleId="453">
    <w:name w:val="flName"/>
    <w:basedOn w:val="1"/>
    <w:uiPriority w:val="0"/>
    <w:pPr>
      <w:adjustRightInd w:val="0"/>
      <w:spacing w:before="320" w:after="160" w:line="360" w:lineRule="atLeast"/>
      <w:jc w:val="center"/>
      <w:textAlignment w:val="baseline"/>
    </w:pPr>
    <w:rPr>
      <w:rFonts w:ascii="Arial" w:eastAsia="黑体"/>
      <w:kern w:val="0"/>
      <w:sz w:val="32"/>
    </w:rPr>
  </w:style>
  <w:style w:type="paragraph" w:customStyle="1" w:styleId="45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cs="宋体"/>
      <w:kern w:val="0"/>
      <w:sz w:val="24"/>
      <w:szCs w:val="24"/>
    </w:rPr>
  </w:style>
  <w:style w:type="paragraph" w:customStyle="1" w:styleId="455">
    <w:name w:val="彩色列表 - 强调文字颜色 13"/>
    <w:basedOn w:val="1"/>
    <w:qFormat/>
    <w:uiPriority w:val="34"/>
    <w:pPr>
      <w:ind w:firstLine="420" w:firstLineChars="200"/>
    </w:pPr>
    <w:rPr>
      <w:sz w:val="21"/>
    </w:rPr>
  </w:style>
  <w:style w:type="paragraph" w:customStyle="1" w:styleId="456">
    <w:name w:val="彩色底纹 - 着色 11"/>
    <w:semiHidden/>
    <w:uiPriority w:val="99"/>
    <w:rPr>
      <w:kern w:val="2"/>
      <w:sz w:val="21"/>
      <w:szCs w:val="24"/>
      <w:lang w:val="en-US" w:eastAsia="zh-CN" w:bidi="ar-SA"/>
    </w:rPr>
  </w:style>
  <w:style w:type="paragraph" w:customStyle="1" w:styleId="457">
    <w:name w:val="表格文字居中"/>
    <w:basedOn w:val="1"/>
    <w:uiPriority w:val="0"/>
    <w:pPr>
      <w:adjustRightInd w:val="0"/>
      <w:snapToGrid w:val="0"/>
      <w:textAlignment w:val="center"/>
    </w:pPr>
    <w:rPr>
      <w:rFonts w:ascii="宋体"/>
      <w:snapToGrid w:val="0"/>
      <w:spacing w:val="12"/>
      <w:kern w:val="0"/>
      <w:sz w:val="21"/>
    </w:rPr>
  </w:style>
  <w:style w:type="paragraph" w:customStyle="1" w:styleId="458">
    <w:name w:val="多级符号2"/>
    <w:basedOn w:val="375"/>
    <w:uiPriority w:val="0"/>
    <w:pPr>
      <w:outlineLvl w:val="9"/>
    </w:pPr>
    <w:rPr>
      <w:b w:val="0"/>
      <w:sz w:val="24"/>
    </w:rPr>
  </w:style>
  <w:style w:type="paragraph" w:customStyle="1" w:styleId="459">
    <w:name w:val="Char Char3"/>
    <w:basedOn w:val="26"/>
    <w:uiPriority w:val="0"/>
    <w:rPr>
      <w:rFonts w:ascii="Tahoma" w:hAnsi="Tahoma"/>
      <w:sz w:val="24"/>
      <w:szCs w:val="24"/>
    </w:rPr>
  </w:style>
  <w:style w:type="paragraph" w:customStyle="1" w:styleId="460">
    <w:name w:val="xl5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461">
    <w:name w:val="标准书眉_奇数页"/>
    <w:next w:val="1"/>
    <w:uiPriority w:val="0"/>
    <w:pPr>
      <w:tabs>
        <w:tab w:val="center" w:pos="4154"/>
        <w:tab w:val="right" w:pos="8306"/>
      </w:tabs>
      <w:spacing w:after="120"/>
      <w:jc w:val="right"/>
    </w:pPr>
    <w:rPr>
      <w:sz w:val="21"/>
      <w:lang w:val="en-US" w:eastAsia="zh-CN" w:bidi="ar-SA"/>
    </w:rPr>
  </w:style>
  <w:style w:type="paragraph" w:customStyle="1" w:styleId="462">
    <w:name w:val="bold_10"/>
    <w:basedOn w:val="1"/>
    <w:next w:val="1"/>
    <w:uiPriority w:val="0"/>
    <w:pPr>
      <w:widowControl/>
    </w:pPr>
    <w:rPr>
      <w:rFonts w:ascii="Arial" w:hAnsi="Arial"/>
      <w:b/>
      <w:kern w:val="0"/>
      <w:sz w:val="20"/>
      <w:lang w:val="en-AU"/>
    </w:rPr>
  </w:style>
  <w:style w:type="paragraph" w:customStyle="1" w:styleId="463">
    <w:name w:val="列出段落2"/>
    <w:basedOn w:val="1"/>
    <w:uiPriority w:val="0"/>
    <w:pPr>
      <w:spacing w:before="100" w:beforeAutospacing="1" w:after="100" w:afterAutospacing="1" w:line="300" w:lineRule="auto"/>
      <w:ind w:firstLine="420" w:firstLineChars="200"/>
    </w:pPr>
    <w:rPr>
      <w:rFonts w:ascii="Calibri" w:hAnsi="Calibri"/>
      <w:sz w:val="21"/>
      <w:szCs w:val="22"/>
    </w:rPr>
  </w:style>
  <w:style w:type="paragraph" w:customStyle="1" w:styleId="464">
    <w:name w:val="List Paragraph"/>
    <w:basedOn w:val="1"/>
    <w:unhideWhenUsed/>
    <w:qFormat/>
    <w:uiPriority w:val="99"/>
    <w:pPr>
      <w:ind w:firstLine="420" w:firstLineChars="200"/>
    </w:pPr>
    <w:rPr>
      <w:rFonts w:ascii="Calibri" w:hAnsi="Calibri"/>
      <w:sz w:val="21"/>
      <w:szCs w:val="24"/>
    </w:rPr>
  </w:style>
  <w:style w:type="paragraph" w:customStyle="1" w:styleId="465">
    <w:name w:val="正文文本缩进1"/>
    <w:basedOn w:val="1"/>
    <w:uiPriority w:val="0"/>
    <w:pPr>
      <w:spacing w:after="120"/>
      <w:ind w:left="420" w:leftChars="200"/>
    </w:pPr>
    <w:rPr>
      <w:sz w:val="21"/>
      <w:szCs w:val="24"/>
    </w:rPr>
  </w:style>
  <w:style w:type="paragraph" w:customStyle="1" w:styleId="466">
    <w:name w:val="纯文本3"/>
    <w:basedOn w:val="1"/>
    <w:uiPriority w:val="0"/>
    <w:pPr>
      <w:widowControl/>
      <w:jc w:val="left"/>
    </w:pPr>
    <w:rPr>
      <w:rFonts w:ascii="宋体" w:hAnsi="Courier New"/>
      <w:kern w:val="0"/>
      <w:sz w:val="20"/>
      <w:szCs w:val="21"/>
    </w:rPr>
  </w:style>
  <w:style w:type="paragraph" w:customStyle="1" w:styleId="467">
    <w:name w:val="表格方字"/>
    <w:basedOn w:val="1"/>
    <w:uiPriority w:val="0"/>
    <w:pPr>
      <w:adjustRightInd w:val="0"/>
      <w:spacing w:line="420" w:lineRule="atLeast"/>
      <w:textAlignment w:val="baseline"/>
    </w:pPr>
    <w:rPr>
      <w:kern w:val="0"/>
      <w:sz w:val="21"/>
    </w:rPr>
  </w:style>
  <w:style w:type="paragraph" w:customStyle="1" w:styleId="468">
    <w:name w:val="Körper"/>
    <w:basedOn w:val="1"/>
    <w:uiPriority w:val="0"/>
    <w:pPr>
      <w:widowControl/>
      <w:spacing w:before="120" w:line="240" w:lineRule="exact"/>
    </w:pPr>
    <w:rPr>
      <w:rFonts w:ascii="Arial" w:hAnsi="Arial"/>
      <w:kern w:val="0"/>
      <w:sz w:val="20"/>
      <w:lang w:val="de-DE" w:eastAsia="de-DE"/>
    </w:rPr>
  </w:style>
  <w:style w:type="paragraph" w:customStyle="1" w:styleId="469">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cs="宋体"/>
      <w:kern w:val="0"/>
      <w:sz w:val="24"/>
      <w:szCs w:val="24"/>
    </w:rPr>
  </w:style>
  <w:style w:type="paragraph" w:customStyle="1" w:styleId="470">
    <w:name w:val="表内文字"/>
    <w:basedOn w:val="1"/>
    <w:uiPriority w:val="0"/>
    <w:pPr>
      <w:tabs>
        <w:tab w:val="left" w:pos="1418"/>
      </w:tabs>
      <w:spacing w:line="360" w:lineRule="auto"/>
      <w:jc w:val="center"/>
    </w:pPr>
    <w:rPr>
      <w:rFonts w:hint="eastAsia" w:ascii="仿宋_GB2312" w:eastAsia="仿宋_GB2312"/>
      <w:spacing w:val="-20"/>
      <w:kern w:val="0"/>
      <w:sz w:val="24"/>
      <w:szCs w:val="24"/>
    </w:rPr>
  </w:style>
  <w:style w:type="paragraph" w:customStyle="1" w:styleId="471">
    <w:name w:val="条文脚注"/>
    <w:basedOn w:val="67"/>
    <w:uiPriority w:val="0"/>
    <w:pPr>
      <w:ind w:left="780" w:leftChars="200" w:hanging="360" w:hangingChars="200"/>
      <w:jc w:val="both"/>
    </w:pPr>
    <w:rPr>
      <w:rFonts w:ascii="宋体"/>
    </w:rPr>
  </w:style>
  <w:style w:type="paragraph" w:customStyle="1" w:styleId="472">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473">
    <w:name w:val="Pa3"/>
    <w:basedOn w:val="1"/>
    <w:next w:val="1"/>
    <w:uiPriority w:val="99"/>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474">
    <w:name w:val="附录五级条标题"/>
    <w:basedOn w:val="422"/>
    <w:next w:val="313"/>
    <w:uiPriority w:val="0"/>
    <w:pPr>
      <w:outlineLvl w:val="6"/>
    </w:pPr>
  </w:style>
  <w:style w:type="paragraph" w:customStyle="1" w:styleId="475">
    <w:name w:val="标题2"/>
    <w:basedOn w:val="1"/>
    <w:uiPriority w:val="0"/>
    <w:rPr>
      <w:rFonts w:ascii="宋体" w:hAnsi="宋体"/>
      <w:b/>
      <w:sz w:val="21"/>
      <w:szCs w:val="24"/>
    </w:rPr>
  </w:style>
  <w:style w:type="paragraph" w:customStyle="1" w:styleId="476">
    <w:name w:val="网格表 32"/>
    <w:basedOn w:val="2"/>
    <w:next w:val="1"/>
    <w:unhideWhenUsed/>
    <w:qFormat/>
    <w:uiPriority w:val="39"/>
    <w:pPr>
      <w:keepLines/>
      <w:spacing w:before="480" w:line="276" w:lineRule="auto"/>
      <w:jc w:val="left"/>
      <w:outlineLvl w:val="9"/>
    </w:pPr>
    <w:rPr>
      <w:rFonts w:ascii="等线 Light" w:hAnsi="等线 Light" w:eastAsia="等线 Light"/>
      <w:bCs/>
      <w:color w:val="2E74B5"/>
      <w:sz w:val="28"/>
      <w:szCs w:val="28"/>
    </w:rPr>
  </w:style>
  <w:style w:type="paragraph" w:customStyle="1" w:styleId="477">
    <w:name w:val="Char Char Char Char Char Char Char"/>
    <w:basedOn w:val="1"/>
    <w:uiPriority w:val="0"/>
    <w:pPr>
      <w:widowControl/>
      <w:spacing w:after="160" w:line="240" w:lineRule="exact"/>
      <w:jc w:val="left"/>
    </w:pPr>
    <w:rPr>
      <w:rFonts w:ascii="Verdana" w:hAnsi="Verdana" w:eastAsia="仿宋_GB2312"/>
      <w:kern w:val="0"/>
      <w:sz w:val="30"/>
      <w:szCs w:val="30"/>
      <w:lang w:eastAsia="en-US"/>
    </w:rPr>
  </w:style>
  <w:style w:type="paragraph" w:customStyle="1" w:styleId="478">
    <w:name w:val="纯文本2"/>
    <w:basedOn w:val="1"/>
    <w:uiPriority w:val="0"/>
    <w:pPr>
      <w:adjustRightInd w:val="0"/>
      <w:spacing w:line="360" w:lineRule="atLeast"/>
      <w:textAlignment w:val="baseline"/>
    </w:pPr>
    <w:rPr>
      <w:rFonts w:ascii="宋体" w:hAnsi="Courier New"/>
    </w:rPr>
  </w:style>
  <w:style w:type="paragraph" w:customStyle="1" w:styleId="479">
    <w:name w:val="xl5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s="宋体"/>
      <w:color w:val="FF0000"/>
      <w:kern w:val="0"/>
      <w:sz w:val="20"/>
    </w:rPr>
  </w:style>
  <w:style w:type="paragraph" w:customStyle="1" w:styleId="480">
    <w:name w:val="正文缩进3"/>
    <w:basedOn w:val="1"/>
    <w:uiPriority w:val="0"/>
    <w:pPr>
      <w:ind w:firstLine="420"/>
    </w:pPr>
    <w:rPr>
      <w:sz w:val="21"/>
    </w:rPr>
  </w:style>
  <w:style w:type="paragraph" w:customStyle="1" w:styleId="481">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82">
    <w:name w:val="font8"/>
    <w:basedOn w:val="1"/>
    <w:uiPriority w:val="0"/>
    <w:pPr>
      <w:widowControl/>
      <w:spacing w:before="100" w:beforeAutospacing="1" w:after="100" w:afterAutospacing="1"/>
    </w:pPr>
    <w:rPr>
      <w:rFonts w:eastAsia="Arial Unicode MS"/>
      <w:kern w:val="0"/>
      <w:sz w:val="24"/>
    </w:rPr>
  </w:style>
  <w:style w:type="paragraph" w:customStyle="1" w:styleId="483">
    <w:name w:val="6'"/>
    <w:basedOn w:val="1"/>
    <w:uiPriority w:val="0"/>
    <w:pPr>
      <w:autoSpaceDE w:val="0"/>
      <w:autoSpaceDN w:val="0"/>
      <w:adjustRightInd w:val="0"/>
      <w:snapToGrid w:val="0"/>
      <w:spacing w:line="320" w:lineRule="exact"/>
      <w:textAlignment w:val="baseline"/>
    </w:pPr>
    <w:rPr>
      <w:spacing w:val="20"/>
      <w:kern w:val="28"/>
      <w:sz w:val="21"/>
    </w:rPr>
  </w:style>
  <w:style w:type="paragraph" w:customStyle="1" w:styleId="484">
    <w:name w:val="标准书眉_偶数页"/>
    <w:basedOn w:val="1"/>
    <w:next w:val="1"/>
    <w:uiPriority w:val="0"/>
    <w:pPr>
      <w:widowControl/>
      <w:tabs>
        <w:tab w:val="center" w:pos="4154"/>
        <w:tab w:val="right" w:pos="8306"/>
      </w:tabs>
      <w:spacing w:after="120"/>
    </w:pPr>
    <w:rPr>
      <w:kern w:val="0"/>
      <w:sz w:val="21"/>
    </w:rPr>
  </w:style>
  <w:style w:type="paragraph" w:customStyle="1" w:styleId="485">
    <w:name w:val="字母编号列项（一级）"/>
    <w:uiPriority w:val="0"/>
    <w:pPr>
      <w:ind w:left="840" w:leftChars="200" w:hanging="420" w:hangingChars="200"/>
      <w:jc w:val="both"/>
    </w:pPr>
    <w:rPr>
      <w:rFonts w:ascii="宋体"/>
      <w:lang w:val="en-US" w:eastAsia="zh-CN" w:bidi="ar-SA"/>
    </w:rPr>
  </w:style>
  <w:style w:type="paragraph" w:customStyle="1" w:styleId="486">
    <w:name w:val="字元 字元 Char Char Char 字元 字元 Char 字元 字元 Char Char 字元 字元1 Char Char Char Char Char Char 字元 字元"/>
    <w:basedOn w:val="1"/>
    <w:uiPriority w:val="0"/>
    <w:rPr>
      <w:rFonts w:ascii="Tahoma" w:hAnsi="Tahoma"/>
      <w:sz w:val="24"/>
    </w:rPr>
  </w:style>
  <w:style w:type="paragraph" w:customStyle="1" w:styleId="487">
    <w:name w:val="表中"/>
    <w:basedOn w:val="1"/>
    <w:uiPriority w:val="0"/>
    <w:pPr>
      <w:autoSpaceDE w:val="0"/>
      <w:autoSpaceDN w:val="0"/>
      <w:adjustRightInd w:val="0"/>
      <w:spacing w:line="360" w:lineRule="atLeast"/>
    </w:pPr>
    <w:rPr>
      <w:rFonts w:ascii="宋体"/>
      <w:kern w:val="0"/>
      <w:sz w:val="21"/>
    </w:rPr>
  </w:style>
  <w:style w:type="paragraph" w:customStyle="1" w:styleId="488">
    <w:name w:val="标准称谓"/>
    <w:next w:val="1"/>
    <w:uiPriority w:val="0"/>
    <w:pPr>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489">
    <w:name w:val="xl29"/>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0">
    <w:name w:val="封面标准文稿类别"/>
    <w:uiPriority w:val="0"/>
    <w:pPr>
      <w:spacing w:before="440" w:line="400" w:lineRule="exact"/>
      <w:jc w:val="center"/>
    </w:pPr>
    <w:rPr>
      <w:rFonts w:ascii="宋体"/>
      <w:sz w:val="24"/>
      <w:lang w:val="en-US" w:eastAsia="zh-CN" w:bidi="ar-SA"/>
    </w:rPr>
  </w:style>
  <w:style w:type="paragraph" w:customStyle="1" w:styleId="491">
    <w:name w:val="文献分类号"/>
    <w:uiPriority w:val="0"/>
    <w:pPr>
      <w:widowControl w:val="0"/>
      <w:textAlignment w:val="center"/>
    </w:pPr>
    <w:rPr>
      <w:rFonts w:eastAsia="黑体"/>
      <w:sz w:val="21"/>
      <w:lang w:val="en-US" w:eastAsia="zh-CN" w:bidi="ar-SA"/>
    </w:rPr>
  </w:style>
  <w:style w:type="paragraph" w:customStyle="1" w:styleId="492">
    <w:name w:val="一级条标题"/>
    <w:next w:val="313"/>
    <w:uiPriority w:val="0"/>
    <w:pPr>
      <w:outlineLvl w:val="2"/>
    </w:pPr>
    <w:rPr>
      <w:rFonts w:eastAsia="黑体"/>
      <w:sz w:val="21"/>
      <w:lang w:val="en-US" w:eastAsia="zh-CN" w:bidi="ar-SA"/>
    </w:rPr>
  </w:style>
  <w:style w:type="paragraph" w:customStyle="1" w:styleId="493">
    <w:name w:val="正文 A"/>
    <w:qFormat/>
    <w:uiPriority w:val="0"/>
    <w:pPr>
      <w:widowControl w:val="0"/>
      <w:jc w:val="both"/>
    </w:pPr>
    <w:rPr>
      <w:color w:val="000000"/>
      <w:kern w:val="2"/>
      <w:sz w:val="28"/>
      <w:szCs w:val="28"/>
      <w:u w:val="none" w:color="000000"/>
      <w:lang w:val="en-US" w:eastAsia="zh-CN" w:bidi="ar-SA"/>
    </w:rPr>
  </w:style>
  <w:style w:type="paragraph" w:customStyle="1" w:styleId="494">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95">
    <w:name w:val="默认段落字体 Para Char Char Char Char Char Char Char Char Char Char Char Char Char"/>
    <w:basedOn w:val="1"/>
    <w:uiPriority w:val="0"/>
    <w:rPr>
      <w:sz w:val="21"/>
    </w:rPr>
  </w:style>
  <w:style w:type="paragraph" w:customStyle="1" w:styleId="496">
    <w:name w:val="标题4"/>
    <w:basedOn w:val="1"/>
    <w:uiPriority w:val="0"/>
    <w:rPr>
      <w:rFonts w:eastAsia="仿宋_GB2312"/>
      <w:sz w:val="32"/>
    </w:rPr>
  </w:style>
  <w:style w:type="paragraph" w:customStyle="1" w:styleId="497">
    <w:name w:val="1 Char Char Char"/>
    <w:basedOn w:val="1"/>
    <w:next w:val="5"/>
    <w:uiPriority w:val="0"/>
    <w:pPr>
      <w:spacing w:line="500" w:lineRule="exact"/>
      <w:ind w:firstLine="200"/>
      <w:jc w:val="center"/>
    </w:pPr>
    <w:rPr>
      <w:rFonts w:ascii="仿宋_GB2312" w:hAnsi="Arial" w:eastAsia="仿宋_GB2312" w:cs="Arial"/>
      <w:bCs/>
      <w:sz w:val="32"/>
      <w:szCs w:val="32"/>
    </w:rPr>
  </w:style>
  <w:style w:type="paragraph" w:customStyle="1" w:styleId="498">
    <w:name w:val="样式 一号 加粗 居中"/>
    <w:basedOn w:val="1"/>
    <w:uiPriority w:val="0"/>
    <w:pPr>
      <w:jc w:val="center"/>
    </w:pPr>
    <w:rPr>
      <w:rFonts w:cs="宋体"/>
      <w:bCs/>
      <w:sz w:val="52"/>
    </w:rPr>
  </w:style>
  <w:style w:type="paragraph" w:customStyle="1" w:styleId="499">
    <w:name w:val="纯文本1"/>
    <w:basedOn w:val="1"/>
    <w:qFormat/>
    <w:uiPriority w:val="0"/>
    <w:pPr>
      <w:widowControl/>
      <w:jc w:val="left"/>
    </w:pPr>
    <w:rPr>
      <w:rFonts w:ascii="宋体" w:hAnsi="Courier New"/>
      <w:kern w:val="0"/>
      <w:sz w:val="20"/>
      <w:szCs w:val="21"/>
    </w:rPr>
  </w:style>
  <w:style w:type="paragraph" w:customStyle="1" w:styleId="500">
    <w:name w:val="正文A"/>
    <w:uiPriority w:val="0"/>
    <w:pPr>
      <w:tabs>
        <w:tab w:val="left" w:pos="0"/>
      </w:tabs>
      <w:adjustRightInd w:val="0"/>
      <w:spacing w:before="120" w:line="360" w:lineRule="auto"/>
      <w:ind w:firstLine="480"/>
      <w:jc w:val="both"/>
    </w:pPr>
    <w:rPr>
      <w:snapToGrid w:val="0"/>
      <w:sz w:val="24"/>
      <w:lang w:val="en-US" w:eastAsia="zh-CN" w:bidi="ar-SA"/>
    </w:rPr>
  </w:style>
  <w:style w:type="paragraph" w:customStyle="1" w:styleId="501">
    <w:name w:val="其他标准称谓"/>
    <w:uiPriority w:val="0"/>
    <w:pPr>
      <w:spacing w:line="0" w:lineRule="atLeast"/>
      <w:jc w:val="distribute"/>
    </w:pPr>
    <w:rPr>
      <w:rFonts w:ascii="黑体" w:hAnsi="宋体" w:eastAsia="黑体"/>
      <w:sz w:val="52"/>
      <w:lang w:val="en-US" w:eastAsia="zh-CN" w:bidi="ar-SA"/>
    </w:rPr>
  </w:style>
  <w:style w:type="paragraph" w:customStyle="1" w:styleId="502">
    <w:name w:val="简单回函地址"/>
    <w:basedOn w:val="1"/>
    <w:uiPriority w:val="0"/>
    <w:pPr>
      <w:adjustRightInd w:val="0"/>
      <w:spacing w:line="312" w:lineRule="atLeast"/>
      <w:textAlignment w:val="baseline"/>
    </w:pPr>
    <w:rPr>
      <w:kern w:val="0"/>
      <w:sz w:val="21"/>
    </w:rPr>
  </w:style>
  <w:style w:type="paragraph" w:customStyle="1" w:styleId="503">
    <w:name w:val="正文缩进2"/>
    <w:basedOn w:val="1"/>
    <w:uiPriority w:val="0"/>
    <w:pPr>
      <w:ind w:firstLine="420"/>
    </w:pPr>
    <w:rPr>
      <w:sz w:val="21"/>
    </w:rPr>
  </w:style>
  <w:style w:type="paragraph" w:customStyle="1" w:styleId="504">
    <w:name w:val="目录1"/>
    <w:basedOn w:val="1"/>
    <w:uiPriority w:val="0"/>
    <w:pPr>
      <w:adjustRightInd w:val="0"/>
      <w:spacing w:line="420" w:lineRule="atLeast"/>
      <w:textAlignment w:val="baseline"/>
    </w:pPr>
    <w:rPr>
      <w:rFonts w:eastAsia="黑体"/>
      <w:b/>
      <w:kern w:val="0"/>
      <w:sz w:val="21"/>
    </w:rPr>
  </w:style>
  <w:style w:type="paragraph" w:customStyle="1" w:styleId="505">
    <w:name w:val="彩色底纹 - 强调文字颜色 12"/>
    <w:semiHidden/>
    <w:uiPriority w:val="99"/>
    <w:rPr>
      <w:kern w:val="2"/>
      <w:sz w:val="28"/>
      <w:lang w:val="en-US" w:eastAsia="zh-CN" w:bidi="ar-SA"/>
    </w:rPr>
  </w:style>
  <w:style w:type="paragraph" w:customStyle="1" w:styleId="506">
    <w:name w:val="Char Char Char Char Char Char Char Char Char Char"/>
    <w:basedOn w:val="1"/>
    <w:uiPriority w:val="0"/>
    <w:pPr>
      <w:widowControl/>
      <w:spacing w:after="160" w:line="240" w:lineRule="exact"/>
      <w:jc w:val="left"/>
    </w:pPr>
    <w:rPr>
      <w:sz w:val="21"/>
    </w:rPr>
  </w:style>
  <w:style w:type="paragraph" w:customStyle="1" w:styleId="507">
    <w:name w:val="引文目录标题1"/>
    <w:basedOn w:val="1"/>
    <w:next w:val="1"/>
    <w:uiPriority w:val="0"/>
    <w:pPr>
      <w:spacing w:before="120"/>
    </w:pPr>
    <w:rPr>
      <w:rFonts w:ascii="Arial" w:hAnsi="Arial" w:cs="Arial"/>
      <w:sz w:val="24"/>
      <w:szCs w:val="24"/>
    </w:rPr>
  </w:style>
  <w:style w:type="paragraph" w:customStyle="1" w:styleId="508">
    <w:name w:val="表"/>
    <w:basedOn w:val="1"/>
    <w:uiPriority w:val="0"/>
    <w:pPr>
      <w:spacing w:line="360" w:lineRule="auto"/>
      <w:jc w:val="center"/>
    </w:pPr>
    <w:rPr>
      <w:color w:val="000000"/>
      <w:sz w:val="21"/>
      <w:szCs w:val="21"/>
    </w:rPr>
  </w:style>
  <w:style w:type="paragraph" w:customStyle="1" w:styleId="509">
    <w:name w:val="彩色列表 - 强调文字颜色 12"/>
    <w:basedOn w:val="1"/>
    <w:qFormat/>
    <w:uiPriority w:val="34"/>
    <w:pPr>
      <w:ind w:firstLine="420" w:firstLineChars="200"/>
    </w:pPr>
    <w:rPr>
      <w:sz w:val="21"/>
      <w:szCs w:val="24"/>
    </w:rPr>
  </w:style>
  <w:style w:type="paragraph" w:customStyle="1" w:styleId="510">
    <w:name w:val="表格2"/>
    <w:basedOn w:val="1"/>
    <w:uiPriority w:val="0"/>
    <w:pPr>
      <w:adjustRightInd w:val="0"/>
      <w:spacing w:line="420" w:lineRule="atLeast"/>
      <w:ind w:left="284" w:firstLine="454"/>
      <w:textAlignment w:val="baseline"/>
    </w:pPr>
    <w:rPr>
      <w:kern w:val="0"/>
      <w:sz w:val="21"/>
    </w:rPr>
  </w:style>
  <w:style w:type="paragraph" w:customStyle="1" w:styleId="511">
    <w:name w:val="样式2"/>
    <w:basedOn w:val="73"/>
    <w:uiPriority w:val="0"/>
    <w:pPr>
      <w:ind w:left="200" w:leftChars="200" w:hangingChars="200" w:firstLine="2720"/>
      <w:jc w:val="both"/>
    </w:pPr>
    <w:rPr>
      <w:rFonts w:ascii="Times New Roman" w:hAnsi="Times New Roman"/>
      <w:bCs/>
      <w:smallCaps w:val="0"/>
      <w:sz w:val="21"/>
      <w:szCs w:val="24"/>
    </w:rPr>
  </w:style>
  <w:style w:type="paragraph" w:customStyle="1" w:styleId="512">
    <w:name w:val="xl5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s="宋体"/>
      <w:color w:val="000000"/>
      <w:kern w:val="0"/>
      <w:sz w:val="20"/>
    </w:rPr>
  </w:style>
  <w:style w:type="paragraph" w:customStyle="1" w:styleId="513">
    <w:name w:val="默认段落字体 Para Char Char Char Char Char Char Char Char Char1 Char Char Char Char"/>
    <w:basedOn w:val="1"/>
    <w:uiPriority w:val="0"/>
    <w:rPr>
      <w:rFonts w:ascii="Tahoma" w:hAnsi="Tahoma"/>
      <w:sz w:val="24"/>
    </w:rPr>
  </w:style>
  <w:style w:type="paragraph" w:customStyle="1" w:styleId="514">
    <w:name w:val="xl28"/>
    <w:basedOn w:val="1"/>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15">
    <w:name w:val="xl557"/>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516">
    <w:name w:val="图表脚注"/>
    <w:next w:val="313"/>
    <w:uiPriority w:val="0"/>
    <w:pPr>
      <w:ind w:left="300" w:leftChars="200" w:hanging="100" w:hangingChars="100"/>
      <w:jc w:val="both"/>
    </w:pPr>
    <w:rPr>
      <w:rFonts w:ascii="宋体"/>
      <w:sz w:val="18"/>
      <w:lang w:val="en-US" w:eastAsia="zh-CN" w:bidi="ar-SA"/>
    </w:rPr>
  </w:style>
  <w:style w:type="paragraph" w:customStyle="1" w:styleId="517">
    <w:name w:val="标题D"/>
    <w:uiPriority w:val="0"/>
    <w:pPr>
      <w:adjustRightInd w:val="0"/>
      <w:snapToGrid w:val="0"/>
      <w:spacing w:before="240" w:line="360" w:lineRule="auto"/>
      <w:outlineLvl w:val="3"/>
    </w:pPr>
    <w:rPr>
      <w:b/>
      <w:sz w:val="24"/>
      <w:lang w:val="en-US" w:eastAsia="zh-CN" w:bidi="ar-SA"/>
    </w:rPr>
  </w:style>
  <w:style w:type="paragraph" w:customStyle="1" w:styleId="518">
    <w:name w:val="正文文字缩进 2"/>
    <w:basedOn w:val="1"/>
    <w:uiPriority w:val="0"/>
    <w:pPr>
      <w:widowControl/>
      <w:spacing w:line="351" w:lineRule="atLeast"/>
      <w:ind w:firstLine="481"/>
      <w:textAlignment w:val="baseline"/>
    </w:pPr>
    <w:rPr>
      <w:rFonts w:ascii="仿宋_GB2312" w:eastAsia="仿宋_GB2312"/>
      <w:color w:val="000000"/>
      <w:kern w:val="0"/>
      <w:sz w:val="24"/>
      <w:u w:val="none" w:color="000000"/>
    </w:rPr>
  </w:style>
  <w:style w:type="paragraph" w:customStyle="1" w:styleId="519">
    <w:name w:val="Char Char Char1 Char Char Char Char Char Char Char Char Char Char Char Char Char"/>
    <w:basedOn w:val="1"/>
    <w:uiPriority w:val="0"/>
    <w:rPr>
      <w:rFonts w:ascii="Tahoma" w:hAnsi="Tahoma"/>
      <w:sz w:val="24"/>
    </w:rPr>
  </w:style>
  <w:style w:type="paragraph" w:customStyle="1" w:styleId="520">
    <w:name w:val="编号列项（三级）"/>
    <w:uiPriority w:val="0"/>
    <w:pPr>
      <w:ind w:left="800" w:leftChars="600" w:hanging="200" w:hangingChars="200"/>
    </w:pPr>
    <w:rPr>
      <w:rFonts w:ascii="宋体"/>
      <w:lang w:val="en-US" w:eastAsia="zh-CN" w:bidi="ar-SA"/>
    </w:rPr>
  </w:style>
  <w:style w:type="paragraph" w:customStyle="1" w:styleId="521">
    <w:name w:val="xl5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522">
    <w:name w:val="正文文本 21"/>
    <w:basedOn w:val="1"/>
    <w:uiPriority w:val="0"/>
    <w:pPr>
      <w:adjustRightInd w:val="0"/>
      <w:spacing w:line="300" w:lineRule="auto"/>
      <w:jc w:val="center"/>
    </w:pPr>
    <w:rPr>
      <w:rFonts w:hint="eastAsia" w:ascii="宋体" w:hAnsi="宋体"/>
      <w:sz w:val="24"/>
    </w:rPr>
  </w:style>
  <w:style w:type="paragraph" w:customStyle="1" w:styleId="523">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524">
    <w:name w:val="Char Char Char Char Char Char3 Char Char Char Char Char Char Char Char Char Char"/>
    <w:basedOn w:val="1"/>
    <w:next w:val="1"/>
    <w:uiPriority w:val="0"/>
    <w:rPr>
      <w:rFonts w:eastAsia="黑体"/>
    </w:rPr>
  </w:style>
  <w:style w:type="paragraph" w:customStyle="1" w:styleId="525">
    <w:name w:val="杭州页脚"/>
    <w:basedOn w:val="1"/>
    <w:uiPriority w:val="0"/>
    <w:pPr>
      <w:tabs>
        <w:tab w:val="left" w:pos="340"/>
      </w:tabs>
      <w:adjustRightInd w:val="0"/>
      <w:snapToGrid w:val="0"/>
      <w:ind w:left="340" w:hanging="340"/>
    </w:pPr>
    <w:rPr>
      <w:rFonts w:eastAsia="HYKai U3HK"/>
      <w:sz w:val="20"/>
      <w:szCs w:val="21"/>
    </w:rPr>
  </w:style>
  <w:style w:type="paragraph" w:customStyle="1" w:styleId="526">
    <w:name w:val="_Style 10"/>
    <w:basedOn w:val="1"/>
    <w:next w:val="1"/>
    <w:uiPriority w:val="0"/>
    <w:rPr>
      <w:sz w:val="21"/>
      <w:szCs w:val="24"/>
    </w:rPr>
  </w:style>
  <w:style w:type="paragraph" w:customStyle="1" w:styleId="527">
    <w:name w:val="Char Char Char Char Char Char3 Char Char Char Char Char Char Char"/>
    <w:basedOn w:val="1"/>
    <w:next w:val="1"/>
    <w:uiPriority w:val="0"/>
    <w:rPr>
      <w:rFonts w:eastAsia="黑体"/>
    </w:rPr>
  </w:style>
  <w:style w:type="paragraph" w:customStyle="1" w:styleId="528">
    <w:name w:val="Char Char Char Char"/>
    <w:basedOn w:val="1"/>
    <w:uiPriority w:val="0"/>
    <w:rPr>
      <w:rFonts w:ascii="仿宋_GB2312" w:eastAsia="仿宋_GB2312"/>
      <w:b/>
      <w:sz w:val="32"/>
      <w:szCs w:val="32"/>
    </w:rPr>
  </w:style>
  <w:style w:type="paragraph" w:customStyle="1" w:styleId="529">
    <w:name w:val="列出段落1"/>
    <w:basedOn w:val="1"/>
    <w:qFormat/>
    <w:uiPriority w:val="34"/>
    <w:pPr>
      <w:ind w:firstLine="420" w:firstLineChars="200"/>
    </w:pPr>
    <w:rPr>
      <w:rFonts w:ascii="Calibri" w:hAnsi="Calibri"/>
      <w:sz w:val="21"/>
      <w:szCs w:val="22"/>
    </w:rPr>
  </w:style>
  <w:style w:type="paragraph" w:customStyle="1" w:styleId="530">
    <w:name w:val="表格5"/>
    <w:basedOn w:val="510"/>
    <w:uiPriority w:val="0"/>
    <w:pPr>
      <w:ind w:left="1021" w:hanging="284"/>
    </w:pPr>
    <w:rPr>
      <w:rFonts w:ascii="宋体"/>
    </w:rPr>
  </w:style>
  <w:style w:type="paragraph" w:customStyle="1" w:styleId="531">
    <w:name w:val="表格文字"/>
    <w:basedOn w:val="1"/>
    <w:uiPriority w:val="0"/>
    <w:pPr>
      <w:adjustRightInd w:val="0"/>
      <w:spacing w:line="420" w:lineRule="atLeast"/>
      <w:textAlignment w:val="baseline"/>
    </w:pPr>
    <w:rPr>
      <w:kern w:val="0"/>
      <w:sz w:val="21"/>
    </w:rPr>
  </w:style>
  <w:style w:type="paragraph" w:customStyle="1" w:styleId="532">
    <w:name w:val="aspnumfaautoadjustrightr"/>
    <w:uiPriority w:val="0"/>
    <w:pPr>
      <w:widowControl w:val="0"/>
      <w:autoSpaceDE w:val="0"/>
      <w:autoSpaceDN w:val="0"/>
      <w:adjustRightInd w:val="0"/>
      <w:ind w:firstLine="720"/>
      <w:jc w:val="both"/>
    </w:pPr>
    <w:rPr>
      <w:lang w:val="en-US" w:eastAsia="zh-CN" w:bidi="ar-SA"/>
    </w:rPr>
  </w:style>
  <w:style w:type="paragraph" w:customStyle="1" w:styleId="533">
    <w:name w:val="样式 三号 加粗 居中"/>
    <w:basedOn w:val="1"/>
    <w:uiPriority w:val="0"/>
    <w:pPr>
      <w:spacing w:line="360" w:lineRule="auto"/>
      <w:jc w:val="center"/>
    </w:pPr>
    <w:rPr>
      <w:b/>
      <w:bCs/>
      <w:sz w:val="32"/>
    </w:rPr>
  </w:style>
  <w:style w:type="paragraph" w:customStyle="1" w:styleId="534">
    <w:name w:val="表头"/>
    <w:basedOn w:val="467"/>
    <w:uiPriority w:val="0"/>
    <w:pPr>
      <w:spacing w:before="120" w:after="60"/>
    </w:pPr>
    <w:rPr>
      <w:rFonts w:ascii="黑体" w:eastAsia="黑体"/>
      <w:b/>
    </w:rPr>
  </w:style>
  <w:style w:type="paragraph" w:customStyle="1" w:styleId="535">
    <w:name w:val="末级"/>
    <w:basedOn w:val="1"/>
    <w:uiPriority w:val="0"/>
    <w:pPr>
      <w:tabs>
        <w:tab w:val="left" w:pos="851"/>
      </w:tabs>
      <w:spacing w:line="360" w:lineRule="auto"/>
      <w:ind w:firstLine="510"/>
    </w:pPr>
    <w:rPr>
      <w:sz w:val="24"/>
      <w:szCs w:val="24"/>
    </w:rPr>
  </w:style>
  <w:style w:type="paragraph" w:customStyle="1" w:styleId="536">
    <w:name w:val="收件单位"/>
    <w:basedOn w:val="1"/>
    <w:uiPriority w:val="0"/>
    <w:pPr>
      <w:tabs>
        <w:tab w:val="left" w:pos="1365"/>
      </w:tabs>
      <w:spacing w:beforeLines="100"/>
    </w:pPr>
    <w:rPr>
      <w:rFonts w:eastAsia="华文仿宋"/>
      <w:sz w:val="30"/>
    </w:rPr>
  </w:style>
  <w:style w:type="paragraph" w:customStyle="1" w:styleId="537">
    <w:name w:val="af15hichaf0dbchf15cgrid"/>
    <w:uiPriority w:val="0"/>
    <w:pPr>
      <w:widowControl w:val="0"/>
      <w:tabs>
        <w:tab w:val="center" w:pos="4320"/>
        <w:tab w:val="right" w:pos="8640"/>
      </w:tabs>
      <w:adjustRightInd w:val="0"/>
      <w:spacing w:line="315" w:lineRule="atLeast"/>
      <w:jc w:val="both"/>
      <w:textAlignment w:val="baseline"/>
    </w:pPr>
    <w:rPr>
      <w:rFonts w:ascii="宋体"/>
      <w:sz w:val="21"/>
      <w:lang w:val="en-US" w:eastAsia="zh-CN" w:bidi="ar-SA"/>
    </w:rPr>
  </w:style>
  <w:style w:type="paragraph" w:customStyle="1" w:styleId="538">
    <w:name w:val="彩色列表 - 强调文字颜色 11"/>
    <w:basedOn w:val="1"/>
    <w:qFormat/>
    <w:uiPriority w:val="34"/>
    <w:pPr>
      <w:spacing w:before="100" w:beforeAutospacing="1" w:after="100" w:afterAutospacing="1" w:line="300" w:lineRule="auto"/>
      <w:ind w:firstLine="420" w:firstLineChars="200"/>
    </w:pPr>
    <w:rPr>
      <w:rFonts w:ascii="Calibri" w:hAnsi="Calibri"/>
      <w:sz w:val="21"/>
      <w:szCs w:val="22"/>
    </w:rPr>
  </w:style>
  <w:style w:type="paragraph" w:customStyle="1" w:styleId="539">
    <w:name w:val="正文文字缩进 3"/>
    <w:basedOn w:val="1"/>
    <w:uiPriority w:val="0"/>
    <w:pPr>
      <w:widowControl/>
      <w:spacing w:before="119" w:line="272" w:lineRule="atLeast"/>
      <w:ind w:left="719" w:firstLine="481"/>
      <w:jc w:val="left"/>
      <w:textAlignment w:val="baseline"/>
    </w:pPr>
    <w:rPr>
      <w:rFonts w:ascii="宋体"/>
      <w:color w:val="000000"/>
      <w:kern w:val="0"/>
      <w:sz w:val="24"/>
      <w:u w:val="none" w:color="000000"/>
    </w:rPr>
  </w:style>
  <w:style w:type="paragraph" w:customStyle="1" w:styleId="540">
    <w:name w:val="Char Char20"/>
    <w:basedOn w:val="1"/>
    <w:uiPriority w:val="0"/>
    <w:pPr>
      <w:snapToGrid w:val="0"/>
      <w:spacing w:afterLines="30" w:line="360" w:lineRule="auto"/>
      <w:ind w:firstLine="200" w:firstLineChars="200"/>
    </w:pPr>
    <w:rPr>
      <w:sz w:val="21"/>
      <w:szCs w:val="24"/>
    </w:rPr>
  </w:style>
  <w:style w:type="paragraph" w:customStyle="1" w:styleId="541">
    <w:name w:val="表1"/>
    <w:basedOn w:val="1"/>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542">
    <w:name w:val="reader-word-layer reader-word-s1-8"/>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3">
    <w:name w:val="目次、标准名称标题"/>
    <w:basedOn w:val="1"/>
    <w:next w:val="313"/>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44">
    <w:name w:val="xl51"/>
    <w:basedOn w:val="1"/>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color w:val="000000"/>
      <w:kern w:val="0"/>
      <w:sz w:val="21"/>
      <w:szCs w:val="21"/>
    </w:rPr>
  </w:style>
  <w:style w:type="paragraph" w:customStyle="1" w:styleId="545">
    <w:name w:val="标题C"/>
    <w:uiPriority w:val="0"/>
    <w:pPr>
      <w:tabs>
        <w:tab w:val="left" w:pos="0"/>
      </w:tabs>
      <w:adjustRightInd w:val="0"/>
      <w:snapToGrid w:val="0"/>
      <w:spacing w:before="300"/>
      <w:outlineLvl w:val="2"/>
    </w:pPr>
    <w:rPr>
      <w:b/>
      <w:snapToGrid w:val="0"/>
      <w:sz w:val="28"/>
      <w:lang w:val="en-US" w:eastAsia="zh-CN" w:bidi="ar-SA"/>
    </w:rPr>
  </w:style>
  <w:style w:type="paragraph" w:customStyle="1" w:styleId="546">
    <w:name w:val="表格"/>
    <w:basedOn w:val="1"/>
    <w:uiPriority w:val="0"/>
    <w:pPr>
      <w:textAlignment w:val="center"/>
    </w:pPr>
    <w:rPr>
      <w:rFonts w:ascii="华文细黑" w:hAnsi="华文细黑"/>
      <w:kern w:val="0"/>
      <w:sz w:val="21"/>
    </w:rPr>
  </w:style>
  <w:style w:type="paragraph" w:customStyle="1" w:styleId="547">
    <w:name w:val="部分1"/>
    <w:basedOn w:val="1"/>
    <w:uiPriority w:val="0"/>
    <w:pPr>
      <w:keepNext/>
      <w:pageBreakBefore/>
      <w:tabs>
        <w:tab w:val="left" w:pos="720"/>
      </w:tabs>
      <w:spacing w:line="360" w:lineRule="auto"/>
      <w:jc w:val="center"/>
      <w:outlineLvl w:val="0"/>
    </w:pPr>
    <w:rPr>
      <w:rFonts w:eastAsia="黑体"/>
      <w:b/>
      <w:kern w:val="44"/>
      <w:sz w:val="36"/>
    </w:rPr>
  </w:style>
  <w:style w:type="paragraph" w:customStyle="1" w:styleId="548">
    <w:name w:val="xl5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549">
    <w:name w:val="正文文本缩进 21"/>
    <w:basedOn w:val="1"/>
    <w:uiPriority w:val="0"/>
    <w:pPr>
      <w:adjustRightInd w:val="0"/>
      <w:spacing w:line="400" w:lineRule="atLeast"/>
      <w:ind w:firstLine="540"/>
      <w:textAlignment w:val="baseline"/>
    </w:pPr>
    <w:rPr>
      <w:rFonts w:ascii="宋体"/>
      <w:kern w:val="0"/>
      <w:sz w:val="24"/>
    </w:rPr>
  </w:style>
  <w:style w:type="paragraph" w:customStyle="1" w:styleId="550">
    <w:name w:val="xl33"/>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51">
    <w:name w:val="附录标识"/>
    <w:basedOn w:val="345"/>
    <w:uiPriority w:val="0"/>
    <w:pPr>
      <w:tabs>
        <w:tab w:val="left" w:pos="360"/>
        <w:tab w:val="left" w:pos="720"/>
        <w:tab w:val="left" w:pos="6405"/>
      </w:tabs>
      <w:spacing w:after="200"/>
      <w:ind w:left="360" w:hanging="360"/>
    </w:pPr>
    <w:rPr>
      <w:sz w:val="21"/>
    </w:rPr>
  </w:style>
  <w:style w:type="paragraph" w:customStyle="1" w:styleId="552">
    <w:name w:val=" Char"/>
    <w:basedOn w:val="1"/>
    <w:uiPriority w:val="0"/>
    <w:rPr>
      <w:rFonts w:ascii="仿宋_GB2312" w:eastAsia="仿宋_GB2312"/>
      <w:b/>
      <w:sz w:val="32"/>
      <w:szCs w:val="32"/>
    </w:rPr>
  </w:style>
  <w:style w:type="paragraph" w:customStyle="1" w:styleId="553">
    <w:name w:val="xl5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54">
    <w:name w:val="默认段落字体 Para Char"/>
    <w:basedOn w:val="1"/>
    <w:uiPriority w:val="0"/>
    <w:pPr>
      <w:tabs>
        <w:tab w:val="left" w:pos="425"/>
      </w:tabs>
      <w:ind w:left="425" w:hanging="425"/>
    </w:pPr>
    <w:rPr>
      <w:sz w:val="21"/>
      <w:szCs w:val="24"/>
    </w:rPr>
  </w:style>
  <w:style w:type="paragraph" w:customStyle="1" w:styleId="555">
    <w:name w:val="列项——（一级）"/>
    <w:uiPriority w:val="0"/>
    <w:pPr>
      <w:widowControl w:val="0"/>
      <w:tabs>
        <w:tab w:val="left" w:pos="720"/>
        <w:tab w:val="left" w:pos="854"/>
      </w:tabs>
      <w:ind w:left="200" w:leftChars="200" w:hanging="200" w:hangingChars="200"/>
      <w:jc w:val="both"/>
    </w:pPr>
    <w:rPr>
      <w:rFonts w:ascii="宋体"/>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theme/theme1.xml" Type="http://schemas.openxmlformats.org/officeDocument/2006/relationships/theme"/><Relationship Id="rId17" Target="media/image2.jpeg" Type="http://schemas.openxmlformats.org/officeDocument/2006/relationships/image"/><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header1.xml" Type="http://schemas.openxmlformats.org/officeDocument/2006/relationships/head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76</Pages>
  <Words>8157</Words>
  <Characters>46500</Characters>
  <Lines>387</Lines>
  <Paragraphs>109</Paragraphs>
  <TotalTime>0</TotalTime>
  <ScaleCrop>false</ScaleCrop>
  <LinksUpToDate>false</LinksUpToDate>
  <CharactersWithSpaces>54548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2021-04-30T06:08:00Z</dcterms:created>
  <dc:creator>air</dc:creator>
  <cp:lastModifiedBy>WPS_1701756769</cp:lastModifiedBy>
  <cp:lastPrinted>2021-08-30T08:09:00Z</cp:lastPrinted>
  <dcterms:modified xsi:type="dcterms:W3CDTF">2024-02-22T08:05:57Z</dcterms:modified>
  <cp:revision>23</cp:revision>
  <dc:title>XYZ(货物)项目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4F8DB6E08BFA450F87545A96B7A98B69_13</vt:lpwstr>
  </property>
</Properties>
</file>