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bookmarkStart w:id="558" w:name="_GoBack"/>
    </w:p>
    <w:p>
      <w:pPr>
        <w:adjustRightInd/>
        <w:spacing w:line="360" w:lineRule="auto"/>
        <w:jc w:val="center"/>
        <w:rPr>
          <w:rFonts w:ascii="宋体" w:hAnsi="宋体" w:cs="宋体"/>
          <w:b/>
          <w:sz w:val="44"/>
          <w:szCs w:val="44"/>
          <w:highlight w:val="none"/>
        </w:rPr>
      </w:pPr>
    </w:p>
    <w:p>
      <w:pPr>
        <w:adjustRightInd/>
        <w:spacing w:line="360" w:lineRule="auto"/>
        <w:jc w:val="center"/>
        <w:rPr>
          <w:rFonts w:hint="eastAsia" w:ascii="宋体" w:hAnsi="宋体" w:eastAsia="宋体" w:cs="宋体"/>
          <w:b/>
          <w:sz w:val="40"/>
          <w:szCs w:val="48"/>
          <w:highlight w:val="none"/>
          <w:lang w:eastAsia="zh-CN"/>
        </w:rPr>
      </w:pPr>
      <w:r>
        <w:rPr>
          <w:rFonts w:hint="eastAsia" w:ascii="宋体" w:hAnsi="宋体" w:cs="宋体"/>
          <w:b/>
          <w:sz w:val="40"/>
          <w:szCs w:val="48"/>
          <w:highlight w:val="none"/>
          <w:lang w:eastAsia="zh-CN"/>
        </w:rPr>
        <w:t>杭州第四中学新湾学校校园网络及综合布线项目</w:t>
      </w:r>
    </w:p>
    <w:p>
      <w:pPr>
        <w:tabs>
          <w:tab w:val="left" w:pos="2188"/>
          <w:tab w:val="center" w:pos="4535"/>
        </w:tabs>
        <w:adjustRightInd/>
        <w:spacing w:line="360" w:lineRule="auto"/>
        <w:jc w:val="left"/>
        <w:rPr>
          <w:rFonts w:ascii="宋体" w:hAnsi="宋体" w:cs="宋体"/>
          <w:sz w:val="48"/>
          <w:szCs w:val="48"/>
          <w:highlight w:val="none"/>
        </w:rPr>
      </w:pPr>
      <w:r>
        <w:rPr>
          <w:rFonts w:hint="eastAsia" w:ascii="宋体" w:hAnsi="宋体" w:cs="宋体"/>
          <w:sz w:val="48"/>
          <w:szCs w:val="48"/>
          <w:highlight w:val="none"/>
        </w:rPr>
        <w:tab/>
      </w:r>
    </w:p>
    <w:p>
      <w:pPr>
        <w:tabs>
          <w:tab w:val="left" w:pos="2188"/>
          <w:tab w:val="center" w:pos="4535"/>
        </w:tabs>
        <w:adjustRightInd/>
        <w:spacing w:line="360" w:lineRule="auto"/>
        <w:jc w:val="left"/>
        <w:rPr>
          <w:rFonts w:ascii="宋体" w:hAnsi="宋体" w:cs="宋体"/>
          <w:sz w:val="48"/>
          <w:szCs w:val="48"/>
          <w:highlight w:val="none"/>
        </w:rPr>
      </w:pPr>
    </w:p>
    <w:p>
      <w:pPr>
        <w:tabs>
          <w:tab w:val="left" w:pos="2188"/>
          <w:tab w:val="center" w:pos="4535"/>
        </w:tabs>
        <w:adjustRightInd/>
        <w:spacing w:line="360" w:lineRule="auto"/>
        <w:jc w:val="center"/>
        <w:rPr>
          <w:rFonts w:ascii="宋体" w:hAnsi="宋体" w:cs="宋体"/>
          <w:sz w:val="48"/>
          <w:szCs w:val="48"/>
          <w:highlight w:val="none"/>
        </w:rPr>
      </w:pPr>
      <w:r>
        <w:rPr>
          <w:rFonts w:hint="eastAsia" w:ascii="宋体" w:hAnsi="宋体" w:cs="宋体"/>
          <w:sz w:val="52"/>
          <w:szCs w:val="52"/>
          <w:highlight w:val="none"/>
        </w:rPr>
        <w:t>招标文件</w:t>
      </w:r>
    </w:p>
    <w:p>
      <w:pPr>
        <w:tabs>
          <w:tab w:val="left" w:pos="2188"/>
          <w:tab w:val="center" w:pos="4535"/>
        </w:tabs>
        <w:adjustRightInd/>
        <w:spacing w:line="360" w:lineRule="auto"/>
        <w:jc w:val="center"/>
        <w:rPr>
          <w:rFonts w:ascii="宋体" w:hAnsi="宋体" w:cs="宋体"/>
          <w:sz w:val="48"/>
          <w:szCs w:val="48"/>
          <w:highlight w:val="none"/>
        </w:rPr>
      </w:pPr>
      <w:r>
        <w:rPr>
          <w:rFonts w:hint="eastAsia" w:ascii="宋体" w:hAnsi="宋体" w:cs="宋体"/>
          <w:b/>
          <w:sz w:val="44"/>
          <w:szCs w:val="44"/>
          <w:highlight w:val="none"/>
        </w:rPr>
        <w:t>（电子招投标）</w:t>
      </w:r>
    </w:p>
    <w:p>
      <w:pPr>
        <w:snapToGrid w:val="0"/>
        <w:spacing w:line="360" w:lineRule="auto"/>
        <w:jc w:val="center"/>
        <w:rPr>
          <w:rFonts w:ascii="宋体" w:hAnsi="宋体" w:cs="宋体"/>
          <w:sz w:val="30"/>
          <w:szCs w:val="30"/>
          <w:highlight w:val="none"/>
        </w:rPr>
      </w:pPr>
    </w:p>
    <w:p>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项目编号:</w:t>
      </w:r>
      <w:r>
        <w:rPr>
          <w:rFonts w:hint="eastAsia" w:ascii="宋体" w:hAnsi="宋体" w:cs="宋体"/>
          <w:sz w:val="30"/>
          <w:szCs w:val="30"/>
          <w:highlight w:val="none"/>
          <w:lang w:eastAsia="zh-CN"/>
        </w:rPr>
        <w:t>ZJZBC-22-717</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杭州第四中学新湾学校</w:t>
      </w: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浙江省建设工程设备招标有限公司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二〇二二年</w:t>
      </w:r>
      <w:r>
        <w:rPr>
          <w:rFonts w:hint="eastAsia" w:ascii="宋体" w:hAnsi="宋体" w:cs="宋体"/>
          <w:bCs/>
          <w:sz w:val="32"/>
          <w:szCs w:val="32"/>
          <w:highlight w:val="none"/>
          <w:lang w:val="en-US" w:eastAsia="zh-CN"/>
        </w:rPr>
        <w:t>二</w:t>
      </w:r>
      <w:r>
        <w:rPr>
          <w:rFonts w:hint="eastAsia" w:ascii="宋体" w:hAnsi="宋体" w:cs="宋体"/>
          <w:bCs/>
          <w:sz w:val="32"/>
          <w:szCs w:val="32"/>
          <w:highlight w:val="none"/>
        </w:rPr>
        <w:t>月</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 xml:space="preserve">第三部分      </w:t>
      </w:r>
      <w:r>
        <w:rPr>
          <w:rFonts w:hint="eastAsia" w:ascii="宋体" w:hAnsi="宋体" w:cs="宋体"/>
          <w:sz w:val="32"/>
          <w:szCs w:val="32"/>
          <w:highlight w:val="none"/>
          <w:lang w:val="en-US" w:eastAsia="zh-CN"/>
        </w:rPr>
        <w:t>采购</w:t>
      </w:r>
      <w:r>
        <w:rPr>
          <w:rFonts w:hint="eastAsia" w:ascii="宋体" w:hAnsi="宋体" w:cs="宋体"/>
          <w:sz w:val="32"/>
          <w:szCs w:val="32"/>
          <w:highlight w:val="none"/>
        </w:rPr>
        <w:t>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lang w:eastAsia="zh-CN"/>
        </w:rPr>
        <w:t>杭州第四中学新湾学校校园网络及综合布线项目</w:t>
      </w:r>
      <w:r>
        <w:rPr>
          <w:rFonts w:hint="eastAsia" w:ascii="宋体" w:hAnsi="宋体" w:cs="宋体"/>
          <w:szCs w:val="21"/>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szCs w:val="21"/>
          <w:highlight w:val="none"/>
          <w:u w:val="single"/>
          <w:lang w:eastAsia="zh-CN"/>
        </w:rPr>
        <w:t>2022 年</w:t>
      </w:r>
      <w:r>
        <w:rPr>
          <w:rFonts w:hint="eastAsia" w:ascii="宋体" w:hAnsi="宋体" w:cs="宋体"/>
          <w:szCs w:val="21"/>
          <w:highlight w:val="none"/>
          <w:u w:val="single"/>
          <w:lang w:val="en-US" w:eastAsia="zh-CN"/>
        </w:rPr>
        <w:t>03</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21</w:t>
      </w:r>
      <w:r>
        <w:rPr>
          <w:rFonts w:hint="eastAsia" w:ascii="宋体" w:hAnsi="宋体" w:cs="宋体"/>
          <w:szCs w:val="21"/>
          <w:highlight w:val="none"/>
          <w:u w:val="single"/>
          <w:lang w:eastAsia="zh-CN"/>
        </w:rPr>
        <w:t>日14:00</w:t>
      </w:r>
      <w:r>
        <w:rPr>
          <w:rFonts w:hint="eastAsia" w:ascii="宋体" w:hAnsi="宋体" w:cs="宋体"/>
          <w:bCs/>
          <w:szCs w:val="21"/>
          <w:highlight w:val="none"/>
          <w:u w:val="single"/>
        </w:rPr>
        <w:fldChar w:fldCharType="end"/>
      </w:r>
      <w:r>
        <w:rPr>
          <w:rFonts w:hint="eastAsia" w:ascii="宋体" w:hAnsi="宋体" w:cs="宋体"/>
          <w:bCs/>
          <w:szCs w:val="21"/>
          <w:highlight w:val="none"/>
        </w:rPr>
        <w:t>（北京时间）前</w:t>
      </w:r>
      <w:r>
        <w:rPr>
          <w:rFonts w:hint="eastAsia" w:ascii="宋体" w:hAnsi="宋体" w:cs="宋体"/>
          <w:szCs w:val="21"/>
          <w:highlight w:val="none"/>
        </w:rPr>
        <w:t>递交（上传）投标文件。</w:t>
      </w:r>
    </w:p>
    <w:p>
      <w:pPr>
        <w:spacing w:line="360" w:lineRule="auto"/>
        <w:rPr>
          <w:rFonts w:ascii="宋体" w:hAnsi="宋体" w:cs="宋体"/>
          <w:b/>
          <w:szCs w:val="21"/>
          <w:highlight w:val="none"/>
        </w:rPr>
      </w:pPr>
      <w:r>
        <w:rPr>
          <w:rFonts w:hint="eastAsia" w:ascii="宋体" w:hAnsi="宋体" w:cs="宋体"/>
          <w:b/>
          <w:szCs w:val="21"/>
          <w:highlight w:val="none"/>
        </w:rPr>
        <w:t xml:space="preserve">一、项目基本情况                                            </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 xml:space="preserve">    </w:t>
      </w:r>
      <w:r>
        <w:rPr>
          <w:rFonts w:hint="eastAsia" w:ascii="宋体" w:hAnsi="宋体" w:cs="宋体"/>
          <w:b/>
          <w:szCs w:val="21"/>
          <w:highlight w:val="none"/>
        </w:rPr>
        <w:t>项目编号：</w:t>
      </w:r>
      <w:r>
        <w:rPr>
          <w:rFonts w:hint="eastAsia" w:ascii="宋体" w:hAnsi="宋体" w:cs="宋体"/>
          <w:szCs w:val="21"/>
          <w:highlight w:val="none"/>
          <w:lang w:eastAsia="zh-CN"/>
        </w:rPr>
        <w:t>ZJZBC-22-717</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 xml:space="preserve">   </w:t>
      </w:r>
      <w:r>
        <w:rPr>
          <w:rFonts w:hint="eastAsia" w:ascii="宋体" w:hAnsi="宋体" w:cs="宋体"/>
          <w:b/>
          <w:szCs w:val="21"/>
          <w:highlight w:val="none"/>
        </w:rPr>
        <w:t xml:space="preserve"> 项目名称：</w:t>
      </w:r>
      <w:r>
        <w:rPr>
          <w:rFonts w:hint="eastAsia" w:ascii="宋体" w:hAnsi="宋体" w:cs="宋体"/>
          <w:szCs w:val="21"/>
          <w:highlight w:val="none"/>
          <w:lang w:eastAsia="zh-CN"/>
        </w:rPr>
        <w:t>杭州第四中学新湾学校校园网络及综合布线项目</w:t>
      </w:r>
    </w:p>
    <w:p>
      <w:pPr>
        <w:spacing w:line="360"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szCs w:val="21"/>
          <w:highlight w:val="none"/>
        </w:rPr>
        <w:t xml:space="preserve"> 预算金额（元）：</w:t>
      </w:r>
      <w:r>
        <w:rPr>
          <w:rFonts w:hint="eastAsia" w:ascii="宋体" w:hAnsi="宋体" w:cs="宋体"/>
          <w:bCs/>
          <w:kern w:val="0"/>
          <w:szCs w:val="21"/>
          <w:highlight w:val="none"/>
          <w:lang w:eastAsia="zh-CN"/>
        </w:rPr>
        <w:t>5360000</w:t>
      </w:r>
      <w:r>
        <w:rPr>
          <w:rFonts w:hint="eastAsia" w:ascii="宋体" w:hAnsi="宋体" w:cs="宋体"/>
          <w:szCs w:val="21"/>
          <w:highlight w:val="none"/>
        </w:rPr>
        <w:t xml:space="preserve">  </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最高限价（元）：</w:t>
      </w:r>
      <w:r>
        <w:rPr>
          <w:rFonts w:hint="eastAsia" w:ascii="宋体" w:hAnsi="宋体" w:cs="宋体"/>
          <w:bCs/>
          <w:kern w:val="0"/>
          <w:szCs w:val="21"/>
          <w:highlight w:val="none"/>
          <w:lang w:eastAsia="zh-CN"/>
        </w:rPr>
        <w:t>5360000</w:t>
      </w:r>
      <w:r>
        <w:rPr>
          <w:rFonts w:hint="eastAsia" w:ascii="宋体" w:hAnsi="宋体" w:cs="宋体"/>
          <w:szCs w:val="21"/>
          <w:highlight w:val="none"/>
        </w:rPr>
        <w:t xml:space="preserve">  </w:t>
      </w:r>
    </w:p>
    <w:p>
      <w:pPr>
        <w:pStyle w:val="5"/>
        <w:spacing w:line="360" w:lineRule="auto"/>
        <w:ind w:firstLine="422" w:firstLineChars="200"/>
        <w:rPr>
          <w:rFonts w:hAnsi="宋体" w:cs="宋体"/>
          <w:color w:val="auto"/>
          <w:kern w:val="0"/>
          <w:sz w:val="21"/>
          <w:szCs w:val="21"/>
          <w:highlight w:val="none"/>
        </w:rPr>
      </w:pPr>
      <w:r>
        <w:rPr>
          <w:rFonts w:hint="eastAsia" w:hAnsi="宋体" w:cs="宋体"/>
          <w:b/>
          <w:color w:val="auto"/>
          <w:sz w:val="21"/>
          <w:szCs w:val="21"/>
          <w:highlight w:val="none"/>
        </w:rPr>
        <w:t>采购需求：</w:t>
      </w:r>
    </w:p>
    <w:p>
      <w:pPr>
        <w:pStyle w:val="5"/>
        <w:spacing w:line="360" w:lineRule="auto"/>
        <w:ind w:firstLine="480"/>
        <w:rPr>
          <w:rFonts w:hAnsi="宋体" w:cs="宋体"/>
          <w:color w:val="auto"/>
          <w:kern w:val="0"/>
          <w:sz w:val="21"/>
          <w:szCs w:val="21"/>
          <w:highlight w:val="none"/>
        </w:rPr>
      </w:pPr>
    </w:p>
    <w:p>
      <w:pPr>
        <w:widowControl/>
        <w:spacing w:line="360" w:lineRule="auto"/>
        <w:ind w:firstLine="480"/>
        <w:jc w:val="left"/>
        <w:rPr>
          <w:rFonts w:ascii="宋体" w:hAnsi="宋体" w:cs="宋体"/>
          <w:bCs/>
          <w:kern w:val="0"/>
          <w:szCs w:val="21"/>
          <w:highlight w:val="none"/>
        </w:rPr>
      </w:pPr>
      <w:r>
        <w:rPr>
          <w:rFonts w:hint="eastAsia" w:ascii="宋体" w:hAnsi="宋体" w:cs="宋体"/>
          <w:bCs/>
          <w:kern w:val="0"/>
          <w:szCs w:val="21"/>
          <w:highlight w:val="none"/>
        </w:rPr>
        <w:t>标项一：</w:t>
      </w:r>
    </w:p>
    <w:p>
      <w:pPr>
        <w:widowControl/>
        <w:spacing w:line="360" w:lineRule="auto"/>
        <w:ind w:firstLine="480"/>
        <w:jc w:val="left"/>
        <w:rPr>
          <w:rFonts w:hint="eastAsia" w:ascii="宋体" w:hAnsi="宋体" w:eastAsia="宋体" w:cs="宋体"/>
          <w:szCs w:val="21"/>
          <w:highlight w:val="none"/>
          <w:lang w:eastAsia="zh-CN"/>
        </w:rPr>
      </w:pPr>
      <w:r>
        <w:rPr>
          <w:rFonts w:hint="eastAsia" w:ascii="宋体" w:hAnsi="宋体" w:cs="宋体"/>
          <w:bCs/>
          <w:kern w:val="0"/>
          <w:szCs w:val="21"/>
          <w:highlight w:val="none"/>
        </w:rPr>
        <w:t>标项名称：</w:t>
      </w:r>
      <w:r>
        <w:rPr>
          <w:rFonts w:hint="eastAsia" w:ascii="宋体" w:hAnsi="宋体" w:cs="宋体"/>
          <w:szCs w:val="21"/>
          <w:highlight w:val="none"/>
          <w:lang w:eastAsia="zh-CN"/>
        </w:rPr>
        <w:t>杭州第四中学新湾学校校园网络及综合布线项目</w:t>
      </w:r>
    </w:p>
    <w:p>
      <w:pPr>
        <w:widowControl/>
        <w:spacing w:line="360" w:lineRule="auto"/>
        <w:ind w:firstLine="480"/>
        <w:jc w:val="left"/>
        <w:rPr>
          <w:rFonts w:ascii="宋体" w:hAnsi="宋体" w:cs="宋体"/>
          <w:szCs w:val="21"/>
          <w:highlight w:val="none"/>
        </w:rPr>
      </w:pPr>
      <w:r>
        <w:rPr>
          <w:rFonts w:hint="eastAsia" w:ascii="宋体" w:hAnsi="宋体" w:cs="宋体"/>
          <w:bCs/>
          <w:kern w:val="0"/>
          <w:szCs w:val="21"/>
          <w:highlight w:val="none"/>
        </w:rPr>
        <w:t>数量：1</w:t>
      </w:r>
    </w:p>
    <w:p>
      <w:pPr>
        <w:widowControl/>
        <w:spacing w:line="360" w:lineRule="auto"/>
        <w:ind w:firstLine="480"/>
        <w:jc w:val="left"/>
        <w:rPr>
          <w:rFonts w:hint="eastAsia" w:ascii="宋体" w:hAnsi="宋体" w:eastAsia="宋体" w:cs="宋体"/>
          <w:szCs w:val="21"/>
          <w:highlight w:val="none"/>
          <w:lang w:eastAsia="zh-CN"/>
        </w:rPr>
      </w:pPr>
      <w:r>
        <w:rPr>
          <w:rFonts w:hint="eastAsia" w:ascii="宋体" w:hAnsi="宋体" w:cs="宋体"/>
          <w:bCs/>
          <w:kern w:val="0"/>
          <w:szCs w:val="21"/>
          <w:highlight w:val="none"/>
        </w:rPr>
        <w:t>预算金额（元）：</w:t>
      </w:r>
      <w:r>
        <w:rPr>
          <w:rFonts w:hint="eastAsia" w:ascii="宋体" w:hAnsi="宋体" w:cs="宋体"/>
          <w:bCs/>
          <w:kern w:val="0"/>
          <w:szCs w:val="21"/>
          <w:highlight w:val="none"/>
          <w:lang w:eastAsia="zh-CN"/>
        </w:rPr>
        <w:t>5360000</w:t>
      </w:r>
    </w:p>
    <w:p>
      <w:pPr>
        <w:widowControl/>
        <w:spacing w:line="360" w:lineRule="auto"/>
        <w:jc w:val="left"/>
        <w:rPr>
          <w:rFonts w:ascii="宋体" w:hAnsi="宋体" w:cs="宋体"/>
          <w:szCs w:val="21"/>
          <w:highlight w:val="none"/>
        </w:rPr>
      </w:pPr>
      <w:r>
        <w:rPr>
          <w:rFonts w:hint="eastAsia" w:ascii="宋体" w:hAnsi="宋体" w:cs="宋体"/>
          <w:bCs/>
          <w:kern w:val="0"/>
          <w:szCs w:val="21"/>
          <w:highlight w:val="none"/>
        </w:rPr>
        <w:t>简要规格描述或项目基本概况介绍、用途：</w:t>
      </w:r>
      <w:r>
        <w:rPr>
          <w:rFonts w:hint="eastAsia" w:ascii="宋体" w:hAnsi="宋体" w:cs="宋体"/>
          <w:bCs/>
          <w:szCs w:val="21"/>
          <w:highlight w:val="none"/>
        </w:rPr>
        <w:t>杭州第四中学新湾学校校园网络及综合布线项目主要内容：网络安全系统、基础网络系统、校园网综合布线。详见招标文件第三部分</w:t>
      </w:r>
      <w:r>
        <w:rPr>
          <w:rFonts w:hint="eastAsia" w:ascii="宋体" w:hAnsi="宋体" w:cs="宋体"/>
          <w:bCs/>
          <w:szCs w:val="21"/>
          <w:highlight w:val="none"/>
          <w:lang w:val="en-US" w:eastAsia="zh-CN"/>
        </w:rPr>
        <w:t>采购</w:t>
      </w:r>
      <w:r>
        <w:rPr>
          <w:rFonts w:hint="eastAsia" w:ascii="宋体" w:hAnsi="宋体" w:cs="宋体"/>
          <w:bCs/>
          <w:szCs w:val="21"/>
          <w:highlight w:val="none"/>
        </w:rPr>
        <w:t>需求</w:t>
      </w:r>
      <w:r>
        <w:rPr>
          <w:rFonts w:hint="eastAsia" w:ascii="宋体" w:hAnsi="宋体" w:cs="宋体"/>
          <w:szCs w:val="21"/>
          <w:highlight w:val="none"/>
        </w:rPr>
        <w:t>。</w:t>
      </w:r>
    </w:p>
    <w:p>
      <w:pPr>
        <w:widowControl/>
        <w:spacing w:line="360" w:lineRule="auto"/>
        <w:jc w:val="left"/>
        <w:rPr>
          <w:rFonts w:ascii="宋体" w:hAnsi="宋体" w:cs="宋体"/>
          <w:bCs/>
          <w:kern w:val="0"/>
          <w:szCs w:val="21"/>
          <w:highlight w:val="none"/>
        </w:rPr>
      </w:pPr>
      <w:r>
        <w:rPr>
          <w:rFonts w:hint="eastAsia" w:ascii="宋体" w:hAnsi="宋体" w:cs="宋体"/>
          <w:b/>
          <w:kern w:val="0"/>
          <w:szCs w:val="21"/>
          <w:highlight w:val="none"/>
        </w:rPr>
        <w:t>合同履约期限：</w:t>
      </w:r>
      <w:r>
        <w:rPr>
          <w:rFonts w:hint="eastAsia" w:ascii="宋体" w:hAnsi="宋体" w:cs="宋体"/>
          <w:bCs/>
          <w:kern w:val="0"/>
          <w:szCs w:val="21"/>
          <w:highlight w:val="none"/>
        </w:rPr>
        <w:t>90日历天。</w:t>
      </w:r>
    </w:p>
    <w:p>
      <w:pPr>
        <w:pStyle w:val="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sdtPr>
        <w:sdtEndPr>
          <w:rPr>
            <w:rFonts w:hint="eastAsia" w:hAnsi="宋体" w:cs="宋体"/>
            <w:color w:val="0000FF"/>
            <w:kern w:val="0"/>
            <w:sz w:val="21"/>
            <w:szCs w:val="21"/>
            <w:highlight w:val="none"/>
          </w:rPr>
        </w:sdtEndPr>
        <w:sdtContent>
          <w:sdt>
            <w:sdtPr>
              <w:rPr>
                <w:rFonts w:hint="eastAsia" w:hAnsi="宋体" w:cs="宋体"/>
                <w:color w:val="auto"/>
                <w:kern w:val="0"/>
                <w:sz w:val="21"/>
                <w:szCs w:val="21"/>
                <w:highlight w:val="none"/>
              </w:rPr>
              <w:id w:val="5446736"/>
            </w:sdtPr>
            <w:sdtEndPr>
              <w:rPr>
                <w:rFonts w:hint="eastAsia" w:hAnsi="宋体" w:cs="宋体"/>
                <w:color w:val="0000FF"/>
                <w:kern w:val="0"/>
                <w:sz w:val="21"/>
                <w:szCs w:val="21"/>
                <w:highlight w:val="none"/>
              </w:rPr>
            </w:sdtEndPr>
            <w:sdtContent>
              <w:sdt>
                <w:sdtPr>
                  <w:rPr>
                    <w:rFonts w:hint="eastAsia" w:hAnsi="宋体" w:cs="宋体"/>
                    <w:color w:val="auto"/>
                    <w:kern w:val="0"/>
                    <w:sz w:val="21"/>
                    <w:szCs w:val="21"/>
                    <w:highlight w:val="none"/>
                  </w:rPr>
                  <w:id w:val="-1765526721"/>
                  <w:showingPlcHdr/>
                </w:sdtPr>
                <w:sdtEndPr>
                  <w:rPr>
                    <w:rFonts w:hint="eastAsia" w:hAnsi="宋体" w:cs="宋体"/>
                    <w:color w:val="auto"/>
                    <w:kern w:val="0"/>
                    <w:sz w:val="21"/>
                    <w:szCs w:val="21"/>
                    <w:highlight w:val="none"/>
                  </w:rPr>
                </w:sdtEndPr>
                <w:sdtContent>
                  <w:r>
                    <w:rPr>
                      <w:rFonts w:hint="eastAsia" w:hAnsi="宋体" w:cs="宋体"/>
                      <w:color w:val="auto"/>
                      <w:kern w:val="0"/>
                      <w:sz w:val="21"/>
                      <w:szCs w:val="21"/>
                      <w:highlight w:val="none"/>
                    </w:rPr>
                    <w:sym w:font="Wingdings" w:char="F0FE"/>
                  </w:r>
                </w:sdtContent>
              </w:sdt>
            </w:sdtContent>
          </w:sdt>
        </w:sdtContent>
      </w:sdt>
      <w:r>
        <w:rPr>
          <w:rFonts w:hint="eastAsia" w:hAnsi="宋体" w:cs="宋体"/>
          <w:b/>
          <w:color w:val="0000FF"/>
          <w:sz w:val="21"/>
          <w:szCs w:val="21"/>
          <w:highlight w:val="none"/>
        </w:rPr>
        <w:t>是</w:t>
      </w:r>
      <w:r>
        <w:rPr>
          <w:rFonts w:hint="eastAsia" w:hAnsi="宋体" w:cs="宋体"/>
          <w:b/>
          <w:color w:val="auto"/>
          <w:sz w:val="21"/>
          <w:szCs w:val="21"/>
          <w:highlight w:val="none"/>
        </w:rPr>
        <w:t>，</w:t>
      </w:r>
      <w:sdt>
        <w:sdtPr>
          <w:rPr>
            <w:rFonts w:hint="eastAsia" w:hAnsi="宋体" w:cs="宋体"/>
            <w:color w:val="auto"/>
            <w:kern w:val="0"/>
            <w:sz w:val="21"/>
            <w:szCs w:val="21"/>
            <w:highlight w:val="none"/>
          </w:rPr>
          <w:id w:val="-1765526721"/>
        </w:sdtPr>
        <w:sdtEndPr>
          <w:rPr>
            <w:rFonts w:hint="eastAsia" w:hAnsi="宋体" w:cs="宋体"/>
            <w:color w:val="auto"/>
            <w:kern w:val="0"/>
            <w:sz w:val="21"/>
            <w:szCs w:val="21"/>
            <w:highlight w:val="none"/>
          </w:rPr>
        </w:sdtEndPr>
        <w:sdtContent>
          <w:r>
            <w:rPr>
              <w:rFonts w:hint="eastAsia" w:hAnsi="宋体" w:cs="宋体"/>
              <w:color w:val="auto"/>
              <w:kern w:val="0"/>
              <w:sz w:val="21"/>
              <w:szCs w:val="21"/>
              <w:highlight w:val="none"/>
            </w:rPr>
            <w:sym w:font="Wingdings" w:char="00A8"/>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pPr>
        <w:spacing w:line="360" w:lineRule="auto"/>
        <w:rPr>
          <w:rFonts w:ascii="宋体" w:hAnsi="宋体" w:cs="宋体"/>
          <w:b/>
          <w:szCs w:val="21"/>
          <w:highlight w:val="none"/>
        </w:rPr>
      </w:pPr>
      <w:r>
        <w:rPr>
          <w:rFonts w:hint="eastAsia" w:ascii="宋体" w:hAnsi="宋体" w:cs="宋体"/>
          <w:b/>
          <w:szCs w:val="21"/>
          <w:highlight w:val="none"/>
        </w:rPr>
        <w:t>二、申请人的资格要求：</w:t>
      </w:r>
    </w:p>
    <w:p>
      <w:pPr>
        <w:spacing w:line="360" w:lineRule="auto"/>
        <w:ind w:firstLine="480"/>
        <w:rPr>
          <w:rFonts w:ascii="宋体" w:hAnsi="宋体" w:cs="宋体"/>
          <w:snapToGrid w:val="0"/>
          <w:kern w:val="28"/>
          <w:szCs w:val="21"/>
          <w:highlight w:val="none"/>
        </w:rPr>
      </w:pPr>
      <w:r>
        <w:rPr>
          <w:rFonts w:hint="eastAsia" w:ascii="宋体" w:hAnsi="宋体" w:cs="宋体"/>
          <w:snapToGrid w:val="0"/>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 xml:space="preserve">    2.落实政府采购政策需满足的资格要求：</w:t>
      </w:r>
    </w:p>
    <w:p>
      <w:pPr>
        <w:spacing w:line="360" w:lineRule="auto"/>
        <w:ind w:firstLine="420" w:firstLineChars="200"/>
        <w:rPr>
          <w:rFonts w:ascii="宋体" w:hAnsi="宋体" w:cs="宋体"/>
          <w:szCs w:val="21"/>
          <w:highlight w:val="none"/>
        </w:rPr>
      </w:pPr>
      <w:sdt>
        <w:sdtPr>
          <w:rPr>
            <w:rFonts w:hint="eastAsia" w:ascii="宋体" w:hAnsi="宋体" w:cs="宋体"/>
            <w:kern w:val="0"/>
            <w:szCs w:val="21"/>
            <w:highlight w:val="none"/>
          </w:rPr>
          <w:id w:val="1928616923"/>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3797030"/>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FE"/>
              </w:r>
            </w:sdtContent>
          </w:sdt>
        </w:sdtContent>
      </w:sdt>
      <w:r>
        <w:rPr>
          <w:rFonts w:hint="eastAsia" w:ascii="宋体" w:hAnsi="宋体" w:cs="宋体"/>
          <w:szCs w:val="21"/>
          <w:highlight w:val="none"/>
        </w:rPr>
        <w:t>无；</w:t>
      </w:r>
    </w:p>
    <w:p>
      <w:pPr>
        <w:spacing w:line="360" w:lineRule="auto"/>
        <w:ind w:firstLine="420" w:firstLineChars="200"/>
        <w:rPr>
          <w:rFonts w:ascii="宋体" w:hAnsi="宋体" w:cs="宋体"/>
          <w:szCs w:val="21"/>
          <w:highlight w:val="none"/>
        </w:rPr>
      </w:pPr>
      <w:sdt>
        <w:sdtPr>
          <w:rPr>
            <w:rFonts w:hint="eastAsia" w:ascii="宋体" w:hAnsi="宋体" w:cs="宋体"/>
            <w:kern w:val="0"/>
            <w:szCs w:val="21"/>
            <w:highlight w:val="none"/>
          </w:rPr>
          <w:id w:val="-102470430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专</w:t>
      </w:r>
      <w:r>
        <w:rPr>
          <w:rFonts w:hint="eastAsia" w:ascii="宋体" w:hAnsi="宋体" w:cs="宋体"/>
          <w:szCs w:val="21"/>
          <w:highlight w:val="none"/>
        </w:rPr>
        <w:t>门面向中小企业</w:t>
      </w:r>
    </w:p>
    <w:p>
      <w:pPr>
        <w:spacing w:line="360" w:lineRule="auto"/>
        <w:ind w:firstLine="785" w:firstLineChars="374"/>
        <w:rPr>
          <w:rFonts w:ascii="宋体" w:hAnsi="宋体" w:cs="宋体"/>
          <w:szCs w:val="21"/>
          <w:highlight w:val="none"/>
          <w:u w:val="single"/>
        </w:rPr>
      </w:pPr>
      <w:sdt>
        <w:sdtPr>
          <w:rPr>
            <w:rFonts w:hint="eastAsia" w:ascii="宋体" w:hAnsi="宋体" w:cs="宋体"/>
            <w:kern w:val="0"/>
            <w:szCs w:val="21"/>
            <w:highlight w:val="none"/>
          </w:rPr>
          <w:id w:val="-924730588"/>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szCs w:val="21"/>
          <w:highlight w:val="none"/>
        </w:rPr>
        <w:t>货物全部由符合政策要求的中小企业制造，提供中小企业声明函；</w:t>
      </w:r>
    </w:p>
    <w:p>
      <w:pPr>
        <w:spacing w:line="360" w:lineRule="auto"/>
        <w:ind w:firstLine="785" w:firstLineChars="374"/>
        <w:rPr>
          <w:rFonts w:ascii="宋体" w:hAnsi="宋体" w:cs="宋体"/>
          <w:szCs w:val="21"/>
          <w:highlight w:val="none"/>
        </w:rPr>
      </w:pPr>
      <w:sdt>
        <w:sdtPr>
          <w:rPr>
            <w:rFonts w:hint="eastAsia" w:ascii="宋体" w:hAnsi="宋体" w:cs="宋体"/>
            <w:kern w:val="0"/>
            <w:szCs w:val="21"/>
            <w:highlight w:val="none"/>
          </w:rPr>
          <w:id w:val="-1152604937"/>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27059531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00A8"/>
              </w:r>
            </w:sdtContent>
          </w:sdt>
        </w:sdtContent>
      </w:sdt>
      <w:r>
        <w:rPr>
          <w:rFonts w:hint="eastAsia" w:ascii="宋体" w:hAnsi="宋体" w:cs="宋体"/>
          <w:szCs w:val="21"/>
          <w:highlight w:val="none"/>
        </w:rPr>
        <w:t>货物全部由符合政策要求的小微企业制造，提供中小企业声明函；</w:t>
      </w:r>
    </w:p>
    <w:p>
      <w:pPr>
        <w:spacing w:line="360" w:lineRule="auto"/>
        <w:ind w:firstLine="785" w:firstLineChars="374"/>
        <w:rPr>
          <w:rFonts w:ascii="宋体" w:hAnsi="宋体" w:cs="宋体"/>
          <w:szCs w:val="21"/>
          <w:highlight w:val="none"/>
        </w:rPr>
      </w:pPr>
      <w:sdt>
        <w:sdtPr>
          <w:rPr>
            <w:rFonts w:hint="eastAsia" w:ascii="宋体" w:hAnsi="宋体" w:cs="宋体"/>
            <w:kern w:val="0"/>
            <w:szCs w:val="21"/>
            <w:highlight w:val="none"/>
          </w:rPr>
          <w:id w:val="-333685401"/>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8502515"/>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sdtContent>
      </w:sdt>
      <w:r>
        <w:rPr>
          <w:rFonts w:hint="eastAsia" w:ascii="宋体" w:hAnsi="宋体" w:cs="宋体"/>
          <w:szCs w:val="21"/>
          <w:highlight w:val="none"/>
        </w:rPr>
        <w:t>服务全部由符合政策要求的中小企业承接，提供中小企业声明函；</w:t>
      </w:r>
    </w:p>
    <w:p>
      <w:pPr>
        <w:spacing w:line="360" w:lineRule="auto"/>
        <w:ind w:firstLine="785" w:firstLineChars="374"/>
        <w:rPr>
          <w:rFonts w:hint="eastAsia" w:ascii="宋体" w:hAnsi="宋体" w:cs="宋体"/>
          <w:szCs w:val="21"/>
          <w:highlight w:val="none"/>
        </w:rPr>
      </w:pPr>
      <w:sdt>
        <w:sdtPr>
          <w:rPr>
            <w:rFonts w:hint="eastAsia" w:ascii="宋体" w:hAnsi="宋体" w:cs="宋体"/>
            <w:kern w:val="0"/>
            <w:szCs w:val="21"/>
            <w:highlight w:val="none"/>
          </w:rPr>
          <w:id w:val="-2141025358"/>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szCs w:val="21"/>
          <w:highlight w:val="none"/>
        </w:rPr>
        <w:t>服务全部由符合政策要求的小微企业承接，提供中小企业声明函；</w:t>
      </w:r>
    </w:p>
    <w:p>
      <w:pPr>
        <w:spacing w:line="360" w:lineRule="auto"/>
        <w:ind w:firstLine="480" w:firstLineChars="200"/>
        <w:rPr>
          <w:rFonts w:hint="eastAsia" w:asciiTheme="minorEastAsia" w:hAnsiTheme="minorEastAsia" w:eastAsiaTheme="minorEastAsia" w:cstheme="minorEastAsia"/>
          <w:sz w:val="21"/>
          <w:szCs w:val="21"/>
          <w:highlight w:val="none"/>
        </w:rPr>
      </w:pPr>
      <w:sdt>
        <w:sdtPr>
          <w:rPr>
            <w:rFonts w:hint="eastAsia" w:ascii="仿宋_GB2312" w:hAnsi="仿宋" w:eastAsia="仿宋_GB2312" w:cs="Arial"/>
            <w:kern w:val="0"/>
            <w:sz w:val="24"/>
            <w:highlight w:val="none"/>
          </w:rPr>
          <w:id w:val="-198560779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Wingdings" w:hAnsi="Wingdings" w:eastAsiaTheme="minorEastAsia" w:cstheme="minorEastAsia"/>
              <w:kern w:val="0"/>
              <w:sz w:val="21"/>
              <w:szCs w:val="21"/>
              <w:highlight w:val="none"/>
              <w:lang w:val="en-US" w:eastAsia="zh-CN" w:bidi="ar-SA"/>
            </w:rPr>
            <w:t>þ</w:t>
          </w:r>
        </w:sdtContent>
      </w:sdt>
      <w:r>
        <w:rPr>
          <w:rFonts w:hint="eastAsia" w:asciiTheme="minorEastAsia" w:hAnsiTheme="minorEastAsia" w:eastAsiaTheme="minorEastAsia" w:cstheme="minorEastAsia"/>
          <w:sz w:val="21"/>
          <w:szCs w:val="21"/>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40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%，小微企业合同金额应当达到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70 </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pacing w:val="8"/>
          <w:kern w:val="0"/>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cstheme="minorEastAsia"/>
          <w:sz w:val="21"/>
          <w:szCs w:val="21"/>
          <w:highlight w:val="none"/>
        </w:rPr>
        <w:t>；</w:t>
      </w:r>
    </w:p>
    <w:p>
      <w:pPr>
        <w:spacing w:line="360" w:lineRule="auto"/>
        <w:ind w:firstLine="420" w:firstLineChars="200"/>
        <w:rPr>
          <w:highlight w:val="none"/>
        </w:rPr>
      </w:pPr>
      <w:sdt>
        <w:sdtPr>
          <w:rPr>
            <w:rFonts w:hint="eastAsia" w:asciiTheme="minorEastAsia" w:hAnsiTheme="minorEastAsia" w:eastAsiaTheme="minorEastAsia" w:cstheme="minorEastAsia"/>
            <w:kern w:val="0"/>
            <w:sz w:val="21"/>
            <w:szCs w:val="21"/>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1"/>
            <w:szCs w:val="21"/>
            <w:highlight w:val="none"/>
          </w:rPr>
        </w:sdtEndPr>
        <w:sdtContent>
          <w:r>
            <w:rPr>
              <w:rFonts w:hint="eastAsia" w:asciiTheme="minorEastAsia" w:hAnsiTheme="minorEastAsia" w:eastAsiaTheme="minorEastAsia" w:cstheme="minorEastAsia"/>
              <w:kern w:val="0"/>
              <w:sz w:val="21"/>
              <w:szCs w:val="21"/>
              <w:highlight w:val="none"/>
            </w:rPr>
            <w:t>☐</w:t>
          </w:r>
        </w:sdtContent>
      </w:sdt>
      <w:r>
        <w:rPr>
          <w:rFonts w:hint="eastAsia" w:asciiTheme="minorEastAsia" w:hAnsiTheme="minorEastAsia" w:eastAsiaTheme="minorEastAsia" w:cstheme="minorEastAsia"/>
          <w:sz w:val="21"/>
          <w:szCs w:val="21"/>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，小微企业合同金额应当达到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w:t>
      </w:r>
      <w:r>
        <w:rPr>
          <w:rFonts w:hint="eastAsia" w:asciiTheme="minorEastAsia" w:hAnsiTheme="minorEastAsia" w:eastAsiaTheme="minorEastAsia" w:cstheme="minorEastAsia"/>
          <w:spacing w:val="8"/>
          <w:kern w:val="0"/>
          <w:sz w:val="21"/>
          <w:szCs w:val="21"/>
          <w:highlight w:val="none"/>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cstheme="minorEastAsia"/>
          <w:sz w:val="21"/>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3.本项目的特定资格要求：无；</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4.单位负责人为同一人或者存在直接控股、管理关系的不同供应商，不得参加同一合同项下的政府采购活动。</w:t>
      </w:r>
    </w:p>
    <w:p>
      <w:pPr>
        <w:spacing w:line="360" w:lineRule="auto"/>
        <w:rPr>
          <w:rFonts w:ascii="宋体" w:hAnsi="宋体" w:cs="宋体"/>
          <w:b/>
          <w:szCs w:val="21"/>
          <w:highlight w:val="none"/>
        </w:rPr>
      </w:pPr>
      <w:r>
        <w:rPr>
          <w:rFonts w:hint="eastAsia" w:ascii="宋体" w:hAnsi="宋体" w:cs="宋体"/>
          <w:b/>
          <w:szCs w:val="21"/>
          <w:highlight w:val="none"/>
        </w:rPr>
        <w:t xml:space="preserve">三、获取招标文件 </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时间：</w:t>
      </w:r>
      <w:r>
        <w:rPr>
          <w:rFonts w:hint="eastAsia" w:ascii="宋体" w:hAnsi="宋体" w:cs="宋体"/>
          <w:szCs w:val="21"/>
          <w:highlight w:val="none"/>
        </w:rPr>
        <w:t>/至</w:t>
      </w:r>
      <w:r>
        <w:rPr>
          <w:rFonts w:hint="eastAsia" w:ascii="宋体" w:hAnsi="宋体" w:cs="宋体"/>
          <w:szCs w:val="21"/>
          <w:highlight w:val="none"/>
          <w:u w:val="single"/>
          <w:lang w:eastAsia="zh-CN"/>
        </w:rPr>
        <w:t>2022 年</w:t>
      </w:r>
      <w:r>
        <w:rPr>
          <w:rFonts w:hint="eastAsia" w:ascii="宋体" w:hAnsi="宋体" w:cs="宋体"/>
          <w:szCs w:val="21"/>
          <w:highlight w:val="none"/>
          <w:u w:val="single"/>
          <w:lang w:val="en-US" w:eastAsia="zh-CN"/>
        </w:rPr>
        <w:t xml:space="preserve"> 03 </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 xml:space="preserve"> 21 </w:t>
      </w:r>
      <w:r>
        <w:rPr>
          <w:rFonts w:hint="eastAsia" w:ascii="宋体" w:hAnsi="宋体" w:cs="宋体"/>
          <w:szCs w:val="21"/>
          <w:highlight w:val="none"/>
          <w:u w:val="single"/>
          <w:lang w:eastAsia="zh-CN"/>
        </w:rPr>
        <w:t>日</w:t>
      </w:r>
      <w:r>
        <w:rPr>
          <w:rFonts w:hint="eastAsia" w:ascii="宋体" w:hAnsi="宋体" w:cs="宋体"/>
          <w:szCs w:val="21"/>
          <w:highlight w:val="none"/>
        </w:rPr>
        <w:t>，每天上午00:00至12:00 ，下午12:00至23:59（北京时间，线上获取法定节假日均可，线下获取文件法定节假日除外）</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政采云平台（https://www.zcygov.cn/） </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方式：</w:t>
      </w:r>
      <w:r>
        <w:rPr>
          <w:rFonts w:hint="eastAsia" w:ascii="宋体" w:hAnsi="宋体" w:cs="宋体"/>
          <w:szCs w:val="21"/>
          <w:highlight w:val="none"/>
        </w:rPr>
        <w:t xml:space="preserve">供应商登录政采云平台https://www.zcygov.cn/在线申请获取招标文件（进入“项目采购”应用，在获取招标文件菜单中选择项目，申请获取招标文件）。 </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售价（元）：</w:t>
      </w:r>
      <w:r>
        <w:rPr>
          <w:rFonts w:hint="eastAsia" w:ascii="宋体" w:hAnsi="宋体" w:cs="宋体"/>
          <w:szCs w:val="21"/>
          <w:highlight w:val="none"/>
        </w:rPr>
        <w:t xml:space="preserve">0 </w:t>
      </w:r>
      <w:r>
        <w:rPr>
          <w:rFonts w:hint="eastAsia" w:ascii="宋体" w:hAnsi="宋体" w:cs="宋体"/>
          <w:szCs w:val="21"/>
          <w:highlight w:val="none"/>
        </w:rPr>
        <w:tab/>
      </w:r>
    </w:p>
    <w:p>
      <w:pPr>
        <w:spacing w:line="360" w:lineRule="auto"/>
        <w:rPr>
          <w:rFonts w:ascii="宋体" w:hAnsi="宋体" w:cs="宋体"/>
          <w:b/>
          <w:szCs w:val="21"/>
          <w:highlight w:val="none"/>
        </w:rPr>
      </w:pPr>
      <w:r>
        <w:rPr>
          <w:rFonts w:hint="eastAsia" w:ascii="宋体" w:hAnsi="宋体" w:cs="宋体"/>
          <w:b/>
          <w:szCs w:val="21"/>
          <w:highlight w:val="none"/>
        </w:rPr>
        <w:t>四、提交投标文件截止时间、开标时间和地点</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提交投标文件截止时间：</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2022 年</w:t>
      </w:r>
      <w:r>
        <w:rPr>
          <w:rFonts w:hint="eastAsia" w:ascii="宋体" w:hAnsi="宋体" w:cs="宋体"/>
          <w:szCs w:val="21"/>
          <w:highlight w:val="none"/>
          <w:u w:val="single"/>
          <w:lang w:val="en-US" w:eastAsia="zh-CN"/>
        </w:rPr>
        <w:t xml:space="preserve"> 03 </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 xml:space="preserve"> 21 </w:t>
      </w:r>
      <w:r>
        <w:rPr>
          <w:rFonts w:hint="eastAsia" w:ascii="宋体" w:hAnsi="宋体" w:cs="宋体"/>
          <w:szCs w:val="21"/>
          <w:highlight w:val="none"/>
          <w:u w:val="single"/>
          <w:lang w:eastAsia="zh-CN"/>
        </w:rPr>
        <w:t>日</w:t>
      </w:r>
      <w:r>
        <w:rPr>
          <w:rFonts w:hint="eastAsia" w:ascii="宋体" w:hAnsi="宋体" w:cs="宋体"/>
          <w:szCs w:val="21"/>
          <w:highlight w:val="none"/>
          <w:u w:val="single"/>
        </w:rPr>
        <w:t>14 点00 分</w:t>
      </w:r>
      <w:r>
        <w:rPr>
          <w:rFonts w:hint="eastAsia" w:ascii="宋体" w:hAnsi="宋体" w:cs="宋体"/>
          <w:bCs/>
          <w:szCs w:val="21"/>
          <w:highlight w:val="none"/>
          <w:u w:val="single"/>
        </w:rPr>
        <w:t xml:space="preserve"> </w:t>
      </w:r>
      <w:r>
        <w:rPr>
          <w:rFonts w:hint="eastAsia" w:ascii="宋体" w:hAnsi="宋体" w:cs="宋体"/>
          <w:szCs w:val="21"/>
          <w:highlight w:val="none"/>
        </w:rPr>
        <w:t>（北京时间）</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投标地点（网址）：</w:t>
      </w:r>
      <w:r>
        <w:rPr>
          <w:rFonts w:hint="eastAsia" w:ascii="宋体" w:hAnsi="宋体" w:cs="宋体"/>
          <w:szCs w:val="21"/>
          <w:highlight w:val="none"/>
        </w:rPr>
        <w:t xml:space="preserve">政采云平台（https://www.zcygov.cn/） </w:t>
      </w:r>
    </w:p>
    <w:p>
      <w:pPr>
        <w:spacing w:line="360" w:lineRule="auto"/>
        <w:ind w:firstLine="422" w:firstLineChars="200"/>
        <w:rPr>
          <w:rFonts w:ascii="宋体" w:hAnsi="宋体" w:cs="宋体"/>
          <w:bCs/>
          <w:szCs w:val="21"/>
          <w:highlight w:val="none"/>
          <w:u w:val="single"/>
        </w:rPr>
      </w:pPr>
      <w:r>
        <w:rPr>
          <w:rFonts w:hint="eastAsia" w:ascii="宋体" w:hAnsi="宋体" w:cs="宋体"/>
          <w:b/>
          <w:szCs w:val="21"/>
          <w:highlight w:val="none"/>
        </w:rPr>
        <w:t>开标时间：</w:t>
      </w:r>
      <w:r>
        <w:rPr>
          <w:rFonts w:hint="eastAsia" w:ascii="宋体" w:hAnsi="宋体" w:cs="宋体"/>
          <w:szCs w:val="21"/>
          <w:highlight w:val="none"/>
          <w:u w:val="single"/>
          <w:lang w:eastAsia="zh-CN"/>
        </w:rPr>
        <w:t>2022 年</w:t>
      </w:r>
      <w:r>
        <w:rPr>
          <w:rFonts w:hint="eastAsia" w:ascii="宋体" w:hAnsi="宋体" w:cs="宋体"/>
          <w:szCs w:val="21"/>
          <w:highlight w:val="none"/>
          <w:u w:val="single"/>
          <w:lang w:val="en-US" w:eastAsia="zh-CN"/>
        </w:rPr>
        <w:t xml:space="preserve">03 </w:t>
      </w:r>
      <w:r>
        <w:rPr>
          <w:rFonts w:hint="eastAsia" w:ascii="宋体" w:hAnsi="宋体" w:cs="宋体"/>
          <w:szCs w:val="21"/>
          <w:highlight w:val="none"/>
          <w:u w:val="single"/>
          <w:lang w:eastAsia="zh-CN"/>
        </w:rPr>
        <w:t>月</w:t>
      </w:r>
      <w:r>
        <w:rPr>
          <w:rFonts w:hint="eastAsia" w:ascii="宋体" w:hAnsi="宋体" w:cs="宋体"/>
          <w:szCs w:val="21"/>
          <w:highlight w:val="none"/>
          <w:u w:val="single"/>
          <w:lang w:val="en-US" w:eastAsia="zh-CN"/>
        </w:rPr>
        <w:t xml:space="preserve"> 21 </w:t>
      </w:r>
      <w:r>
        <w:rPr>
          <w:rFonts w:hint="eastAsia" w:ascii="宋体" w:hAnsi="宋体" w:cs="宋体"/>
          <w:szCs w:val="21"/>
          <w:highlight w:val="none"/>
          <w:u w:val="single"/>
          <w:lang w:eastAsia="zh-CN"/>
        </w:rPr>
        <w:t>日</w:t>
      </w:r>
      <w:r>
        <w:rPr>
          <w:rFonts w:hint="eastAsia" w:ascii="宋体" w:hAnsi="宋体" w:cs="宋体"/>
          <w:szCs w:val="21"/>
          <w:highlight w:val="none"/>
          <w:u w:val="single"/>
        </w:rPr>
        <w:t>14 点00 分</w:t>
      </w:r>
    </w:p>
    <w:p>
      <w:pPr>
        <w:pStyle w:val="209"/>
        <w:spacing w:line="360" w:lineRule="auto"/>
        <w:ind w:firstLine="422" w:firstLineChars="200"/>
        <w:rPr>
          <w:rFonts w:cs="宋体"/>
          <w:sz w:val="21"/>
          <w:szCs w:val="21"/>
          <w:highlight w:val="none"/>
        </w:rPr>
      </w:pPr>
      <w:r>
        <w:rPr>
          <w:rFonts w:hint="eastAsia" w:cs="宋体"/>
          <w:b/>
          <w:sz w:val="21"/>
          <w:szCs w:val="21"/>
          <w:highlight w:val="none"/>
        </w:rPr>
        <w:t>开标地点（网址）：</w:t>
      </w:r>
      <w:r>
        <w:rPr>
          <w:rFonts w:hint="eastAsia" w:cs="宋体"/>
          <w:sz w:val="21"/>
          <w:szCs w:val="21"/>
          <w:highlight w:val="none"/>
        </w:rPr>
        <w:t>政采云平台（https://www.zcygov.cn/）（线下：杭州市上城区环站东路97号云峰大厦1幢6楼开标室）</w:t>
      </w:r>
    </w:p>
    <w:p>
      <w:pPr>
        <w:widowControl/>
        <w:spacing w:line="360" w:lineRule="auto"/>
        <w:jc w:val="left"/>
        <w:rPr>
          <w:rFonts w:ascii="宋体" w:hAnsi="宋体" w:cs="宋体"/>
          <w:szCs w:val="21"/>
          <w:highlight w:val="none"/>
        </w:rPr>
      </w:pPr>
      <w:r>
        <w:rPr>
          <w:rFonts w:hint="eastAsia" w:ascii="宋体" w:hAnsi="宋体" w:cs="宋体"/>
          <w:b/>
          <w:bCs/>
          <w:kern w:val="0"/>
          <w:szCs w:val="21"/>
          <w:highlight w:val="none"/>
        </w:rPr>
        <w:t>五、采购意向公开链接</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https://zfcg.czt.zj.gov.cn/innerUsed_noticeDetails/index.html?noticeId=8369782</w:t>
      </w:r>
    </w:p>
    <w:p>
      <w:pPr>
        <w:widowControl/>
        <w:spacing w:line="360" w:lineRule="auto"/>
        <w:jc w:val="left"/>
        <w:rPr>
          <w:rFonts w:ascii="宋体" w:hAnsi="宋体" w:cs="宋体"/>
          <w:szCs w:val="21"/>
          <w:highlight w:val="none"/>
        </w:rPr>
      </w:pPr>
      <w:r>
        <w:rPr>
          <w:rFonts w:hint="eastAsia" w:ascii="宋体" w:hAnsi="宋体" w:cs="宋体"/>
          <w:b/>
          <w:bCs/>
          <w:kern w:val="0"/>
          <w:szCs w:val="21"/>
          <w:highlight w:val="none"/>
        </w:rPr>
        <w:t>六、公告期限</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自本公告发布之日起5个工作日。</w:t>
      </w:r>
    </w:p>
    <w:p>
      <w:pPr>
        <w:widowControl/>
        <w:numPr>
          <w:ilvl w:val="0"/>
          <w:numId w:val="1"/>
        </w:numPr>
        <w:spacing w:line="360" w:lineRule="auto"/>
        <w:jc w:val="left"/>
        <w:rPr>
          <w:rFonts w:hint="eastAsia" w:ascii="宋体" w:hAnsi="宋体" w:cs="宋体"/>
          <w:b/>
          <w:bCs/>
          <w:kern w:val="0"/>
          <w:szCs w:val="21"/>
          <w:highlight w:val="none"/>
        </w:rPr>
      </w:pPr>
      <w:r>
        <w:rPr>
          <w:rFonts w:hint="eastAsia" w:ascii="宋体" w:hAnsi="宋体" w:cs="宋体"/>
          <w:b/>
          <w:bCs/>
          <w:kern w:val="0"/>
          <w:szCs w:val="21"/>
          <w:highlight w:val="none"/>
        </w:rPr>
        <w:t>其他补充事宜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1"/>
        <w:numPr>
          <w:ilvl w:val="0"/>
          <w:numId w:val="0"/>
        </w:numPr>
        <w:ind w:leftChars="400"/>
        <w:rPr>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.其他事项：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（1）需要落实的政府采购政策：包括节约资源、保护环境、支持创新、促进中小企业发展等。详见招标文件的第二部分总则。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招标人、招标代理机构将依托政采云平台完成本项目的电子交易活动，平台不接受未按上述方式获取招标文件的供应商进行投标活动； ⑥对未按上述方式获取招标文件的供应商对该文件提出的质疑，招标人或招标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为支持和促进中小企业发展，杭州市财政局出台了政府采购信用融资政策，供应商可凭中标合同申请贷款，利率一般在基准利率左右（不同银行略有差异）。具体可登录（http://220.191.208.230/login.do）办理业务。 </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八、对本次招标提出询问、质疑、投诉，请按以下方式联系</w:t>
      </w:r>
    </w:p>
    <w:p>
      <w:pPr>
        <w:widowControl/>
        <w:spacing w:line="360" w:lineRule="auto"/>
        <w:ind w:firstLine="480"/>
        <w:jc w:val="left"/>
        <w:rPr>
          <w:rFonts w:ascii="宋体" w:hAnsi="宋体" w:cs="宋体"/>
          <w:szCs w:val="21"/>
          <w:highlight w:val="none"/>
        </w:rPr>
      </w:pPr>
      <w:r>
        <w:rPr>
          <w:rFonts w:hint="eastAsia" w:ascii="宋体" w:hAnsi="宋体" w:cs="宋体"/>
          <w:kern w:val="0"/>
          <w:szCs w:val="21"/>
          <w:highlight w:val="none"/>
        </w:rPr>
        <w:t>1.招标人信息</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名称： 杭州第四中学新湾学校</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 xml:space="preserve">地址：杭州市钱塘区闸口路86号   </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联系人：张老师</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联系电话：0571-86579853</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 xml:space="preserve">质疑答复联系人：熊老师   </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质疑答复联系人电话：0571-89730002</w:t>
      </w:r>
    </w:p>
    <w:p>
      <w:pPr>
        <w:widowControl/>
        <w:spacing w:before="75" w:after="75" w:line="360" w:lineRule="auto"/>
        <w:ind w:firstLine="480"/>
        <w:jc w:val="left"/>
        <w:rPr>
          <w:rFonts w:ascii="宋体" w:hAnsi="宋体" w:cs="宋体"/>
          <w:szCs w:val="21"/>
          <w:highlight w:val="none"/>
        </w:rPr>
      </w:pPr>
      <w:r>
        <w:rPr>
          <w:rFonts w:hint="eastAsia" w:ascii="宋体" w:hAnsi="宋体" w:cs="宋体"/>
          <w:szCs w:val="21"/>
          <w:highlight w:val="none"/>
        </w:rPr>
        <w:t>2.招标代理机构信息</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名称：浙江省建设工程设备招标有限公司</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地址：杭州市上城区环站东路97号云峰大厦1幢6楼</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传真：0571-87631300</w:t>
      </w:r>
    </w:p>
    <w:p>
      <w:pPr>
        <w:widowControl/>
        <w:spacing w:before="75" w:after="75" w:line="360" w:lineRule="auto"/>
        <w:ind w:firstLine="420" w:firstLineChars="200"/>
        <w:jc w:val="left"/>
        <w:rPr>
          <w:rFonts w:ascii="宋体" w:hAnsi="宋体" w:cs="宋体"/>
          <w:szCs w:val="21"/>
          <w:highlight w:val="none"/>
        </w:rPr>
      </w:pPr>
      <w:r>
        <w:rPr>
          <w:rFonts w:hint="eastAsia" w:ascii="宋体" w:hAnsi="宋体" w:cs="宋体"/>
          <w:szCs w:val="21"/>
          <w:highlight w:val="none"/>
        </w:rPr>
        <w:t>项目联系人（询问）：孙先平、杨广</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项目联系方式（询问）：0571-87631032</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质疑联系人：姜晓飞</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质疑联系方式：0571-87631032</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3.同级政府采购监督管理部门</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名称：杭州市财政局政府采购监管处</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地址：杭州市中河中路152号617办公室</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传真：0571-87715261</w:t>
      </w:r>
    </w:p>
    <w:p>
      <w:pPr>
        <w:widowControl/>
        <w:spacing w:before="75" w:after="75" w:line="360" w:lineRule="auto"/>
        <w:jc w:val="left"/>
        <w:rPr>
          <w:rFonts w:ascii="宋体" w:hAnsi="宋体" w:cs="宋体"/>
          <w:szCs w:val="21"/>
          <w:highlight w:val="none"/>
        </w:rPr>
      </w:pPr>
      <w:r>
        <w:rPr>
          <w:rFonts w:hint="eastAsia" w:ascii="宋体" w:hAnsi="宋体" w:cs="宋体"/>
          <w:szCs w:val="21"/>
          <w:highlight w:val="none"/>
        </w:rPr>
        <w:t>   联系人：吕先生</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监督投诉电话：0571-87715261</w:t>
      </w:r>
    </w:p>
    <w:p>
      <w:pPr>
        <w:spacing w:line="360" w:lineRule="auto"/>
        <w:ind w:firstLine="420" w:firstLineChars="200"/>
        <w:rPr>
          <w:rFonts w:ascii="宋体" w:hAnsi="宋体" w:cs="宋体"/>
          <w:szCs w:val="21"/>
          <w:highlight w:val="none"/>
        </w:rPr>
      </w:pP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sz w:val="24"/>
          <w:highlight w:val="none"/>
        </w:rPr>
      </w:pPr>
      <w:r>
        <w:rPr>
          <w:rFonts w:hint="eastAsia" w:ascii="宋体" w:hAnsi="宋体" w:cs="宋体"/>
          <w:szCs w:val="21"/>
          <w:highlight w:val="none"/>
        </w:rPr>
        <w:t xml:space="preserve">CA问题联系电话（人工）：汇信CA 400-888-4636；天谷CA 400-087-8198。     </w:t>
      </w:r>
      <w:r>
        <w:rPr>
          <w:rFonts w:hint="eastAsia" w:ascii="宋体" w:hAnsi="宋体" w:cs="宋体"/>
          <w:sz w:val="24"/>
          <w:highlight w:val="none"/>
        </w:rPr>
        <w:t xml:space="preserve">                         </w:t>
      </w:r>
    </w:p>
    <w:p>
      <w:pPr>
        <w:rPr>
          <w:rFonts w:ascii="宋体" w:hAnsi="宋体" w:cs="宋体"/>
          <w:b/>
          <w:sz w:val="36"/>
          <w:szCs w:val="20"/>
          <w:highlight w:val="none"/>
        </w:rPr>
      </w:pPr>
      <w:r>
        <w:rPr>
          <w:rFonts w:hint="eastAsia" w:ascii="宋体" w:hAnsi="宋体" w:cs="宋体"/>
          <w:b/>
          <w:sz w:val="36"/>
          <w:szCs w:val="20"/>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事项</w:t>
            </w:r>
          </w:p>
        </w:tc>
        <w:tc>
          <w:tcPr>
            <w:tcW w:w="6520"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ascii="宋体" w:hAnsi="宋体" w:cs="宋体"/>
                <w:b/>
                <w:szCs w:val="21"/>
                <w:highlight w:val="none"/>
              </w:rPr>
            </w:pP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项目概述</w:t>
            </w:r>
          </w:p>
        </w:tc>
        <w:tc>
          <w:tcPr>
            <w:tcW w:w="6520" w:type="dxa"/>
            <w:tcBorders>
              <w:tl2br w:val="nil"/>
              <w:tr2bl w:val="nil"/>
            </w:tcBorders>
            <w:vAlign w:val="center"/>
          </w:tcPr>
          <w:p>
            <w:pPr>
              <w:pStyle w:val="256"/>
              <w:numPr>
                <w:ilvl w:val="0"/>
                <w:numId w:val="2"/>
              </w:numPr>
              <w:snapToGrid w:val="0"/>
              <w:ind w:firstLineChars="0"/>
              <w:jc w:val="left"/>
              <w:rPr>
                <w:rFonts w:ascii="宋体" w:hAnsi="宋体" w:eastAsia="宋体" w:cs="宋体"/>
                <w:sz w:val="21"/>
                <w:szCs w:val="21"/>
                <w:highlight w:val="none"/>
              </w:rPr>
            </w:pPr>
            <w:r>
              <w:rPr>
                <w:rFonts w:hint="eastAsia" w:ascii="宋体" w:hAnsi="宋体" w:eastAsia="宋体" w:cs="宋体"/>
                <w:b/>
                <w:sz w:val="21"/>
                <w:szCs w:val="21"/>
                <w:highlight w:val="none"/>
              </w:rPr>
              <w:t>项目名称：</w:t>
            </w:r>
            <w:r>
              <w:rPr>
                <w:rFonts w:hint="eastAsia" w:ascii="宋体" w:hAnsi="宋体" w:eastAsia="宋体" w:cs="宋体"/>
                <w:sz w:val="21"/>
                <w:szCs w:val="21"/>
                <w:highlight w:val="none"/>
                <w:lang w:eastAsia="zh-CN"/>
              </w:rPr>
              <w:t>杭州第四中学新湾学校校园网络及综合布线项目</w:t>
            </w:r>
          </w:p>
          <w:p>
            <w:pPr>
              <w:pStyle w:val="256"/>
              <w:numPr>
                <w:ilvl w:val="0"/>
                <w:numId w:val="2"/>
              </w:numPr>
              <w:snapToGrid w:val="0"/>
              <w:ind w:firstLineChars="0"/>
              <w:jc w:val="left"/>
              <w:rPr>
                <w:rFonts w:ascii="宋体" w:hAnsi="宋体" w:eastAsia="宋体" w:cs="宋体"/>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ZJZBC-22-717</w:t>
            </w:r>
          </w:p>
          <w:p>
            <w:pPr>
              <w:pStyle w:val="256"/>
              <w:numPr>
                <w:ilvl w:val="0"/>
                <w:numId w:val="2"/>
              </w:numPr>
              <w:snapToGrid w:val="0"/>
              <w:ind w:firstLineChars="0"/>
              <w:jc w:val="left"/>
              <w:rPr>
                <w:rFonts w:hint="eastAsia" w:ascii="宋体" w:hAnsi="宋体" w:eastAsia="宋体" w:cs="宋体"/>
                <w:bCs/>
                <w:sz w:val="21"/>
                <w:szCs w:val="21"/>
                <w:highlight w:val="none"/>
              </w:rPr>
            </w:pPr>
            <w:r>
              <w:rPr>
                <w:rFonts w:hint="eastAsia" w:ascii="宋体" w:hAnsi="宋体" w:eastAsia="宋体" w:cs="宋体"/>
                <w:sz w:val="21"/>
                <w:szCs w:val="21"/>
                <w:highlight w:val="none"/>
              </w:rPr>
              <w:t>项目主要内容：</w:t>
            </w:r>
            <w:r>
              <w:rPr>
                <w:rFonts w:hint="eastAsia" w:ascii="宋体" w:hAnsi="宋体" w:eastAsia="宋体" w:cs="宋体"/>
                <w:bCs/>
                <w:sz w:val="21"/>
                <w:szCs w:val="21"/>
                <w:highlight w:val="none"/>
              </w:rPr>
              <w:t>杭州第四中学新湾学校校园网络及综合布线项目主要内容：网络安全系统、基础网络系统、校园网综合布线。详见招标文件第三部分</w:t>
            </w:r>
            <w:r>
              <w:rPr>
                <w:rFonts w:hint="eastAsia" w:ascii="宋体" w:hAnsi="宋体" w:eastAsia="宋体" w:cs="宋体"/>
                <w:bCs/>
                <w:sz w:val="21"/>
                <w:szCs w:val="21"/>
                <w:highlight w:val="none"/>
                <w:lang w:val="en-US" w:eastAsia="zh-CN"/>
              </w:rPr>
              <w:t>采购</w:t>
            </w:r>
            <w:r>
              <w:rPr>
                <w:rFonts w:hint="eastAsia" w:ascii="宋体" w:hAnsi="宋体" w:eastAsia="宋体" w:cs="宋体"/>
                <w:bCs/>
                <w:sz w:val="21"/>
                <w:szCs w:val="21"/>
                <w:highlight w:val="none"/>
              </w:rPr>
              <w:t>需求。</w:t>
            </w:r>
          </w:p>
          <w:p>
            <w:pPr>
              <w:pStyle w:val="256"/>
              <w:numPr>
                <w:ilvl w:val="0"/>
                <w:numId w:val="2"/>
              </w:numPr>
              <w:snapToGrid w:val="0"/>
              <w:ind w:firstLineChars="0"/>
              <w:jc w:val="left"/>
              <w:rPr>
                <w:rFonts w:ascii="宋体" w:hAnsi="宋体" w:eastAsia="宋体" w:cs="宋体"/>
                <w:sz w:val="21"/>
                <w:szCs w:val="21"/>
                <w:highlight w:val="none"/>
              </w:rPr>
            </w:pPr>
            <w:r>
              <w:rPr>
                <w:rFonts w:hint="eastAsia" w:ascii="宋体" w:hAnsi="宋体" w:eastAsia="宋体" w:cs="宋体"/>
                <w:bCs/>
                <w:sz w:val="21"/>
                <w:szCs w:val="21"/>
                <w:highlight w:val="none"/>
              </w:rPr>
              <w:t>项目预算：</w:t>
            </w:r>
            <w:r>
              <w:rPr>
                <w:rFonts w:hint="eastAsia" w:ascii="宋体" w:hAnsi="宋体" w:eastAsia="宋体" w:cs="宋体"/>
                <w:bCs/>
                <w:sz w:val="21"/>
                <w:szCs w:val="21"/>
                <w:highlight w:val="none"/>
                <w:lang w:val="en-US" w:eastAsia="zh-CN"/>
              </w:rPr>
              <w:t>536</w:t>
            </w:r>
            <w:r>
              <w:rPr>
                <w:rFonts w:hint="eastAsia" w:ascii="宋体" w:hAnsi="宋体" w:eastAsia="宋体" w:cs="宋体"/>
                <w:bCs/>
                <w:sz w:val="21"/>
                <w:szCs w:val="21"/>
                <w:highlight w:val="none"/>
              </w:rPr>
              <w:t>万元，计划书号：杭政采分-2022-00090[HZZFCG-YS-2022-00119]，超出预算做无效标处理。</w:t>
            </w:r>
          </w:p>
          <w:p>
            <w:pPr>
              <w:pStyle w:val="256"/>
              <w:numPr>
                <w:ilvl w:val="0"/>
                <w:numId w:val="2"/>
              </w:numPr>
              <w:snapToGrid w:val="0"/>
              <w:ind w:firstLineChars="0"/>
              <w:jc w:val="left"/>
              <w:rPr>
                <w:rFonts w:ascii="宋体" w:hAnsi="宋体" w:eastAsia="宋体" w:cs="宋体"/>
                <w:sz w:val="21"/>
                <w:szCs w:val="21"/>
                <w:highlight w:val="none"/>
              </w:rPr>
            </w:pPr>
            <w:r>
              <w:rPr>
                <w:rFonts w:hint="eastAsia" w:ascii="宋体" w:hAnsi="宋体" w:eastAsia="宋体" w:cs="宋体"/>
                <w:bCs/>
                <w:sz w:val="21"/>
                <w:szCs w:val="21"/>
                <w:highlight w:val="none"/>
              </w:rPr>
              <w:t>服务期：90日历天。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13"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报价要求</w:t>
            </w:r>
          </w:p>
        </w:tc>
        <w:tc>
          <w:tcPr>
            <w:tcW w:w="6520" w:type="dxa"/>
            <w:tcBorders>
              <w:tl2br w:val="nil"/>
              <w:tr2bl w:val="nil"/>
            </w:tcBorders>
            <w:vAlign w:val="center"/>
          </w:tcPr>
          <w:p>
            <w:pPr>
              <w:snapToGrid w:val="0"/>
              <w:spacing w:line="360" w:lineRule="auto"/>
              <w:jc w:val="left"/>
              <w:rPr>
                <w:rFonts w:ascii="宋体" w:hAnsi="宋体" w:cs="宋体"/>
                <w:b/>
                <w:kern w:val="0"/>
                <w:szCs w:val="21"/>
                <w:highlight w:val="none"/>
                <w:lang w:val="zh-CN"/>
              </w:rPr>
            </w:pPr>
            <w:r>
              <w:rPr>
                <w:rFonts w:hint="eastAsia" w:ascii="宋体" w:hAnsi="宋体" w:cs="宋体"/>
                <w:kern w:val="0"/>
                <w:szCs w:val="21"/>
                <w:highlight w:val="none"/>
                <w:lang w:val="zh-CN"/>
              </w:rPr>
              <w:t>有关本项目实施所需的所有费用（含税费）均计入报价。</w:t>
            </w:r>
            <w:r>
              <w:rPr>
                <w:rFonts w:hint="eastAsia" w:ascii="宋体" w:hAnsi="宋体" w:cs="宋体"/>
                <w:szCs w:val="21"/>
                <w:highlight w:val="none"/>
              </w:rPr>
              <w:t>开标一览表（报价表）是报价的唯一载体</w:t>
            </w:r>
            <w:r>
              <w:rPr>
                <w:rFonts w:hint="eastAsia" w:ascii="宋体" w:hAnsi="宋体" w:cs="宋体"/>
                <w:kern w:val="0"/>
                <w:szCs w:val="21"/>
                <w:highlight w:val="none"/>
                <w:lang w:val="zh-CN"/>
              </w:rPr>
              <w:t>。投标文件中价格全部采用人民币报价。招标文件未列明，而投标人认为必需的费用也需列入报价。</w:t>
            </w:r>
            <w:r>
              <w:rPr>
                <w:rFonts w:hint="eastAsia" w:ascii="宋体" w:hAnsi="宋体" w:cs="宋体"/>
                <w:b/>
                <w:kern w:val="0"/>
                <w:szCs w:val="21"/>
                <w:highlight w:val="none"/>
                <w:lang w:val="zh-CN"/>
              </w:rPr>
              <w:t>提醒：验收时检测费用由招标人承担，不包含在投标总价中。</w:t>
            </w:r>
          </w:p>
          <w:p>
            <w:pPr>
              <w:snapToGrid w:val="0"/>
              <w:spacing w:line="360" w:lineRule="auto"/>
              <w:jc w:val="left"/>
              <w:rPr>
                <w:rFonts w:ascii="宋体" w:hAnsi="宋体" w:cs="宋体"/>
                <w:b/>
                <w:kern w:val="0"/>
                <w:szCs w:val="21"/>
                <w:highlight w:val="none"/>
                <w:lang w:val="zh-CN"/>
              </w:rPr>
            </w:pPr>
            <w:r>
              <w:rPr>
                <w:rFonts w:hint="eastAsia" w:ascii="宋体" w:hAnsi="宋体" w:cs="宋体"/>
                <w:b/>
                <w:kern w:val="0"/>
                <w:szCs w:val="21"/>
                <w:highlight w:val="none"/>
                <w:lang w:val="zh-CN"/>
              </w:rPr>
              <w:t>投标报价出现下列情形的，投标无效：</w:t>
            </w:r>
          </w:p>
          <w:p>
            <w:pPr>
              <w:snapToGrid w:val="0"/>
              <w:spacing w:line="360" w:lineRule="auto"/>
              <w:ind w:firstLine="211" w:firstLineChars="100"/>
              <w:jc w:val="left"/>
              <w:rPr>
                <w:rFonts w:ascii="宋体" w:hAnsi="宋体" w:cs="宋体"/>
                <w:b/>
                <w:kern w:val="0"/>
                <w:szCs w:val="21"/>
                <w:highlight w:val="none"/>
                <w:lang w:val="zh-CN"/>
              </w:rPr>
            </w:pPr>
            <w:r>
              <w:rPr>
                <w:rFonts w:hint="eastAsia" w:ascii="宋体" w:hAnsi="宋体" w:cs="宋体"/>
                <w:b/>
                <w:kern w:val="0"/>
                <w:szCs w:val="21"/>
                <w:highlight w:val="none"/>
                <w:lang w:val="zh-CN"/>
              </w:rPr>
              <w:t>投标文件出现不是唯一的、有选择性投标报价的；</w:t>
            </w:r>
          </w:p>
          <w:p>
            <w:pPr>
              <w:snapToGrid w:val="0"/>
              <w:spacing w:line="360" w:lineRule="auto"/>
              <w:ind w:firstLine="211" w:firstLineChars="100"/>
              <w:jc w:val="left"/>
              <w:rPr>
                <w:rFonts w:ascii="宋体" w:hAnsi="宋体" w:cs="宋体"/>
                <w:kern w:val="0"/>
                <w:szCs w:val="21"/>
                <w:highlight w:val="none"/>
                <w:lang w:val="zh-CN"/>
              </w:rPr>
            </w:pPr>
            <w:r>
              <w:rPr>
                <w:rFonts w:hint="eastAsia" w:ascii="宋体" w:hAnsi="宋体" w:cs="宋体"/>
                <w:b/>
                <w:kern w:val="0"/>
                <w:szCs w:val="21"/>
                <w:highlight w:val="none"/>
                <w:lang w:val="zh-CN"/>
              </w:rPr>
              <w:t>投标报价超过招标文件中规定的预算金额或者最高限价的；</w:t>
            </w:r>
          </w:p>
          <w:p>
            <w:pPr>
              <w:spacing w:line="360" w:lineRule="auto"/>
              <w:ind w:firstLine="211" w:firstLineChars="100"/>
              <w:rPr>
                <w:rFonts w:ascii="宋体" w:hAnsi="宋体" w:cs="宋体"/>
                <w:b/>
                <w:szCs w:val="21"/>
                <w:highlight w:val="none"/>
              </w:rPr>
            </w:pPr>
            <w:r>
              <w:rPr>
                <w:rFonts w:hint="eastAsia" w:ascii="宋体" w:hAnsi="宋体" w:cs="宋体"/>
                <w:b/>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highlight w:val="none"/>
              </w:rPr>
              <w:t>；</w:t>
            </w:r>
          </w:p>
          <w:p>
            <w:pPr>
              <w:spacing w:line="360" w:lineRule="auto"/>
              <w:ind w:firstLine="211" w:firstLineChars="100"/>
              <w:rPr>
                <w:rFonts w:ascii="宋体" w:hAnsi="宋体" w:cs="宋体"/>
                <w:szCs w:val="21"/>
                <w:highlight w:val="none"/>
              </w:rPr>
            </w:pPr>
            <w:r>
              <w:rPr>
                <w:rFonts w:hint="eastAsia" w:ascii="宋体" w:hAnsi="宋体" w:cs="宋体"/>
                <w:b/>
                <w:kern w:val="0"/>
                <w:szCs w:val="21"/>
                <w:highlight w:val="none"/>
              </w:rPr>
              <w:t>投标人对根据修正原则修正后的报价不确认的</w:t>
            </w:r>
            <w:r>
              <w:rPr>
                <w:rFonts w:hint="eastAsia" w:ascii="宋体" w:hAnsi="宋体" w:cs="宋体"/>
                <w:b/>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分包</w:t>
            </w:r>
          </w:p>
        </w:tc>
        <w:tc>
          <w:tcPr>
            <w:tcW w:w="6520" w:type="dxa"/>
            <w:tcBorders>
              <w:tl2br w:val="nil"/>
              <w:tr2bl w:val="nil"/>
            </w:tcBorders>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477286927"/>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 xml:space="preserve"> A</w:t>
            </w:r>
            <w:r>
              <w:rPr>
                <w:rFonts w:hint="eastAsia" w:ascii="宋体" w:hAnsi="宋体" w:cs="宋体"/>
                <w:szCs w:val="21"/>
                <w:highlight w:val="none"/>
              </w:rPr>
              <w:t>同意将非主体、非关键性的</w:t>
            </w:r>
            <w:r>
              <w:rPr>
                <w:rFonts w:hint="eastAsia" w:ascii="宋体" w:hAnsi="宋体" w:cs="宋体"/>
                <w:szCs w:val="21"/>
                <w:highlight w:val="none"/>
                <w:u w:val="single"/>
              </w:rPr>
              <w:t xml:space="preserve">             </w:t>
            </w:r>
            <w:r>
              <w:rPr>
                <w:rFonts w:hint="eastAsia" w:ascii="宋体" w:hAnsi="宋体" w:cs="宋体"/>
                <w:szCs w:val="21"/>
                <w:highlight w:val="none"/>
              </w:rPr>
              <w:t>工作分包。</w:t>
            </w:r>
          </w:p>
          <w:p>
            <w:pPr>
              <w:spacing w:line="360" w:lineRule="auto"/>
              <w:rPr>
                <w:rFonts w:ascii="宋体" w:hAnsi="宋体" w:cs="宋体"/>
                <w:szCs w:val="21"/>
                <w:highlight w:val="none"/>
              </w:rPr>
            </w:pPr>
            <w:sdt>
              <w:sdtPr>
                <w:rPr>
                  <w:rFonts w:hint="eastAsia" w:ascii="宋体" w:hAnsi="宋体" w:cs="宋体"/>
                  <w:kern w:val="0"/>
                  <w:szCs w:val="21"/>
                  <w:highlight w:val="none"/>
                </w:rPr>
                <w:id w:val="-1276331357"/>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F0FE"/>
                </w:r>
              </w:sdtContent>
            </w:sdt>
            <w:r>
              <w:rPr>
                <w:rFonts w:hint="eastAsia" w:ascii="宋体" w:hAnsi="宋体" w:cs="宋体"/>
                <w:b/>
                <w:kern w:val="0"/>
                <w:szCs w:val="21"/>
                <w:highlight w:val="none"/>
              </w:rPr>
              <w:t xml:space="preserve"> B</w:t>
            </w:r>
            <w:r>
              <w:rPr>
                <w:rFonts w:hint="eastAsia" w:ascii="宋体" w:hAnsi="宋体" w:cs="宋体"/>
                <w:b/>
                <w:szCs w:val="21"/>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843" w:type="dxa"/>
            <w:vMerge w:val="restart"/>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投标人应当提供的资格、资信证明文件</w:t>
            </w:r>
          </w:p>
        </w:tc>
        <w:tc>
          <w:tcPr>
            <w:tcW w:w="6520" w:type="dxa"/>
            <w:tcBorders>
              <w:tl2br w:val="nil"/>
              <w:tr2bl w:val="nil"/>
            </w:tcBorders>
            <w:vAlign w:val="center"/>
          </w:tcPr>
          <w:p>
            <w:pPr>
              <w:spacing w:line="360" w:lineRule="auto"/>
              <w:rPr>
                <w:rFonts w:ascii="宋体" w:hAnsi="宋体" w:cs="宋体"/>
                <w:szCs w:val="21"/>
                <w:highlight w:val="none"/>
              </w:rPr>
            </w:pPr>
            <w:r>
              <w:rPr>
                <w:rFonts w:hint="eastAsia" w:ascii="宋体" w:hAnsi="宋体" w:cs="宋体"/>
                <w:szCs w:val="21"/>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Cs w:val="21"/>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21" w:hRule="atLeast"/>
        </w:trPr>
        <w:tc>
          <w:tcPr>
            <w:tcW w:w="629" w:type="dxa"/>
            <w:vMerge w:val="continue"/>
            <w:tcBorders>
              <w:tl2br w:val="nil"/>
              <w:tr2bl w:val="nil"/>
            </w:tcBorders>
            <w:vAlign w:val="center"/>
          </w:tcPr>
          <w:p>
            <w:pPr>
              <w:snapToGrid w:val="0"/>
              <w:spacing w:line="360" w:lineRule="auto"/>
              <w:jc w:val="center"/>
              <w:rPr>
                <w:rFonts w:ascii="宋体" w:hAnsi="宋体" w:cs="宋体"/>
                <w:szCs w:val="21"/>
                <w:highlight w:val="none"/>
              </w:rPr>
            </w:pPr>
          </w:p>
        </w:tc>
        <w:tc>
          <w:tcPr>
            <w:tcW w:w="1843" w:type="dxa"/>
            <w:vMerge w:val="continue"/>
            <w:tcBorders>
              <w:tl2br w:val="nil"/>
              <w:tr2bl w:val="nil"/>
            </w:tcBorders>
            <w:vAlign w:val="center"/>
          </w:tcPr>
          <w:p>
            <w:pPr>
              <w:snapToGrid w:val="0"/>
              <w:spacing w:line="360" w:lineRule="auto"/>
              <w:jc w:val="center"/>
              <w:rPr>
                <w:rFonts w:ascii="宋体" w:hAnsi="宋体" w:cs="宋体"/>
                <w:b/>
                <w:szCs w:val="21"/>
                <w:highlight w:val="none"/>
              </w:rPr>
            </w:pPr>
          </w:p>
        </w:tc>
        <w:tc>
          <w:tcPr>
            <w:tcW w:w="6520" w:type="dxa"/>
            <w:tcBorders>
              <w:tl2br w:val="nil"/>
              <w:tr2bl w:val="nil"/>
            </w:tcBorders>
            <w:vAlign w:val="center"/>
          </w:tcPr>
          <w:p>
            <w:pPr>
              <w:spacing w:line="360" w:lineRule="auto"/>
              <w:rPr>
                <w:rFonts w:ascii="宋体" w:hAnsi="宋体" w:cs="宋体"/>
                <w:szCs w:val="21"/>
                <w:highlight w:val="none"/>
              </w:rPr>
            </w:pPr>
            <w:r>
              <w:rPr>
                <w:rFonts w:hint="eastAsia" w:ascii="宋体" w:hAnsi="宋体" w:cs="宋体"/>
                <w:szCs w:val="21"/>
                <w:highlight w:val="none"/>
              </w:rPr>
              <w:t>（2）资信证明文件：根据招标文件第四部分 评分办法提供。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开标前答疑会或现场考察</w:t>
            </w:r>
          </w:p>
        </w:tc>
        <w:tc>
          <w:tcPr>
            <w:tcW w:w="6520" w:type="dxa"/>
            <w:tcBorders>
              <w:tl2br w:val="nil"/>
              <w:tr2bl w:val="nil"/>
            </w:tcBorders>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212966419"/>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F0FE"/>
                </w:r>
              </w:sdtContent>
            </w:sdt>
            <w:r>
              <w:rPr>
                <w:rFonts w:hint="eastAsia" w:ascii="宋体" w:hAnsi="宋体" w:cs="宋体"/>
                <w:b/>
                <w:kern w:val="0"/>
                <w:szCs w:val="21"/>
                <w:highlight w:val="none"/>
              </w:rPr>
              <w:t>A</w:t>
            </w:r>
            <w:r>
              <w:rPr>
                <w:rFonts w:hint="eastAsia" w:ascii="宋体" w:hAnsi="宋体" w:cs="宋体"/>
                <w:b/>
                <w:szCs w:val="21"/>
                <w:highlight w:val="none"/>
              </w:rPr>
              <w:t>不组织。</w:t>
            </w:r>
          </w:p>
          <w:p>
            <w:pPr>
              <w:spacing w:line="360" w:lineRule="auto"/>
              <w:rPr>
                <w:rFonts w:ascii="宋体" w:hAnsi="宋体" w:cs="宋体"/>
                <w:szCs w:val="21"/>
                <w:highlight w:val="none"/>
              </w:rPr>
            </w:pPr>
            <w:sdt>
              <w:sdtPr>
                <w:rPr>
                  <w:rFonts w:hint="eastAsia" w:ascii="宋体" w:hAnsi="宋体" w:cs="宋体"/>
                  <w:kern w:val="0"/>
                  <w:szCs w:val="21"/>
                  <w:highlight w:val="none"/>
                </w:rPr>
                <w:id w:val="-99980297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B组织，</w:t>
            </w:r>
            <w:r>
              <w:rPr>
                <w:rFonts w:hint="eastAsia" w:ascii="宋体" w:hAnsi="宋体" w:cs="宋体"/>
                <w:szCs w:val="21"/>
                <w:highlight w:val="none"/>
              </w:rPr>
              <w:t>时间：</w:t>
            </w:r>
            <w:r>
              <w:rPr>
                <w:rFonts w:hint="eastAsia" w:ascii="宋体" w:hAnsi="宋体" w:cs="宋体"/>
                <w:szCs w:val="21"/>
                <w:highlight w:val="none"/>
                <w:u w:val="single"/>
              </w:rPr>
              <w:t xml:space="preserve">      </w:t>
            </w:r>
            <w:r>
              <w:rPr>
                <w:rFonts w:hint="eastAsia" w:ascii="宋体" w:hAnsi="宋体" w:cs="宋体"/>
                <w:szCs w:val="21"/>
                <w:highlight w:val="none"/>
              </w:rPr>
              <w:t>,地点：</w:t>
            </w:r>
            <w:r>
              <w:rPr>
                <w:rFonts w:hint="eastAsia" w:ascii="宋体" w:hAnsi="宋体" w:cs="宋体"/>
                <w:szCs w:val="21"/>
                <w:highlight w:val="none"/>
                <w:u w:val="single"/>
              </w:rPr>
              <w:t xml:space="preserve">      </w:t>
            </w:r>
            <w:r>
              <w:rPr>
                <w:rFonts w:hint="eastAsia" w:ascii="宋体" w:hAnsi="宋体" w:cs="宋体"/>
                <w:szCs w:val="21"/>
                <w:highlight w:val="none"/>
              </w:rPr>
              <w:t>，联系人：</w:t>
            </w:r>
            <w:r>
              <w:rPr>
                <w:rFonts w:hint="eastAsia" w:ascii="宋体" w:hAnsi="宋体" w:cs="宋体"/>
                <w:szCs w:val="21"/>
                <w:highlight w:val="none"/>
                <w:u w:val="single"/>
              </w:rPr>
              <w:t xml:space="preserve">      </w:t>
            </w:r>
            <w:r>
              <w:rPr>
                <w:rFonts w:hint="eastAsia" w:ascii="宋体" w:hAnsi="宋体" w:cs="宋体"/>
                <w:szCs w:val="21"/>
                <w:highlight w:val="none"/>
              </w:rPr>
              <w:t>，联系方式：</w:t>
            </w:r>
            <w:r>
              <w:rPr>
                <w:rFonts w:hint="eastAsia" w:ascii="宋体" w:hAnsi="宋体" w:cs="宋体"/>
                <w:szCs w:val="21"/>
                <w:highlight w:val="none"/>
                <w:u w:val="single"/>
              </w:rPr>
              <w:t xml:space="preserve">      </w:t>
            </w:r>
            <w:r>
              <w:rPr>
                <w:rFonts w:hint="eastAsia" w:ascii="宋体" w:hAnsi="宋体" w:cs="宋体"/>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843"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b/>
                <w:kern w:val="0"/>
                <w:szCs w:val="21"/>
                <w:highlight w:val="none"/>
              </w:rPr>
              <w:t>履约保证金</w:t>
            </w:r>
          </w:p>
        </w:tc>
        <w:tc>
          <w:tcPr>
            <w:tcW w:w="6520" w:type="dxa"/>
            <w:tcBorders>
              <w:tl2br w:val="nil"/>
              <w:tr2bl w:val="nil"/>
            </w:tcBorders>
            <w:vAlign w:val="center"/>
          </w:tcPr>
          <w:p>
            <w:pPr>
              <w:snapToGrid w:val="0"/>
              <w:spacing w:line="360" w:lineRule="auto"/>
              <w:rPr>
                <w:rFonts w:ascii="宋体" w:hAnsi="宋体" w:cs="宋体"/>
                <w:szCs w:val="21"/>
                <w:highlight w:val="none"/>
              </w:rPr>
            </w:pPr>
            <w:r>
              <w:rPr>
                <w:rFonts w:hint="eastAsia" w:ascii="宋体" w:hAnsi="宋体" w:cs="宋体"/>
                <w:b/>
                <w:kern w:val="0"/>
                <w:szCs w:val="21"/>
                <w:highlight w:val="none"/>
              </w:rPr>
              <w:sym w:font="Wingdings 2" w:char="00A3"/>
            </w:r>
            <w:r>
              <w:rPr>
                <w:rFonts w:hint="eastAsia" w:ascii="宋体" w:hAnsi="宋体" w:cs="宋体"/>
                <w:b/>
                <w:kern w:val="0"/>
                <w:szCs w:val="21"/>
                <w:highlight w:val="none"/>
              </w:rPr>
              <w:t>本项目不设履约保证金；</w:t>
            </w:r>
          </w:p>
          <w:p>
            <w:pPr>
              <w:snapToGrid w:val="0"/>
              <w:spacing w:line="360" w:lineRule="auto"/>
              <w:rPr>
                <w:rFonts w:ascii="宋体" w:hAnsi="宋体" w:cs="宋体"/>
                <w:kern w:val="0"/>
                <w:szCs w:val="21"/>
                <w:highlight w:val="none"/>
              </w:rPr>
            </w:pPr>
            <w:r>
              <w:rPr>
                <w:rFonts w:hint="eastAsia" w:ascii="宋体" w:hAnsi="宋体" w:cs="宋体"/>
                <w:b/>
                <w:szCs w:val="21"/>
                <w:highlight w:val="none"/>
              </w:rPr>
              <w:sym w:font="Wingdings" w:char="F0FE"/>
            </w:r>
            <w:r>
              <w:rPr>
                <w:rFonts w:hint="eastAsia" w:ascii="宋体" w:hAnsi="宋体" w:cs="宋体"/>
                <w:kern w:val="0"/>
                <w:szCs w:val="21"/>
                <w:highlight w:val="none"/>
              </w:rPr>
              <w:t>中标人在合同签订后7个工作日内，须向招标人提交合同金额最高</w:t>
            </w:r>
            <w:r>
              <w:rPr>
                <w:rFonts w:hint="eastAsia" w:ascii="宋体" w:hAnsi="宋体" w:cs="宋体"/>
                <w:kern w:val="0"/>
                <w:szCs w:val="21"/>
                <w:highlight w:val="none"/>
                <w:u w:val="single"/>
              </w:rPr>
              <w:t xml:space="preserve"> 2.5 %</w:t>
            </w:r>
            <w:r>
              <w:rPr>
                <w:rFonts w:hint="eastAsia" w:ascii="宋体" w:hAnsi="宋体" w:cs="宋体"/>
                <w:kern w:val="0"/>
                <w:szCs w:val="21"/>
                <w:highlight w:val="none"/>
              </w:rPr>
              <w:t>履约保证金。履约保证金以电汇、银行汇票、转账支票或金融机构、担保机构出具的保函等非现金形式缴纳。</w:t>
            </w:r>
          </w:p>
          <w:p>
            <w:pPr>
              <w:snapToGrid w:val="0"/>
              <w:spacing w:line="360" w:lineRule="auto"/>
              <w:rPr>
                <w:rFonts w:ascii="宋体" w:hAnsi="宋体" w:cs="宋体"/>
                <w:szCs w:val="21"/>
                <w:highlight w:val="none"/>
                <w:u w:val="single"/>
              </w:rPr>
            </w:pPr>
            <w:r>
              <w:rPr>
                <w:rFonts w:hint="eastAsia" w:ascii="宋体" w:hAnsi="宋体" w:cs="宋体"/>
                <w:kern w:val="0"/>
                <w:szCs w:val="21"/>
                <w:highlight w:val="none"/>
                <w:u w:val="single"/>
              </w:rPr>
              <w:t>注：供应商履约验收评价总分为100分的，招标人免收履约保证金；评价总分在90分以上的，收取合同金额2%；评价总分在90分以下或者暂无评分的，收取合同金额2.5%。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样品提供</w:t>
            </w:r>
          </w:p>
        </w:tc>
        <w:tc>
          <w:tcPr>
            <w:tcW w:w="6520" w:type="dxa"/>
            <w:tcBorders>
              <w:tl2br w:val="nil"/>
              <w:tr2bl w:val="nil"/>
            </w:tcBorders>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639946486"/>
              </w:sdtPr>
              <w:sdtEndPr>
                <w:rPr>
                  <w:rFonts w:hint="eastAsia" w:ascii="宋体" w:hAnsi="宋体" w:cs="宋体"/>
                  <w:b/>
                  <w:kern w:val="0"/>
                  <w:szCs w:val="21"/>
                  <w:highlight w:val="none"/>
                </w:rPr>
              </w:sdtEndPr>
              <w:sdtContent>
                <w:sdt>
                  <w:sdtPr>
                    <w:rPr>
                      <w:rFonts w:hint="eastAsia" w:ascii="宋体" w:hAnsi="宋体" w:cs="宋体"/>
                      <w:kern w:val="0"/>
                      <w:szCs w:val="21"/>
                      <w:highlight w:val="none"/>
                    </w:rPr>
                    <w:id w:val="5446752"/>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00FE"/>
                    </w:r>
                  </w:sdtContent>
                </w:sdt>
              </w:sdtContent>
            </w:sdt>
            <w:r>
              <w:rPr>
                <w:rFonts w:hint="eastAsia" w:ascii="宋体" w:hAnsi="宋体" w:cs="宋体"/>
                <w:b/>
                <w:kern w:val="0"/>
                <w:szCs w:val="21"/>
                <w:highlight w:val="none"/>
              </w:rPr>
              <w:t>A</w:t>
            </w:r>
            <w:r>
              <w:rPr>
                <w:rFonts w:hint="eastAsia" w:ascii="宋体" w:hAnsi="宋体" w:cs="宋体"/>
                <w:b/>
                <w:szCs w:val="21"/>
                <w:highlight w:val="none"/>
              </w:rPr>
              <w:t>不要求提供。</w:t>
            </w:r>
          </w:p>
          <w:p>
            <w:pPr>
              <w:spacing w:line="360" w:lineRule="auto"/>
              <w:rPr>
                <w:rFonts w:ascii="宋体" w:hAnsi="宋体" w:cs="宋体"/>
                <w:kern w:val="0"/>
                <w:szCs w:val="21"/>
                <w:highlight w:val="none"/>
              </w:rPr>
            </w:pPr>
            <w:sdt>
              <w:sdtPr>
                <w:rPr>
                  <w:rFonts w:hint="eastAsia" w:ascii="宋体" w:hAnsi="宋体" w:cs="宋体"/>
                  <w:kern w:val="0"/>
                  <w:szCs w:val="21"/>
                  <w:highlight w:val="none"/>
                </w:rPr>
                <w:id w:val="1026831988"/>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1148285974"/>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00A8"/>
                    </w:r>
                  </w:sdtContent>
                </w:sdt>
              </w:sdtContent>
            </w:sdt>
            <w:r>
              <w:rPr>
                <w:rFonts w:hint="eastAsia" w:ascii="宋体" w:hAnsi="宋体" w:cs="宋体"/>
                <w:kern w:val="0"/>
                <w:szCs w:val="21"/>
                <w:highlight w:val="none"/>
              </w:rPr>
              <w:t>B要求提供，</w:t>
            </w:r>
          </w:p>
          <w:p>
            <w:pPr>
              <w:spacing w:line="360" w:lineRule="auto"/>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napToGrid w:val="0"/>
                <w:kern w:val="28"/>
                <w:szCs w:val="21"/>
                <w:highlight w:val="none"/>
              </w:rPr>
              <w:t>样品：</w:t>
            </w:r>
            <w:r>
              <w:rPr>
                <w:rFonts w:hint="eastAsia" w:ascii="宋体" w:hAnsi="宋体" w:cs="宋体"/>
                <w:snapToGrid w:val="0"/>
                <w:kern w:val="28"/>
                <w:szCs w:val="21"/>
                <w:highlight w:val="none"/>
                <w:u w:val="single"/>
                <w:lang w:val="en-US" w:eastAsia="zh-CN"/>
              </w:rPr>
              <w:t xml:space="preserve">     </w:t>
            </w:r>
            <w:r>
              <w:rPr>
                <w:rFonts w:hint="eastAsia" w:ascii="宋体" w:hAnsi="宋体" w:cs="宋体"/>
                <w:kern w:val="0"/>
                <w:szCs w:val="21"/>
                <w:highlight w:val="none"/>
              </w:rPr>
              <w:t>；</w:t>
            </w:r>
          </w:p>
          <w:p>
            <w:pPr>
              <w:spacing w:line="360" w:lineRule="auto"/>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napToGrid w:val="0"/>
                <w:kern w:val="28"/>
                <w:szCs w:val="21"/>
                <w:highlight w:val="none"/>
              </w:rPr>
              <w:t>样品制作的标准和要求：</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pacing w:line="360" w:lineRule="auto"/>
              <w:rPr>
                <w:rFonts w:ascii="宋体" w:hAnsi="宋体" w:cs="宋体"/>
                <w:kern w:val="0"/>
                <w:szCs w:val="21"/>
                <w:highlight w:val="none"/>
              </w:rPr>
            </w:pPr>
            <w:r>
              <w:rPr>
                <w:rFonts w:hint="eastAsia" w:ascii="宋体" w:hAnsi="宋体" w:cs="宋体"/>
                <w:kern w:val="0"/>
                <w:szCs w:val="21"/>
                <w:highlight w:val="none"/>
              </w:rPr>
              <w:t>（3）样品的评审方法以及评审标准</w:t>
            </w:r>
            <w:r>
              <w:rPr>
                <w:rFonts w:hint="eastAsia" w:ascii="宋体" w:hAnsi="宋体" w:cs="宋体"/>
                <w:snapToGrid w:val="0"/>
                <w:kern w:val="28"/>
                <w:szCs w:val="21"/>
                <w:highlight w:val="none"/>
              </w:rPr>
              <w:t>：详见</w:t>
            </w:r>
            <w:r>
              <w:rPr>
                <w:rFonts w:hint="eastAsia" w:ascii="宋体" w:hAnsi="宋体" w:cs="宋体"/>
                <w:snapToGrid w:val="0"/>
                <w:kern w:val="28"/>
                <w:szCs w:val="21"/>
                <w:highlight w:val="none"/>
                <w:u w:val="single"/>
                <w:lang w:val="en-US" w:eastAsia="zh-CN"/>
              </w:rPr>
              <w:t xml:space="preserve">     </w:t>
            </w:r>
            <w:r>
              <w:rPr>
                <w:rFonts w:hint="eastAsia" w:ascii="宋体" w:hAnsi="宋体" w:cs="宋体"/>
                <w:kern w:val="0"/>
                <w:szCs w:val="21"/>
                <w:highlight w:val="none"/>
              </w:rPr>
              <w:t>；</w:t>
            </w:r>
          </w:p>
          <w:p>
            <w:pPr>
              <w:spacing w:line="360" w:lineRule="auto"/>
              <w:rPr>
                <w:rFonts w:ascii="宋体" w:hAnsi="宋体" w:cs="宋体"/>
                <w:kern w:val="0"/>
                <w:szCs w:val="21"/>
                <w:highlight w:val="none"/>
              </w:rPr>
            </w:pPr>
            <w:r>
              <w:rPr>
                <w:rFonts w:hint="eastAsia" w:ascii="宋体" w:hAnsi="宋体" w:cs="宋体"/>
                <w:kern w:val="0"/>
                <w:szCs w:val="21"/>
                <w:highlight w:val="none"/>
              </w:rPr>
              <w:t>（4）是否需要随样品提交检测报告：</w:t>
            </w:r>
            <w:sdt>
              <w:sdtPr>
                <w:rPr>
                  <w:rFonts w:hint="eastAsia" w:ascii="宋体" w:hAnsi="宋体" w:cs="宋体"/>
                  <w:kern w:val="0"/>
                  <w:szCs w:val="21"/>
                  <w:highlight w:val="none"/>
                </w:rPr>
                <w:id w:val="1303421454"/>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否；</w:t>
            </w:r>
            <w:sdt>
              <w:sdtPr>
                <w:rPr>
                  <w:rFonts w:hint="eastAsia" w:ascii="宋体" w:hAnsi="宋体" w:cs="宋体"/>
                  <w:kern w:val="0"/>
                  <w:szCs w:val="21"/>
                  <w:highlight w:val="none"/>
                </w:rPr>
                <w:id w:val="1621728433"/>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是，检测机构的要求</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kern w:val="0"/>
                <w:szCs w:val="21"/>
                <w:highlight w:val="none"/>
              </w:rPr>
              <w:t>；检测内容</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（5）提供样品的时间：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kern w:val="0"/>
                <w:szCs w:val="21"/>
                <w:highlight w:val="none"/>
              </w:rPr>
              <w:t>；地点：</w:t>
            </w:r>
            <w:r>
              <w:rPr>
                <w:rFonts w:hint="eastAsia" w:ascii="宋体" w:hAnsi="宋体" w:cs="宋体"/>
                <w:szCs w:val="21"/>
                <w:highlight w:val="none"/>
                <w:u w:val="single"/>
              </w:rPr>
              <w:t xml:space="preserve">  </w:t>
            </w:r>
            <w:r>
              <w:rPr>
                <w:rFonts w:hint="eastAsia" w:ascii="宋体" w:hAnsi="宋体" w:cs="宋体"/>
                <w:kern w:val="0"/>
                <w:szCs w:val="21"/>
                <w:highlight w:val="none"/>
              </w:rPr>
              <w:t>；联系人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28"/>
                <w:szCs w:val="21"/>
                <w:highlight w:val="none"/>
              </w:rPr>
              <w:t>联系电话：</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。请投标人在上述时间内提供样品并按规定位置安装完毕。超过截止时间的，招标人或招标代理机构将不予接收，并将清场并封闭样品现场。</w:t>
            </w:r>
          </w:p>
          <w:p>
            <w:pPr>
              <w:spacing w:line="360" w:lineRule="auto"/>
              <w:rPr>
                <w:rFonts w:ascii="宋体" w:hAnsi="宋体" w:cs="宋体"/>
                <w:szCs w:val="21"/>
                <w:highlight w:val="none"/>
              </w:rPr>
            </w:pPr>
            <w:r>
              <w:rPr>
                <w:rFonts w:hint="eastAsia" w:ascii="宋体" w:hAnsi="宋体" w:cs="宋体"/>
                <w:szCs w:val="21"/>
                <w:highlight w:val="none"/>
              </w:rPr>
              <w:t xml:space="preserve"> (6)采购活动结束后，对于未中标人提供的样品，招标人、招标代理机构将通知未中标人在规定的时间内取回，逾期未取回的，招标人、招标代理机构不负保管义务；对于中标人提供的样品，招标人将进行保管、封存，并作为履约验收的参考。</w:t>
            </w:r>
          </w:p>
          <w:p>
            <w:pPr>
              <w:spacing w:line="360" w:lineRule="auto"/>
              <w:rPr>
                <w:rFonts w:ascii="宋体" w:hAnsi="宋体" w:cs="宋体"/>
                <w:b/>
                <w:szCs w:val="21"/>
                <w:highlight w:val="none"/>
              </w:rPr>
            </w:pPr>
            <w:r>
              <w:rPr>
                <w:rFonts w:hint="eastAsia" w:ascii="宋体" w:hAnsi="宋体" w:cs="宋体"/>
                <w:szCs w:val="21"/>
                <w:highlight w:val="none"/>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1843" w:type="dxa"/>
            <w:tcBorders>
              <w:tl2br w:val="nil"/>
              <w:tr2bl w:val="nil"/>
            </w:tcBorders>
            <w:vAlign w:val="center"/>
          </w:tcPr>
          <w:p>
            <w:pPr>
              <w:snapToGrid w:val="0"/>
              <w:spacing w:line="360" w:lineRule="auto"/>
              <w:jc w:val="center"/>
              <w:rPr>
                <w:rFonts w:ascii="宋体" w:hAnsi="宋体" w:cs="宋体"/>
                <w:bCs/>
                <w:szCs w:val="21"/>
                <w:highlight w:val="none"/>
              </w:rPr>
            </w:pPr>
            <w:r>
              <w:rPr>
                <w:rFonts w:hint="eastAsia" w:ascii="宋体" w:hAnsi="宋体" w:cs="宋体"/>
                <w:b/>
                <w:szCs w:val="21"/>
                <w:highlight w:val="none"/>
              </w:rPr>
              <w:t>方案讲解演示</w:t>
            </w:r>
          </w:p>
        </w:tc>
        <w:tc>
          <w:tcPr>
            <w:tcW w:w="6520" w:type="dxa"/>
            <w:tcBorders>
              <w:tl2br w:val="nil"/>
              <w:tr2bl w:val="nil"/>
            </w:tcBorders>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859348549"/>
              </w:sdtPr>
              <w:sdtEndPr>
                <w:rPr>
                  <w:rFonts w:hint="eastAsia" w:ascii="宋体" w:hAnsi="宋体" w:cs="宋体"/>
                  <w:b/>
                  <w:kern w:val="0"/>
                  <w:szCs w:val="21"/>
                  <w:highlight w:val="none"/>
                </w:rPr>
              </w:sdtEndPr>
              <w:sdtContent>
                <w:sdt>
                  <w:sdtPr>
                    <w:rPr>
                      <w:rFonts w:hint="eastAsia" w:ascii="宋体" w:hAnsi="宋体" w:cs="宋体"/>
                      <w:kern w:val="0"/>
                      <w:szCs w:val="21"/>
                      <w:highlight w:val="none"/>
                    </w:rPr>
                    <w:id w:val="5446756"/>
                  </w:sdtPr>
                  <w:sdtEndPr>
                    <w:rPr>
                      <w:rFonts w:hint="eastAsia" w:ascii="宋体" w:hAnsi="宋体" w:cs="宋体"/>
                      <w:b/>
                      <w:kern w:val="0"/>
                      <w:szCs w:val="21"/>
                      <w:highlight w:val="none"/>
                    </w:rPr>
                  </w:sdtEndPr>
                  <w:sdtContent>
                    <w:sdt>
                      <w:sdtPr>
                        <w:rPr>
                          <w:rFonts w:hint="eastAsia" w:ascii="宋体" w:hAnsi="宋体" w:cs="宋体"/>
                          <w:kern w:val="0"/>
                          <w:szCs w:val="21"/>
                          <w:highlight w:val="none"/>
                        </w:rPr>
                        <w:id w:val="5446757"/>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00FE"/>
                        </w:r>
                      </w:sdtContent>
                    </w:sdt>
                  </w:sdtContent>
                </w:sdt>
              </w:sdtContent>
            </w:sdt>
            <w:r>
              <w:rPr>
                <w:rFonts w:hint="eastAsia" w:ascii="宋体" w:hAnsi="宋体" w:cs="宋体"/>
                <w:b/>
                <w:kern w:val="0"/>
                <w:szCs w:val="21"/>
                <w:highlight w:val="none"/>
              </w:rPr>
              <w:t>A</w:t>
            </w:r>
            <w:r>
              <w:rPr>
                <w:rFonts w:hint="eastAsia" w:ascii="宋体" w:hAnsi="宋体" w:cs="宋体"/>
                <w:b/>
                <w:szCs w:val="21"/>
                <w:highlight w:val="none"/>
              </w:rPr>
              <w:t>不组织。</w:t>
            </w:r>
          </w:p>
          <w:p>
            <w:pPr>
              <w:spacing w:line="360" w:lineRule="auto"/>
              <w:rPr>
                <w:rFonts w:ascii="宋体" w:hAnsi="宋体" w:cs="宋体"/>
                <w:kern w:val="0"/>
                <w:szCs w:val="21"/>
                <w:highlight w:val="none"/>
              </w:rPr>
            </w:pPr>
            <w:sdt>
              <w:sdtPr>
                <w:rPr>
                  <w:rFonts w:hint="eastAsia" w:ascii="宋体" w:hAnsi="宋体" w:cs="宋体"/>
                  <w:kern w:val="0"/>
                  <w:szCs w:val="21"/>
                  <w:highlight w:val="none"/>
                </w:rPr>
                <w:id w:val="1174071719"/>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372614515"/>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00A8"/>
                    </w:r>
                  </w:sdtContent>
                </w:sdt>
              </w:sdtContent>
            </w:sdt>
            <w:r>
              <w:rPr>
                <w:rFonts w:hint="eastAsia" w:ascii="宋体" w:hAnsi="宋体" w:cs="宋体"/>
                <w:kern w:val="0"/>
                <w:szCs w:val="21"/>
                <w:highlight w:val="none"/>
              </w:rPr>
              <w:t>B组织。</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（2）方案讲解演示可选择以下其中一种方式：</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方式二：现场讲解演示。1）现场讲解：地点为</w:t>
            </w:r>
            <w:r>
              <w:rPr>
                <w:rFonts w:hint="eastAsia" w:ascii="宋体" w:hAnsi="宋体" w:cs="宋体"/>
                <w:szCs w:val="21"/>
                <w:highlight w:val="none"/>
                <w:u w:val="single"/>
              </w:rPr>
              <w:t xml:space="preserve">  杭州市上城区环站东路97号云峰大厦1号楼六楼评标室  </w:t>
            </w:r>
            <w:r>
              <w:rPr>
                <w:rFonts w:hint="eastAsia" w:ascii="宋体" w:hAnsi="宋体" w:cs="宋体"/>
                <w:kern w:val="0"/>
                <w:szCs w:val="21"/>
                <w:highlight w:val="none"/>
              </w:rPr>
              <w:t>，讲解演示所用电脑等设备由投标人自备。现场讲解演示人员进场时提供讲解人员名单（加盖公章）及身份证明，否则不得讲解演示。</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方式三：录屏讲解演示：若供应商不到现场，提供演示录屏（视频格式为非常规格式提供视频安装软件，以免无法播放），可与备份文件一起邮寄，需明确备注。</w:t>
            </w:r>
          </w:p>
          <w:p>
            <w:pPr>
              <w:snapToGrid w:val="0"/>
              <w:spacing w:line="360" w:lineRule="auto"/>
              <w:rPr>
                <w:rFonts w:ascii="宋体" w:hAnsi="宋体" w:cs="宋体"/>
                <w:b/>
                <w:kern w:val="0"/>
                <w:szCs w:val="21"/>
                <w:highlight w:val="none"/>
                <w:lang w:val="zh-CN"/>
              </w:rPr>
            </w:pPr>
            <w:r>
              <w:rPr>
                <w:rFonts w:hint="eastAsia" w:ascii="宋体" w:hAnsi="宋体" w:cs="宋体"/>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p>
          <w:p>
            <w:pPr>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是否允许采购进口产品</w:t>
            </w:r>
          </w:p>
        </w:tc>
        <w:tc>
          <w:tcPr>
            <w:tcW w:w="6520" w:type="dxa"/>
            <w:tcBorders>
              <w:tl2br w:val="nil"/>
              <w:tr2bl w:val="nil"/>
            </w:tcBorders>
            <w:vAlign w:val="center"/>
          </w:tcPr>
          <w:p>
            <w:pPr>
              <w:spacing w:line="360" w:lineRule="auto"/>
              <w:rPr>
                <w:rFonts w:ascii="宋体" w:hAnsi="宋体" w:cs="宋体"/>
                <w:kern w:val="0"/>
                <w:szCs w:val="21"/>
                <w:highlight w:val="none"/>
              </w:rPr>
            </w:pPr>
            <w:sdt>
              <w:sdtPr>
                <w:rPr>
                  <w:rFonts w:hint="eastAsia" w:ascii="宋体" w:hAnsi="宋体" w:cs="宋体"/>
                  <w:kern w:val="0"/>
                  <w:szCs w:val="21"/>
                  <w:highlight w:val="none"/>
                </w:rPr>
                <w:id w:val="-1828425707"/>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本项目不允许采购进口产品。</w:t>
            </w:r>
          </w:p>
          <w:p>
            <w:pPr>
              <w:spacing w:line="360" w:lineRule="auto"/>
              <w:rPr>
                <w:rFonts w:ascii="宋体" w:hAnsi="宋体" w:cs="宋体"/>
                <w:szCs w:val="21"/>
                <w:highlight w:val="none"/>
              </w:rPr>
            </w:pPr>
            <w:sdt>
              <w:sdtPr>
                <w:rPr>
                  <w:rFonts w:hint="eastAsia" w:ascii="宋体" w:hAnsi="宋体" w:cs="宋体"/>
                  <w:kern w:val="0"/>
                  <w:szCs w:val="21"/>
                  <w:highlight w:val="none"/>
                </w:rPr>
                <w:id w:val="-52852824"/>
              </w:sdtPr>
              <w:sdtEndPr>
                <w:rPr>
                  <w:rFonts w:hint="eastAsia" w:ascii="宋体" w:hAnsi="宋体" w:cs="宋体"/>
                  <w:kern w:val="0"/>
                  <w:szCs w:val="21"/>
                  <w:highlight w:val="none"/>
                </w:rPr>
              </w:sdtEndPr>
              <w:sdtContent>
                <w:r>
                  <w:rPr>
                    <w:rFonts w:hint="eastAsia" w:ascii="宋体" w:hAnsi="宋体" w:cs="宋体"/>
                    <w:kern w:val="0"/>
                    <w:szCs w:val="21"/>
                    <w:highlight w:val="none"/>
                  </w:rPr>
                  <w:t>☐</w:t>
                </w:r>
              </w:sdtContent>
            </w:sdt>
            <w:r>
              <w:rPr>
                <w:rFonts w:hint="eastAsia" w:ascii="宋体" w:hAnsi="宋体" w:cs="宋体"/>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招标人及其委托的招标代理机构不对其加以限制，将按照公平竞争原则实施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9</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项目属性与核心产品</w:t>
            </w:r>
          </w:p>
        </w:tc>
        <w:tc>
          <w:tcPr>
            <w:tcW w:w="6520" w:type="dxa"/>
            <w:tcBorders>
              <w:tl2br w:val="nil"/>
              <w:tr2bl w:val="nil"/>
            </w:tcBorders>
            <w:vAlign w:val="center"/>
          </w:tcPr>
          <w:p>
            <w:pPr>
              <w:spacing w:line="360" w:lineRule="auto"/>
              <w:rPr>
                <w:rFonts w:ascii="宋体" w:hAnsi="宋体" w:cs="宋体"/>
                <w:szCs w:val="21"/>
                <w:highlight w:val="none"/>
              </w:rPr>
            </w:pPr>
            <w:sdt>
              <w:sdtPr>
                <w:rPr>
                  <w:rFonts w:hint="eastAsia" w:ascii="宋体" w:hAnsi="宋体" w:cs="宋体"/>
                  <w:kern w:val="0"/>
                  <w:szCs w:val="21"/>
                  <w:highlight w:val="none"/>
                </w:rPr>
                <w:id w:val="118727868"/>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5446763"/>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5446764"/>
                      </w:sdtPr>
                      <w:sdtEndPr>
                        <w:rPr>
                          <w:rFonts w:hint="eastAsia" w:ascii="宋体" w:hAnsi="宋体" w:cs="宋体"/>
                          <w:kern w:val="0"/>
                          <w:szCs w:val="21"/>
                          <w:highlight w:val="none"/>
                        </w:rPr>
                      </w:sdtEndPr>
                      <w:sdtContent>
                        <w:sdt>
                          <w:sdtPr>
                            <w:rPr>
                              <w:rFonts w:hint="eastAsia" w:ascii="宋体" w:hAnsi="宋体" w:cs="宋体"/>
                              <w:kern w:val="0"/>
                              <w:szCs w:val="21"/>
                              <w:highlight w:val="none"/>
                            </w:rPr>
                            <w:id w:val="5446767"/>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00FE"/>
                            </w:r>
                          </w:sdtContent>
                        </w:sdt>
                        <w:r>
                          <w:rPr>
                            <w:rFonts w:hint="eastAsia" w:ascii="宋体" w:hAnsi="宋体" w:cs="宋体"/>
                            <w:b/>
                            <w:kern w:val="0"/>
                            <w:szCs w:val="21"/>
                            <w:highlight w:val="none"/>
                          </w:rPr>
                          <w:t xml:space="preserve"> </w:t>
                        </w:r>
                      </w:sdtContent>
                    </w:sdt>
                  </w:sdtContent>
                </w:sdt>
              </w:sdtContent>
            </w:sdt>
            <w:r>
              <w:rPr>
                <w:rFonts w:hint="eastAsia" w:ascii="宋体" w:hAnsi="宋体" w:cs="宋体"/>
                <w:kern w:val="0"/>
                <w:szCs w:val="21"/>
                <w:highlight w:val="none"/>
              </w:rPr>
              <w:t>A</w:t>
            </w:r>
            <w:r>
              <w:rPr>
                <w:rFonts w:hint="eastAsia" w:ascii="宋体" w:hAnsi="宋体" w:cs="宋体"/>
                <w:szCs w:val="21"/>
                <w:highlight w:val="none"/>
              </w:rPr>
              <w:t>货物类，单一产品或</w:t>
            </w:r>
            <w:r>
              <w:rPr>
                <w:rFonts w:hint="eastAsia" w:ascii="宋体" w:hAnsi="宋体" w:cs="宋体"/>
                <w:kern w:val="0"/>
                <w:szCs w:val="21"/>
                <w:highlight w:val="none"/>
              </w:rPr>
              <w:t>核心产品为：</w:t>
            </w:r>
            <w:r>
              <w:rPr>
                <w:rFonts w:hint="eastAsia" w:ascii="宋体" w:hAnsi="宋体" w:cs="宋体"/>
                <w:bCs/>
                <w:szCs w:val="21"/>
                <w:highlight w:val="none"/>
                <w:u w:val="single"/>
              </w:rPr>
              <w:t>核心交换机、普通8口POE交换机</w:t>
            </w:r>
            <w:r>
              <w:rPr>
                <w:rFonts w:hint="eastAsia" w:ascii="宋体" w:hAnsi="宋体" w:cs="宋体"/>
                <w:szCs w:val="21"/>
                <w:highlight w:val="none"/>
              </w:rPr>
              <w:t>。</w:t>
            </w:r>
          </w:p>
          <w:p>
            <w:pPr>
              <w:spacing w:line="360" w:lineRule="auto"/>
              <w:rPr>
                <w:rFonts w:ascii="宋体" w:hAnsi="宋体" w:cs="宋体"/>
                <w:szCs w:val="21"/>
                <w:highlight w:val="none"/>
              </w:rPr>
            </w:pPr>
            <w:sdt>
              <w:sdtPr>
                <w:rPr>
                  <w:rFonts w:hint="eastAsia" w:ascii="宋体" w:hAnsi="宋体" w:cs="宋体"/>
                  <w:kern w:val="0"/>
                  <w:szCs w:val="21"/>
                  <w:highlight w:val="none"/>
                </w:rPr>
                <w:id w:val="474885559"/>
              </w:sdtPr>
              <w:sdtEndPr>
                <w:rPr>
                  <w:rFonts w:hint="eastAsia" w:ascii="宋体" w:hAnsi="宋体" w:cs="宋体"/>
                  <w:b/>
                  <w:kern w:val="0"/>
                  <w:szCs w:val="21"/>
                  <w:highlight w:val="none"/>
                </w:rPr>
              </w:sdtEndPr>
              <w:sdtContent>
                <w:sdt>
                  <w:sdtPr>
                    <w:rPr>
                      <w:rFonts w:hint="eastAsia" w:ascii="宋体" w:hAnsi="宋体" w:cs="宋体"/>
                      <w:kern w:val="0"/>
                      <w:szCs w:val="21"/>
                      <w:highlight w:val="none"/>
                    </w:rPr>
                    <w:id w:val="5446766"/>
                  </w:sdtPr>
                  <w:sdtEndPr>
                    <w:rPr>
                      <w:rFonts w:hint="eastAsia" w:ascii="宋体" w:hAnsi="宋体" w:cs="宋体"/>
                      <w:b/>
                      <w:kern w:val="0"/>
                      <w:szCs w:val="21"/>
                      <w:highlight w:val="none"/>
                    </w:rPr>
                  </w:sdtEndPr>
                  <w:sdtContent>
                    <w:sdt>
                      <w:sdtPr>
                        <w:rPr>
                          <w:rFonts w:hint="eastAsia" w:ascii="宋体" w:hAnsi="宋体" w:cs="宋体"/>
                          <w:kern w:val="0"/>
                          <w:szCs w:val="21"/>
                          <w:highlight w:val="none"/>
                        </w:rPr>
                        <w:id w:val="878516240"/>
                      </w:sdtPr>
                      <w:sdtEndPr>
                        <w:rPr>
                          <w:rFonts w:hint="eastAsia" w:ascii="宋体" w:hAnsi="宋体" w:cs="宋体"/>
                          <w:b/>
                          <w:kern w:val="0"/>
                          <w:szCs w:val="21"/>
                          <w:highlight w:val="none"/>
                        </w:rPr>
                      </w:sdtEndPr>
                      <w:sdtContent>
                        <w:r>
                          <w:rPr>
                            <w:rFonts w:hint="eastAsia" w:ascii="宋体" w:hAnsi="宋体" w:cs="宋体"/>
                            <w:b/>
                            <w:kern w:val="0"/>
                            <w:szCs w:val="21"/>
                            <w:highlight w:val="none"/>
                          </w:rPr>
                          <w:sym w:font="Wingdings" w:char="00A8"/>
                        </w:r>
                      </w:sdtContent>
                    </w:sdt>
                  </w:sdtContent>
                </w:sdt>
                <w:r>
                  <w:rPr>
                    <w:rFonts w:hint="eastAsia" w:ascii="宋体" w:hAnsi="宋体" w:cs="宋体"/>
                    <w:b/>
                    <w:kern w:val="0"/>
                    <w:szCs w:val="21"/>
                    <w:highlight w:val="none"/>
                  </w:rPr>
                  <w:t xml:space="preserve"> </w:t>
                </w:r>
              </w:sdtContent>
            </w:sdt>
            <w:r>
              <w:rPr>
                <w:rFonts w:hint="eastAsia" w:ascii="宋体" w:hAnsi="宋体" w:cs="宋体"/>
                <w:b/>
                <w:kern w:val="0"/>
                <w:szCs w:val="21"/>
                <w:highlight w:val="none"/>
              </w:rPr>
              <w:t>B</w:t>
            </w:r>
            <w:r>
              <w:rPr>
                <w:rFonts w:hint="eastAsia" w:ascii="宋体" w:hAnsi="宋体" w:cs="宋体"/>
                <w:b/>
                <w:szCs w:val="21"/>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97"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采购标的对应的中小企业划分标准所属行业</w:t>
            </w:r>
          </w:p>
        </w:tc>
        <w:tc>
          <w:tcPr>
            <w:tcW w:w="6520" w:type="dxa"/>
            <w:tcBorders>
              <w:tl2br w:val="nil"/>
              <w:tr2bl w:val="nil"/>
            </w:tcBorders>
            <w:vAlign w:val="center"/>
          </w:tcPr>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（1）标的：</w:t>
            </w:r>
            <w:r>
              <w:rPr>
                <w:rFonts w:hint="eastAsia" w:ascii="宋体" w:hAnsi="宋体" w:cs="宋体"/>
                <w:kern w:val="0"/>
                <w:szCs w:val="21"/>
                <w:highlight w:val="none"/>
                <w:u w:val="single"/>
              </w:rPr>
              <w:t xml:space="preserve">  货物采购  </w:t>
            </w:r>
            <w:r>
              <w:rPr>
                <w:rFonts w:hint="eastAsia" w:ascii="宋体" w:hAnsi="宋体" w:cs="宋体"/>
                <w:kern w:val="0"/>
                <w:szCs w:val="21"/>
                <w:highlight w:val="none"/>
              </w:rPr>
              <w:t>，属于</w:t>
            </w:r>
            <w:r>
              <w:rPr>
                <w:rFonts w:hint="eastAsia" w:ascii="宋体" w:hAnsi="宋体" w:cs="宋体"/>
                <w:kern w:val="0"/>
                <w:szCs w:val="21"/>
                <w:highlight w:val="none"/>
                <w:u w:val="single"/>
              </w:rPr>
              <w:t xml:space="preserve">  </w:t>
            </w:r>
            <w:r>
              <w:rPr>
                <w:rFonts w:hint="eastAsia" w:ascii="宋体" w:hAnsi="宋体" w:cs="宋体"/>
                <w:b/>
                <w:szCs w:val="21"/>
                <w:highlight w:val="none"/>
                <w:u w:val="single"/>
              </w:rPr>
              <w:t xml:space="preserve">工业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节能产品、环境标志产品</w:t>
            </w:r>
          </w:p>
        </w:tc>
        <w:tc>
          <w:tcPr>
            <w:tcW w:w="6520" w:type="dxa"/>
            <w:tcBorders>
              <w:tl2br w:val="nil"/>
              <w:tr2bl w:val="nil"/>
            </w:tcBorders>
            <w:vAlign w:val="center"/>
          </w:tcPr>
          <w:p>
            <w:pPr>
              <w:snapToGrid w:val="0"/>
              <w:spacing w:line="360" w:lineRule="auto"/>
              <w:rPr>
                <w:rFonts w:ascii="宋体" w:hAnsi="宋体" w:cs="宋体"/>
                <w:szCs w:val="21"/>
                <w:highlight w:val="none"/>
              </w:rPr>
            </w:pPr>
            <w:r>
              <w:rPr>
                <w:rFonts w:hint="eastAsia" w:ascii="宋体" w:hAnsi="宋体" w:cs="宋体"/>
                <w:kern w:val="0"/>
                <w:szCs w:val="21"/>
                <w:highlight w:val="none"/>
              </w:rPr>
              <w:t>招标人拟采购的产品属于品目清单范围的，招标人及其委托的招标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rPr>
        <w:tc>
          <w:tcPr>
            <w:tcW w:w="629" w:type="dxa"/>
            <w:vMerge w:val="restart"/>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12</w:t>
            </w:r>
          </w:p>
        </w:tc>
        <w:tc>
          <w:tcPr>
            <w:tcW w:w="1843" w:type="dxa"/>
            <w:vMerge w:val="restart"/>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中小企业信用融资</w:t>
            </w:r>
          </w:p>
        </w:tc>
        <w:tc>
          <w:tcPr>
            <w:tcW w:w="6520" w:type="dxa"/>
            <w:tcBorders>
              <w:tl2br w:val="nil"/>
              <w:tr2bl w:val="nil"/>
            </w:tcBorders>
            <w:vAlign w:val="center"/>
          </w:tcPr>
          <w:p>
            <w:pPr>
              <w:spacing w:line="360" w:lineRule="auto"/>
              <w:rPr>
                <w:rFonts w:ascii="宋体" w:hAnsi="宋体" w:cs="宋体"/>
                <w:szCs w:val="21"/>
                <w:highlight w:val="none"/>
              </w:rPr>
            </w:pPr>
            <w:r>
              <w:rPr>
                <w:rFonts w:hint="eastAsia" w:ascii="宋体" w:hAnsi="宋体" w:cs="宋体"/>
                <w:snapToGrid w:val="0"/>
                <w:kern w:val="28"/>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9" w:hRule="atLeast"/>
        </w:trPr>
        <w:tc>
          <w:tcPr>
            <w:tcW w:w="629" w:type="dxa"/>
            <w:vMerge w:val="continue"/>
            <w:tcBorders>
              <w:tl2br w:val="nil"/>
              <w:tr2bl w:val="nil"/>
            </w:tcBorders>
            <w:vAlign w:val="center"/>
          </w:tcPr>
          <w:p>
            <w:pPr>
              <w:spacing w:line="360" w:lineRule="auto"/>
              <w:ind w:firstLine="420" w:firstLineChars="200"/>
              <w:jc w:val="center"/>
              <w:rPr>
                <w:rFonts w:ascii="宋体" w:hAnsi="宋体" w:cs="宋体"/>
                <w:szCs w:val="21"/>
                <w:highlight w:val="none"/>
              </w:rPr>
            </w:pPr>
          </w:p>
        </w:tc>
        <w:tc>
          <w:tcPr>
            <w:tcW w:w="1843" w:type="dxa"/>
            <w:vMerge w:val="continue"/>
            <w:tcBorders>
              <w:tl2br w:val="nil"/>
              <w:tr2bl w:val="nil"/>
            </w:tcBorders>
            <w:vAlign w:val="center"/>
          </w:tcPr>
          <w:p>
            <w:pPr>
              <w:spacing w:line="360" w:lineRule="auto"/>
              <w:ind w:firstLine="420" w:firstLineChars="200"/>
              <w:rPr>
                <w:rFonts w:ascii="宋体" w:hAnsi="宋体" w:cs="宋体"/>
                <w:szCs w:val="21"/>
                <w:highlight w:val="none"/>
              </w:rPr>
            </w:pPr>
          </w:p>
        </w:tc>
        <w:tc>
          <w:tcPr>
            <w:tcW w:w="6520" w:type="dxa"/>
            <w:tcBorders>
              <w:tl2br w:val="nil"/>
              <w:tr2bl w:val="nil"/>
            </w:tcBorders>
            <w:vAlign w:val="center"/>
          </w:tcPr>
          <w:p>
            <w:pPr>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 xml:space="preserve">备份投标文件送达地点和签收人员 </w:t>
            </w:r>
          </w:p>
        </w:tc>
        <w:tc>
          <w:tcPr>
            <w:tcW w:w="6520" w:type="dxa"/>
            <w:tcBorders>
              <w:tl2br w:val="nil"/>
              <w:tr2bl w:val="nil"/>
            </w:tcBorders>
            <w:vAlign w:val="center"/>
          </w:tcPr>
          <w:p>
            <w:pPr>
              <w:pStyle w:val="32"/>
              <w:spacing w:line="360" w:lineRule="auto"/>
              <w:rPr>
                <w:rFonts w:hAnsi="宋体" w:cs="宋体"/>
                <w:kern w:val="28"/>
                <w:highlight w:val="none"/>
              </w:rPr>
            </w:pPr>
            <w:r>
              <w:rPr>
                <w:rFonts w:hint="eastAsia" w:hAnsi="宋体" w:cs="宋体"/>
                <w:kern w:val="28"/>
                <w:highlight w:val="none"/>
              </w:rPr>
              <w:t>备份投标文件送达地点：</w:t>
            </w:r>
            <w:r>
              <w:rPr>
                <w:rFonts w:hint="eastAsia" w:hAnsi="宋体" w:cs="宋体"/>
                <w:highlight w:val="none"/>
                <w:u w:val="single"/>
              </w:rPr>
              <w:t xml:space="preserve">杭州市上城区环站东路97号云峰大厦1幢6楼（接受邮寄，需在投标截止前寄达签收）  </w:t>
            </w:r>
            <w:r>
              <w:rPr>
                <w:rFonts w:hint="eastAsia" w:hAnsi="宋体" w:cs="宋体"/>
                <w:kern w:val="28"/>
                <w:highlight w:val="none"/>
              </w:rPr>
              <w:t>；备份投标文件签收人员联系电话：</w:t>
            </w:r>
            <w:r>
              <w:rPr>
                <w:rFonts w:hint="eastAsia" w:hAnsi="宋体" w:cs="宋体"/>
                <w:kern w:val="28"/>
                <w:highlight w:val="none"/>
                <w:u w:val="single"/>
              </w:rPr>
              <w:t xml:space="preserve"> </w:t>
            </w:r>
            <w:r>
              <w:rPr>
                <w:rFonts w:hint="eastAsia" w:hAnsi="宋体" w:cs="宋体"/>
                <w:highlight w:val="none"/>
                <w:u w:val="single"/>
              </w:rPr>
              <w:t xml:space="preserve">杨工 0571-87631032   </w:t>
            </w:r>
            <w:r>
              <w:rPr>
                <w:rFonts w:hint="eastAsia" w:hAnsi="宋体" w:cs="宋体"/>
                <w:highlight w:val="none"/>
              </w:rPr>
              <w:t>。</w:t>
            </w:r>
            <w:r>
              <w:rPr>
                <w:rFonts w:hint="eastAsia" w:hAnsi="宋体" w:cs="宋体"/>
                <w:b/>
                <w:highlight w:val="none"/>
              </w:rPr>
              <w:t>招标人、招标代理机构不强制或变相强制投标人提交备份投标文件。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14</w:t>
            </w:r>
          </w:p>
        </w:tc>
        <w:tc>
          <w:tcPr>
            <w:tcW w:w="1843" w:type="dxa"/>
            <w:tcBorders>
              <w:tl2br w:val="nil"/>
              <w:tr2bl w:val="nil"/>
            </w:tcBorders>
            <w:vAlign w:val="center"/>
          </w:tcPr>
          <w:p>
            <w:pPr>
              <w:snapToGrid w:val="0"/>
              <w:spacing w:line="360" w:lineRule="auto"/>
              <w:jc w:val="center"/>
              <w:rPr>
                <w:rFonts w:ascii="宋体" w:hAnsi="宋体" w:cs="宋体"/>
                <w:b/>
                <w:szCs w:val="21"/>
                <w:highlight w:val="none"/>
              </w:rPr>
            </w:pPr>
            <w:r>
              <w:rPr>
                <w:rFonts w:hint="eastAsia" w:ascii="宋体" w:hAnsi="宋体" w:cs="宋体"/>
                <w:b/>
                <w:szCs w:val="21"/>
                <w:highlight w:val="none"/>
              </w:rPr>
              <w:t>特别说明</w:t>
            </w:r>
          </w:p>
        </w:tc>
        <w:tc>
          <w:tcPr>
            <w:tcW w:w="6520" w:type="dxa"/>
            <w:tcBorders>
              <w:tl2br w:val="nil"/>
              <w:tr2bl w:val="nil"/>
            </w:tcBorders>
            <w:vAlign w:val="center"/>
          </w:tcPr>
          <w:p>
            <w:pPr>
              <w:snapToGrid w:val="0"/>
              <w:spacing w:line="360" w:lineRule="auto"/>
              <w:rPr>
                <w:rFonts w:ascii="宋体" w:hAnsi="宋体" w:cs="宋体"/>
                <w:snapToGrid w:val="0"/>
                <w:kern w:val="28"/>
                <w:szCs w:val="21"/>
                <w:highlight w:val="none"/>
              </w:rPr>
            </w:pPr>
            <w:r>
              <w:rPr>
                <w:rFonts w:hint="eastAsia" w:ascii="宋体" w:hAnsi="宋体" w:cs="宋体"/>
                <w:szCs w:val="21"/>
                <w:highlight w:val="none"/>
              </w:rPr>
              <w:t>（1）中标通知书发出后30日内，中标人持中标通知书与招标人签订合同；合同签订后需在2个工作日内进行备案公示。</w:t>
            </w:r>
          </w:p>
          <w:p>
            <w:pPr>
              <w:snapToGrid w:val="0"/>
              <w:spacing w:line="360" w:lineRule="auto"/>
              <w:rPr>
                <w:rFonts w:ascii="宋体" w:hAnsi="宋体" w:cs="宋体"/>
                <w:snapToGrid w:val="0"/>
                <w:kern w:val="28"/>
                <w:szCs w:val="21"/>
                <w:highlight w:val="none"/>
              </w:rPr>
            </w:pPr>
            <w:r>
              <w:rPr>
                <w:rFonts w:hint="eastAsia" w:ascii="宋体" w:hAnsi="宋体" w:cs="宋体"/>
                <w:snapToGrid w:val="0"/>
                <w:kern w:val="28"/>
                <w:szCs w:val="21"/>
                <w:highlight w:val="none"/>
              </w:rPr>
              <w:t>（2）</w:t>
            </w:r>
            <w:r>
              <w:rPr>
                <w:rFonts w:hint="eastAsia" w:ascii="宋体" w:hAnsi="宋体" w:cs="宋体"/>
                <w:szCs w:val="21"/>
                <w:highlight w:val="none"/>
              </w:rPr>
              <w:t>中标人在收到中标通知后7个工作日内提交纸质版投标文件（内容同电子投标文件）一正四副，用于项目资料存档。</w:t>
            </w:r>
          </w:p>
          <w:p>
            <w:pPr>
              <w:snapToGrid w:val="0"/>
              <w:spacing w:line="360" w:lineRule="auto"/>
              <w:rPr>
                <w:rFonts w:ascii="宋体" w:hAnsi="宋体" w:cs="宋体"/>
                <w:szCs w:val="21"/>
                <w:highlight w:val="none"/>
              </w:rPr>
            </w:pPr>
            <w:r>
              <w:rPr>
                <w:rFonts w:hint="eastAsia" w:ascii="宋体" w:hAnsi="宋体" w:cs="宋体"/>
                <w:snapToGrid w:val="0"/>
                <w:kern w:val="28"/>
                <w:szCs w:val="21"/>
                <w:highlight w:val="none"/>
              </w:rPr>
              <w:t>（3）</w:t>
            </w:r>
            <w:r>
              <w:rPr>
                <w:rFonts w:hint="eastAsia" w:ascii="宋体" w:hAnsi="宋体" w:cs="宋体"/>
                <w:szCs w:val="21"/>
                <w:highlight w:val="none"/>
              </w:rPr>
              <w:t>本项目招标代理服务费收费标准为：</w:t>
            </w:r>
            <w:r>
              <w:rPr>
                <w:rFonts w:hint="eastAsia" w:ascii="宋体" w:hAnsi="宋体" w:cs="宋体"/>
                <w:b/>
                <w:bCs/>
                <w:szCs w:val="21"/>
                <w:highlight w:val="none"/>
              </w:rPr>
              <w:t>本项目的招标服务费由中标人支付，按计价格［2002］1980号文件规定的80%计算,不足柒仟元按柒仟元计。结算方式及时间为：在领取中标通知书时由中标人一次性向招标代理机构付清，请各投标人充分考虑</w:t>
            </w:r>
            <w:r>
              <w:rPr>
                <w:rFonts w:hint="eastAsia" w:ascii="宋体" w:hAnsi="宋体" w:cs="宋体"/>
                <w:szCs w:val="21"/>
                <w:highlight w:val="none"/>
              </w:rPr>
              <w:t>。</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收款单位：浙江省建设工程设备招标有限公司</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开户银行：中信银行西湖支行</w:t>
            </w:r>
          </w:p>
          <w:p>
            <w:pPr>
              <w:snapToGrid w:val="0"/>
              <w:spacing w:line="360" w:lineRule="auto"/>
              <w:ind w:firstLine="420" w:firstLineChars="200"/>
              <w:rPr>
                <w:rFonts w:ascii="宋体" w:hAnsi="宋体" w:cs="宋体"/>
                <w:snapToGrid w:val="0"/>
                <w:kern w:val="28"/>
                <w:szCs w:val="21"/>
                <w:highlight w:val="none"/>
              </w:rPr>
            </w:pPr>
            <w:r>
              <w:rPr>
                <w:rFonts w:hint="eastAsia" w:ascii="宋体" w:hAnsi="宋体" w:cs="宋体"/>
                <w:szCs w:val="21"/>
                <w:highlight w:val="none"/>
              </w:rPr>
              <w:t>帐    号：7331610182600010016</w:t>
            </w:r>
          </w:p>
        </w:tc>
      </w:tr>
    </w:tbl>
    <w:p>
      <w:pPr>
        <w:rPr>
          <w:rFonts w:ascii="宋体" w:hAnsi="宋体" w:cs="宋体"/>
          <w:b/>
          <w:sz w:val="32"/>
          <w:szCs w:val="20"/>
          <w:highlight w:val="none"/>
        </w:rPr>
      </w:pPr>
      <w:r>
        <w:rPr>
          <w:rFonts w:hint="eastAsia" w:ascii="宋体" w:hAnsi="宋体" w:cs="宋体"/>
          <w:b/>
          <w:sz w:val="32"/>
          <w:szCs w:val="20"/>
          <w:highlight w:val="none"/>
        </w:rPr>
        <w:br w:type="page"/>
      </w:r>
    </w:p>
    <w:p>
      <w:pPr>
        <w:rPr>
          <w:rFonts w:ascii="宋体" w:hAnsi="宋体" w:cs="宋体"/>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pPr>
        <w:spacing w:line="360" w:lineRule="auto"/>
        <w:rPr>
          <w:rFonts w:ascii="宋体" w:hAnsi="宋体" w:cs="宋体"/>
          <w:b/>
          <w:bCs/>
          <w:highlight w:val="none"/>
        </w:rPr>
      </w:pPr>
      <w:r>
        <w:rPr>
          <w:rFonts w:hint="eastAsia" w:ascii="宋体" w:hAnsi="宋体" w:cs="宋体"/>
          <w:b/>
          <w:bCs/>
          <w:highlight w:val="none"/>
        </w:rPr>
        <w:t>1. 适用范围</w:t>
      </w:r>
    </w:p>
    <w:p>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本招标文件适用于该项目的招标、投标、开标、资格审查及信用信息查询、评标、定标、合同、验收等行为（法律、法规另有规定的，从其规定）。</w:t>
      </w:r>
    </w:p>
    <w:p>
      <w:pPr>
        <w:spacing w:line="360" w:lineRule="auto"/>
        <w:rPr>
          <w:rFonts w:ascii="宋体" w:hAnsi="宋体" w:cs="宋体"/>
          <w:b/>
          <w:bCs/>
          <w:highlight w:val="none"/>
        </w:rPr>
      </w:pPr>
      <w:r>
        <w:rPr>
          <w:rFonts w:hint="eastAsia" w:ascii="宋体" w:hAnsi="宋体" w:cs="宋体"/>
          <w:b/>
          <w:bCs/>
          <w:highlight w:val="none"/>
        </w:rPr>
        <w:t>2.定义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2.1 “招标人”系指招标公告中载明的本项目的招标人。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 “招标代理机构”系指招标公告中载明的本项目的招标代理机构。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 “投标人”系指是指响应招标、参加投标竞争的法人、其他组织或者自然人。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2.6“电子交易平台”是指本项目政府采购活动所依托的政府采购云平台（https://www.zcygov.cn/）。</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2.7 “▲” 系指实质性要求条款，“★”系产品采购项目中单一产品或核心产品，“◆”为产品重要参数，“</w:t>
      </w:r>
      <w:sdt>
        <w:sdtPr>
          <w:rPr>
            <w:rFonts w:hint="eastAsia" w:ascii="仿宋_GB2312" w:hAnsi="仿宋" w:eastAsia="仿宋_GB2312" w:cs="Arial"/>
            <w:b/>
            <w:bCs/>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sz w:val="24"/>
            <w:highlight w:val="none"/>
          </w:rPr>
        </w:sdtEndPr>
        <w:sdtContent>
          <w:r>
            <w:rPr>
              <w:rFonts w:ascii="Wingdings" w:hAnsi="Wingdings" w:eastAsia="仿宋_GB2312" w:cs="Arial"/>
              <w:b/>
              <w:bCs/>
              <w:kern w:val="0"/>
              <w:sz w:val="24"/>
              <w:highlight w:val="none"/>
            </w:rPr>
            <w:t></w:t>
          </w:r>
        </w:sdtContent>
      </w:sdt>
      <w:r>
        <w:rPr>
          <w:rFonts w:hint="eastAsia" w:ascii="宋体" w:hAnsi="宋体" w:cs="宋体"/>
          <w:szCs w:val="21"/>
          <w:highlight w:val="none"/>
        </w:rPr>
        <w:t>” 系指适用本项目的要求，“☐” 系指不适用本项目的要求。</w:t>
      </w:r>
    </w:p>
    <w:p>
      <w:pPr>
        <w:spacing w:line="360" w:lineRule="auto"/>
        <w:rPr>
          <w:rFonts w:ascii="宋体" w:hAnsi="宋体" w:cs="宋体"/>
          <w:b/>
          <w:bCs/>
          <w:highlight w:val="none"/>
        </w:rPr>
      </w:pPr>
      <w:r>
        <w:rPr>
          <w:rFonts w:hint="eastAsia" w:ascii="宋体" w:hAnsi="宋体" w:cs="宋体"/>
          <w:b/>
          <w:bCs/>
          <w:highlight w:val="none"/>
        </w:rPr>
        <w:t>3. 采购项目需要落实的政府采购政策</w:t>
      </w: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3.1 本项目原则上采购本国生产的货物、工程和服务，不允许采购进口产品。</w:t>
      </w:r>
      <w:r>
        <w:rPr>
          <w:rFonts w:hint="eastAsia" w:ascii="宋体" w:hAnsi="宋体" w:cs="宋体"/>
          <w:szCs w:val="21"/>
          <w:highlight w:val="none"/>
        </w:rPr>
        <w:t>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招标代理机构不会对其加以限制，仍将按照公平竞争原则实施采购）。</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3.2 支持绿色发展</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3.2.1招标人拟采购的产品属于品目清单范围的，招标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highlight w:val="none"/>
        </w:rPr>
        <w:t>招标人拟采购的产品属于政府强制采购的节能产品品目清单范围的，投标人未按招标文件要求提供国家确定的认证机构出具的、处于有效期之内的节能产品认证证书的，投标无效。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3.2.2 修缮、装修类项目采购建材的，招标人应将绿色建筑和绿色建材性能、指标等作为实质性条件纳入招标文件和合同。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3.3支持中小企业发展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bCs/>
          <w:szCs w:val="21"/>
          <w:highlight w:val="none"/>
        </w:rPr>
        <w:t>3.3.2</w:t>
      </w:r>
      <w:r>
        <w:rPr>
          <w:rFonts w:hint="eastAsia" w:ascii="宋体" w:hAnsi="宋体" w:cs="宋体"/>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3.3.2.2在工程采购项目中，工程由中小企业承建，即工程施工单位为中小企业；</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3.3.7中小企业享受扶持政策获得政府采购合同的，小微企业不得将合同分包给大中型企业，中型企业不得将合同分包给大型企业。</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3.4</w:t>
      </w:r>
      <w:r>
        <w:rPr>
          <w:rFonts w:hint="eastAsia" w:ascii="宋体" w:hAnsi="宋体" w:cs="宋体"/>
          <w:b/>
          <w:bCs/>
          <w:szCs w:val="21"/>
          <w:highlight w:val="none"/>
        </w:rPr>
        <w:t>支持创新发展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3.4.1 招标人优先采购被认定为首台套产品和“制造精品”的自主创新产品。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Cs w:val="21"/>
          <w:highlight w:val="none"/>
        </w:rPr>
      </w:pPr>
      <w:r>
        <w:rPr>
          <w:rFonts w:hint="eastAsia" w:ascii="宋体" w:hAnsi="宋体" w:cs="宋体"/>
          <w:b/>
          <w:szCs w:val="21"/>
          <w:highlight w:val="none"/>
        </w:rPr>
        <w:t xml:space="preserve">    3.5中小企业信用融资：</w:t>
      </w:r>
    </w:p>
    <w:p>
      <w:pPr>
        <w:spacing w:line="360" w:lineRule="auto"/>
        <w:ind w:firstLine="420" w:firstLineChars="200"/>
        <w:rPr>
          <w:rFonts w:ascii="宋体" w:hAnsi="宋体" w:cs="宋体"/>
          <w:b/>
          <w:bCs/>
          <w:highlight w:val="none"/>
        </w:rPr>
      </w:pPr>
      <w:r>
        <w:rPr>
          <w:rFonts w:hint="eastAsia" w:ascii="宋体" w:hAnsi="宋体" w:cs="宋体"/>
          <w:szCs w:val="21"/>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Cs w:val="21"/>
          <w:highlight w:val="none"/>
        </w:rPr>
        <w:cr/>
      </w:r>
      <w:r>
        <w:rPr>
          <w:rFonts w:hint="eastAsia" w:ascii="宋体" w:hAnsi="宋体" w:cs="宋体"/>
          <w:b/>
          <w:bCs/>
          <w:highlight w:val="none"/>
        </w:rPr>
        <w:t>4. 询问、质疑、投诉</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4.1供应商询问</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供应商对政府采购活动事项有疑问的，可以提出询问，招标人或者招标代理机构应当在3个工作日内对供应商依法提出的询问作出答复，但答复的内容不得涉及商业秘密。供应商提出的询问超出招标人对招标代理机构委托授权范围的，招标代理机构应当告知供应商向招标人提出。</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4.2供应商质疑</w:t>
      </w:r>
    </w:p>
    <w:p>
      <w:pPr>
        <w:pStyle w:val="32"/>
        <w:spacing w:line="360" w:lineRule="auto"/>
        <w:ind w:firstLine="420" w:firstLineChars="200"/>
        <w:rPr>
          <w:rFonts w:hAnsi="宋体" w:cs="宋体"/>
          <w:highlight w:val="none"/>
        </w:rPr>
      </w:pPr>
      <w:r>
        <w:rPr>
          <w:rFonts w:hint="eastAsia" w:hAnsi="宋体" w:cs="宋体"/>
          <w:kern w:val="0"/>
          <w:highlight w:val="none"/>
          <w:lang w:val="zh-CN"/>
        </w:rPr>
        <w:t>4.2</w:t>
      </w:r>
      <w:r>
        <w:rPr>
          <w:rFonts w:hint="eastAsia" w:hAnsi="宋体" w:cs="宋体"/>
          <w:highlight w:val="none"/>
        </w:rPr>
        <w:t>.1提出质疑的供应商应当是参与所质疑项目采购活动的供应商。潜在供应商已依法获取其可质疑的招标文件的，可以对该文件提出质疑。</w:t>
      </w:r>
    </w:p>
    <w:p>
      <w:pPr>
        <w:pStyle w:val="32"/>
        <w:spacing w:line="360" w:lineRule="auto"/>
        <w:ind w:firstLine="420" w:firstLineChars="200"/>
        <w:rPr>
          <w:rFonts w:hAnsi="宋体" w:cs="宋体"/>
          <w:highlight w:val="none"/>
        </w:rPr>
      </w:pPr>
      <w:r>
        <w:rPr>
          <w:rFonts w:hint="eastAsia" w:hAnsi="宋体" w:cs="宋体"/>
          <w:kern w:val="0"/>
          <w:highlight w:val="none"/>
          <w:lang w:val="zh-CN"/>
        </w:rPr>
        <w:t>4.2</w:t>
      </w:r>
      <w:r>
        <w:rPr>
          <w:rFonts w:hint="eastAsia" w:hAnsi="宋体" w:cs="宋体"/>
          <w:highlight w:val="none"/>
        </w:rPr>
        <w:t>.2供应商认为招标文件、采购过程和中标结果使自己的权益受到损害的，可以在知道或者应知其权益受到损害之日起七个工作日内，以书面形式或通过政采云系统在线提疑方式向招标人或者招标代理机构提出质疑，否则，招标人或者招标代理机构不予受理：</w:t>
      </w:r>
    </w:p>
    <w:p>
      <w:pPr>
        <w:pStyle w:val="32"/>
        <w:spacing w:line="360" w:lineRule="auto"/>
        <w:ind w:firstLine="420" w:firstLineChars="200"/>
        <w:rPr>
          <w:rFonts w:hAnsi="宋体" w:cs="宋体"/>
          <w:highlight w:val="none"/>
          <w:u w:val="single"/>
        </w:rPr>
      </w:pPr>
      <w:r>
        <w:rPr>
          <w:rFonts w:hint="eastAsia" w:hAnsi="宋体" w:cs="宋体"/>
          <w:highlight w:val="none"/>
          <w:u w:val="single"/>
        </w:rPr>
        <w:t>注：书面询问质疑：接收人：姜晓飞 0571-87631032，邮箱1090609161@qq.com，地址：杭州市上城区环站东路97号云峰大厦1幢6楼。</w:t>
      </w:r>
    </w:p>
    <w:p>
      <w:pPr>
        <w:pStyle w:val="32"/>
        <w:spacing w:line="360" w:lineRule="auto"/>
        <w:ind w:firstLine="420" w:firstLineChars="200"/>
        <w:jc w:val="left"/>
        <w:rPr>
          <w:rFonts w:hAnsi="宋体" w:cs="宋体"/>
          <w:highlight w:val="none"/>
        </w:rPr>
      </w:pPr>
      <w:r>
        <w:rPr>
          <w:rFonts w:hint="eastAsia" w:hAnsi="宋体" w:cs="宋体"/>
          <w:highlight w:val="none"/>
          <w:u w:val="single"/>
        </w:rPr>
        <w:t>在线询问质疑菜单路径：应用中心-项目采购-询问质疑投诉-询问列表/质疑列表，</w:t>
      </w:r>
      <w:r>
        <w:rPr>
          <w:rFonts w:hint="eastAsia" w:hAnsi="宋体" w:cs="宋体"/>
          <w:kern w:val="0"/>
          <w:highlight w:val="none"/>
          <w:u w:val="single"/>
        </w:rPr>
        <w:t>具体操作详见“政府采购项目电子交易管理操作指南-供应商”的“2.9 询问质疑投诉” https://service.zcygov.cn/#/knowledges/CW1EtGwBFdiHxlNd6I3m/6IMVAG0BFdiHxlNdQ8Na。</w:t>
      </w:r>
    </w:p>
    <w:p>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pPr>
        <w:pStyle w:val="32"/>
        <w:spacing w:line="360" w:lineRule="auto"/>
        <w:ind w:firstLine="420" w:firstLineChars="200"/>
        <w:rPr>
          <w:rFonts w:hAnsi="宋体" w:cs="宋体"/>
          <w:highlight w:val="none"/>
        </w:rPr>
      </w:pPr>
      <w:r>
        <w:rPr>
          <w:rFonts w:hint="eastAsia" w:hAnsi="宋体" w:cs="宋体"/>
          <w:highlight w:val="none"/>
        </w:rPr>
        <w:t>4.2.2.2对采购过程提出质疑的，质疑期限为各采购程序环节结束之日起计算。对同一采购程序环节的质疑，供应商须一次性提出。</w:t>
      </w:r>
    </w:p>
    <w:p>
      <w:pPr>
        <w:pStyle w:val="32"/>
        <w:spacing w:line="360" w:lineRule="auto"/>
        <w:ind w:firstLine="420" w:firstLineChars="200"/>
        <w:rPr>
          <w:rFonts w:hAnsi="宋体" w:cs="宋体"/>
          <w:highlight w:val="none"/>
        </w:rPr>
      </w:pPr>
      <w:r>
        <w:rPr>
          <w:rFonts w:hint="eastAsia" w:hAnsi="宋体" w:cs="宋体"/>
          <w:highlight w:val="none"/>
        </w:rPr>
        <w:t>4.2.2.3对采购结果提出质疑的，质疑期限自采购结果公告期限届满之日起计算。</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w:t>
      </w:r>
      <w:r>
        <w:rPr>
          <w:rFonts w:hint="eastAsia" w:hAnsi="宋体" w:cs="宋体"/>
          <w:highlight w:val="none"/>
        </w:rPr>
        <w:t>供应商提出质疑应当提交质疑函和必要的证明材料。质疑函应当包括下列内容：</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4.2.3.1供应商的姓名或者名称、地址、邮编、联系人及联系电话；</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4.2.3.2质疑项目的名称、编号；</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4.2.3.3具体、明确的质疑事项和与质疑事项相关的请求；</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4.2.3.4事实依据；</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4.2.3.5必要的法律依据；</w:t>
      </w:r>
    </w:p>
    <w:p>
      <w:pPr>
        <w:pStyle w:val="32"/>
        <w:spacing w:line="360" w:lineRule="auto"/>
        <w:ind w:firstLine="420" w:firstLineChars="200"/>
        <w:rPr>
          <w:rFonts w:hAnsi="宋体" w:cs="宋体"/>
          <w:kern w:val="0"/>
          <w:highlight w:val="none"/>
          <w:lang w:val="zh-CN"/>
        </w:rPr>
      </w:pPr>
      <w:r>
        <w:rPr>
          <w:rFonts w:hint="eastAsia" w:hAnsi="宋体" w:cs="宋体"/>
          <w:kern w:val="0"/>
          <w:highlight w:val="none"/>
          <w:lang w:val="zh-CN"/>
        </w:rPr>
        <w:t>4.2.3.6提出质疑的日期。</w:t>
      </w:r>
    </w:p>
    <w:p>
      <w:pPr>
        <w:pStyle w:val="32"/>
        <w:spacing w:line="360" w:lineRule="auto"/>
        <w:ind w:firstLine="420" w:firstLineChars="200"/>
        <w:rPr>
          <w:rFonts w:hAnsi="宋体" w:cs="宋体"/>
          <w:highlight w:val="none"/>
        </w:rPr>
      </w:pPr>
      <w:r>
        <w:rPr>
          <w:rFonts w:hint="eastAsia" w:hAnsi="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20" w:firstLineChars="200"/>
        <w:rPr>
          <w:rFonts w:hAnsi="宋体" w:cs="宋体"/>
          <w:highlight w:val="none"/>
        </w:rPr>
      </w:pPr>
      <w:r>
        <w:rPr>
          <w:rFonts w:hint="eastAsia" w:hAnsi="宋体" w:cs="宋体"/>
          <w:highlight w:val="none"/>
        </w:rPr>
        <w:t>质疑函范本及制作说明详见附件2。</w:t>
      </w:r>
    </w:p>
    <w:p>
      <w:pPr>
        <w:pStyle w:val="32"/>
        <w:spacing w:line="360" w:lineRule="auto"/>
        <w:ind w:firstLine="420" w:firstLineChars="200"/>
        <w:rPr>
          <w:rFonts w:hAnsi="宋体" w:cs="宋体"/>
          <w:highlight w:val="none"/>
        </w:rPr>
      </w:pPr>
      <w:r>
        <w:rPr>
          <w:rFonts w:hint="eastAsia" w:hAnsi="宋体" w:cs="宋体"/>
          <w:highlight w:val="none"/>
          <w:lang w:val="zh-CN"/>
        </w:rPr>
        <w:t>4.2</w:t>
      </w:r>
      <w:r>
        <w:rPr>
          <w:rFonts w:hint="eastAsia" w:hAnsi="宋体" w:cs="宋体"/>
          <w:highlight w:val="none"/>
        </w:rPr>
        <w:t>.4招标人或者招标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招标人或者招标代理机构在质疑回复后5个工作日内，在浙江政府采购网的“其他公告”栏目公开质疑答复，答复内容应当完整。质疑函作为附件上传。</w:t>
      </w:r>
    </w:p>
    <w:p>
      <w:pPr>
        <w:pStyle w:val="32"/>
        <w:spacing w:line="360" w:lineRule="auto"/>
        <w:ind w:firstLine="420" w:firstLineChars="200"/>
        <w:rPr>
          <w:rFonts w:hAnsi="宋体" w:cs="宋体"/>
          <w:highlight w:val="none"/>
        </w:rPr>
      </w:pPr>
      <w:r>
        <w:rPr>
          <w:rFonts w:hint="eastAsia" w:hAnsi="宋体" w:cs="宋体"/>
          <w:highlight w:val="none"/>
          <w:lang w:val="zh-CN"/>
        </w:rPr>
        <w:t>4.2</w:t>
      </w:r>
      <w:r>
        <w:rPr>
          <w:rFonts w:hint="eastAsia" w:hAnsi="宋体" w:cs="宋体"/>
          <w:highlight w:val="none"/>
        </w:rPr>
        <w:t>.5询问或者质疑事项可能影响采购结果的，招标人应当暂停签订合同，已经签订合同的，应当中止履行合同。</w:t>
      </w:r>
    </w:p>
    <w:p>
      <w:pPr>
        <w:pStyle w:val="32"/>
        <w:spacing w:line="360" w:lineRule="auto"/>
        <w:ind w:firstLine="420" w:firstLineChars="200"/>
        <w:rPr>
          <w:rFonts w:hAnsi="宋体" w:cs="宋体"/>
          <w:highlight w:val="none"/>
          <w:lang w:val="zh-CN"/>
        </w:rPr>
      </w:pPr>
      <w:r>
        <w:rPr>
          <w:rFonts w:hint="eastAsia" w:hAnsi="宋体" w:cs="宋体"/>
          <w:highlight w:val="none"/>
          <w:lang w:val="zh-CN"/>
        </w:rPr>
        <w:t>4.3供应商投诉</w:t>
      </w:r>
    </w:p>
    <w:p>
      <w:pPr>
        <w:pStyle w:val="32"/>
        <w:spacing w:line="360" w:lineRule="auto"/>
        <w:ind w:firstLine="420" w:firstLineChars="200"/>
        <w:rPr>
          <w:rFonts w:hAnsi="宋体" w:cs="宋体"/>
          <w:highlight w:val="none"/>
        </w:rPr>
      </w:pPr>
      <w:r>
        <w:rPr>
          <w:rFonts w:hint="eastAsia" w:hAnsi="宋体" w:cs="宋体"/>
          <w:highlight w:val="none"/>
        </w:rPr>
        <w:t>4.3.1质疑供应商对招标人、招标代理机构的答复不满意或者招标人、招标代理机构未在规定的时间内作出答复的，可以在答复期满后十五个工作日内向同级政府采购监督管理部门提出投诉。</w:t>
      </w:r>
    </w:p>
    <w:p>
      <w:pPr>
        <w:pStyle w:val="32"/>
        <w:spacing w:line="360" w:lineRule="auto"/>
        <w:ind w:firstLine="420" w:firstLineChars="200"/>
        <w:rPr>
          <w:rFonts w:hAnsi="宋体" w:cs="宋体"/>
          <w:highlight w:val="none"/>
        </w:rPr>
      </w:pPr>
      <w:r>
        <w:rPr>
          <w:rFonts w:hint="eastAsia" w:hAnsi="宋体" w:cs="宋体"/>
          <w:highlight w:val="none"/>
        </w:rPr>
        <w:t>4.3.</w:t>
      </w:r>
      <w:r>
        <w:rPr>
          <w:rFonts w:hint="eastAsia" w:hAnsi="宋体" w:cs="宋体"/>
          <w:highlight w:val="none"/>
          <w:lang w:val="zh-CN"/>
        </w:rPr>
        <w:t>2</w:t>
      </w:r>
      <w:r>
        <w:rPr>
          <w:rFonts w:hint="eastAsia" w:hAnsi="宋体" w:cs="宋体"/>
          <w:highlight w:val="none"/>
        </w:rPr>
        <w:t>供应商投诉的事项不得超出已质疑事项的范围，基于质疑答复内容提出的投诉事项除外。</w:t>
      </w:r>
    </w:p>
    <w:p>
      <w:pPr>
        <w:pStyle w:val="32"/>
        <w:spacing w:line="360" w:lineRule="auto"/>
        <w:ind w:firstLine="420" w:firstLineChars="200"/>
        <w:rPr>
          <w:rFonts w:hAnsi="宋体" w:cs="宋体"/>
          <w:highlight w:val="none"/>
        </w:rPr>
      </w:pPr>
      <w:r>
        <w:rPr>
          <w:rFonts w:hint="eastAsia" w:hAnsi="宋体" w:cs="宋体"/>
          <w:highlight w:val="none"/>
        </w:rPr>
        <w:t>4.3.3供应商投诉应当有明确的请求和必要的证明材料。</w:t>
      </w:r>
    </w:p>
    <w:p>
      <w:pPr>
        <w:pStyle w:val="32"/>
        <w:spacing w:line="360" w:lineRule="auto"/>
        <w:ind w:firstLine="420" w:firstLineChars="200"/>
        <w:rPr>
          <w:rFonts w:hAnsi="宋体" w:cs="宋体"/>
          <w:highlight w:val="none"/>
        </w:rPr>
      </w:pPr>
      <w:r>
        <w:rPr>
          <w:rFonts w:hint="eastAsia" w:hAnsi="宋体" w:cs="宋体"/>
          <w:highlight w:val="none"/>
        </w:rPr>
        <w:t>4.3.5 以联合体形式参加政府采购活动的，其投诉应当由组成联合体的所有供应商共同提出。</w:t>
      </w:r>
    </w:p>
    <w:p>
      <w:pPr>
        <w:pStyle w:val="32"/>
        <w:spacing w:line="360" w:lineRule="auto"/>
        <w:ind w:firstLine="420" w:firstLineChars="200"/>
        <w:rPr>
          <w:rFonts w:hAnsi="宋体" w:cs="宋体"/>
          <w:highlight w:val="none"/>
        </w:rPr>
      </w:pPr>
      <w:r>
        <w:rPr>
          <w:rFonts w:hint="eastAsia" w:hAnsi="宋体" w:cs="宋体"/>
          <w:highlight w:val="none"/>
        </w:rPr>
        <w:t>投诉书范本及制作说明详见附件3。</w:t>
      </w:r>
    </w:p>
    <w:p>
      <w:pPr>
        <w:rPr>
          <w:rFonts w:ascii="宋体" w:hAnsi="宋体" w:cs="宋体"/>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pPr>
        <w:pStyle w:val="32"/>
        <w:spacing w:line="360" w:lineRule="auto"/>
        <w:rPr>
          <w:rFonts w:hAnsi="宋体" w:cs="宋体"/>
          <w:b/>
          <w:highlight w:val="none"/>
        </w:rPr>
      </w:pPr>
      <w:r>
        <w:rPr>
          <w:rFonts w:hint="eastAsia" w:hAnsi="宋体" w:cs="宋体"/>
          <w:b/>
          <w:highlight w:val="none"/>
        </w:rPr>
        <w:t>5．招标文件的构成</w:t>
      </w:r>
    </w:p>
    <w:p>
      <w:pPr>
        <w:pStyle w:val="32"/>
        <w:spacing w:line="360" w:lineRule="auto"/>
        <w:ind w:firstLine="420" w:firstLineChars="200"/>
        <w:rPr>
          <w:rFonts w:hAnsi="宋体" w:cs="宋体"/>
          <w:highlight w:val="none"/>
        </w:rPr>
      </w:pPr>
      <w:r>
        <w:rPr>
          <w:rFonts w:hint="eastAsia" w:hAnsi="宋体" w:cs="宋体"/>
          <w:highlight w:val="none"/>
        </w:rPr>
        <w:t>5.1 招标文件包括下列文件及附件：</w:t>
      </w:r>
    </w:p>
    <w:p>
      <w:pPr>
        <w:pStyle w:val="32"/>
        <w:tabs>
          <w:tab w:val="left" w:pos="840"/>
        </w:tabs>
        <w:spacing w:line="360" w:lineRule="auto"/>
        <w:ind w:firstLine="840" w:firstLineChars="400"/>
        <w:rPr>
          <w:rFonts w:hAnsi="宋体" w:cs="宋体"/>
          <w:highlight w:val="none"/>
        </w:rPr>
      </w:pPr>
      <w:r>
        <w:rPr>
          <w:rFonts w:hint="eastAsia" w:hAnsi="宋体" w:cs="宋体"/>
          <w:highlight w:val="none"/>
        </w:rPr>
        <w:t>5.1.1招标公告；</w:t>
      </w:r>
    </w:p>
    <w:p>
      <w:pPr>
        <w:pStyle w:val="32"/>
        <w:tabs>
          <w:tab w:val="left" w:pos="840"/>
        </w:tabs>
        <w:spacing w:line="360" w:lineRule="auto"/>
        <w:ind w:firstLine="840" w:firstLineChars="400"/>
        <w:rPr>
          <w:rFonts w:hAnsi="宋体" w:cs="宋体"/>
          <w:highlight w:val="none"/>
        </w:rPr>
      </w:pPr>
      <w:r>
        <w:rPr>
          <w:rFonts w:hint="eastAsia" w:hAnsi="宋体" w:cs="宋体"/>
          <w:highlight w:val="none"/>
        </w:rPr>
        <w:t>5.1.2投标人须知；</w:t>
      </w:r>
    </w:p>
    <w:p>
      <w:pPr>
        <w:pStyle w:val="32"/>
        <w:tabs>
          <w:tab w:val="left" w:pos="840"/>
        </w:tabs>
        <w:spacing w:line="360" w:lineRule="auto"/>
        <w:ind w:firstLine="840" w:firstLineChars="400"/>
        <w:rPr>
          <w:rFonts w:hAnsi="宋体" w:cs="宋体"/>
          <w:highlight w:val="none"/>
        </w:rPr>
      </w:pPr>
      <w:r>
        <w:rPr>
          <w:rFonts w:hint="eastAsia" w:hAnsi="宋体" w:cs="宋体"/>
          <w:highlight w:val="none"/>
        </w:rPr>
        <w:t>5.1.3</w:t>
      </w:r>
      <w:r>
        <w:rPr>
          <w:rFonts w:hint="eastAsia" w:hAnsi="宋体" w:cs="宋体"/>
          <w:highlight w:val="none"/>
          <w:lang w:eastAsia="zh-CN"/>
        </w:rPr>
        <w:t>采购需求</w:t>
      </w:r>
      <w:r>
        <w:rPr>
          <w:rFonts w:hint="eastAsia" w:hAnsi="宋体" w:cs="宋体"/>
          <w:highlight w:val="none"/>
        </w:rPr>
        <w:t>；</w:t>
      </w:r>
    </w:p>
    <w:p>
      <w:pPr>
        <w:pStyle w:val="32"/>
        <w:tabs>
          <w:tab w:val="left" w:pos="840"/>
        </w:tabs>
        <w:spacing w:line="360" w:lineRule="auto"/>
        <w:ind w:firstLine="840" w:firstLineChars="400"/>
        <w:rPr>
          <w:rFonts w:hAnsi="宋体" w:cs="宋体"/>
          <w:highlight w:val="none"/>
        </w:rPr>
      </w:pPr>
      <w:r>
        <w:rPr>
          <w:rFonts w:hint="eastAsia" w:hAnsi="宋体" w:cs="宋体"/>
          <w:highlight w:val="none"/>
        </w:rPr>
        <w:t>5.1.4评标办法；</w:t>
      </w:r>
    </w:p>
    <w:p>
      <w:pPr>
        <w:pStyle w:val="32"/>
        <w:tabs>
          <w:tab w:val="left" w:pos="840"/>
        </w:tabs>
        <w:spacing w:line="360" w:lineRule="auto"/>
        <w:ind w:firstLine="840" w:firstLineChars="400"/>
        <w:rPr>
          <w:rFonts w:hAnsi="宋体" w:cs="宋体"/>
          <w:highlight w:val="none"/>
        </w:rPr>
      </w:pPr>
      <w:r>
        <w:rPr>
          <w:rFonts w:hint="eastAsia" w:hAnsi="宋体" w:cs="宋体"/>
          <w:highlight w:val="none"/>
        </w:rPr>
        <w:t>5.1.5拟签订的合同文本；</w:t>
      </w:r>
    </w:p>
    <w:p>
      <w:pPr>
        <w:pStyle w:val="32"/>
        <w:tabs>
          <w:tab w:val="left" w:pos="840"/>
        </w:tabs>
        <w:spacing w:line="360" w:lineRule="auto"/>
        <w:ind w:firstLine="840" w:firstLineChars="400"/>
        <w:rPr>
          <w:rFonts w:hAnsi="宋体" w:cs="宋体"/>
          <w:highlight w:val="none"/>
        </w:rPr>
      </w:pPr>
      <w:r>
        <w:rPr>
          <w:rFonts w:hint="eastAsia" w:hAnsi="宋体" w:cs="宋体"/>
          <w:highlight w:val="none"/>
        </w:rPr>
        <w:t>5.1.6应提交的有关格式范例。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5.2与本项目有关的</w:t>
      </w:r>
      <w:r>
        <w:rPr>
          <w:rFonts w:hint="eastAsia" w:ascii="宋体" w:hAnsi="宋体" w:cs="宋体"/>
          <w:bCs/>
          <w:szCs w:val="21"/>
          <w:highlight w:val="none"/>
        </w:rPr>
        <w:t>澄清或者修改的内容为招标文件的组成部分</w:t>
      </w:r>
      <w:r>
        <w:rPr>
          <w:rFonts w:hint="eastAsia" w:ascii="宋体" w:hAnsi="宋体" w:cs="宋体"/>
          <w:szCs w:val="21"/>
          <w:highlight w:val="none"/>
        </w:rPr>
        <w:t>。</w:t>
      </w:r>
    </w:p>
    <w:p>
      <w:pPr>
        <w:pStyle w:val="32"/>
        <w:spacing w:line="360" w:lineRule="auto"/>
        <w:rPr>
          <w:rFonts w:hAnsi="宋体" w:cs="宋体"/>
          <w:b/>
          <w:highlight w:val="none"/>
        </w:rPr>
      </w:pPr>
      <w:r>
        <w:rPr>
          <w:rFonts w:hint="eastAsia" w:hAnsi="宋体" w:cs="宋体"/>
          <w:b/>
          <w:highlight w:val="none"/>
        </w:rPr>
        <w:t>6. 招标文件的澄清、修改</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6.1已获取招标文件的潜在投标人，若有问题需要澄清，应于投标截止时间前，以书面形式向招标代理机构提出。</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6.2 招标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2"/>
        <w:spacing w:line="360" w:lineRule="auto"/>
        <w:rPr>
          <w:rFonts w:hAnsi="宋体" w:cs="宋体"/>
          <w:b/>
          <w:highlight w:val="none"/>
        </w:rPr>
      </w:pPr>
      <w:r>
        <w:rPr>
          <w:rFonts w:hint="eastAsia" w:hAnsi="宋体" w:cs="宋体"/>
          <w:b/>
          <w:highlight w:val="none"/>
        </w:rPr>
        <w:t>7. 招标文件的获取</w:t>
      </w:r>
    </w:p>
    <w:p>
      <w:pPr>
        <w:spacing w:line="360" w:lineRule="auto"/>
        <w:ind w:firstLine="420" w:firstLineChars="200"/>
        <w:rPr>
          <w:rFonts w:ascii="宋体" w:hAnsi="宋体" w:cs="宋体"/>
          <w:snapToGrid w:val="0"/>
          <w:kern w:val="28"/>
          <w:szCs w:val="21"/>
          <w:highlight w:val="none"/>
        </w:rPr>
      </w:pPr>
      <w:r>
        <w:rPr>
          <w:rFonts w:hint="eastAsia" w:ascii="宋体" w:hAnsi="宋体" w:cs="宋体"/>
          <w:snapToGrid w:val="0"/>
          <w:kern w:val="28"/>
          <w:szCs w:val="21"/>
          <w:highlight w:val="none"/>
        </w:rPr>
        <w:t>详见招标公告中获取招标文件的时间期限、地点、方式及招标文件售价。</w:t>
      </w:r>
    </w:p>
    <w:p>
      <w:pPr>
        <w:pStyle w:val="32"/>
        <w:spacing w:line="360" w:lineRule="auto"/>
        <w:rPr>
          <w:rFonts w:hAnsi="宋体" w:cs="宋体"/>
          <w:b/>
          <w:highlight w:val="none"/>
        </w:rPr>
      </w:pPr>
      <w:r>
        <w:rPr>
          <w:rFonts w:hint="eastAsia" w:hAnsi="宋体" w:cs="宋体"/>
          <w:b/>
          <w:highlight w:val="none"/>
        </w:rPr>
        <w:t>8.开标前答疑会或现场考察</w:t>
      </w:r>
    </w:p>
    <w:p>
      <w:pPr>
        <w:pStyle w:val="32"/>
        <w:spacing w:line="360" w:lineRule="auto"/>
        <w:ind w:firstLine="420" w:firstLineChars="200"/>
        <w:rPr>
          <w:rFonts w:hAnsi="宋体" w:cs="宋体"/>
          <w:highlight w:val="none"/>
        </w:rPr>
      </w:pPr>
      <w:r>
        <w:rPr>
          <w:rFonts w:hint="eastAsia" w:hAnsi="宋体" w:cs="宋体"/>
          <w:highlight w:val="none"/>
        </w:rPr>
        <w:t>招标人组织潜在投标人现场考察或者召开开标前答疑会的，潜在投标人按第二部分投标人须知前附表的规定参加现场考察或者开标前答疑会。</w:t>
      </w:r>
    </w:p>
    <w:p>
      <w:pPr>
        <w:pStyle w:val="32"/>
        <w:spacing w:line="360" w:lineRule="auto"/>
        <w:rPr>
          <w:rFonts w:hAnsi="宋体" w:cs="宋体"/>
          <w:b/>
          <w:highlight w:val="none"/>
        </w:rPr>
      </w:pPr>
      <w:r>
        <w:rPr>
          <w:rFonts w:hint="eastAsia" w:hAnsi="宋体" w:cs="宋体"/>
          <w:b/>
          <w:kern w:val="28"/>
          <w:highlight w:val="none"/>
        </w:rPr>
        <w:t>9.投标保证金</w:t>
      </w:r>
    </w:p>
    <w:p>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2"/>
        <w:spacing w:line="360" w:lineRule="auto"/>
        <w:rPr>
          <w:rFonts w:hAnsi="宋体" w:cs="宋体"/>
          <w:b/>
          <w:highlight w:val="none"/>
        </w:rPr>
      </w:pPr>
      <w:r>
        <w:rPr>
          <w:rFonts w:hint="eastAsia" w:hAnsi="宋体" w:cs="宋体"/>
          <w:b/>
          <w:highlight w:val="none"/>
        </w:rPr>
        <w:t>10. 投标文件的语言</w:t>
      </w:r>
    </w:p>
    <w:p>
      <w:pPr>
        <w:autoSpaceDE w:val="0"/>
        <w:autoSpaceDN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投标文件及投标人与采购有关的来往通知、函件和文件均应使用中文。</w:t>
      </w:r>
    </w:p>
    <w:p>
      <w:pPr>
        <w:pStyle w:val="32"/>
        <w:spacing w:line="360" w:lineRule="auto"/>
        <w:rPr>
          <w:rFonts w:hAnsi="宋体" w:cs="宋体"/>
          <w:b/>
          <w:highlight w:val="none"/>
        </w:rPr>
      </w:pPr>
      <w:r>
        <w:rPr>
          <w:rFonts w:hint="eastAsia" w:hAnsi="宋体" w:cs="宋体"/>
          <w:b/>
          <w:highlight w:val="none"/>
        </w:rPr>
        <w:t>11. 投标文件的组成</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w:t>
      </w:r>
      <w:r>
        <w:rPr>
          <w:rFonts w:hint="eastAsia" w:ascii="宋体" w:hAnsi="宋体" w:cs="宋体"/>
          <w:b/>
          <w:szCs w:val="21"/>
          <w:highlight w:val="none"/>
        </w:rPr>
        <w:t>资格文件</w:t>
      </w:r>
      <w:r>
        <w:rPr>
          <w:rFonts w:hint="eastAsia" w:ascii="宋体" w:hAnsi="宋体" w:cs="宋体"/>
          <w:szCs w:val="21"/>
          <w:highlight w:val="none"/>
        </w:rPr>
        <w:t>：</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11.1.1符合参加政府采购活动应当具备的一般条件的承诺函；</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11.1.2落实政府采购政策需满足的资格要求；</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11.1.3本项目的特定资格要求。</w:t>
      </w:r>
    </w:p>
    <w:p>
      <w:pPr>
        <w:snapToGri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11.</w:t>
      </w:r>
      <w:r>
        <w:rPr>
          <w:rFonts w:hint="eastAsia" w:ascii="宋体" w:hAnsi="宋体" w:cs="宋体"/>
          <w:szCs w:val="21"/>
          <w:highlight w:val="none"/>
        </w:rPr>
        <w:t>2</w:t>
      </w:r>
      <w:r>
        <w:rPr>
          <w:rFonts w:hint="eastAsia" w:ascii="宋体" w:hAnsi="宋体" w:cs="宋体"/>
          <w:szCs w:val="21"/>
          <w:highlight w:val="none"/>
          <w:lang w:val="zh-CN"/>
        </w:rPr>
        <w:t xml:space="preserve">  </w:t>
      </w:r>
      <w:r>
        <w:rPr>
          <w:rFonts w:hint="eastAsia" w:ascii="宋体" w:hAnsi="宋体" w:cs="宋体"/>
          <w:szCs w:val="21"/>
          <w:highlight w:val="none"/>
        </w:rPr>
        <w:t>商务技术</w:t>
      </w:r>
      <w:r>
        <w:rPr>
          <w:rFonts w:hint="eastAsia" w:ascii="宋体" w:hAnsi="宋体" w:cs="宋体"/>
          <w:szCs w:val="21"/>
          <w:highlight w:val="none"/>
          <w:lang w:val="zh-CN"/>
        </w:rPr>
        <w:t>文件：</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11.2.1投标函；</w:t>
      </w:r>
      <w:r>
        <w:rPr>
          <w:rFonts w:hint="eastAsia" w:ascii="宋体" w:hAnsi="宋体" w:cs="宋体"/>
          <w:szCs w:val="21"/>
          <w:highlight w:val="none"/>
          <w:lang w:val="zh-CN"/>
        </w:rPr>
        <w:t xml:space="preserve"> </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11.2.2授权委托书或法定代表人（单位负责人、自然人本人）身份证明；</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11.2.3联合协议；</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11.2.4分包意向协议；</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11.2.5符合性审查资料；</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11.2.6评标标准相应的商务技术资料；</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11.2.7商务技术偏离表；</w:t>
      </w:r>
    </w:p>
    <w:p>
      <w:pPr>
        <w:snapToGrid w:val="0"/>
        <w:spacing w:line="360" w:lineRule="auto"/>
        <w:ind w:firstLine="840" w:firstLineChars="400"/>
        <w:rPr>
          <w:rFonts w:ascii="宋体" w:hAnsi="宋体" w:cs="宋体"/>
          <w:szCs w:val="21"/>
          <w:highlight w:val="none"/>
          <w:lang w:val="zh-CN"/>
        </w:rPr>
      </w:pPr>
      <w:r>
        <w:rPr>
          <w:rFonts w:hint="eastAsia" w:ascii="宋体" w:hAnsi="宋体" w:cs="宋体"/>
          <w:szCs w:val="21"/>
          <w:highlight w:val="none"/>
          <w:lang w:val="zh-CN"/>
        </w:rPr>
        <w:t>11.</w:t>
      </w: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政府采购供应商廉洁自律承诺书。</w:t>
      </w:r>
    </w:p>
    <w:p>
      <w:pPr>
        <w:snapToGrid w:val="0"/>
        <w:spacing w:line="360" w:lineRule="auto"/>
        <w:ind w:firstLine="420" w:firstLineChars="200"/>
        <w:rPr>
          <w:rFonts w:ascii="宋体" w:hAnsi="宋体" w:cs="宋体"/>
          <w:szCs w:val="21"/>
          <w:highlight w:val="none"/>
          <w:u w:val="single"/>
          <w:lang w:val="zh-CN"/>
        </w:rPr>
      </w:pPr>
      <w:r>
        <w:rPr>
          <w:rFonts w:hint="eastAsia" w:ascii="宋体" w:hAnsi="宋体" w:cs="宋体"/>
          <w:kern w:val="0"/>
          <w:szCs w:val="21"/>
          <w:highlight w:val="none"/>
          <w:lang w:val="zh-CN"/>
        </w:rPr>
        <w:t>11.</w:t>
      </w:r>
      <w:r>
        <w:rPr>
          <w:rFonts w:hint="eastAsia" w:ascii="宋体" w:hAnsi="宋体" w:cs="宋体"/>
          <w:kern w:val="0"/>
          <w:szCs w:val="21"/>
          <w:highlight w:val="none"/>
        </w:rPr>
        <w:t>3</w:t>
      </w:r>
      <w:r>
        <w:rPr>
          <w:rFonts w:hint="eastAsia" w:ascii="宋体" w:hAnsi="宋体" w:cs="宋体"/>
          <w:b/>
          <w:szCs w:val="21"/>
          <w:highlight w:val="none"/>
        </w:rPr>
        <w:t>报价文件：</w:t>
      </w:r>
      <w:r>
        <w:rPr>
          <w:rFonts w:hint="eastAsia" w:ascii="宋体" w:hAnsi="宋体" w:cs="宋体"/>
          <w:szCs w:val="21"/>
          <w:highlight w:val="none"/>
        </w:rPr>
        <w:t xml:space="preserve"> </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11.3.1开标一览表（报价表）；</w:t>
      </w:r>
    </w:p>
    <w:p>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11.3.2中小企业声明函。</w:t>
      </w:r>
    </w:p>
    <w:p>
      <w:pPr>
        <w:spacing w:line="360" w:lineRule="auto"/>
        <w:ind w:firstLine="632" w:firstLineChars="300"/>
        <w:rPr>
          <w:rFonts w:ascii="宋体" w:hAnsi="宋体" w:cs="宋体"/>
          <w:b/>
          <w:szCs w:val="21"/>
          <w:highlight w:val="none"/>
        </w:rPr>
      </w:pPr>
      <w:r>
        <w:rPr>
          <w:rFonts w:hint="eastAsia" w:ascii="宋体" w:hAnsi="宋体" w:cs="宋体"/>
          <w:b/>
          <w:szCs w:val="21"/>
          <w:highlight w:val="none"/>
        </w:rPr>
        <w:t>投标文件含有招标人不能接受的附加条件的，投标无效；</w:t>
      </w:r>
    </w:p>
    <w:p>
      <w:pPr>
        <w:spacing w:line="360" w:lineRule="auto"/>
        <w:ind w:firstLine="632" w:firstLineChars="300"/>
        <w:rPr>
          <w:rFonts w:ascii="宋体" w:hAnsi="宋体" w:cs="宋体"/>
          <w:b/>
          <w:szCs w:val="21"/>
          <w:highlight w:val="none"/>
        </w:rPr>
      </w:pPr>
      <w:r>
        <w:rPr>
          <w:rFonts w:hint="eastAsia" w:ascii="宋体" w:hAnsi="宋体" w:cs="宋体"/>
          <w:b/>
          <w:szCs w:val="21"/>
          <w:highlight w:val="none"/>
        </w:rPr>
        <w:t>投标人提供虚假材料投标的，投标无效。</w:t>
      </w:r>
    </w:p>
    <w:p>
      <w:pPr>
        <w:snapToGrid w:val="0"/>
        <w:spacing w:line="360" w:lineRule="auto"/>
        <w:rPr>
          <w:rFonts w:ascii="宋体" w:hAnsi="宋体" w:cs="宋体"/>
          <w:b/>
          <w:szCs w:val="21"/>
          <w:highlight w:val="none"/>
        </w:rPr>
      </w:pPr>
      <w:r>
        <w:rPr>
          <w:rFonts w:hint="eastAsia" w:ascii="宋体" w:hAnsi="宋体" w:cs="宋体"/>
          <w:b/>
          <w:szCs w:val="21"/>
          <w:highlight w:val="none"/>
        </w:rPr>
        <w:t>12</w:t>
      </w:r>
      <w:r>
        <w:rPr>
          <w:rFonts w:hint="eastAsia" w:ascii="宋体" w:hAnsi="宋体" w:cs="宋体"/>
          <w:b/>
          <w:szCs w:val="21"/>
          <w:highlight w:val="none"/>
          <w:lang w:val="zh-CN"/>
        </w:rPr>
        <w:t xml:space="preserve">. </w:t>
      </w:r>
      <w:r>
        <w:rPr>
          <w:rFonts w:hint="eastAsia" w:ascii="宋体" w:hAnsi="宋体" w:cs="宋体"/>
          <w:b/>
          <w:szCs w:val="21"/>
          <w:highlight w:val="none"/>
        </w:rPr>
        <w:t>投标文件的编制</w:t>
      </w:r>
    </w:p>
    <w:p>
      <w:pPr>
        <w:spacing w:line="360" w:lineRule="auto"/>
        <w:ind w:firstLine="420" w:firstLineChars="200"/>
        <w:rPr>
          <w:rFonts w:ascii="宋体" w:hAnsi="宋体" w:cs="宋体"/>
          <w:b/>
          <w:szCs w:val="21"/>
          <w:highlight w:val="none"/>
        </w:rPr>
      </w:pPr>
      <w:r>
        <w:rPr>
          <w:rFonts w:hint="eastAsia" w:ascii="宋体" w:hAnsi="宋体" w:cs="宋体"/>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Cs w:val="21"/>
          <w:highlight w:val="none"/>
        </w:rPr>
      </w:pPr>
      <w:r>
        <w:rPr>
          <w:rFonts w:hint="eastAsia" w:ascii="宋体" w:hAnsi="宋体" w:cs="宋体"/>
          <w:b/>
          <w:szCs w:val="21"/>
          <w:highlight w:val="none"/>
        </w:rPr>
        <w:t>13.投标文件的签署、盖章</w:t>
      </w:r>
    </w:p>
    <w:p>
      <w:pPr>
        <w:pStyle w:val="128"/>
        <w:snapToGrid w:val="0"/>
        <w:spacing w:before="0"/>
        <w:ind w:firstLine="420"/>
        <w:rPr>
          <w:rFonts w:ascii="宋体" w:hAnsi="宋体" w:cs="宋体"/>
          <w:b/>
          <w:sz w:val="21"/>
          <w:szCs w:val="21"/>
          <w:highlight w:val="none"/>
        </w:rPr>
      </w:pPr>
      <w:r>
        <w:rPr>
          <w:rFonts w:hint="eastAsia" w:ascii="宋体" w:hAnsi="宋体" w:cs="宋体"/>
          <w:sz w:val="21"/>
          <w:szCs w:val="21"/>
          <w:highlight w:val="none"/>
        </w:rPr>
        <w:t>13.1投标文件按照招标文件第六部分格式要求进行签署、盖章。</w:t>
      </w:r>
      <w:r>
        <w:rPr>
          <w:rFonts w:hint="eastAsia" w:ascii="宋体" w:hAnsi="宋体" w:cs="宋体"/>
          <w:b/>
          <w:sz w:val="21"/>
          <w:szCs w:val="21"/>
          <w:highlight w:val="none"/>
        </w:rPr>
        <w:t>▲投标人的投标文件未按照招标文件要求签署、盖章的，其投标无效</w:t>
      </w:r>
      <w:r>
        <w:rPr>
          <w:rFonts w:hint="eastAsia" w:ascii="宋体" w:hAnsi="宋体" w:cs="宋体"/>
          <w:sz w:val="21"/>
          <w:szCs w:val="21"/>
          <w:highlight w:val="none"/>
        </w:rPr>
        <w:t>。</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13.3招标文件对投标文件签署、盖章的要求适用于电子签名。</w:t>
      </w:r>
    </w:p>
    <w:p>
      <w:pPr>
        <w:pStyle w:val="128"/>
        <w:spacing w:before="0"/>
        <w:ind w:firstLine="0" w:firstLineChars="0"/>
        <w:rPr>
          <w:rFonts w:ascii="宋体" w:hAnsi="宋体" w:cs="宋体"/>
          <w:b/>
          <w:sz w:val="21"/>
          <w:szCs w:val="21"/>
          <w:highlight w:val="none"/>
        </w:rPr>
      </w:pPr>
      <w:r>
        <w:rPr>
          <w:rFonts w:hint="eastAsia" w:ascii="宋体" w:hAnsi="宋体" w:cs="宋体"/>
          <w:b/>
          <w:sz w:val="21"/>
          <w:szCs w:val="21"/>
          <w:highlight w:val="none"/>
        </w:rPr>
        <w:t>14. 投标文件的提交、补充、修改、撤回</w:t>
      </w:r>
    </w:p>
    <w:p>
      <w:pPr>
        <w:pStyle w:val="128"/>
        <w:ind w:firstLine="420"/>
        <w:rPr>
          <w:rFonts w:ascii="宋体" w:hAnsi="宋体" w:cs="宋体"/>
          <w:sz w:val="21"/>
          <w:szCs w:val="21"/>
          <w:highlight w:val="none"/>
        </w:rPr>
      </w:pPr>
      <w:r>
        <w:rPr>
          <w:rFonts w:hint="eastAsia" w:ascii="宋体" w:hAnsi="宋体" w:cs="宋体"/>
          <w:sz w:val="21"/>
          <w:szCs w:val="21"/>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20"/>
        <w:rPr>
          <w:rFonts w:ascii="宋体" w:hAnsi="宋体" w:cs="宋体"/>
          <w:sz w:val="21"/>
          <w:szCs w:val="21"/>
          <w:highlight w:val="none"/>
        </w:rPr>
      </w:pPr>
      <w:r>
        <w:rPr>
          <w:rFonts w:hint="eastAsia" w:ascii="宋体" w:hAnsi="宋体" w:cs="宋体"/>
          <w:sz w:val="21"/>
          <w:szCs w:val="21"/>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128"/>
        <w:spacing w:before="0"/>
        <w:ind w:firstLine="420"/>
        <w:rPr>
          <w:rFonts w:ascii="宋体" w:hAnsi="宋体" w:cs="宋体"/>
          <w:sz w:val="21"/>
          <w:szCs w:val="21"/>
          <w:highlight w:val="none"/>
        </w:rPr>
      </w:pPr>
      <w:r>
        <w:rPr>
          <w:rFonts w:hint="eastAsia" w:ascii="宋体" w:hAnsi="宋体" w:cs="宋体"/>
          <w:sz w:val="21"/>
          <w:szCs w:val="21"/>
          <w:highlight w:val="none"/>
        </w:rPr>
        <w:t>14.3招标人、招标代理机构可以视情况延长投标文件提交的截止时间。在上述情况下，招标代理机构与投标人以前在投标截止期方面的全部权利、责任和义务，将适用于延长至新的投标截止期。</w:t>
      </w:r>
    </w:p>
    <w:p>
      <w:pPr>
        <w:pStyle w:val="32"/>
        <w:spacing w:line="360" w:lineRule="auto"/>
        <w:rPr>
          <w:rFonts w:hAnsi="宋体" w:cs="宋体"/>
          <w:b/>
          <w:highlight w:val="none"/>
        </w:rPr>
      </w:pPr>
      <w:r>
        <w:rPr>
          <w:rFonts w:hint="eastAsia" w:hAnsi="宋体" w:cs="宋体"/>
          <w:b/>
          <w:highlight w:val="none"/>
        </w:rPr>
        <w:t>15.备份投标文件</w:t>
      </w:r>
    </w:p>
    <w:p>
      <w:pPr>
        <w:pStyle w:val="32"/>
        <w:spacing w:line="360" w:lineRule="auto"/>
        <w:ind w:firstLine="315" w:firstLineChars="150"/>
        <w:rPr>
          <w:rFonts w:hAnsi="宋体" w:cs="宋体"/>
          <w:b/>
          <w:highlight w:val="none"/>
        </w:rPr>
      </w:pPr>
      <w:r>
        <w:rPr>
          <w:rFonts w:hint="eastAsia" w:hAnsi="宋体" w:cs="宋体"/>
          <w:highlight w:val="none"/>
        </w:rPr>
        <w:t xml:space="preserve"> 15.1投标人在电子交易平台传输递交投标文件后，还可以在投标截止时间前直接提交或者以邮政快递方式递交备份投标文件1份，</w:t>
      </w:r>
      <w:r>
        <w:rPr>
          <w:rFonts w:hint="eastAsia" w:hAnsi="宋体" w:cs="宋体"/>
          <w:b/>
          <w:highlight w:val="none"/>
        </w:rPr>
        <w:t>但招标人、招标代理机构不强制或变相强制投标人提交备份投标文件。</w:t>
      </w:r>
    </w:p>
    <w:p>
      <w:pPr>
        <w:pStyle w:val="32"/>
        <w:spacing w:line="360" w:lineRule="auto"/>
        <w:ind w:firstLine="420" w:firstLineChars="200"/>
        <w:rPr>
          <w:rFonts w:hAnsi="宋体" w:cs="宋体"/>
          <w:b/>
          <w:highlight w:val="none"/>
        </w:rPr>
      </w:pPr>
      <w:r>
        <w:rPr>
          <w:rFonts w:hint="eastAsia" w:hAnsi="宋体" w:cs="宋体"/>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不符合上述制作、存储、密封规定的备份投标文件将被视为无效或者被拒绝接收。</w:t>
      </w:r>
    </w:p>
    <w:p>
      <w:pPr>
        <w:pStyle w:val="32"/>
        <w:spacing w:line="360" w:lineRule="auto"/>
        <w:ind w:firstLine="420" w:firstLineChars="200"/>
        <w:rPr>
          <w:rFonts w:hAnsi="宋体" w:cs="宋体"/>
          <w:highlight w:val="none"/>
        </w:rPr>
      </w:pPr>
      <w:r>
        <w:rPr>
          <w:rFonts w:hint="eastAsia" w:hAnsi="宋体" w:cs="宋体"/>
          <w:highlight w:val="none"/>
        </w:rPr>
        <w:t>15.3直接提交备份投标文件的，投标人应于投标截止时间前在招标公告中载明的开标地点将备份投标文件提交给招标代理机构，招标代理机构将拒绝接受逾期送达的备份投标文件。</w:t>
      </w:r>
    </w:p>
    <w:p>
      <w:pPr>
        <w:pStyle w:val="32"/>
        <w:spacing w:line="360" w:lineRule="auto"/>
        <w:ind w:firstLine="420" w:firstLineChars="200"/>
        <w:rPr>
          <w:rFonts w:hAnsi="宋体" w:cs="宋体"/>
          <w:highlight w:val="none"/>
        </w:rPr>
      </w:pPr>
      <w:r>
        <w:rPr>
          <w:rFonts w:hint="eastAsia" w:hAnsi="宋体" w:cs="宋体"/>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highlight w:val="none"/>
        </w:rPr>
        <w:t>招标文件第二部分投标人须知前附表规定的备份投标文件送达地点；</w:t>
      </w:r>
      <w:r>
        <w:rPr>
          <w:rFonts w:hint="eastAsia" w:hAnsi="宋体" w:cs="宋体"/>
          <w:highlight w:val="none"/>
        </w:rPr>
        <w:t>送达时间以签收人签收时间为准。招标代理机构将拒绝接受逾期送达的备份投标文件。邮寄过程中，电子备份投标文件发生泄露、遗失、损坏或延期送达等情况的，由投标人自行负责。</w:t>
      </w:r>
    </w:p>
    <w:p>
      <w:pPr>
        <w:pStyle w:val="32"/>
        <w:spacing w:line="360" w:lineRule="auto"/>
        <w:ind w:firstLine="422" w:firstLineChars="200"/>
        <w:rPr>
          <w:rFonts w:hAnsi="宋体" w:cs="宋体"/>
          <w:b/>
          <w:highlight w:val="none"/>
        </w:rPr>
      </w:pPr>
      <w:r>
        <w:rPr>
          <w:rFonts w:hint="eastAsia" w:hAnsi="宋体" w:cs="宋体"/>
          <w:b/>
          <w:highlight w:val="none"/>
        </w:rPr>
        <w:t>15.5投标人仅提交备份投标文件，没有在电子交易平台传输递交投标文件的，投标无效。</w:t>
      </w:r>
    </w:p>
    <w:p>
      <w:pPr>
        <w:pStyle w:val="128"/>
        <w:spacing w:before="0"/>
        <w:ind w:firstLine="0" w:firstLineChars="0"/>
        <w:rPr>
          <w:rFonts w:ascii="宋体" w:hAnsi="宋体" w:cs="宋体"/>
          <w:b/>
          <w:sz w:val="21"/>
          <w:szCs w:val="21"/>
          <w:highlight w:val="none"/>
        </w:rPr>
      </w:pPr>
      <w:r>
        <w:rPr>
          <w:rFonts w:hint="eastAsia" w:ascii="宋体" w:hAnsi="宋体" w:cs="宋体"/>
          <w:b/>
          <w:sz w:val="21"/>
          <w:szCs w:val="21"/>
          <w:highlight w:val="none"/>
        </w:rPr>
        <w:t>16.投标文件的无效处理</w:t>
      </w:r>
    </w:p>
    <w:p>
      <w:pPr>
        <w:pStyle w:val="24"/>
        <w:spacing w:line="360" w:lineRule="auto"/>
        <w:ind w:firstLine="420"/>
        <w:rPr>
          <w:rFonts w:cs="宋体"/>
          <w:sz w:val="21"/>
          <w:szCs w:val="21"/>
          <w:highlight w:val="none"/>
        </w:rPr>
      </w:pPr>
      <w:r>
        <w:rPr>
          <w:rFonts w:hint="eastAsia" w:cs="宋体"/>
          <w:sz w:val="21"/>
          <w:szCs w:val="21"/>
          <w:highlight w:val="none"/>
        </w:rPr>
        <w:t>有招标文件第四部分第4.2项规定的情形之一的，投标无效。</w:t>
      </w:r>
    </w:p>
    <w:p>
      <w:pPr>
        <w:pStyle w:val="128"/>
        <w:spacing w:before="0"/>
        <w:ind w:firstLine="0" w:firstLineChars="0"/>
        <w:rPr>
          <w:rFonts w:ascii="宋体" w:hAnsi="宋体" w:cs="宋体"/>
          <w:b/>
          <w:sz w:val="21"/>
          <w:szCs w:val="21"/>
          <w:highlight w:val="none"/>
        </w:rPr>
      </w:pPr>
      <w:r>
        <w:rPr>
          <w:rFonts w:hint="eastAsia" w:ascii="宋体" w:hAnsi="宋体" w:cs="宋体"/>
          <w:b/>
          <w:sz w:val="21"/>
          <w:szCs w:val="21"/>
          <w:highlight w:val="none"/>
        </w:rPr>
        <w:t>17.投标有效期</w:t>
      </w:r>
    </w:p>
    <w:p>
      <w:pPr>
        <w:spacing w:line="360" w:lineRule="auto"/>
        <w:ind w:firstLine="420" w:firstLineChars="200"/>
        <w:rPr>
          <w:rFonts w:ascii="宋体" w:hAnsi="宋体" w:cs="宋体"/>
          <w:b/>
          <w:szCs w:val="21"/>
          <w:highlight w:val="none"/>
        </w:rPr>
      </w:pPr>
      <w:r>
        <w:rPr>
          <w:rFonts w:hint="eastAsia" w:ascii="宋体" w:hAnsi="宋体" w:cs="宋体"/>
          <w:szCs w:val="21"/>
          <w:highlight w:val="none"/>
        </w:rPr>
        <w:t>17.1投标有效期为从提交投标文件的截止之日起90天。▲</w:t>
      </w:r>
      <w:r>
        <w:rPr>
          <w:rFonts w:hint="eastAsia" w:ascii="宋体" w:hAnsi="宋体" w:cs="宋体"/>
          <w:b/>
          <w:szCs w:val="21"/>
          <w:highlight w:val="none"/>
        </w:rPr>
        <w:t>投标人的投标文件中承诺的投标有效期少于招标文件中载明的投标有效期的，投标无效。</w:t>
      </w:r>
    </w:p>
    <w:p>
      <w:pPr>
        <w:pStyle w:val="128"/>
        <w:spacing w:before="0"/>
        <w:ind w:firstLine="420"/>
        <w:rPr>
          <w:rFonts w:ascii="宋体" w:hAnsi="宋体" w:cs="宋体"/>
          <w:sz w:val="21"/>
          <w:szCs w:val="21"/>
          <w:highlight w:val="none"/>
        </w:rPr>
      </w:pPr>
      <w:r>
        <w:rPr>
          <w:rFonts w:hint="eastAsia" w:ascii="宋体" w:hAnsi="宋体" w:cs="宋体"/>
          <w:sz w:val="21"/>
          <w:szCs w:val="21"/>
          <w:highlight w:val="none"/>
        </w:rPr>
        <w:t>17.2投标文件合格投递后，自投标截止日期起，在投标有效期内有效。</w:t>
      </w:r>
    </w:p>
    <w:p>
      <w:pPr>
        <w:pStyle w:val="128"/>
        <w:spacing w:before="0"/>
        <w:ind w:firstLine="420"/>
        <w:rPr>
          <w:rFonts w:ascii="宋体" w:hAnsi="宋体" w:cs="宋体"/>
          <w:sz w:val="21"/>
          <w:szCs w:val="21"/>
          <w:highlight w:val="none"/>
        </w:rPr>
      </w:pPr>
      <w:r>
        <w:rPr>
          <w:rFonts w:hint="eastAsia" w:ascii="宋体" w:hAnsi="宋体" w:cs="宋体"/>
          <w:sz w:val="21"/>
          <w:szCs w:val="21"/>
          <w:highlight w:val="none"/>
        </w:rPr>
        <w:t>17.3在原定投标有效期满之前，如果出现特殊情况，招标代理机构可以以书面形式通知投标人延长投标有效期。投标人同意延长的，不得要求或被允许修改其投标文件，投标人拒绝延长的，其投标无效。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四、开标、资格审查与信用信息查询</w:t>
      </w:r>
    </w:p>
    <w:p>
      <w:pPr>
        <w:pStyle w:val="555"/>
        <w:spacing w:before="0" w:line="360" w:lineRule="auto"/>
        <w:ind w:left="0" w:firstLine="0"/>
        <w:contextualSpacing/>
        <w:rPr>
          <w:rFonts w:ascii="宋体" w:hAnsi="宋体" w:cs="宋体"/>
          <w:sz w:val="21"/>
          <w:szCs w:val="21"/>
          <w:highlight w:val="none"/>
        </w:rPr>
      </w:pPr>
      <w:r>
        <w:rPr>
          <w:rFonts w:hint="eastAsia" w:ascii="宋体" w:hAnsi="宋体" w:cs="宋体"/>
          <w:b/>
          <w:sz w:val="21"/>
          <w:szCs w:val="21"/>
          <w:highlight w:val="none"/>
        </w:rPr>
        <w:t>18.开标</w:t>
      </w:r>
      <w:r>
        <w:rPr>
          <w:rFonts w:hint="eastAsia" w:ascii="宋体" w:hAnsi="宋体" w:cs="宋体"/>
          <w:sz w:val="21"/>
          <w:szCs w:val="21"/>
          <w:highlight w:val="none"/>
        </w:rPr>
        <w:t xml:space="preserve"> </w:t>
      </w:r>
    </w:p>
    <w:p>
      <w:pPr>
        <w:pStyle w:val="555"/>
        <w:spacing w:before="0" w:line="360" w:lineRule="auto"/>
        <w:ind w:left="0" w:firstLine="420" w:firstLineChars="200"/>
        <w:contextualSpacing/>
        <w:rPr>
          <w:rFonts w:ascii="宋体" w:hAnsi="宋体" w:cs="宋体"/>
          <w:sz w:val="21"/>
          <w:szCs w:val="21"/>
          <w:highlight w:val="none"/>
        </w:rPr>
      </w:pPr>
      <w:r>
        <w:rPr>
          <w:rFonts w:hint="eastAsia" w:ascii="宋体" w:hAnsi="宋体" w:cs="宋体"/>
          <w:sz w:val="21"/>
          <w:szCs w:val="21"/>
          <w:highlight w:val="none"/>
        </w:rPr>
        <w:t>18.1招标代理机构按照招标文件规定的时间通过电子交易平台组织开标，所有投标人均应当准时在线参加。投标人不足3家的，不得开标。</w:t>
      </w:r>
    </w:p>
    <w:p>
      <w:pPr>
        <w:pStyle w:val="555"/>
        <w:spacing w:before="0" w:line="360" w:lineRule="auto"/>
        <w:ind w:left="0" w:firstLine="210" w:firstLineChars="100"/>
        <w:contextualSpacing/>
        <w:rPr>
          <w:rFonts w:ascii="宋体" w:hAnsi="宋体" w:cs="宋体"/>
          <w:sz w:val="21"/>
          <w:szCs w:val="21"/>
          <w:highlight w:val="none"/>
        </w:rPr>
      </w:pPr>
      <w:r>
        <w:rPr>
          <w:rFonts w:hint="eastAsia" w:ascii="宋体" w:hAnsi="宋体" w:cs="宋体"/>
          <w:sz w:val="21"/>
          <w:szCs w:val="21"/>
          <w:highlight w:val="none"/>
        </w:rPr>
        <w:t>　18.2开标时，电子交易平台按开标时间自动提取所有投标文件。招标代理机构依托电子交易平台发起开始解密指令，投标人按照平台提示和招标文件的规定在半小时内完成在线解密。</w:t>
      </w:r>
    </w:p>
    <w:p>
      <w:pPr>
        <w:pStyle w:val="555"/>
        <w:spacing w:before="0" w:line="360" w:lineRule="auto"/>
        <w:ind w:left="0" w:firstLine="210" w:firstLineChars="100"/>
        <w:contextualSpacing/>
        <w:rPr>
          <w:rFonts w:ascii="宋体" w:hAnsi="宋体" w:cs="宋体"/>
          <w:b/>
          <w:sz w:val="21"/>
          <w:szCs w:val="21"/>
          <w:highlight w:val="none"/>
        </w:rPr>
      </w:pPr>
      <w:r>
        <w:rPr>
          <w:rFonts w:hint="eastAsia" w:ascii="宋体" w:hAnsi="宋体" w:cs="宋体"/>
          <w:sz w:val="21"/>
          <w:szCs w:val="21"/>
          <w:highlight w:val="none"/>
        </w:rPr>
        <w:t>　18.3</w:t>
      </w:r>
      <w:r>
        <w:rPr>
          <w:rFonts w:hint="eastAsia" w:ascii="宋体" w:hAnsi="宋体" w:cs="宋体"/>
          <w:b/>
          <w:sz w:val="21"/>
          <w:szCs w:val="21"/>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line="360" w:lineRule="auto"/>
        <w:jc w:val="left"/>
        <w:rPr>
          <w:rFonts w:ascii="宋体" w:hAnsi="宋体" w:cs="宋体"/>
          <w:b/>
          <w:szCs w:val="21"/>
          <w:highlight w:val="none"/>
        </w:rPr>
      </w:pPr>
      <w:r>
        <w:rPr>
          <w:rFonts w:hint="eastAsia" w:ascii="宋体" w:hAnsi="宋体" w:cs="宋体"/>
          <w:b/>
          <w:szCs w:val="21"/>
          <w:highlight w:val="none"/>
        </w:rPr>
        <w:t>19.资格审查</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19.1开标后，招标人或招标代理机构将依法对投标人的资格进行审查。</w:t>
      </w:r>
    </w:p>
    <w:p>
      <w:pPr>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19.2</w:t>
      </w:r>
      <w:r>
        <w:rPr>
          <w:rFonts w:hint="eastAsia" w:ascii="宋体" w:hAnsi="宋体" w:cs="宋体"/>
          <w:szCs w:val="21"/>
          <w:highlight w:val="none"/>
        </w:rPr>
        <w:t>招标人或招标代理机构依据法律法规和招标文件的规定，对投标人的基本资格条件、特定资格条件进行审查。</w:t>
      </w:r>
    </w:p>
    <w:p>
      <w:pPr>
        <w:pStyle w:val="128"/>
        <w:spacing w:before="0"/>
        <w:ind w:firstLine="420"/>
        <w:rPr>
          <w:rFonts w:ascii="宋体" w:hAnsi="宋体" w:cs="宋体"/>
          <w:sz w:val="21"/>
          <w:szCs w:val="21"/>
          <w:highlight w:val="none"/>
        </w:rPr>
      </w:pPr>
      <w:r>
        <w:rPr>
          <w:rFonts w:hint="eastAsia" w:ascii="宋体" w:hAnsi="宋体" w:cs="宋体"/>
          <w:kern w:val="0"/>
          <w:sz w:val="21"/>
          <w:szCs w:val="21"/>
          <w:highlight w:val="none"/>
        </w:rPr>
        <w:t>19.3投标人未按照招标文件要求提供与</w:t>
      </w:r>
      <w:r>
        <w:rPr>
          <w:rFonts w:hint="eastAsia" w:ascii="宋体" w:hAnsi="宋体" w:cs="宋体"/>
          <w:sz w:val="21"/>
          <w:szCs w:val="21"/>
          <w:highlight w:val="none"/>
        </w:rPr>
        <w:t>基本资格条件、特定资格条件相应的</w:t>
      </w:r>
      <w:r>
        <w:rPr>
          <w:rFonts w:hint="eastAsia" w:ascii="宋体" w:hAnsi="宋体" w:cs="宋体"/>
          <w:kern w:val="0"/>
          <w:sz w:val="21"/>
          <w:szCs w:val="21"/>
          <w:highlight w:val="none"/>
        </w:rPr>
        <w:t>有效资格证明材料的，视为</w:t>
      </w:r>
      <w:r>
        <w:rPr>
          <w:rFonts w:hint="eastAsia" w:ascii="宋体" w:hAnsi="宋体" w:cs="宋体"/>
          <w:sz w:val="21"/>
          <w:szCs w:val="21"/>
          <w:highlight w:val="none"/>
        </w:rPr>
        <w:t>投标人不具备招标文件中规定的资格要求，其投标无效。</w:t>
      </w:r>
    </w:p>
    <w:p>
      <w:pPr>
        <w:pStyle w:val="128"/>
        <w:spacing w:before="0"/>
        <w:ind w:firstLine="420"/>
        <w:rPr>
          <w:rFonts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4对未通过资格审查的投标人，招标人或招标代理机构告知其未通过的原因。</w:t>
      </w:r>
    </w:p>
    <w:p>
      <w:pPr>
        <w:pStyle w:val="128"/>
        <w:spacing w:before="0"/>
        <w:ind w:firstLine="420"/>
        <w:rPr>
          <w:rFonts w:ascii="宋体" w:hAnsi="宋体" w:cs="宋体"/>
          <w:sz w:val="21"/>
          <w:szCs w:val="21"/>
          <w:highlight w:val="none"/>
        </w:rPr>
      </w:pPr>
      <w:r>
        <w:rPr>
          <w:rFonts w:hint="eastAsia" w:ascii="宋体" w:hAnsi="宋体" w:cs="宋体"/>
          <w:kern w:val="0"/>
          <w:sz w:val="21"/>
          <w:szCs w:val="21"/>
          <w:highlight w:val="none"/>
        </w:rPr>
        <w:t>19.</w:t>
      </w:r>
      <w:r>
        <w:rPr>
          <w:rFonts w:hint="eastAsia" w:ascii="宋体" w:hAnsi="宋体" w:cs="宋体"/>
          <w:sz w:val="21"/>
          <w:szCs w:val="21"/>
          <w:highlight w:val="none"/>
        </w:rPr>
        <w:t>5合格投标人不足3家的，不再评标。</w:t>
      </w:r>
    </w:p>
    <w:p>
      <w:pPr>
        <w:pStyle w:val="128"/>
        <w:spacing w:before="0"/>
        <w:ind w:firstLine="0" w:firstLineChars="0"/>
        <w:rPr>
          <w:rFonts w:ascii="宋体" w:hAnsi="宋体" w:cs="宋体"/>
          <w:b/>
          <w:sz w:val="21"/>
          <w:szCs w:val="21"/>
          <w:highlight w:val="none"/>
        </w:rPr>
      </w:pPr>
      <w:r>
        <w:rPr>
          <w:rFonts w:hint="eastAsia" w:ascii="宋体" w:hAnsi="宋体" w:cs="宋体"/>
          <w:b/>
          <w:sz w:val="21"/>
          <w:szCs w:val="21"/>
          <w:highlight w:val="none"/>
        </w:rPr>
        <w:t>20.信用信息查询</w:t>
      </w:r>
    </w:p>
    <w:p>
      <w:pPr>
        <w:pStyle w:val="128"/>
        <w:spacing w:before="0"/>
        <w:ind w:firstLine="495" w:firstLineChars="0"/>
        <w:rPr>
          <w:rFonts w:ascii="宋体" w:hAnsi="宋体" w:cs="宋体"/>
          <w:kern w:val="0"/>
          <w:sz w:val="21"/>
          <w:szCs w:val="21"/>
          <w:highlight w:val="none"/>
        </w:rPr>
      </w:pPr>
      <w:r>
        <w:rPr>
          <w:rFonts w:hint="eastAsia" w:ascii="宋体" w:hAnsi="宋体" w:cs="宋体"/>
          <w:kern w:val="0"/>
          <w:sz w:val="21"/>
          <w:szCs w:val="21"/>
          <w:highlight w:val="none"/>
        </w:rPr>
        <w:t>20.1信用信息查询渠道及截止时间：招标代理机构将通过“信用中国”网站(www.creditchina.gov.cn)、中国政府采购网(www.ccgp.gov.cn)渠道查询投标人投标截止时间当天的信用记录。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 w:val="21"/>
          <w:szCs w:val="21"/>
          <w:highlight w:val="none"/>
        </w:rPr>
      </w:pPr>
      <w:r>
        <w:rPr>
          <w:rFonts w:hint="eastAsia" w:ascii="宋体" w:hAnsi="宋体" w:cs="宋体"/>
          <w:kern w:val="0"/>
          <w:sz w:val="21"/>
          <w:szCs w:val="21"/>
          <w:highlight w:val="none"/>
        </w:rPr>
        <w:t>20.2信用信息查询记录和证据留存的具体方式：现场查询的投标人的信用记录、查询结果经确认后将与招标文件一起存档。</w:t>
      </w:r>
    </w:p>
    <w:p>
      <w:pPr>
        <w:pStyle w:val="128"/>
        <w:spacing w:before="0"/>
        <w:ind w:firstLine="495" w:firstLineChars="0"/>
        <w:rPr>
          <w:rFonts w:ascii="宋体" w:hAnsi="宋体" w:cs="宋体"/>
          <w:kern w:val="0"/>
          <w:sz w:val="21"/>
          <w:szCs w:val="21"/>
          <w:highlight w:val="none"/>
        </w:rPr>
      </w:pPr>
      <w:r>
        <w:rPr>
          <w:rFonts w:hint="eastAsia" w:ascii="宋体" w:hAnsi="宋体" w:cs="宋体"/>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20"/>
        <w:rPr>
          <w:rFonts w:ascii="宋体" w:hAnsi="宋体" w:cs="宋体"/>
          <w:sz w:val="21"/>
          <w:szCs w:val="21"/>
          <w:highlight w:val="none"/>
        </w:rPr>
      </w:pPr>
      <w:r>
        <w:rPr>
          <w:rFonts w:hint="eastAsia" w:ascii="宋体" w:hAnsi="宋体" w:cs="宋体"/>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highlight w:val="none"/>
        </w:rPr>
        <w:t>。</w:t>
      </w:r>
    </w:p>
    <w:p>
      <w:pPr>
        <w:pStyle w:val="128"/>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Cs w:val="21"/>
          <w:highlight w:val="none"/>
        </w:rPr>
      </w:pPr>
      <w:bookmarkStart w:id="13" w:name="_Toc91899903"/>
      <w:r>
        <w:rPr>
          <w:rFonts w:hint="eastAsia" w:ascii="宋体" w:hAnsi="宋体" w:cs="宋体"/>
          <w:b/>
          <w:szCs w:val="21"/>
          <w:highlight w:val="none"/>
        </w:rPr>
        <w:t>21.</w:t>
      </w:r>
      <w:r>
        <w:rPr>
          <w:rFonts w:hint="eastAsia" w:ascii="宋体" w:hAnsi="宋体" w:cs="宋体"/>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4"/>
        <w:spacing w:line="360" w:lineRule="auto"/>
        <w:ind w:left="420" w:hanging="420" w:hangingChars="199"/>
        <w:rPr>
          <w:rFonts w:cs="宋体"/>
          <w:b/>
          <w:sz w:val="21"/>
          <w:szCs w:val="21"/>
          <w:highlight w:val="none"/>
        </w:rPr>
      </w:pPr>
      <w:r>
        <w:rPr>
          <w:rFonts w:hint="eastAsia" w:cs="宋体"/>
          <w:b/>
          <w:sz w:val="21"/>
          <w:szCs w:val="21"/>
          <w:highlight w:val="none"/>
        </w:rPr>
        <w:t>22. 确定中标人</w:t>
      </w:r>
    </w:p>
    <w:p>
      <w:pPr>
        <w:pStyle w:val="128"/>
        <w:snapToGrid w:val="0"/>
        <w:spacing w:before="0"/>
        <w:ind w:firstLine="420"/>
        <w:rPr>
          <w:rFonts w:ascii="宋体" w:hAnsi="宋体" w:cs="宋体"/>
          <w:b/>
          <w:sz w:val="21"/>
          <w:szCs w:val="21"/>
          <w:highlight w:val="none"/>
        </w:rPr>
      </w:pPr>
      <w:r>
        <w:rPr>
          <w:rFonts w:hint="eastAsia" w:ascii="宋体" w:hAnsi="宋体" w:cs="宋体"/>
          <w:sz w:val="21"/>
          <w:szCs w:val="21"/>
          <w:highlight w:val="none"/>
        </w:rPr>
        <w:t>招标人将自收到评审报告之日起5个工作日内通过电子交易平台在评审报告推荐的中标候选人中按顺序确定中标人。</w:t>
      </w:r>
    </w:p>
    <w:p>
      <w:pPr>
        <w:pStyle w:val="128"/>
        <w:snapToGrid w:val="0"/>
        <w:spacing w:before="0"/>
        <w:ind w:firstLine="0" w:firstLineChars="0"/>
        <w:rPr>
          <w:rFonts w:ascii="宋体" w:hAnsi="宋体" w:cs="宋体"/>
          <w:b/>
          <w:sz w:val="21"/>
          <w:szCs w:val="21"/>
          <w:highlight w:val="none"/>
        </w:rPr>
      </w:pPr>
      <w:r>
        <w:rPr>
          <w:rFonts w:hint="eastAsia" w:ascii="宋体" w:hAnsi="宋体" w:cs="宋体"/>
          <w:b/>
          <w:sz w:val="21"/>
          <w:szCs w:val="21"/>
          <w:highlight w:val="none"/>
        </w:rPr>
        <w:t>23. 中标通知与中标结果公告</w:t>
      </w:r>
    </w:p>
    <w:p>
      <w:pPr>
        <w:widowControl/>
        <w:shd w:val="clear" w:color="auto" w:fill="FFFFFF"/>
        <w:spacing w:line="360" w:lineRule="auto"/>
        <w:ind w:firstLine="480"/>
        <w:jc w:val="left"/>
        <w:rPr>
          <w:rFonts w:ascii="宋体" w:hAnsi="宋体" w:cs="宋体"/>
          <w:szCs w:val="21"/>
          <w:highlight w:val="none"/>
        </w:rPr>
      </w:pPr>
      <w:r>
        <w:rPr>
          <w:rFonts w:hint="eastAsia" w:ascii="宋体" w:hAnsi="宋体" w:cs="宋体"/>
          <w:szCs w:val="21"/>
          <w:highlight w:val="none"/>
        </w:rPr>
        <w:t>23.1自中标人确定之日起2个工作日内，招标代理机构通过电子交易平台向中标人发出中标通知书，同时编制发布采购结果公告。招标代理机构也可以以纸质形式进行中标通知。</w:t>
      </w:r>
    </w:p>
    <w:p>
      <w:pPr>
        <w:widowControl/>
        <w:shd w:val="clear" w:color="auto" w:fill="FFFFFF"/>
        <w:spacing w:line="360" w:lineRule="auto"/>
        <w:ind w:firstLine="480"/>
        <w:jc w:val="left"/>
        <w:rPr>
          <w:rFonts w:ascii="宋体" w:hAnsi="宋体" w:cs="宋体"/>
          <w:szCs w:val="21"/>
          <w:highlight w:val="none"/>
        </w:rPr>
      </w:pPr>
      <w:r>
        <w:rPr>
          <w:rFonts w:hint="eastAsia" w:ascii="宋体" w:hAnsi="宋体" w:cs="宋体"/>
          <w:szCs w:val="21"/>
          <w:highlight w:val="none"/>
        </w:rPr>
        <w:t>23.2中标结果公告内容包括招标人及其委托的招标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Cs w:val="21"/>
          <w:highlight w:val="none"/>
        </w:rPr>
      </w:pPr>
      <w:r>
        <w:rPr>
          <w:rFonts w:hint="eastAsia" w:ascii="宋体" w:hAnsi="宋体" w:cs="宋体"/>
          <w:szCs w:val="21"/>
          <w:highlight w:val="none"/>
        </w:rPr>
        <w:t>23.3公告期限为1个工作日。</w:t>
      </w:r>
    </w:p>
    <w:p>
      <w:pPr>
        <w:rPr>
          <w:rFonts w:ascii="宋体" w:hAnsi="宋体" w:cs="宋体"/>
          <w:highlight w:val="none"/>
        </w:rPr>
      </w:pPr>
      <w:r>
        <w:rPr>
          <w:rFonts w:hint="eastAsia" w:ascii="宋体" w:hAnsi="宋体" w:cs="宋体"/>
          <w:b/>
          <w:sz w:val="32"/>
          <w:highlight w:val="none"/>
        </w:rPr>
        <w:br w:type="page"/>
      </w: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七、合同授予</w:t>
      </w:r>
    </w:p>
    <w:p>
      <w:pPr>
        <w:pStyle w:val="24"/>
        <w:spacing w:line="360" w:lineRule="auto"/>
        <w:ind w:left="420" w:hanging="420" w:hangingChars="199"/>
        <w:rPr>
          <w:rFonts w:cs="宋体"/>
          <w:b/>
          <w:sz w:val="21"/>
          <w:szCs w:val="21"/>
          <w:highlight w:val="none"/>
        </w:rPr>
      </w:pPr>
      <w:r>
        <w:rPr>
          <w:rFonts w:hint="eastAsia" w:cs="宋体"/>
          <w:b/>
          <w:sz w:val="21"/>
          <w:szCs w:val="21"/>
          <w:highlight w:val="none"/>
        </w:rPr>
        <w:t xml:space="preserve">24. </w:t>
      </w:r>
      <w:r>
        <w:rPr>
          <w:rFonts w:hint="eastAsia" w:cs="宋体"/>
          <w:sz w:val="21"/>
          <w:szCs w:val="21"/>
          <w:highlight w:val="none"/>
        </w:rPr>
        <w:t>合同主要条款详见第五部分拟签订的合同文本。</w:t>
      </w:r>
    </w:p>
    <w:p>
      <w:pPr>
        <w:pStyle w:val="24"/>
        <w:spacing w:line="360" w:lineRule="auto"/>
        <w:ind w:left="420" w:hanging="420" w:hangingChars="199"/>
        <w:rPr>
          <w:rFonts w:cs="宋体"/>
          <w:b/>
          <w:sz w:val="21"/>
          <w:szCs w:val="21"/>
          <w:highlight w:val="none"/>
        </w:rPr>
      </w:pPr>
      <w:r>
        <w:rPr>
          <w:rFonts w:hint="eastAsia" w:cs="宋体"/>
          <w:b/>
          <w:sz w:val="21"/>
          <w:szCs w:val="21"/>
          <w:highlight w:val="none"/>
        </w:rPr>
        <w:t>25. 合同的签订</w:t>
      </w:r>
    </w:p>
    <w:p>
      <w:pPr>
        <w:widowControl/>
        <w:shd w:val="clear" w:color="auto" w:fill="FFFFFF"/>
        <w:spacing w:line="360" w:lineRule="auto"/>
        <w:ind w:firstLine="480"/>
        <w:jc w:val="left"/>
        <w:rPr>
          <w:rFonts w:ascii="宋体" w:hAnsi="宋体" w:cs="宋体"/>
          <w:kern w:val="0"/>
          <w:szCs w:val="21"/>
          <w:highlight w:val="none"/>
        </w:rPr>
      </w:pPr>
      <w:r>
        <w:rPr>
          <w:rFonts w:hint="eastAsia" w:ascii="宋体" w:hAnsi="宋体" w:cs="宋体"/>
          <w:szCs w:val="21"/>
          <w:highlight w:val="none"/>
        </w:rPr>
        <w:t>25.1</w:t>
      </w:r>
      <w:r>
        <w:rPr>
          <w:rFonts w:hint="eastAsia" w:ascii="宋体" w:hAnsi="宋体" w:cs="宋体"/>
          <w:kern w:val="0"/>
          <w:szCs w:val="21"/>
          <w:highlight w:val="none"/>
        </w:rPr>
        <w:t xml:space="preserve"> 招标人与中标人应当通过电子交易平台在中标通知书发出之日起三十日内，按照招标文件确定的事项签订政府采购合同，并在合同签订之日起2个工作日内依法发布合同公告。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20"/>
        <w:rPr>
          <w:rFonts w:ascii="宋体" w:hAnsi="宋体" w:cs="宋体"/>
          <w:kern w:val="0"/>
          <w:sz w:val="21"/>
          <w:szCs w:val="21"/>
          <w:highlight w:val="none"/>
        </w:rPr>
      </w:pPr>
      <w:r>
        <w:rPr>
          <w:rFonts w:hint="eastAsia" w:ascii="宋体" w:hAnsi="宋体" w:cs="宋体"/>
          <w:kern w:val="0"/>
          <w:sz w:val="21"/>
          <w:szCs w:val="21"/>
          <w:highlight w:val="none"/>
          <w:lang w:val="zh-CN"/>
        </w:rPr>
        <w:t>25.2中标人按规定的日期、时间、地点，由法定代表人或其授权代表与招标人代表签订合同。如中标人为联合体的，由联合体成员各方法定代表人或其授权代表与招标人代表签订合同。</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25.3如签订合同并生效后，供应商无故拒绝或延期，除按照合同条款处理外，列入不良行为记录一次，并给予通报。</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25.4中标人拒绝与招标人签订合同的，招标人可以按照评审报告推荐的中标或者成交候选人名单排序，确定下一候选人为中标人，也可以重新开展政府采购活动。</w:t>
      </w:r>
    </w:p>
    <w:p>
      <w:pPr>
        <w:pStyle w:val="128"/>
        <w:snapToGrid w:val="0"/>
        <w:spacing w:before="0" w:after="120"/>
        <w:ind w:firstLine="420"/>
        <w:rPr>
          <w:rFonts w:ascii="宋体" w:hAnsi="宋体" w:cs="宋体"/>
          <w:sz w:val="21"/>
          <w:szCs w:val="21"/>
          <w:highlight w:val="none"/>
        </w:rPr>
      </w:pPr>
      <w:r>
        <w:rPr>
          <w:rFonts w:hint="eastAsia" w:ascii="宋体" w:hAnsi="宋体" w:cs="宋体"/>
          <w:sz w:val="21"/>
          <w:szCs w:val="21"/>
          <w:highlight w:val="none"/>
        </w:rPr>
        <w:t>25.5采购合同由招标人与中标人根据招标文件、投标文件等内容通过政府采购电子交易平台在线签订，自动备案。</w:t>
      </w:r>
    </w:p>
    <w:p>
      <w:pPr>
        <w:pStyle w:val="24"/>
        <w:spacing w:line="360" w:lineRule="auto"/>
        <w:ind w:left="420" w:hanging="420" w:hangingChars="199"/>
        <w:rPr>
          <w:rFonts w:cs="宋体"/>
          <w:b/>
          <w:sz w:val="21"/>
          <w:szCs w:val="21"/>
          <w:highlight w:val="none"/>
        </w:rPr>
      </w:pPr>
      <w:r>
        <w:rPr>
          <w:rFonts w:hint="eastAsia" w:cs="宋体"/>
          <w:b/>
          <w:sz w:val="21"/>
          <w:szCs w:val="21"/>
          <w:highlight w:val="none"/>
        </w:rPr>
        <w:t>26. 履约保证金</w:t>
      </w:r>
    </w:p>
    <w:p>
      <w:pPr>
        <w:tabs>
          <w:tab w:val="left" w:pos="0"/>
        </w:tabs>
        <w:spacing w:line="360" w:lineRule="auto"/>
        <w:ind w:firstLine="482"/>
        <w:rPr>
          <w:rFonts w:ascii="宋体" w:hAnsi="宋体" w:cs="宋体"/>
          <w:b/>
          <w:szCs w:val="21"/>
          <w:highlight w:val="none"/>
        </w:rPr>
      </w:pPr>
      <w:r>
        <w:rPr>
          <w:rFonts w:hint="eastAsia" w:ascii="宋体" w:hAnsi="宋体" w:cs="宋体"/>
          <w:kern w:val="0"/>
          <w:szCs w:val="21"/>
          <w:highlight w:val="none"/>
        </w:rPr>
        <w:t>拟签订的合同文本要求中标人提交履约保证金的，供应商应当以支票、汇票、本票或者金融机构、担保机构出具的保函等非现金形式提交</w:t>
      </w:r>
      <w:r>
        <w:rPr>
          <w:rFonts w:hint="eastAsia" w:ascii="宋体" w:hAnsi="宋体" w:cs="宋体"/>
          <w:szCs w:val="21"/>
          <w:highlight w:val="none"/>
        </w:rPr>
        <w:t>。履约保证金的数额不得超过政府采购合同金额的2.5%。鼓励和支持供应商以银行、保险公司出具的保函形式提供履约保证金。</w:t>
      </w:r>
      <w:r>
        <w:rPr>
          <w:rFonts w:hint="eastAsia" w:ascii="宋体" w:hAnsi="宋体" w:cs="宋体"/>
          <w:b/>
          <w:szCs w:val="21"/>
          <w:highlight w:val="none"/>
        </w:rPr>
        <w:t>招标人不得拒收履约保函。</w:t>
      </w:r>
    </w:p>
    <w:p>
      <w:pPr>
        <w:tabs>
          <w:tab w:val="left" w:pos="0"/>
        </w:tabs>
        <w:spacing w:line="360" w:lineRule="auto"/>
        <w:ind w:firstLine="482"/>
        <w:rPr>
          <w:rFonts w:ascii="宋体" w:hAnsi="宋体" w:cs="宋体"/>
          <w:szCs w:val="21"/>
          <w:highlight w:val="none"/>
        </w:rPr>
      </w:pPr>
      <w:r>
        <w:rPr>
          <w:rFonts w:hint="eastAsia" w:ascii="宋体" w:hAnsi="宋体" w:cs="宋体"/>
          <w:szCs w:val="21"/>
          <w:highlight w:val="none"/>
        </w:rPr>
        <w:t>政府采购货物和服务项目中，招标人可根据杭州市政府采购网公布的供应商履约评价情况减免履约保证金。供应商履约验收评价总分为100分的，招标人应当免收履约保证金；评价总分在90分以上的，收取履约保证金不得高于合同金额2%；评价总分在90分以下或者暂无评分的，收取履约保证金不得高于合同金额2.5%。</w:t>
      </w:r>
    </w:p>
    <w:p>
      <w:pPr>
        <w:tabs>
          <w:tab w:val="left" w:pos="0"/>
        </w:tabs>
        <w:spacing w:line="360" w:lineRule="auto"/>
        <w:ind w:firstLine="482"/>
        <w:rPr>
          <w:rFonts w:ascii="宋体" w:hAnsi="宋体" w:cs="宋体"/>
          <w:szCs w:val="21"/>
          <w:highlight w:val="none"/>
        </w:rPr>
      </w:pPr>
      <w:r>
        <w:rPr>
          <w:rFonts w:hint="eastAsia" w:ascii="宋体" w:hAnsi="宋体" w:cs="宋体"/>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八、电子交易活动的中止</w:t>
      </w:r>
    </w:p>
    <w:p>
      <w:pPr>
        <w:pStyle w:val="128"/>
        <w:snapToGrid w:val="0"/>
        <w:spacing w:before="0"/>
        <w:ind w:firstLine="0" w:firstLineChars="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b/>
          <w:sz w:val="21"/>
          <w:szCs w:val="21"/>
          <w:highlight w:val="none"/>
        </w:rPr>
        <w:t>7. 电子交易活动的中止。</w:t>
      </w:r>
      <w:r>
        <w:rPr>
          <w:rFonts w:hint="eastAsia" w:ascii="宋体" w:hAnsi="宋体" w:cs="宋体"/>
          <w:sz w:val="21"/>
          <w:szCs w:val="21"/>
          <w:highlight w:val="none"/>
        </w:rPr>
        <w:t>招标过程中出现以下情形，导致电子交易平台无法正常运行，或者无法保证电子交易的公平、公正和安全时，招标代理机构可中止电子交易活动：</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 xml:space="preserve">27.1电子交易平台发生故障而无法登录访问的； </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27.2电子交易平台应用或数据库出现错误，不能进行正常操作的；</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27.3电子交易平台发现严重安全漏洞，有潜在泄密危险的；</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 xml:space="preserve">27.4病毒发作导致不能进行正常操作的； </w:t>
      </w:r>
    </w:p>
    <w:p>
      <w:pPr>
        <w:pStyle w:val="128"/>
        <w:snapToGrid w:val="0"/>
        <w:spacing w:before="0"/>
        <w:ind w:firstLine="420"/>
        <w:rPr>
          <w:rFonts w:ascii="宋体" w:hAnsi="宋体" w:cs="宋体"/>
          <w:sz w:val="21"/>
          <w:szCs w:val="21"/>
          <w:highlight w:val="none"/>
        </w:rPr>
      </w:pPr>
      <w:r>
        <w:rPr>
          <w:rFonts w:hint="eastAsia" w:ascii="宋体" w:hAnsi="宋体" w:cs="宋体"/>
          <w:sz w:val="21"/>
          <w:szCs w:val="21"/>
          <w:highlight w:val="none"/>
        </w:rPr>
        <w:t>27.5其他无法保证电子交易的公平、公正和安全的情况。</w:t>
      </w:r>
    </w:p>
    <w:p>
      <w:pPr>
        <w:pStyle w:val="128"/>
        <w:snapToGrid w:val="0"/>
        <w:spacing w:before="0"/>
        <w:ind w:firstLine="0" w:firstLineChars="0"/>
        <w:rPr>
          <w:rFonts w:ascii="宋体" w:hAnsi="宋体" w:cs="宋体"/>
          <w:b/>
          <w:bCs/>
          <w:sz w:val="21"/>
          <w:szCs w:val="21"/>
          <w:highlight w:val="none"/>
        </w:rPr>
      </w:pPr>
      <w:r>
        <w:rPr>
          <w:rFonts w:hint="eastAsia" w:ascii="宋体" w:hAnsi="宋体" w:cs="宋体"/>
          <w:b/>
          <w:bCs/>
          <w:sz w:val="21"/>
          <w:szCs w:val="21"/>
          <w:highlight w:val="none"/>
        </w:rPr>
        <w:t>28.出现以上情形，不影响招标公平、公正性的，招标组织机构可以待上述情形消除后继续组织电子交易活动，也可以决定某些环节以纸质形式进行；影响或可能影响招标公平、公正性的，应当重新招标。</w:t>
      </w:r>
    </w:p>
    <w:p>
      <w:pPr>
        <w:tabs>
          <w:tab w:val="left" w:pos="0"/>
        </w:tabs>
        <w:spacing w:line="360" w:lineRule="auto"/>
        <w:ind w:firstLine="480"/>
        <w:rPr>
          <w:rFonts w:ascii="宋体" w:hAnsi="宋体" w:cs="宋体"/>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九、验收</w:t>
      </w:r>
    </w:p>
    <w:p>
      <w:pPr>
        <w:pStyle w:val="24"/>
        <w:spacing w:line="360" w:lineRule="auto"/>
        <w:ind w:firstLine="0" w:firstLineChars="0"/>
        <w:rPr>
          <w:rFonts w:cs="宋体"/>
          <w:b/>
          <w:sz w:val="21"/>
          <w:szCs w:val="21"/>
          <w:highlight w:val="none"/>
        </w:rPr>
      </w:pPr>
      <w:r>
        <w:rPr>
          <w:rFonts w:hint="eastAsia" w:cs="宋体"/>
          <w:b/>
          <w:sz w:val="21"/>
          <w:szCs w:val="21"/>
          <w:highlight w:val="none"/>
        </w:rPr>
        <w:t>29.验收</w:t>
      </w:r>
    </w:p>
    <w:p>
      <w:pPr>
        <w:tabs>
          <w:tab w:val="left" w:pos="0"/>
        </w:tabs>
        <w:spacing w:line="360" w:lineRule="auto"/>
        <w:ind w:firstLine="480"/>
        <w:rPr>
          <w:rFonts w:ascii="宋体" w:hAnsi="宋体" w:cs="宋体"/>
          <w:kern w:val="0"/>
          <w:szCs w:val="21"/>
          <w:highlight w:val="none"/>
        </w:rPr>
      </w:pPr>
      <w:r>
        <w:rPr>
          <w:rFonts w:hint="eastAsia" w:ascii="宋体" w:hAnsi="宋体" w:cs="宋体"/>
          <w:kern w:val="0"/>
          <w:szCs w:val="21"/>
          <w:highlight w:val="none"/>
        </w:rPr>
        <w:t>29.1招标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Cs w:val="21"/>
          <w:highlight w:val="none"/>
        </w:rPr>
      </w:pPr>
      <w:r>
        <w:rPr>
          <w:rFonts w:hint="eastAsia" w:ascii="宋体" w:hAnsi="宋体" w:cs="宋体"/>
          <w:kern w:val="0"/>
          <w:szCs w:val="21"/>
          <w:highlight w:val="none"/>
        </w:rPr>
        <w:t>29.2招标人可以邀请参加本项目的其他投标人或者第三方机构参与验收。参与验收的投标人或者第三方机构的意见作为验收书的参考资料一并存档。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Cs w:val="21"/>
          <w:highlight w:val="none"/>
        </w:rPr>
      </w:pPr>
      <w:r>
        <w:rPr>
          <w:rFonts w:hint="eastAsia" w:ascii="宋体" w:hAnsi="宋体" w:cs="宋体"/>
          <w:kern w:val="0"/>
          <w:szCs w:val="21"/>
          <w:highlight w:val="none"/>
        </w:rPr>
        <w:t>29.3严格按照合同开展履约验收。招标人成立验收小组，按照采购合同的约定对供应商履约情况进行验收。验收时，按照合同的约定对每一项技术、服务、安全标准的履约情况进行确认。验收结束后，应当出具验收书，列明各项标准的验收情况及项目总体评价，由验收双方共同签署。验收结果与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Cs w:val="21"/>
          <w:highlight w:val="none"/>
        </w:rPr>
        <w:t>29.4验收合格的项目，招标人将根据合同的约定及时向供应商支付采购资金、退还履约保证金。验收不合格的项目，招标人将依法及时处理。合同的履行、违约责任和解决争议的方式等适用《中华人民共和国民法典》。供应商在履约过程中有政府采购法律法规规定的违法违规情形的，招标人应当及时报告本级财政部门。</w:t>
      </w:r>
    </w:p>
    <w:bookmarkEnd w:id="13"/>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418" w:header="851" w:footer="992" w:gutter="0"/>
          <w:cols w:space="720" w:num="1"/>
          <w:titlePg/>
          <w:docGrid w:linePitch="312" w:charSpace="0"/>
        </w:sectPr>
      </w:pPr>
      <w:bookmarkStart w:id="14" w:name="_Hlt74730295"/>
      <w:bookmarkEnd w:id="14"/>
      <w:bookmarkStart w:id="15" w:name="_Hlt75236011"/>
      <w:bookmarkEnd w:id="15"/>
      <w:bookmarkStart w:id="16" w:name="_Hlt74714665"/>
      <w:bookmarkEnd w:id="16"/>
      <w:bookmarkStart w:id="17" w:name="_Hlt68072990"/>
      <w:bookmarkEnd w:id="17"/>
      <w:bookmarkStart w:id="18" w:name="_Hlt74729768"/>
      <w:bookmarkEnd w:id="18"/>
      <w:bookmarkStart w:id="19" w:name="_Hlt75236290"/>
      <w:bookmarkEnd w:id="19"/>
      <w:bookmarkStart w:id="20" w:name="_Hlt68073093"/>
      <w:bookmarkEnd w:id="20"/>
      <w:bookmarkStart w:id="21" w:name="_Hlt75236101"/>
      <w:bookmarkEnd w:id="21"/>
      <w:bookmarkStart w:id="22" w:name="_Hlt68057669"/>
      <w:bookmarkEnd w:id="22"/>
      <w:bookmarkStart w:id="23" w:name="_Hlt74707468"/>
      <w:bookmarkEnd w:id="23"/>
      <w:bookmarkStart w:id="24" w:name="_Hlt68072998"/>
      <w:bookmarkEnd w:id="24"/>
      <w:bookmarkStart w:id="25" w:name="_Hlt68403820"/>
      <w:bookmarkEnd w:id="25"/>
    </w:p>
    <w:bookmarkEnd w:id="11"/>
    <w:bookmarkEnd w:id="12"/>
    <w:p>
      <w:pPr>
        <w:spacing w:line="360" w:lineRule="auto"/>
        <w:jc w:val="center"/>
        <w:outlineLvl w:val="0"/>
        <w:rPr>
          <w:rFonts w:ascii="宋体" w:hAnsi="宋体" w:cs="宋体"/>
          <w:b/>
          <w:sz w:val="36"/>
          <w:szCs w:val="36"/>
          <w:highlight w:val="none"/>
        </w:rPr>
      </w:pPr>
      <w:bookmarkStart w:id="26" w:name="第四部分"/>
      <w:r>
        <w:rPr>
          <w:rFonts w:hint="eastAsia" w:ascii="宋体" w:hAnsi="宋体" w:cs="宋体"/>
          <w:b/>
          <w:sz w:val="36"/>
          <w:szCs w:val="36"/>
          <w:highlight w:val="none"/>
        </w:rPr>
        <w:t xml:space="preserve">第三部分 </w:t>
      </w:r>
      <w:r>
        <w:rPr>
          <w:rFonts w:hint="eastAsia" w:ascii="宋体" w:hAnsi="宋体" w:cs="宋体"/>
          <w:b/>
          <w:sz w:val="36"/>
          <w:szCs w:val="36"/>
          <w:highlight w:val="none"/>
          <w:lang w:val="en-US" w:eastAsia="zh-CN"/>
        </w:rPr>
        <w:t>采购</w:t>
      </w:r>
      <w:r>
        <w:rPr>
          <w:rFonts w:hint="eastAsia" w:ascii="宋体" w:hAnsi="宋体" w:cs="宋体"/>
          <w:b/>
          <w:sz w:val="36"/>
          <w:szCs w:val="36"/>
          <w:highlight w:val="none"/>
        </w:rPr>
        <w:t>需求</w:t>
      </w:r>
    </w:p>
    <w:p>
      <w:pPr>
        <w:pStyle w:val="60"/>
        <w:numPr>
          <w:ilvl w:val="0"/>
          <w:numId w:val="3"/>
        </w:numP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项目概况</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第四中学新湾学校，坐落于被誉为“江东枢纽，高铁新城”的钱塘区核心区域——新湾，将于2022年9月正式投入使用，办学规模为48班。学校继承浙江省杭州第四中学“养正尚德，求真立人”的文化传统，是杭州第四中学教育集团倾力打造的一所传承与开创并举，修身与立人并重的内涵型现代化高级中学，为杭州市教育局直属独立法人的公办高中。杭四中钱塘新湾学校用地面积64584平方（96.72亩），容积率1.03，由1#报告厅、2#实验楼、2#教学楼、3#综合楼、4#体艺楼、5#食堂、6#教学楼、7#图书馆合班教室、8#女生宿舍、9#男生宿舍、地下停车场、室外操场及室外公共区域组成。</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为杭州第四中学新湾学校校园网络及综合布线项目。针对新校区建设，本次采购内容包含校园网综合布线系统、视频监控系统布线、校园广播系统布线、网络安全交换系统、基础网络交换系统、校园监控网络交换系统。现对本项目组织公开招标，欢迎各供应商提供有竞争力的商品及服务。</w:t>
      </w:r>
    </w:p>
    <w:p>
      <w:pPr>
        <w:pStyle w:val="60"/>
        <w:numPr>
          <w:ilvl w:val="0"/>
          <w:numId w:val="3"/>
        </w:numP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rPr>
        <w:t>预算金额：</w:t>
      </w:r>
      <w:r>
        <w:rPr>
          <w:rFonts w:hint="eastAsia" w:asciiTheme="minorEastAsia" w:hAnsiTheme="minorEastAsia" w:eastAsiaTheme="minorEastAsia" w:cstheme="minorEastAsia"/>
          <w:sz w:val="21"/>
          <w:szCs w:val="21"/>
          <w:highlight w:val="none"/>
        </w:rPr>
        <w:t>本项目预算为</w:t>
      </w:r>
      <w:r>
        <w:rPr>
          <w:rFonts w:hint="eastAsia" w:asciiTheme="minorEastAsia" w:hAnsiTheme="minorEastAsia" w:eastAsiaTheme="minorEastAsia" w:cstheme="minorEastAsia"/>
          <w:sz w:val="21"/>
          <w:szCs w:val="21"/>
          <w:highlight w:val="none"/>
          <w:lang w:val="en-US"/>
        </w:rPr>
        <w:t>536万元。</w:t>
      </w:r>
    </w:p>
    <w:p>
      <w:pPr>
        <w:pStyle w:val="60"/>
        <w:numPr>
          <w:ilvl w:val="0"/>
          <w:numId w:val="3"/>
        </w:numPr>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rPr>
        <w:t>需满足的政府采购政策：</w:t>
      </w:r>
      <w:r>
        <w:rPr>
          <w:rFonts w:hint="eastAsia" w:asciiTheme="minorEastAsia" w:hAnsiTheme="minorEastAsia" w:eastAsiaTheme="minorEastAsia" w:cstheme="minorEastAsia"/>
          <w:sz w:val="21"/>
          <w:szCs w:val="21"/>
          <w:highlight w:val="none"/>
        </w:rPr>
        <w:t>结合项目需求内容，本项目不专门面向中小微企业采购。</w:t>
      </w:r>
    </w:p>
    <w:p>
      <w:pPr>
        <w:pStyle w:val="60"/>
        <w:numPr>
          <w:ilvl w:val="0"/>
          <w:numId w:val="3"/>
        </w:numPr>
        <w:rPr>
          <w:rFonts w:hint="eastAsia"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sz w:val="21"/>
          <w:szCs w:val="21"/>
          <w:highlight w:val="none"/>
        </w:rPr>
        <w:t>项目实施目标</w:t>
      </w:r>
    </w:p>
    <w:p>
      <w:pPr>
        <w:pStyle w:val="60"/>
        <w:ind w:firstLine="420" w:firstLineChars="200"/>
        <w:rPr>
          <w:rStyle w:val="966"/>
          <w:rFonts w:hint="eastAsia" w:asciiTheme="minorEastAsia" w:hAnsiTheme="minorEastAsia" w:eastAsiaTheme="minorEastAsia" w:cstheme="minorEastAsia"/>
          <w:sz w:val="21"/>
          <w:szCs w:val="21"/>
          <w:highlight w:val="none"/>
        </w:rPr>
      </w:pPr>
      <w:r>
        <w:rPr>
          <w:rStyle w:val="966"/>
          <w:rFonts w:hint="eastAsia" w:asciiTheme="minorEastAsia" w:hAnsiTheme="minorEastAsia" w:eastAsiaTheme="minorEastAsia" w:cstheme="minorEastAsia"/>
          <w:sz w:val="21"/>
          <w:szCs w:val="21"/>
          <w:highlight w:val="none"/>
        </w:rPr>
        <w:t>智慧校园综合布线系统的信息点位主要分为语音点、数据点二大类型，其中数字点中主要部分为计算机网络点、视频监控点、公共广播点、考务系统点、物联网设备点、信息发布点、一卡通设备点、门禁系统点、电子班牌点等等，本次项目应达成如下目标：</w:t>
      </w:r>
    </w:p>
    <w:p>
      <w:pPr>
        <w:pStyle w:val="60"/>
        <w:ind w:firstLine="420" w:firstLineChars="200"/>
        <w:rPr>
          <w:rStyle w:val="966"/>
          <w:rFonts w:hint="eastAsia" w:asciiTheme="minorEastAsia" w:hAnsiTheme="minorEastAsia" w:eastAsiaTheme="minorEastAsia" w:cstheme="minorEastAsia"/>
          <w:sz w:val="21"/>
          <w:szCs w:val="21"/>
          <w:highlight w:val="none"/>
        </w:rPr>
      </w:pPr>
      <w:r>
        <w:rPr>
          <w:rStyle w:val="966"/>
          <w:rFonts w:hint="eastAsia" w:asciiTheme="minorEastAsia" w:hAnsiTheme="minorEastAsia" w:eastAsiaTheme="minorEastAsia" w:cstheme="minorEastAsia"/>
          <w:sz w:val="21"/>
          <w:szCs w:val="21"/>
          <w:highlight w:val="none"/>
        </w:rPr>
        <w:t>1.实现校园环境数字化。利用成熟的网络技术、Wi-Fi技术、云计算、大数据、人工智能等信息技术，实现校园高速、稳定、安全的有线骨干网建设、Wi-Fi全校覆盖，实现计算机教室、教师办公、教室的数字化，实现校园管理的数字化。</w:t>
      </w:r>
    </w:p>
    <w:p>
      <w:pPr>
        <w:pStyle w:val="60"/>
        <w:ind w:firstLine="420" w:firstLineChars="200"/>
        <w:rPr>
          <w:rStyle w:val="966"/>
          <w:rFonts w:hint="eastAsia" w:asciiTheme="minorEastAsia" w:hAnsiTheme="minorEastAsia" w:eastAsiaTheme="minorEastAsia" w:cstheme="minorEastAsia"/>
          <w:sz w:val="21"/>
          <w:szCs w:val="21"/>
          <w:highlight w:val="none"/>
        </w:rPr>
      </w:pPr>
      <w:r>
        <w:rPr>
          <w:rStyle w:val="966"/>
          <w:rFonts w:hint="eastAsia" w:asciiTheme="minorEastAsia" w:hAnsiTheme="minorEastAsia" w:eastAsiaTheme="minorEastAsia" w:cstheme="minorEastAsia"/>
          <w:sz w:val="21"/>
          <w:szCs w:val="21"/>
          <w:highlight w:val="none"/>
        </w:rPr>
        <w:t>2.实现信息系统互联互通。拓展现实校园的时空维度，实现应用系统互联互通。</w:t>
      </w:r>
    </w:p>
    <w:p>
      <w:pPr>
        <w:pStyle w:val="60"/>
        <w:ind w:firstLine="420" w:firstLineChars="200"/>
        <w:rPr>
          <w:rStyle w:val="966"/>
          <w:rFonts w:hint="eastAsia" w:asciiTheme="minorEastAsia" w:hAnsiTheme="minorEastAsia" w:eastAsiaTheme="minorEastAsia" w:cstheme="minorEastAsia"/>
          <w:sz w:val="21"/>
          <w:szCs w:val="21"/>
          <w:highlight w:val="none"/>
        </w:rPr>
      </w:pPr>
      <w:r>
        <w:rPr>
          <w:rStyle w:val="966"/>
          <w:rFonts w:hint="eastAsia" w:asciiTheme="minorEastAsia" w:hAnsiTheme="minorEastAsia" w:eastAsiaTheme="minorEastAsia" w:cstheme="minorEastAsia"/>
          <w:sz w:val="21"/>
          <w:szCs w:val="21"/>
          <w:highlight w:val="none"/>
        </w:rPr>
        <w:t>3.实现学习方式和教育教学模式的创新。利用大数据、人工智能等技术，掌握课堂学情信息，促进信息技术与教育教学实践的深度融合；利用物联网等技术，支持学校服务和管理流程的优化与再造，提升校园管理效能与决策水平。</w:t>
      </w:r>
    </w:p>
    <w:p>
      <w:pPr>
        <w:pStyle w:val="60"/>
        <w:ind w:firstLine="420" w:firstLineChars="200"/>
        <w:rPr>
          <w:rFonts w:hint="eastAsia" w:asciiTheme="minorEastAsia" w:hAnsiTheme="minorEastAsia" w:eastAsiaTheme="minorEastAsia" w:cstheme="minorEastAsia"/>
          <w:sz w:val="21"/>
          <w:szCs w:val="21"/>
          <w:highlight w:val="none"/>
        </w:rPr>
      </w:pPr>
      <w:r>
        <w:rPr>
          <w:rStyle w:val="966"/>
          <w:rFonts w:hint="eastAsia" w:asciiTheme="minorEastAsia" w:hAnsiTheme="minorEastAsia" w:eastAsiaTheme="minorEastAsia" w:cstheme="minorEastAsia"/>
          <w:sz w:val="21"/>
          <w:szCs w:val="21"/>
          <w:highlight w:val="none"/>
        </w:rPr>
        <w:t>4.实现校园信息化管理水平。利用先进的管理系统、云计算等技术，实现校园信息化运营和管理水平</w:t>
      </w:r>
      <w:r>
        <w:rPr>
          <w:rFonts w:hint="eastAsia" w:asciiTheme="minorEastAsia" w:hAnsiTheme="minorEastAsia" w:eastAsiaTheme="minorEastAsia" w:cstheme="minorEastAsia"/>
          <w:sz w:val="21"/>
          <w:szCs w:val="21"/>
          <w:highlight w:val="none"/>
        </w:rPr>
        <w:t>。</w:t>
      </w:r>
    </w:p>
    <w:p>
      <w:pPr>
        <w:pStyle w:val="60"/>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5.网络实施拓扑图</w:t>
      </w:r>
    </w:p>
    <w:p>
      <w:pPr>
        <w:pStyle w:val="60"/>
        <w:ind w:firstLine="480" w:firstLineChars="200"/>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lang w:val="en-US"/>
        </w:rPr>
        <w:drawing>
          <wp:inline distT="0" distB="0" distL="0" distR="0">
            <wp:extent cx="5257165" cy="2950210"/>
            <wp:effectExtent l="0" t="0" r="63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257165" cy="2950210"/>
                    </a:xfrm>
                    <a:prstGeom prst="rect">
                      <a:avLst/>
                    </a:prstGeom>
                    <a:noFill/>
                    <a:ln>
                      <a:noFill/>
                    </a:ln>
                  </pic:spPr>
                </pic:pic>
              </a:graphicData>
            </a:graphic>
          </wp:inline>
        </w:drawing>
      </w:r>
    </w:p>
    <w:p>
      <w:pPr>
        <w:pStyle w:val="60"/>
        <w:numPr>
          <w:ilvl w:val="0"/>
          <w:numId w:val="3"/>
        </w:numP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项目技术要求</w:t>
      </w:r>
    </w:p>
    <w:p>
      <w:pPr>
        <w:pStyle w:val="60"/>
        <w:ind w:firstLine="562" w:firstLineChars="200"/>
        <w:rPr>
          <w:rStyle w:val="966"/>
          <w:rFonts w:hint="eastAsia" w:asciiTheme="minorEastAsia" w:hAnsiTheme="minorEastAsia" w:eastAsiaTheme="minorEastAsia" w:cstheme="minorEastAsia"/>
          <w:b/>
          <w:bCs/>
          <w:sz w:val="28"/>
          <w:szCs w:val="28"/>
          <w:highlight w:val="none"/>
        </w:rPr>
      </w:pPr>
      <w:r>
        <w:rPr>
          <w:rStyle w:val="966"/>
          <w:rFonts w:hint="eastAsia" w:asciiTheme="minorEastAsia" w:hAnsiTheme="minorEastAsia" w:eastAsiaTheme="minorEastAsia" w:cstheme="minorEastAsia"/>
          <w:b/>
          <w:bCs/>
          <w:sz w:val="28"/>
          <w:szCs w:val="28"/>
          <w:highlight w:val="none"/>
        </w:rPr>
        <w:t>★为核心产品；▲为实质性条款；◆为重要参数。</w:t>
      </w:r>
    </w:p>
    <w:p>
      <w:pPr>
        <w:tabs>
          <w:tab w:val="left" w:pos="1084"/>
        </w:tabs>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b/>
          <w:bCs/>
          <w:highlight w:val="none"/>
        </w:rPr>
        <w:t>项目设备清单如下</w:t>
      </w:r>
      <w:r>
        <w:rPr>
          <w:rFonts w:hint="eastAsia" w:asciiTheme="minorEastAsia" w:hAnsiTheme="minorEastAsia" w:eastAsiaTheme="minorEastAsia" w:cstheme="minorEastAsia"/>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27"/>
        <w:gridCol w:w="4989"/>
        <w:gridCol w:w="92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设备名称</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参数</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第一部分：校园网综合布线系统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六类非屏蔽带十字骨架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11801：2008；IEC 61156-5-2009；TIA /EIA- 568-C.2；通过标准250MHz带宽测试要求可扩展到500MHz带宽。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1.提供此产品CE认证。</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2.提供国家认可的检测机构出具的检验报告。</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3、符合标准：ISO/IEC 11801：2008；IEC 61156-5-2009；TIA /EIA- 568-C.2。</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4、通过标准250MHz带宽测试要求可扩展到500MHz带宽。</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单根导体直流电阻：≤8.9Ω/100m额定传输速率(NVP)：68%；电缆对数：4对；十字骨架材料：PE混合物；导体材料：无氧圆铜（纯度99.99%）；导体线规：23AWG；绝缘材料：HDPE屏蔽方式：U/UTP；电缆外径：6.3±0.3mm；外护套材料：PVC或LSZH低烟无卤阻燃或PE阻水；工作温度：-20℃～+60℃；交货长度（米/盘）：305米/箱；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472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24口智能电子配线架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电子配线架完全符合结构化系统国际标准ISO11801，它通过可视化管理系统软件平台能实时监测配线架上的各个端口，核实端口使用情况，查询每条跳线的链路端口位置，并且在发生误接时可及时发出提示告警并有指示灯显示，方便现场工作人员查找。当服务端设置工作派工单后，通过指示灯显示,指导布线管理维护人员进行迅速准确的跳线增减、变更接续等操作。</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2、电子配线架可支持的线缆种类包括： Cat.5E、Cat.6屏蔽线缆与非屏蔽线缆；LC接头光缆等。</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3、◆电子配线架作为24个网口独立运行，若某一个网口出现检测故障，其余网口均不能受影响，能正常检测及网络通信。（需提供相关承诺函）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4、电子配线架主要功能：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1）实时跟踪跳线连接变化</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2）对资产和物理层连接更改的所有变化进行记录、报告、发送警报或报警，并形成日志，可供随时查看。</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4）为防止机房信息点被恶意插拔或者更改，应下发派工单后才可以完成跳接</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5）向管理员报告数据变化</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5、电子配线架基本参数：</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（1）电子配线架特性：</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  1）1U机架式安装</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1）每个端口具有感应装置，用于检测网线是否正确连接到配线架</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2）24个LED指示灯，显示端口状态</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 24个100/1000M网络转换模块</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7、工作环境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1）电源输入：DC 5V/6A</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2）工作温度：0-40℃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3）工作湿度:10%-90% 非凝结</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4）避免太阳光直射。</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为了后期方便使用单位扩容管理需求，应支持手机APP功能使用（绝非电子标签），手机通过扫描二维码显示设备属性和链路信息，其操作功能同电脑端一样，能全链路的查看所有配线架端口的网络信息,要求手机端与电脑端软件界面、功能及数据状态实时同步。（需提供产品彩页截图和网站产品描述截图）</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86型单双口网络面板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面板外型尺寸符合国标86型。适合多类型模块安装，应用于工作区布线子系统。</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嵌入式面框，安装方便；面板表面带嵌入式图表及标签位置，便于识别数据和语音端口。配有防尘滑门用以保护模块、遮蔽灰尘和污物进入。</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产品设计等级：通用连接器2级</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连接机构形式：卡口连接/分离</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连接方式：卡接信息模块</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物料简介：该面板产品用于安装固定信息模块</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互配关系：与同一标准系列的连接器互配使用</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适用标准：总规范：YD/T 926.1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分规范：YD/T 926.3</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材料及表面处理：A、金属材料；弹簧：钢丝</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B、非金属材料；塑料：ABS工程塑料；</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环境性能：满足适用地区温、湿度要求。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1695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六类网络模块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满足T-568A 六类传输标准，符合T568A和T568B线序，适用于设备间与工作区的通讯插座连接。</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外形紧凑，有通用线序标签清晰标注于模块上，便于准确、快速地完成端接，扣锁式端接帽确保导线全部端接并防止滑动。</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1、需提供国家认可的检测机构出具的检测报告；</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2、产品设计等级：通用连接器2级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连接机构形式：卡口连接/分离</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连接方式：RJ45插孔配接跳线，IDC端接水平布线。</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物料简介：该模块产品用于连接建筑物同一楼层水平布线和工作区布线，主要用于配线设备和终端设备或适配器转换连接使用。产品配接配用电缆为铜轴双绞线缆和铜轴跳线。</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互配关系：与同一标准系列的连接器互配使用</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适用标准：总规范：YD/T 926.1-2001</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分规范：YD/T 926.3-2001</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技术参数：</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1）电气特性：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A、频率范围：0～250MHz</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B、工作电压：125 V</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C、耐压：750 V</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D、插入损耗：0.4dB 250MHz</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E、绝缘电阻：初始值≥100MΩ</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恒定湿热试验后≥100MΩ</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2）机械特性：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A、插入力和拔出力：插入力不大于20N，拔出力不小于20N</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B、连接器连接装置的效果：50N 60±5s</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3）耐久性：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       A、插头与插座的插合次数：750次</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B、导线端接次数：250次</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材料及表面处理：</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A、金属材料：</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金针：磷青铜镀金</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IDC打线端子：磷青铜镀镍</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B、非金属材料：</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塑料： PC聚碳酸酯</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C、镀金层厚度：50μm</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3069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12齿 1U全黑</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满足T-568A超五类传输标准依照19“机架标准，适用于配线架、跳线架及设备跳线的水平和垂直方向的线缆管理。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设计简洁、对于各种线缆提供灵活、有效和安全的管理，使布线系统整洁美观。产品设计等级：通用连接器2级</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物料简介：该理线架产品用于水平和垂直方向的线缆管理。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互配关系：与同一标准系列的连接器互配使用</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适用标准：总规范：YD/T 926.1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分规范：YD/T 926.3</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材料及表面处理：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A、金属材料：</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铁板：铁架，喷塑，黑色</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环境性能：满足适用地区温、湿度要求。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六类室外防水网线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11801：2008；IEC 61156-5-2009；TIA /EIA- 568-C.2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通过标准250MHz带宽测试要求可扩展到500MHz带宽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单根导体直流电阻：≤8.9Ω/100m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额定传输速率(NVP)：68%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电缆对数：4对</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十字骨架材料：PE混合物</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导体线规：23AWG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绝缘材料：HDPE</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屏蔽方式：U/UTP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电缆外径：6.3±0.3mm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外护套材料：PVC或LSZH低烟无卤阻燃或PE阻水</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工作温度：-20℃～+60℃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交货长度（米/盘）：305米/箱</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室外12芯单模光纤</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11801:2008；TIA/EIA-568-C.3；YD/T769-2010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全截面阻水结构，松套管填充特种油膏，确保良好的阻水防潮性能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衰减＠20℃（DB/Km）：＠1310≤0.36，＠1550≤0.22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包层不圆度：≤1％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铠装料: 钢带；钢带、皱纹钢带</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加强件: 磷化圆钢丝</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 20D/10D；  25D/12.5D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允许压扁力（N/100mm）: 300/1000；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600/1500；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X表示芯数： 12芯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存储/工作温度：-40℃～+60℃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2890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室外8芯单模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11801:2008；TIA/EIA-568-C.3；YD/T769-2010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全截面阻水结构，松套管填充特种油膏，确保良好的阻水防潮性能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衰减＠20℃（DB/Km）：＠1310≤0.36，＠1550≤0.22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包层不圆度：≤1％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铠装料: 钢带；钢带、皱纹钢带</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加强件: 磷化圆钢丝</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 20D/10D；  25D/12.5D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允许压扁力（N/100mm）: 300/1000；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600/1500；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X表示芯数：8芯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存储/工作温度：-40℃～+60℃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820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室内6芯单模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11801:2008；TIA/EIA-568-C.3；YD/T1272-2009。</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衰减＠20℃（DB/Km）：  1310≤0.36，1550≤0.22，需提供12芯光缆ROHS检测报告。</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动态/静态弯曲半径：20D/10D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允许压扁（N/100mm）:200/440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200/1000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光纤芯数：6芯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紧套光纤外径：0.9±0.05</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外护套颜色：黄色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使用温度：-20℃～+60℃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敷设方式：管道、隧道、导管等敷设。</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6580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室外6芯单模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11801:2008；TIA/EIA-568-C.3；YD/T769-2010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全截面阻水结构，松套管填充特种油膏，确保良好的阻水防潮性能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衰减＠20℃（DB/Km）：＠1310≤0.36，＠1550≤0.22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包层不圆度：≤1％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铠装料: 钢带；钢带、皱纹钢带</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加强件: 磷化圆钢丝</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 20D/10D；  25D/12.5D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允许压扁力（N/100mm）: 300/1000；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600/1500；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X表示芯数：6芯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存储/工作温度：-40℃～+60℃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室外4芯单模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11801:2008；TIA/EIA-568-C.3；YD/T769-2010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全截面阻水结构，松套管填充特种油膏，确保良好的阻水防潮性能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衰减＠20℃（DB/Km）：＠1310≤0.36，＠1550≤0.22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包层不圆度：≤1％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铠装料: 钢带；钢带、皱纹钢带</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加强件: 磷化圆钢丝</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 20D/10D；  25D/12.5D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允许压扁力（N/100mm）: 300/1000；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600/1500；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X表示芯数：4芯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存储/工作温度：-40℃～+60℃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3650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ODF架72芯</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符合标准：ISO/IEC11801：2008；ANSI/TIA/EIA-568-C.3；YD/T778-2006 </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材料结构：金属框架，表面涂装静电喷塑，塑料组件</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进出光纤方便灵活，有充裕的光纤盘存空间，光纤和尾纤弯曲半径不小于30mm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抽拉式设计，集熔接配线一体化的熔接配线配件，不含适配器</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每盘端口数量：12位</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端口类型：ST 、FC、SC、LC双工通用</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安装方式：19″机架式安装</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材料：优质钢板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表面颜色：白色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工作温度：-25℃～+60℃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端口数量/高度：24位/2U，48位/3U，72位/4U，96位/5U，120位/6U</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（不用理线器）</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含72根LC单芯单模尾纤和36个LC双工单模适配器。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基本参数：光缆电子配线架</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产品标准：ANSI/TIA-568、ISO/IEC11801。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为避免配线架端口浪费和更灵活切换光纤和网络类型使用，智能电子配线架必须支持光铜混用（提供相关证明材料）。</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产品参数：</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子配线架通过可视化管理系统软件平台能实时监测配线架上的各个端口，核实端口使用情况，查询每条跳线的链路端口位置，并且在发生误接时可及时发出提示告警并有指示灯显示，方便现场工作人员查找。当服务端设置工作派工单后，通过指示灯显示,指导布线管理维护人员进行迅速准确的跳线增减、变更接续等操作。</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标准1U机架式安装；</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每个端口具有感应装置，用于检测网线是否正确连接到配线架；</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24个LED指示灯，显示端口状态；</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含24根尾纤4适配器。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光纤配线盒</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非机架式安装；</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背面2个以上光缆固定PG头，盒内配置光缆固定柱和光纤熔接盒；</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光纤和尾纤弯曲半径不小于30mm；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材料：优质冷扎钢板；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端口数量：8、12位；</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端口类型： SC、ST、LC双工可选；</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表面处理：静电喷塑；</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表面颜色：黑色；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含8根尾纤4个适配器。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19英寸42U网络机柜</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尺寸：≥600*600*2000mm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标准规范：ANSI/EIA RS-310-D、IEC297-2、DIN41491,PART1、DIN41494,PART7、GB/T 19520.2-2007、兼容ETSI标准；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产品要求：预留各种走线通道，根据需要可关闭和打开，框架特别设计走线孔，走线隐蔽美观；</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可拆卸的左右侧门和前后门，操作方便；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高强度承重角规，深度方向可前后调整；</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风扇单元从顶部安装，使用过程中拆卸维护方便；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机柜预留对地安装孔和接地柱，满足现场使用需求；</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原材料：优质冷轧钢板；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机柜结构：拼装式机柜框架；</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前门：5mm3C认证透明钢化玻璃门；</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后门：钢质平板门</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机柜侧门：两块侧板可拆卸；</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规格厚度（mm）：19英寸角规2.0，600深侧门1.0，其它1.2；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负载：动态≤600kg，静态≤800kg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19英寸角规:表面脱脂、磷化、静电喷塑处理；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其它处理：表面脱脂、磷化、静电喷塑处理；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最大开启角度：大于180度</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防护等级：IP20。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19英寸24U网络机柜</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尺寸：600*600*1400 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标准规范：ANSI/EIA RS-310-D、IEC297-2、DIN41491,PART1、DIN41494,PART7、GB/T 19520.2-2007、兼容ETSI标准；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产品要求：</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预留各种走线通道，根据需要可关闭和打开，框架特别设计走线孔（相关证明材料），走线隐蔽美观；</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可拆卸的左右侧门和前后门，操作方便；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高强度承重角规，深度方向可前后调整；</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风扇单元从顶部安装，使用过程中拆卸维护方便；</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机柜预留对地安装孔和接地柱，满足现场使用需求。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6U网络壁挂机柜</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尺寸：600*450*350 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标准规范：ANSI/EIA RS-310-D、IEC297-2、DIN41491,PART1、DIN41494,PART7、GB/T 19520.2-2007、兼容ETSI标准；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产品要求：</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预留各种走线通道，根据需要可关闭和打开，框架特别设计走线孔，走线隐蔽美观；</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可拆卸的左右侧门和前后门，操作方便；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高强度承重角规，深度方向可前后调整；</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风扇单元从顶部安装，使用过程中拆卸维护方便；</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机柜预留对地安装孔和接地柱，满足现场使用需求。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机柜插座</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8口PDU、带防雷</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光纤熔接</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机械熔接费用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电话100对大对数三类</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 /EIA- 568-B.2； YD/T1019-2001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单根导体直流电阻：≤14.8Ω/100m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电缆对数：25对；50对；100对</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导体线规：26AWG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绝缘材料：HDPE</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屏蔽方式：U/UTP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外护套材料：PVC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工作温度：-20℃～+60℃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交货长度（米/盘）：305米/盘</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包装方式: 盘装</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最小弯曲半径：10倍电缆外径。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3100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电话50对大对数三类</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 /EIA- 568-B.2； YD/T1019-2001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单根导体直流电阻：≤14.8Ω/100m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电缆对数：25对；50对；100对</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导体线规：26AWG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绝缘材料：HDPE</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屏蔽方式：U/UTP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外护套材料：PVC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工作温度：-20℃～+60℃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交货长度（米/盘）：305米/盘</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包装方式: 盘装</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最小弯曲半径：10倍电缆外径。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电话25对大对数三类</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 /EIA- 568-B.2； YD/T1019-2001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单根导体直流电阻：≤14.8Ω/100m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电缆对数：25对；50对；100对</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导体线规：26AWG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绝缘材料：HDPE</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屏蔽方式：U/UTP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外护套材料：PVC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工作温度：-20℃～+60℃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交货长度（米/盘）：305米/盘</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包装方式: 盘装</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最小弯曲半径：10倍电缆外径。</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1560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电话110配线架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满足T-568A超五类传输标准，符合T568A和T568B线序，适用于设备间的水平布线或设备端接，以及集中点的互配端接。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坚固、易于安装；</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正面标识空间有端口识别，符合19"机架安装标准，1U高度。</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产品设计等级：通用连接器2级连接机构形式：卡口连接/分离</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连接方式： IDC端接网线。</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无铅要求：满足国家及行业标准</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物料简介：该跳线架产品用于连接建筑物主干布线，建筑群主干布线和有源设备，主要用于通信设备和其他电子设备的线路转换连接使用。产品配接配用电缆为铜轴双绞线缆。</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互配关系：与同一标准系列的连接器互配使用</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用标准：总规范：YD/T 926.1分规范：YD/T 926.3</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技术参数：</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1）电气特性：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A、频率范围：0～100MHz</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B、工作电压：125 V</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C、耐压：750 V</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D、插入损耗：0.4dB 100MHz</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E、绝缘电阻：初始值≥100MΩ</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恒定湿热试验后≥100MΩ</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2）机械特性：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A、插入力：插入力不大于20NN</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B、连接器连接装置的效果：50N 60±5s</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3）耐久性：</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导线端接次数：250次</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材料及表面处理：</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A、金属材料：</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铁板：铁架，喷塑，黑色</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IDC打线端子：磷青铜镀镍</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B、非金属材料：</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塑料：IDC塑壳为PC聚碳酸酯</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UTP六类非屏蔽跳线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需提供国家认可的检测机构出具的检测报告。</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11801:2008；YD/T 926.3-2009；TIA /EIA- 568-C.2；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 多股绞合；</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跳线长度： 2M；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屏蔽方式: U/UTP F/UTP；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RJ45接口: 8P8C；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RJ45簧片材料：磷青铜表面镀金；</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RJ45簧片材料：磷青铜表面镀金；</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导体线规：23AWG；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RJ45接口插拔次数≥1200次；</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插头护套：聚氯乙烯(PVC) </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跳线包装方式：1根/袋；</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使用温度：-20℃～+60℃。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UTP六类非屏蔽跳线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需提供国家认可的检测机构出具的检测报告。</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符合标准：ISO/IEC 11801:2008；YD/T 926.3-2009；TIA /EIA- 568-C.2；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 多股绞合；</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跳线长度： 3M；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 U/UTP F/UTP；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RJ45接口: 8P8C；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RJ45簧片材料：磷青铜表面镀金；</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导体线规：23AWG；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RJ45接口插拔次数≥1200次；</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插头护套：聚氯乙烯(PVC) ；</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跳线包装方式：1根/袋；</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使用温度：-20℃～+60℃。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LC/LC双芯单模光跳线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11801:2008；TIA/EIA-568-C.3；YD/T1272-2009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依据标准出厂前100%光学测试</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接头材料：氧化锆陶瓷插芯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跳线长度： 3M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插入损耗（含重复性）：≤0.2dB</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回波损耗：≥50dB</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重复性≥1000次</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互换性：≤0.2dB</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工作温度：-25℃~+70℃。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3168</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LC/LC双芯单模光跳线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11801:2008；TIA/EIA-568-C.3；YD/T1272-2009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依据标准出厂前100%光学测试</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接头材料：氧化锆陶瓷插芯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跳线长度： 30M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插入损耗（含重复性）：≤0.2dB</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回波损耗：≥50dB</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重复性≥1000次</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互换性：≤0.2dB</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工作温度：-25℃~+70℃。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LC/LC双芯单模光跳线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11801:2008；TIA/EIA-568-C.3；YD/T1272-2009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依据标准出厂前100%光学测试</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接头材料：氧化锆陶瓷插芯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跳线长度： 15M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插入损耗（含重复性）：≤0.2dB</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回波损耗：≥50dB</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重复性≥1000次</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互换性：≤0.2dB</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工作温度：-25℃~+70℃。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辅材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水晶头、扎带、机柜螺丝等</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系统集成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项目的系统集成及调试</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第二部分：视频监控系统布线（校园监控+教室监控）</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六类非屏蔽网线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11801：2008；IEC 61156-5-2009；TIA /EIA- 568-C.2</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通过标准250MHz带宽测试要求可扩展到500MHz带宽</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提供产品CE认证；</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提供国家认可的检测机构出具的检验报告；</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单根导体直流电阻：≤8.9Ω/100m</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额定传输速率(NVP)：68%</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电缆对数：4对</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十字骨架材料：PE混合物</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导体线规：23AWG</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绝缘材料：HDPE</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屏蔽方式：U/UTP</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电缆外径：6.3±0.3mm</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外护套材料：PVC或LSZH低烟无卤阻燃或PE阻水</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工作温度：-20℃～+60℃</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交货长度（米/盘）：305米/箱</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室外8芯单模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11801:2008；TIA/EIA-568-C.3；YD/T769-2010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全截面阻水结构，松套管填充特种油膏，确保良好的阻水防潮性能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衰减＠20℃（DB/Km）：＠1310≤0.36，＠1550≤0.22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包层不圆度：≤1％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铠装料: 钢带；钢带、皱纹钢带</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加强件: 磷化圆钢丝</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 20D/10D；  25D/12.5D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允许压扁力（N/100mm）: 300/1000；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600/1500；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X表示芯数：8芯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存储/工作温度：-40℃～+60℃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25010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室外4芯单模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11801:2008；TIA/EIA-568-C.3；YD/T769-2010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全截面阻水结构，松套管填充特种油膏，确保良好的阻水防潮性能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衰减＠20℃（DB/Km）：＠1310≤0.36，＠1550≤0.22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光纤规格：B1.3（9/125μm）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包层不圆度：≤1％</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铠装料: 钢带；钢带、皱纹钢带</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加强件: 磷化圆钢丝</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动态/静态弯曲半径: 20D/10D；  25D/12.5D</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允许压扁力（N/100mm）: 300/1000；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允许拉伸力（N）: 600/1500；  1000/3000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X表示芯数：4芯</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外护套颜色：黑色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存储/工作温度：-40℃～+60℃</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敷设方式：管道、架空、隧道等敷设（轻铠）；管道、隧道、直埋（重铠）。</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3280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1、基本参数：光缆电子配线架</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2、产品标准：ANSI/TIA-568、ISO/IEC11801。</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 ◆为避免配线架端口浪费和更灵活切换光纤和网络类型使用，智能电子配线架必须支持光铜混用（需提供相关证明材料）。</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4、产品参数：</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子配线架通过可视化管理系统软件平台能实时监测配线架上的各个端口，核实端口使用情况，查询每条跳线的链路端口位置，并且在发生误接时可及时发出提示告警并有指示灯显示，方便现场工作人员查找。当服务端设置工作派工单后，通过指示灯显示,指导布线管理维护人员进行迅速准确的跳线增减、变更接续等操作。</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5、标准1U机架式安装；</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6、每个端口具有感应装置，用于检测网线是否正确连接到配线架；</w:t>
            </w:r>
          </w:p>
          <w:p>
            <w:pPr>
              <w:pStyle w:val="60"/>
              <w:snapToGrid w:val="0"/>
              <w:spacing w:line="240" w:lineRule="auto"/>
              <w:ind w:firstLine="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7、24个LED指示灯，显示端口状态；</w:t>
            </w:r>
          </w:p>
          <w:p>
            <w:pPr>
              <w:pStyle w:val="60"/>
              <w:snapToGrid w:val="0"/>
              <w:spacing w:line="240" w:lineRule="auto"/>
              <w:ind w:firstLine="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8、含24根尾纤4适配器。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UTP六类非屏蔽跳线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需提供国家认可的检测机构出具的检测报告；</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11801:2008；YD/T 926.3-2009；TIA /EIA- 568-C.2</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 多股绞合</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跳线长度：2M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导体材料：无氧圆铜(纯度99.99%)</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屏蔽方式: U/UTP F/UTP</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RJ45接口: 8P8C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RJ45簧片材料：磷青铜表面镀金</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导体线规：23AWG</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RJ45接口插拔次数≥1200次</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插头护套：聚氯乙烯(PVC) </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跳线包装方式：1根/袋</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使用温度：-20℃～+60℃。</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8口光纤配线架</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光纤配线盒</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非机架式安装；</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背面2个以上光缆固定PG头，盒内配置光缆固定柱和光纤熔接盒；</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光纤和尾纤弯曲半径不小于30mm；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材料：优质冷扎钢板；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端口数量：8、12位；</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端口类型： SC、ST、LC双工可选；</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表面处理：静电喷塑；</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表面颜色：黑色；</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含8根尾纤4个适配器。</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室外防水箱</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室外600*600*535mm防水箱，产品应附安装配件。</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室外电线管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PE管材&amp;25</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 RVV电源线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用途：产品为额定电压450/750V及以下的聚氯乙烯绝缘和护套非屏蔽的软电缆。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适用于交流标称电压不超过450/750V的动力装置,主要用于安防；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工作温度不超过70℃。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生产标准：GB/T 5023-2008（等同于IEC 60227）及JB/T 8734-98；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导体：多支裸铜线；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护套：环保PVC或PE（阻水）或LSZH低烟无卤阻燃；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导体结构、绝缘外径、线缆外径符合标准要求；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包装长度：200米/卷500米/卷1000米/卷(包装规格可根据采购要求更改)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1U网络配线架含模块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19英寸机架式，24口/1RU，含24个CAT6 RJ45阻燃信息模块，接口RJ45，免打线，模块均可单独更换；阻燃活动ABS阻燃面板。</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辅材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水晶头、扎带、机柜螺丝等</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系统集成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项目的系统集成及调试</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第三部分：校园广播系统布线</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六类非屏蔽网线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符合标准：ISO/IEC 11801：2008；IEC 61156-5-2009；TIA /EIA- 568-C.2通过标准250MHz带宽测试要求可扩展到500MHz带宽</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单根导体直流电阻：≤8.9Ω/100m</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额定传输速率(NVP)：68%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电缆对数：4对</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十字骨架材料：PE混合物；导体材料：无氧圆铜（纯度99.99%）；导体线规：23AWG；绝缘材料：HDPE；屏蔽方式：U/UTP；电缆外径：6.3±0.3mm；外护套材料：PVC或LSZH低烟无卤阻燃或PE阻水；工作温度：-20℃～+60℃；交货长度（米/盘）：305米/箱；包装方式: 箱装。</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2*1.0 RVV电源线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用途：产品为额定电压450/750V及以下的聚氯乙烯绝缘和护套非屏蔽的软电缆。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适用于交流标称电压不超过450/750V的动力装置,主要用于安防；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工作温度不超过70℃；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生产标准：GB/T 5023-2008（等同于IEC 60227）及JB/T 8734-98；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导体：多支裸铜线；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护套：环保PVC或PE（阻水）或LSZH低烟无卤阻燃；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导体结构、绝缘外径、线缆外径符合标准要求；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包装长度：200米/卷500米/卷1000米/卷(包装规格可根据采购要求更改)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2*1.5 RVV电源线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用途：产品为额定电压450/750V及以下的聚氯乙烯绝缘和护套非屏蔽的软电缆。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适用于交流标称电压不超过450/750V的动力装置,主要用于安防；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工作温度不超过70℃。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生产标准：GB/T 5023-2008（等同于IEC 60227）及JB/T 8734-98；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导体：多支裸铜线；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护套：环保PVC或PE（阻水）或LSZH低烟无卤阻燃；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导体结构、绝缘外径、线缆外径符合标准要求；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包装长度：200米/卷500米/卷1000米/卷(包装规格可根据采购要求更改)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2*1.5 RVVP电源线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用途：产品为额定电压450/750V及以下的聚氯乙烯绝缘和护套非屏蔽的软电缆。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适用于交流标称电压不超过450/750V的动力装置,主要用于安防；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工作温度不超过70℃。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生产标准：GB/T 5023-2008（等同于IEC 60227）及JB/T 8734-98；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导体：多支裸铜线；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护套：环保PVC或PE（阻水）或LSZH低烟无卤阻燃；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RVVP屏蔽编织：纯铜或镀锡铜；</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导体结构、绝缘外径、线缆外径符合标准要求；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包装长度：200米/卷500米/卷1000米/卷(包装规格可根据采购要求更改)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 RVVP电源线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用途：产品为额定电压450/750V及以下的聚氯乙烯绝缘和护套非屏蔽的软电缆。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适用于交流标称电压不超过450/750V的动力装置,主要用于安防；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工作温度不超过70℃。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生产标准：GB/T 5023-2008（等同于IEC 60227）及JB/T 8734-98；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导体：多支裸铜线；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护套：环保PVC或PE（阻水）或LSZH低烟无卤阻燃；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RVVP屏蔽编织：纯铜或镀锡铜；</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导体结构、绝缘外径、线缆外径符合标准要求；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包装长度：200米/卷500米/卷1000米/卷(包装规格可根据采购要求更改)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2*2.5 RVVP电源线</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用途：产品为额定电压450/750V及以下的聚氯乙烯绝缘和护套非屏蔽的软电缆。</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适用于交流标称电压不超过450/750V的动力装置,主要用于安防；</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工作温度不超过70℃。</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生产标准：GB/T 5023-2008（等同于IEC 60227）及JB/T 8734-98；</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导体：多支裸铜线；</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绝缘：PVC；</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护套：环保PVC或PE（阻水）或LSZH低烟无卤阻燃；</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RVVP屏蔽编织：纯铜或镀锡铜；</w:t>
            </w:r>
          </w:p>
          <w:p>
            <w:pPr>
              <w:pStyle w:val="60"/>
              <w:snapToGrid w:val="0"/>
              <w:spacing w:line="240" w:lineRule="auto"/>
              <w:ind w:firstLine="21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导体结构、绝缘外径、线缆外径符合标准要求；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包装长度：200米/卷500米/卷1000米/卷(包装规格可根据采购要求更改) 。</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室外电线管</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PE管材&amp;25</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辅材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水晶头、扎带、机柜螺丝等</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系统集成</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项目的系统集成及调试</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第四部分：网络安全交换系统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防火墙</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详见详细参数要求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综合出口路由网关</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详见详细参数要求</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第五部分：基础网络交换系统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★核心交换机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1.▲主控引擎与业务板卡完全物理分离, 采用全分布式转发处理架构，独立主控引擎插槽≥2个，独立业务插槽数≥6个；主控引擎故障情况下，不能影响整机转发能力，交换容量≥86Tbps，包转发率≥ 11600Mpps（若官网存在双标，以较小值为准）（需提供证明材料）。</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2.硬件健康状态可视化，设备支持硬件健康状态可视化，可以对风扇状态、电源、温度、板载电压进行监控，尤其是在日常巡查中发现电压异常前兆，可及时处理，避免出现电压异常宕机；</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3.支持N:1虚拟化：可将2台物理设备虚拟化为1台逻辑设备，虚拟组内设备具备统一的二层及三层转发表项，统一的管理界面，并可实现跨设备链路聚合（需提供证明材料）。</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4.支持IPv6过渡技术，IPv4/IPv6双栈、6over4隧道、4 over6隧道，支持IPv6 DHCP SERVER、IPv6 DHCP Relay、DHCP Snooping；</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5.支持ERPS功能检测到故障并启用备份链路的断流时间≤50ms；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6.考虑设备兼容性、项目实施、交付及售后服务，本次招标文件所涉及的交换机、无线设备、防火墙、综合出口路由网关为同一品牌。</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配置要求：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1）.每台配置主控引擎≥1个、满配交换网版、电源≥2个；</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2）.每台配置千兆光接口≥24个，千兆电口≥24个，万兆光接口≥36个、40G光接口≥4个、USB接口≥1，所有网络接口为业务板接口，非主控引擎板接口；</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48口万兆汇集交换机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1.交换容量≥2</w:t>
            </w:r>
            <w:r>
              <w:rPr>
                <w:rFonts w:hint="eastAsia"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rPr>
              <w:t>T,包转发率≥1620Mpps；（若官网存在双标，以较小值为准），支持并实配10G接口数≥48，100G/40G接口数≥8（需提</w:t>
            </w:r>
            <w:r>
              <w:rPr>
                <w:rFonts w:hint="eastAsia" w:asciiTheme="minorEastAsia" w:hAnsiTheme="minorEastAsia" w:eastAsiaTheme="minorEastAsia" w:cstheme="minorEastAsia"/>
                <w:sz w:val="21"/>
                <w:szCs w:val="21"/>
                <w:highlight w:val="none"/>
              </w:rPr>
              <w:t>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2.支持可拔插双模块化电源，可拔插四模块化风扇，前/后通风。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3.支持硬件层级双boot，采用两个FLASH芯片存储boot软件（系统引导程序），实现硬件级boot冗余备份，避免因FLASH芯片故障导致交换机无法启动（需提供国家认可的检测机构出具的测试报告）。</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4.支持RIP，OSPF，BGP，RIPng，OSPFv3，BGP4+；</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5.支持VXLAN桥模式、VXLAN路由模式，支持VXLAN控制平面MP-BGP EVPN；</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6.支持专门基础网络保护机制，能够限制用户向网络中发送数据包的速率，对有攻击行为的用户进行隔离，保证设备和整网的安全稳定运行；</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7、▲提供工信部三层交换机进网许可证,并且入网许可证。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24口万兆汇集交换机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1.交换容量≥2.5T，包转发率≥560Mpps，以官网最小值为准，（需提供官网截图和查询链接）；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2.支持并实配10G/1G接口数≥20，25G/10G接口数量≥4，40G接口数≥2，整机可扩展支持10G接口数≥32；</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3.设备支持故障隔离技术，用于监测光模块状态，一旦出现故障，可马上识别、并将故障模块隔离，确保不影响其它端口和整机的正常运行，更换模块后该端口也可马上恢复正常工作；</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4.支持RIP，OSPF，BGP，RIPng，OSPFv3，BGP4+；</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5.支持多虚一技术，可将多台物理设备虚拟化为一台逻辑设备统一管理，链路故障恢复时间＜30ms（需提供国家认可的检测机构出具检验报告证明）；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6.支持支持同时开启802.1X或WEB认证、ACL、防ARP欺骗等功能不会相互冲突、制约，投标时提供国家认可的检测机构出具检验报告证明；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7.要求所投产品支持软件定义网络SDN，符合OpenFlow、NETCONF协议标准，投标时提供国家认可的检测机构出具检验报告证明；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8.支持CPU保护功能，能够针对发往CPU处理的各种报文进行流区分和优先级队列分级处理，保护交换机在各种环境下稳定工作，投标时提供国家认可的检测机构出具检验报告证明。</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48口交换机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1.固化10/100/1000M以太网端口≥48，1G/10G SFP+光接口≥4，交换容量≥420Gbps，转发性能≥135Mpps；提供官网截图和查询链接；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2.要求所投产品端口浪涌抗扰度≥10KV；</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3.支持静态路由、RIP/RIPng、OSPFv2/OSPFv3等三层路由协议；</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4.支持CPU保护功能，能限制非法报文对CPU的攻击，保护交换机在各种环境下稳定工作；</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5.支持快速链路检测功能，可快速检测链路的通断和光纤链路的单向性，并支持端口下的环路检测功能；</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6.▲提供工信部三层交换机进网许可证；</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7.支持SNMP、CLI(Telnet/Console)、RMON、SSH、Syslog、NTP/SNTP、FTP、TFTP、Web</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36</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1.交换容量≥320G；包转发率≥100Mpps；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2.固化10/100/1000M以太网端口≥24，固化10G/1G SFP+光接口≥4个；</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3.支持特有的CPU保护策略，对发往CPU的数据流，进行流区分和优先级队列分级处理，并根据需要实施带宽限速，充分保护CPU不被非法流量占用、恶意攻击和资源消耗；</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4</w:t>
            </w:r>
            <w:r>
              <w:rPr>
                <w:rFonts w:hint="eastAsia" w:asciiTheme="minorEastAsia" w:hAnsiTheme="minorEastAsia" w:eastAsiaTheme="minorEastAsia" w:cstheme="minorEastAsia"/>
                <w:sz w:val="21"/>
                <w:szCs w:val="21"/>
                <w:highlight w:val="none"/>
              </w:rPr>
              <w:t>.支持快速链路检测协议，可快速检测链路的通断和光纤链路的单向性，并支持端口下的环路检测功能，防止端口下因私接Hub等设备形成的环路而导致网络故障的现象；</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rPr>
              <w:t>.支持IPV4/IPV6静态路由；</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6</w:t>
            </w:r>
            <w:r>
              <w:rPr>
                <w:rFonts w:hint="eastAsia" w:asciiTheme="minorEastAsia" w:hAnsiTheme="minorEastAsia" w:eastAsiaTheme="minorEastAsia" w:cstheme="minorEastAsia"/>
                <w:sz w:val="21"/>
                <w:szCs w:val="21"/>
                <w:highlight w:val="none"/>
              </w:rPr>
              <w:t>.▲提供工信部设备进网许可证。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入室16口POE交换机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1.◆固化10/100/1000M以太网电口≥16个，1G/2.5G以太网电口≥2个，1G/10G SFP+光接口≥2个，交换容量≥320Gbps，包转发率≥50Mpps；（需提供官网截图和查询链接）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2.要求所投产品支持POE和POE+远程供电，POE供电功率≥125W；提供官网截图和查询链接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3.要求设备采用内部构造为无风扇散热静音设计（提供证明文件）；</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4.支持专门针对CPU的保护机制，能够针对发往CPU处理的各种报文进行流区分和优先级队列分级处理，保护交换机在各种环境下稳定工作；</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5.支持快速链路检测功能，可快速检测链路的通断和光纤链路的单向性，并支持端口下的环路检测功能；</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6.支持生成树协议STP(IEEE 802.1d)，RSTP(IEEE 802.1w)和MSTP(IEEE 802.1s)，完全保证快速收敛，提高容错能力，保证网络的稳定运行和链路的负载均衡，合理使用网络通道，提供冗余链路利用率；</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7.▲提供工信部设备进网许可证。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教室入室8口POE交换机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1.◆固化10/100/1000M以太网电口≥8个，1G/2.5G以太网电口≥2个，1G/10G SFP+光接口≥2个，交换容量≥320Gbps，包转发率≥45Mpps（需提供官网截图和查询链接）。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2.要求所投产品支持POE和POE+远程供电，POE供电功率为125W；</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3.◆要求设备采用内部构造为无风扇散热静音设计（提供相关证明文件）</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3.支持端口浪涌抗扰度≥8KV（即具备8KV的防雷能力），要求提供官网截图作为证明；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5.支持IPv4和IPv6的静态路由、RIP/RIPng、OSPFv2/OSPFv3等三层路由协议；</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6.◆当室内交换机出现故障，支持替换用的新设备的零配置替换，新设备上电后配置自动下发，无需手动配置。投标时提供具有国家认可的检测机构出具检验报告证明；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7.支持SNMP、CLI(Telnet/Console)、Syslog、NTP、TFTP、Web。</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万兆光模块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万兆LC接口模块（1310nm），10km，适用于SFP+接口</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★普通8口POE交换机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1.固化10/100/1000M以太网电口≥8个，100/1000M SFP千兆光接口≥2个；交换容量≥100Gbps，包转发率≥15Mpps；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2.要求所投产品支持POE和POE+远程供电</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3.▲提供工信部设备进网许可证；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千兆光模块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1000BASE-LX mini GBIC转换模块（1310nm），10km</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无线控制器</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1.固化千兆电口数≥8，固化千兆光口数≥8个，10G万兆接口数≥4个。</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2.默认配置可管理AP数≥128个，最大可支持管理1152个AP ，提供官网查询链接及截图作为证明。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3.为保障无线网络的可靠性，AC虚拟化的最大AP接入容量≥4096，提供国家权威机构测试报告证明。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4.无线控制器具备虚拟化功能，多台无线控制器可以被虚拟化成一台控制器，实现虚拟控制器对所有成员AC的统一管理、在成员AC间共享License、统一将AP 接入虚拟AC中，需提供国家权威机构测试报告证明。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5.支持MAC认证、WEB认证、802.1X认证，认证后能实现IP、MAC、WLAN等元素的绑定信息，保证只有合法的用户才能进入网络。</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6.提供和所投产品型号一致的工信部颁发的电信设备进网许可证复印件。</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7.▲提供国家强制性产品CCC认证证书复印件。</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无线AP管理授权</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每套可支持增加128个普通AP或256个墙面式AP的控制权</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高密无线AP</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1.采用三路双频设计，可同时工作在802.11ax和802.11a/b/g/n/ac模式，两个5GHz射频卡，一个2.4GHz射频卡，提供官网全屏截图及链接证明；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2.整机最大接入速率≥3.2Gbps；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4.所投AP整机最大终端接入数不小于1536个；</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5.所投AP具有WLAN自动网优功能，不借助任何网络优化软件，仅通过AP配置进行无线网络优化，降低无线网络中的频段干扰；</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6.所投AP内置探针功能，能够对覆盖范围的终端MAC信息进行检测。</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无线吸顶AP</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1.支持标准的802.11ax协议,采用双路双频设计，可同时工作在802.11ax和802.11a/b/g/n/ac模式；</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2.支持4条空间流,单频最大接入速1.2Gbps,整机最大接入速率1.775Gbps；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3.支持802.3af/本地电源DC48V两种供电模式，整机功耗小于12.95w；</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4.为保证网络出口稳定性，网络出口需要备份，。支持ALG (FTP ALG/DNS ALG)，需要提供功能截图；</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5.为避免无线网络中私接非法AP的影响，设备应支持802.11w防御Deauth攻击功能，保证终端正常关联使用；</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6.提供无线电发射设备型号核准证复印件。</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377</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室外AP</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1.支持标准的802.11ac协议,采用双路双频设计，可同时工作在802.11a/n/ac/ax和802.11b/g/n/ac/ax模式；</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2.天线设计：为提高设备防护等级，防止水雾侵蚀，设备采用内置天线设计，无外置天线口；</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3.支持4条空间流,2.4GHz单频最大接入速率0.575Gbps,5.8GHz单频最大接入速率1.2Gbps，整机最大提供2.4Gbps的无线接入速率；</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4.提供1个RJ45 console管理口；1个SFP上联光口；1个10/100/1000Base-T以太网上联接口与SFP复用，支持PoE受电；</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5.防护等级：IP68；</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6.避雷方式：网口和天线口均内置避雷器，满足6KV防雷要求，不需外加防雷器；</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7.为增强无线网络可靠性，支持当AC宕机时，AP切换为智能转发模式继续传输数据，保证无线用户正常使用，要求提供技术白皮书证明，保留测试权利；</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8.支持IPv6技术，包括IPv6报文透传 ,IPv6终端接入认证，保留测试权利；</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9.为便于后期的管理，要求无线接入点须和网络管理系统进行联动，可以通过网管软件进行配置和拓扑发现，并能进行状态监测和告警，还能实现有线无线一体化网管平台。</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无线认证平台</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1.◆1U硬件化设备，提供GE电口≥6个， USB口≥2个，提供产品外观图片证明（图片可清晰反映设备接口情况及设备具体型号）；</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2.硬盘≥1T，DDR2内存≥2G，支持Linux操作平台，支持PostgreSQL数据库；</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3.支持内置Portal和802.1x功能，支持MAC地址认证，支持短信认证；</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4.支持与第三方Radius联动，将认证信息转发给第三方Radius服务器进行认证，实现统一身份源；</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5.支持终端硬盘序列号、SSID、用户用户名、用户密码、终端IP、终端MAC、网络访问控制设备（NAS）IP、NAS端口多元素的主动学习以及各元素的灵活组合绑定；</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6.支持认证页面合并功能，在同一认证页面可选择普通用户、短信、二维码（接待人员扫描访客二维码和访客扫描接待人员二维码）等多种认证方式，提供认证页面截图证明材料；</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7.支持昵称认证功能，可以采用昵称代替用户名认证；</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8.首次登陆账号激活，强制用户上线后必须修改初始化密码；</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9.支持密码防暴力破解功能，认证页面输入N（N≥3）次错误密码后，将在指定之间内无法认证成功，提供功能配置截图证明；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10.支持设置账号的使用权限，支持设置禁止认证时段，支持直接获取用户物理mac地址，防止篡改；</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11.支持广告营销功能，界面自适应各类型终端，支持广告制作，提供模板选择、预览发布功能；</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12.配置要求：配置不少于1000个并发用户许可；</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综合运维管理平台</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1.要求投标产品采用纯B/S架构，用户无需安装客户端，通过标准浏览器就能完成对系统的访问；</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2.能够通过模块化、组件化方式，实现对网络中的路由器、交换机、防火墙、WLAN等有线无线一体化管理；</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3.支持并配置图形化向导的方式提供ACL ，QoS快速部署管理功能，提供产品功能配置截图；</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4.支持并配置设备管理功能，包含对设备和设备接口及其信息的增删改查具有良好的展示和基本操作功能；</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5.支持并配置监控任务功能，长期监控网络性能，支持即时生成报表、周期性生成报表；</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6.支持有线无线设备统一拓扑呈现，支持热图上查看AP信息、AP下用户信息，调整AP信道，支持按信号强度、速率、信道冲突（2.4G/5GHz）生成热图；</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7.投标产品需要内置丰富的无线告警预定义类型，并可根据需要随时进行自定义所需告警类型的添加，提供Trap预定义告警类型至少15种以上预定义清单；</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8.支持图形化配置AP工作模式（图像向导设置AP工作模式）；</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9.支持指定部分终端为关键终端，并针对关键终端的运行质量进行监控，接收包重传率高于指定阈值时，产生告警；</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配置要求：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配置有线设备管理许可授权≥500个，配置无线AP管理许可授权≥500个。</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第六部分：校园监控网络交换系统</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1</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监控核心交换机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1.◆主控引擎与业务板卡完全物理分离, 采用全分布式转发处理架构，独立主控引擎插槽≥2个，独立业务插槽数≥3个；交换容量≥47bps，包转发率≥10000Mpps，需提供官网截图和查询链接。</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2.主控引擎支持集成硬件监控功能，能集中监控板卡、风扇、电源、环境。无需单独配置硬件监控板卡，降低整机功耗；</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3.为保障核心设备的安全可靠性，要求所投产品端口浪涌抗扰度≥6KV（即具备6KV的防雷能力），投标时提供具有国家认可的检测机构出具检验报告证明；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4.为提高设备面板空间利用率，要求采用高密度端口设计，所投产品单张业务卡最大可用物理端口≥52个，整机转发业务物理端口≥156个；</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5.N:1虚拟化：可将2台物理设备虚拟化为1台逻辑设备，虚拟组内设备具备统一的二层及三层转发表项，统一的管理界面，并可实现跨设备链路聚合，投标时提供具有国家认可的检测机构出具检验报告证明；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6.支持专门针对CPU保护机制的功能，可将送CPU的报文，如ARP报文的速率进行限制，使CPU的使用率降低到15%以内，保障了CPU安全，投标时提供具国家认可的检测机构出具检验报告证明。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7.支持大容量硬件表项：MAC≥1M，FIB≥3M，ARP≥256K，投标时提供具有国家认可的检测机构出具检验报告证明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8.支持基础安全保护策略，可实现ARP、DHCP、ICMP、IP扫描、DHCP V6、ND等各种攻击的自动防御。可自定义抗攻击的报文类型，需提供具有国家认可的检测机构出具检验报告证明。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9.支持ERPS功能检测到故障并启用备份链路的断流时间≤50ms，投标时提供具有国家认可的检测机构出具检验报告证明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10.支持BFD 功能故障检测周期≤3ms，检测到故障并切换到备份路由的断流时间≤30ms，投标时提供具有国家认可的检测机构出具检验报告证明；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11.支持IPV6 SAVI防地址欺骗解析欺骗策略，投标时提供具有国家认可的检测机构出具检验报告证明；</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12.</w:t>
            </w:r>
            <w:r>
              <w:rPr>
                <w:rFonts w:hint="eastAsia" w:asciiTheme="minorEastAsia" w:hAnsiTheme="minorEastAsia" w:eastAsiaTheme="minorEastAsia" w:cstheme="minorEastAsia"/>
                <w:sz w:val="21"/>
                <w:szCs w:val="21"/>
                <w:highlight w:val="none"/>
              </w:rPr>
              <w:t>配置要求：</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1）每台配置主控引擎≥1个、电源≥2个；</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2）每台配置千兆光接口≥24个，千兆电口≥24个，万兆光接口≥4个、USB接口≥1，所有网络接口为业务板接口，非主控引擎板接口。</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2</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24口汇聚交换机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1.固化100/1000M以太网SFP光端口≥24，复用千兆电口≥8个，固化10G/1G SFP+光接口≥4个；交换容量≥500G，包转发率≥200Mpps；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2.设备自带云管理功能，即插即用，可随时查看网络健康度，告警及时推送，有日记事件供回溯</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3.▲提供工信部设备进网许可证；并且入网许可证须提供工信部官网查询结果截图及链接。</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1.固化10/100/1000M以太网端口≥24，固化1G SFP光接口≥4个；交换容量≥336G，包转发率≥51Mpps；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2.支持POE和POE+,同时可POE供电端口≥24个，POE最大输出功率≥370W；</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3.为保证设备在受到外界机械碰撞时能够正常运行，要求所投交换机IK防护测试级别至少达到IK05，提供具权威的测试报告以及检测机构官网查询截图；</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4.投标产品面板自带一键查看PoE供电状态功能的按钮，轻按即可查看设备当前的通信状态和供电状态；</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5.支持特有的CPU保护策略，对发往CPU的数据流，进行流区分和优先级队列分级处理，并根据需要实施带宽限速，充分保护CPU不被非法流量占用、恶意攻击和资源消耗；</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6.支持快速链路检测协议，可快速检测链路的通断和光纤链路的单向性，并支持端口下的环路检测功能，防止端口下因私接Hub等设备形成的环路而导致网络故障的现象；</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7.▲提供工信部设备进网许可证。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★普通8口POE交换机</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1.固化10/100/1000M以太网电口≥8个，100/1000M SFP千兆光接口≥2个；交换容量≥100Gbps，包转发率≥15Mpps；</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2.要求所投产品POE和POE+远程供电</w:t>
            </w:r>
          </w:p>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3.▲提供工信部设备进网许可证。</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125</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927" w:type="dxa"/>
            <w:tcBorders>
              <w:top w:val="single" w:color="auto" w:sz="4" w:space="0"/>
              <w:left w:val="single" w:color="auto" w:sz="4" w:space="0"/>
              <w:bottom w:val="single" w:color="auto" w:sz="4" w:space="0"/>
              <w:right w:val="single" w:color="auto" w:sz="4" w:space="0"/>
            </w:tcBorders>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千兆单模模块</w:t>
            </w:r>
          </w:p>
        </w:tc>
        <w:tc>
          <w:tcPr>
            <w:tcW w:w="4989"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1000BASE-LX mini GBIC转换模块（1310nm），10km</w:t>
            </w:r>
          </w:p>
        </w:tc>
        <w:tc>
          <w:tcPr>
            <w:tcW w:w="927"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374</w:t>
            </w:r>
          </w:p>
        </w:tc>
        <w:tc>
          <w:tcPr>
            <w:tcW w:w="826" w:type="dxa"/>
            <w:tcBorders>
              <w:top w:val="single" w:color="auto" w:sz="4" w:space="0"/>
              <w:left w:val="single" w:color="auto" w:sz="4" w:space="0"/>
              <w:bottom w:val="single" w:color="auto" w:sz="4" w:space="0"/>
              <w:right w:val="single" w:color="auto" w:sz="4" w:space="0"/>
            </w:tcBorders>
            <w:noWrap/>
            <w:vAlign w:val="center"/>
          </w:tcPr>
          <w:p>
            <w:pPr>
              <w:pStyle w:val="60"/>
              <w:snapToGrid w:val="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块</w:t>
            </w:r>
          </w:p>
        </w:tc>
      </w:tr>
    </w:tbl>
    <w:p>
      <w:pPr>
        <w:pStyle w:val="60"/>
        <w:ind w:firstLine="0"/>
        <w:rPr>
          <w:rFonts w:hint="eastAsia" w:asciiTheme="minorEastAsia" w:hAnsiTheme="minorEastAsia" w:eastAsiaTheme="minorEastAsia" w:cstheme="minorEastAsia"/>
          <w:szCs w:val="21"/>
          <w:highlight w:val="none"/>
        </w:rPr>
      </w:pPr>
    </w:p>
    <w:p>
      <w:pPr>
        <w:spacing w:line="360" w:lineRule="auto"/>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（二）部分产品详细参数要求</w:t>
      </w:r>
    </w:p>
    <w:p>
      <w:pPr>
        <w:pStyle w:val="60"/>
        <w:ind w:firstLine="211"/>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lang w:val="en-US"/>
        </w:rPr>
        <w:t>2.</w:t>
      </w:r>
      <w:r>
        <w:rPr>
          <w:rFonts w:hint="eastAsia" w:asciiTheme="minorEastAsia" w:hAnsiTheme="minorEastAsia" w:eastAsiaTheme="minorEastAsia" w:cstheme="minorEastAsia"/>
          <w:b/>
          <w:sz w:val="21"/>
          <w:szCs w:val="21"/>
          <w:highlight w:val="none"/>
        </w:rPr>
        <w:t>1</w:t>
      </w:r>
      <w:r>
        <w:rPr>
          <w:rFonts w:hint="eastAsia" w:asciiTheme="minorEastAsia" w:hAnsiTheme="minorEastAsia" w:eastAsiaTheme="minorEastAsia" w:cstheme="minorEastAsia"/>
          <w:b/>
          <w:sz w:val="21"/>
          <w:szCs w:val="21"/>
          <w:highlight w:val="none"/>
          <w:lang w:val="en-US"/>
        </w:rPr>
        <w:t xml:space="preserve"> </w:t>
      </w:r>
      <w:r>
        <w:rPr>
          <w:rFonts w:hint="eastAsia" w:asciiTheme="minorEastAsia" w:hAnsiTheme="minorEastAsia" w:eastAsiaTheme="minorEastAsia" w:cstheme="minorEastAsia"/>
          <w:b/>
          <w:bCs/>
          <w:sz w:val="21"/>
          <w:szCs w:val="21"/>
          <w:highlight w:val="none"/>
        </w:rPr>
        <w:t>防火墙详细参数要求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功能项</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产品规格</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求固化千兆电口数量≥18个；固化千兆光口数量≥4个；固化Combo口数量≥4个；固化万兆光口数量≥2个；为保障接口稳定性，所投产品必须是全部是固化接口，而非板卡接口；标配冗余电源（需提供官网截图和查询链接；或产品彩页等证明材料）。注明：combo口属于光口复用口，可转换成SFP，可以作为对应的转换接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产品架构</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为保证防火墙运行的稳定性和处理能力，要求设备采用非X86架构对各项安全功能进行加速优化处理；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产品性能</w:t>
            </w:r>
          </w:p>
        </w:tc>
        <w:tc>
          <w:tcPr>
            <w:tcW w:w="680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三层网络吞吐≥20Gbps ，IPS吞吐量≥1.6Gbps，最大并发连接≥150万，最大新建连接≥5.6万；IPSEC VPN隧道数≥2500，设备本身要求自带2500个 IPSec VPN授权；SSL VPN并发用户数≥500，</w:t>
            </w:r>
            <w:r>
              <w:rPr>
                <w:rFonts w:hint="eastAsia" w:asciiTheme="minorEastAsia" w:hAnsiTheme="minorEastAsia" w:eastAsiaTheme="minorEastAsia" w:cstheme="minorEastAsia"/>
                <w:b/>
                <w:szCs w:val="21"/>
                <w:highlight w:val="none"/>
              </w:rPr>
              <w:t>本次要求配置不少于500个 SSL VPN授权提供学校教学使用。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部署方式</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要求支持虚拟防火墙，支持同一个网口用于多个虚拟防火墙支持虚拟系统技术，且每个虚拟防火墙独立管理。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组网功能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支持SD-WAN功能，支持基于用户、用户组的SD-WAN策略，包括带宽质量监控、链路优化、一键配置上线等；提供产品功能界面截图。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支持主-备和主-主HA方案。双机热备要能支持多种组网形式，确保可靠性，并且数据接口和心跳线支持冗余，支持双机会话同步，实现无感知切换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支持策略路由、组播路由、静态路由、BGP、RIP、RIPNG、OSPF、OSPFv6、ISIS、ISISv6等动态路由协议（非透传）；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基础安全功能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支持服务器的负载均衡，提供加权轮询、最小连接数、最小RTT等多种负载均衡方式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支持SYN Flood、UDP Flood、ICMP Flood、LAND攻击、Smurf攻击、Fraggle攻击、Winnuke等攻击防护；具备硬件TCP SYN FLOOD防护加速能力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可自动检测互联设备及连接终端信息，自动生成逻辑拓扑，并基于拓扑展示终端指纹信息和网络连接信息，提供功能截图证明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入侵防御功能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支持对HTTP、FTP、SMTP、IMAP、POP3、TELNET、TCP、UDP、DNS、RPC、MSSQL、ORACLE、NNTP、DHCP、LDAP、VoIP、NETBIOS、TFTP、SUNRPC和MSRPC等常用协议及应用的攻击检测和防御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具备12000种以上攻击特征库规则列表，至少支持基于协议类型、操作系统、严重程度、特征名称、应用类型等方式的查询。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病毒防护功能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支持对HTTP、FTP、SMTP、POP3、IMAP协议的应用进行病毒扫描和过滤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VPN功能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IPsec隧道支持多CA数字证书导入功能，同一台主机建立多个IPsec 隧道时，支持不同的隧道导入不同的CA数字证书，并提供截图证明。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支持IPSec VPN、SSL VPN 、L2TP VPN、GRE VPN、L2TP over IPSec VPN、GRE over IPSec VPN等VPN组网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上网行为管理功能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支持Web分类和Web页面过滤，要求URL数量≥2.5亿个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支持对2900 种以上应用的识别和控制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支持ICAP服务器联动，实现对于HTTP请求和应答的自定义处理，要求提供功能截图。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高级威胁防护功能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支持基于应用防御、入侵防御、恶意软件防御的统计结果定义用户的信誉值。要求提供功能截图。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内置IP威胁域名查询，可直接输入IP或域名查询IP和域名的威胁属性。要求提供功能截图。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支持僵尸主机、C&amp;C客户端检测功能。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具有独立的WAF功能模块，内置HTTP攻击特征库规则列表，至少包括SQL注入、XSS防护，支持HTTP报头的长度、cookie的个数等参数限制策略对Web服务器进行安全防护，并提供功能截图；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IPv6功能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为了支持业务扩展，要求支持IPv4/IPv6双栈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IPv6协议栈：TCP6、UDP6、ICMPv6、PathMTU、ACL6等；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文件防泄漏功能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支持防数据泄漏功能，能对HTTP、FTP、SMTP、POP3等协议中的敏感内容进行过滤和阻断。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支持对文件类型过滤，至少基于包括doc、docx、exe、ppt、pptx、rar、txt、xls、xlsx、pdf、zip、gzip、tar等40种以上文件类型过滤，要求提供功能截图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垃圾邮件过滤功能</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支持基于代理模式、流模式的垃圾邮件检测过滤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防垃圾邮件功能支持IP地址过滤、邮件地址过滤、MIME头信息、邮件内容过滤、RBL实时黑名单、域名解析等多种方法。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restart"/>
            <w:tcBorders>
              <w:top w:val="single" w:color="auto" w:sz="4" w:space="0"/>
              <w:left w:val="single" w:color="auto" w:sz="4" w:space="0"/>
              <w:right w:val="single" w:color="auto" w:sz="4" w:space="0"/>
            </w:tcBorders>
            <w:vAlign w:val="center"/>
          </w:tcPr>
          <w:p>
            <w:pPr>
              <w:pStyle w:val="60"/>
              <w:spacing w:line="240" w:lineRule="auto"/>
              <w:ind w:firstLine="21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产品资质</w:t>
            </w: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提供所投产品有效的IPv6 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提供国家信息安全产品认证证书(ISCCC)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90" w:type="dxa"/>
            <w:vMerge w:val="continue"/>
            <w:tcBorders>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p>
        </w:tc>
        <w:tc>
          <w:tcPr>
            <w:tcW w:w="6802" w:type="dxa"/>
            <w:tcBorders>
              <w:top w:val="single" w:color="auto" w:sz="4" w:space="0"/>
              <w:left w:val="single" w:color="auto" w:sz="4" w:space="0"/>
              <w:bottom w:val="single" w:color="auto" w:sz="4" w:space="0"/>
              <w:right w:val="single" w:color="auto" w:sz="4" w:space="0"/>
            </w:tcBorders>
          </w:tcPr>
          <w:p>
            <w:pPr>
              <w:pStyle w:val="60"/>
              <w:spacing w:line="240" w:lineRule="auto"/>
              <w:ind w:firstLine="21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提供中国信息安全测评信息技术产品安全测评证书（EAL3＋）及以上级别证书复印件</w:t>
            </w:r>
          </w:p>
        </w:tc>
      </w:tr>
    </w:tbl>
    <w:p>
      <w:pPr>
        <w:pStyle w:val="60"/>
        <w:ind w:firstLine="211"/>
        <w:rPr>
          <w:rFonts w:hint="eastAsia" w:asciiTheme="minorEastAsia" w:hAnsiTheme="minorEastAsia" w:eastAsiaTheme="minorEastAsia" w:cstheme="minorEastAsia"/>
          <w:b/>
          <w:bCs/>
          <w:szCs w:val="21"/>
          <w:highlight w:val="none"/>
        </w:rPr>
      </w:pPr>
    </w:p>
    <w:p>
      <w:pPr>
        <w:pStyle w:val="860"/>
        <w:spacing w:line="360" w:lineRule="auto"/>
        <w:ind w:firstLine="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2.2 </w:t>
      </w:r>
      <w:r>
        <w:rPr>
          <w:rFonts w:hint="eastAsia" w:asciiTheme="minorEastAsia" w:hAnsiTheme="minorEastAsia" w:eastAsiaTheme="minorEastAsia" w:cstheme="minorEastAsia"/>
          <w:b/>
          <w:bCs/>
          <w:sz w:val="21"/>
          <w:szCs w:val="21"/>
          <w:highlight w:val="none"/>
        </w:rPr>
        <w:t>综合出口路由网关详细参数要求</w:t>
      </w:r>
    </w:p>
    <w:tbl>
      <w:tblPr>
        <w:tblStyle w:val="62"/>
        <w:tblW w:w="8399" w:type="dxa"/>
        <w:jc w:val="center"/>
        <w:tblLayout w:type="fixed"/>
        <w:tblCellMar>
          <w:top w:w="0" w:type="dxa"/>
          <w:left w:w="108" w:type="dxa"/>
          <w:bottom w:w="0" w:type="dxa"/>
          <w:right w:w="108" w:type="dxa"/>
        </w:tblCellMar>
      </w:tblPr>
      <w:tblGrid>
        <w:gridCol w:w="1273"/>
        <w:gridCol w:w="7126"/>
      </w:tblGrid>
      <w:tr>
        <w:tblPrEx>
          <w:tblCellMar>
            <w:top w:w="0" w:type="dxa"/>
            <w:left w:w="108" w:type="dxa"/>
            <w:bottom w:w="0" w:type="dxa"/>
            <w:right w:w="108" w:type="dxa"/>
          </w:tblCellMar>
        </w:tblPrEx>
        <w:trPr>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指标项</w:t>
            </w:r>
          </w:p>
        </w:tc>
        <w:tc>
          <w:tcPr>
            <w:tcW w:w="7126" w:type="dxa"/>
            <w:tcBorders>
              <w:top w:val="single" w:color="auto" w:sz="4" w:space="0"/>
              <w:left w:val="nil"/>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tcBorders>
              <w:top w:val="single" w:color="auto" w:sz="4" w:space="0"/>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硬件规格</w:t>
            </w:r>
          </w:p>
        </w:tc>
        <w:tc>
          <w:tcPr>
            <w:tcW w:w="7126" w:type="dxa"/>
            <w:tcBorders>
              <w:top w:val="single" w:color="auto" w:sz="4" w:space="0"/>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TW"/>
              </w:rPr>
              <w:t>支持固化千兆电口≥8个，固化千兆光口≥4个；标准1U机箱，多核非X86架构；硬盘容量≥1T；</w:t>
            </w:r>
            <w:r>
              <w:rPr>
                <w:rFonts w:hint="eastAsia" w:asciiTheme="minorEastAsia" w:hAnsiTheme="minorEastAsia" w:eastAsiaTheme="minorEastAsia" w:cstheme="minorEastAsia"/>
                <w:sz w:val="21"/>
                <w:szCs w:val="21"/>
                <w:highlight w:val="none"/>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选路优化</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静态路由、RIP(V1/V2)、RIPng、OSPFv2等多种路由协议；为保证在多条外网线路情况下带宽的合理分配使用，设备必须支持多链路负载均衡，负载均衡可基于带宽等多种方式；支持应用路由功能，支持基于通讯、视频等应用进行路由选择，为防止虚假应标，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IPv6支持</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设备支持IPV6，支持IPV6容量调整、接口连接状态支持IPV6、DNS配置支持IPV6；设备的静态路由、默认路由、应用路由等支持IPV6。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73" w:type="dxa"/>
            <w:tcBorders>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用户管理</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支持DHCP功能，对内网提供DHCP服务；DHCP地址池分配状态，可生成IP、MAC对应关系列表；DHCP支持IPAM，支持显示地址池使用情况，包含地址数、地址总数、已经分配地址数、使用率，支持IP安全绑定情况显示。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tcBorders>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接入认证</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支持多种接入认证；</w:t>
            </w:r>
          </w:p>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支持WEB本地认证方式、Radius认证、微信认证功能</w:t>
            </w:r>
          </w:p>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本地认证支持微信认证、短信认证、二维码授权认证、二维码自助认证、LADP认证，支持与域认证联动实现单点登陆，提供设备配置截图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restart"/>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应用识别和流量管理</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支持流量识别保障功能：能够精确识别网络应用，保障关键业务的系统带宽，具备完善的应用协议库，协议识别数量≥2500种,提供官网截图及查询链接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要求所投产品内置多种流控模型，包括娱乐模版，办公模版，专家模板等，支持一键开启智能流量控制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支持应用自定义分类，将支持应用划分至保障、阻断等分组。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流控带宽升级功能：客户带宽升级后，只需要修改线路总带宽即可，其余策略都会自动按比例更新，无需每个策略调整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支持VPN内流量的可视化监控，提供设备截图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支持用户并发会话数控制，并提供当前用户并发会话数信息作为策略条件参考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restart"/>
            <w:tcBorders>
              <w:top w:val="single" w:color="auto" w:sz="4" w:space="0"/>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上网行为管理及内容审计</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支持URL过滤及审计，内置URL中文数据库，URL条目数≥2000万条，为防止虚假应标，提供官网截图及查询链接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支持网站分类查询功能，可通过网址查询所属分类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网址过滤策略，匹配阻断、放行策略后可根据需要先择是否记录日志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TW"/>
              </w:rPr>
              <w:t>所投产品URL数据库、应用分类库、地址库、内容审计特征库、支持至少10年免费升级（需提供原厂声明文件），另外URL数据库和应用特征库支持远程HTTP自动升级（需提供设备配置界面截图）；为方便用户远程接入，设备需支持SSL VPN，并提供≥1500个免费SSL VPN接入授权（需提供功能配置界面截图）。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支持外发文件、外发信息、虚拟身份审计，能够在设备上查询到详细信息，提供设备截图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restart"/>
            <w:tcBorders>
              <w:top w:val="single" w:color="auto" w:sz="4" w:space="0"/>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eastAsia="zh-TW"/>
              </w:rPr>
            </w:pPr>
            <w:r>
              <w:rPr>
                <w:rFonts w:hint="eastAsia" w:asciiTheme="minorEastAsia" w:hAnsiTheme="minorEastAsia" w:eastAsiaTheme="minorEastAsia" w:cstheme="minorEastAsia"/>
                <w:sz w:val="21"/>
                <w:szCs w:val="21"/>
                <w:highlight w:val="none"/>
                <w:lang w:val="zh-TW"/>
              </w:rPr>
              <w:t>网络安全</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为保证设备的安全，投标产品支持防ping，防非法web登陆功能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支持防ARP欺骗、ARP静态绑定和停止学习功能，有效绑定ARP对应关系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73" w:type="dxa"/>
            <w:vMerge w:val="continue"/>
            <w:tcBorders>
              <w:left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支持基于IP地址段进行防攻击域配置，支持基于防攻击域进行防洪水攻击，收发速率限制，流量监控，黑白名单等策略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3" w:type="dxa"/>
            <w:vMerge w:val="continue"/>
            <w:tcBorders>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支持直接对接网安平台，满足当地网监要求。提供设备配置截图。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资质</w:t>
            </w:r>
          </w:p>
        </w:tc>
        <w:tc>
          <w:tcPr>
            <w:tcW w:w="7126" w:type="dxa"/>
            <w:tcBorders>
              <w:top w:val="single" w:color="auto" w:sz="4" w:space="0"/>
              <w:left w:val="single" w:color="auto" w:sz="4" w:space="0"/>
              <w:bottom w:val="single" w:color="auto" w:sz="4" w:space="0"/>
              <w:right w:val="single" w:color="auto" w:sz="4" w:space="0"/>
            </w:tcBorders>
            <w:vAlign w:val="center"/>
          </w:tcPr>
          <w:p>
            <w:pPr>
              <w:pStyle w:val="60"/>
              <w:spacing w:line="240" w:lineRule="auto"/>
              <w:ind w:firstLine="210"/>
              <w:rPr>
                <w:rFonts w:hint="eastAsia" w:asciiTheme="minorEastAsia" w:hAnsiTheme="minorEastAsia" w:eastAsiaTheme="minorEastAsia" w:cstheme="minorEastAsia"/>
                <w:sz w:val="21"/>
                <w:szCs w:val="21"/>
                <w:highlight w:val="none"/>
                <w:lang w:val="zh-TW"/>
              </w:rPr>
            </w:pPr>
            <w:r>
              <w:rPr>
                <w:rFonts w:hint="eastAsia" w:asciiTheme="minorEastAsia" w:hAnsiTheme="minorEastAsia" w:eastAsiaTheme="minorEastAsia" w:cstheme="minorEastAsia"/>
                <w:sz w:val="21"/>
                <w:szCs w:val="21"/>
                <w:highlight w:val="none"/>
                <w:lang w:val="zh-TW"/>
              </w:rPr>
              <w:t>提供国家认可的检测机构或认证机构出具的IT产品信息安全认证证书复印件；提供计算机信息系统安全专用产品检验报告。</w:t>
            </w:r>
          </w:p>
        </w:tc>
      </w:tr>
    </w:tbl>
    <w:p>
      <w:pPr>
        <w:pStyle w:val="860"/>
        <w:spacing w:line="360" w:lineRule="auto"/>
        <w:ind w:firstLine="0"/>
        <w:rPr>
          <w:rFonts w:hint="eastAsia" w:asciiTheme="minorEastAsia" w:hAnsiTheme="minorEastAsia" w:eastAsiaTheme="minorEastAsia" w:cstheme="minorEastAsia"/>
          <w:b/>
          <w:sz w:val="21"/>
          <w:szCs w:val="21"/>
          <w:highlight w:val="none"/>
        </w:rPr>
      </w:pPr>
    </w:p>
    <w:p>
      <w:pPr>
        <w:pStyle w:val="860"/>
        <w:numPr>
          <w:ilvl w:val="0"/>
          <w:numId w:val="4"/>
        </w:numPr>
        <w:spacing w:line="360" w:lineRule="auto"/>
        <w:ind w:firstLine="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核心产品</w:t>
      </w:r>
    </w:p>
    <w:p>
      <w:pPr>
        <w:spacing w:line="360" w:lineRule="auto"/>
        <w:ind w:firstLine="420" w:firstLineChars="20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1.本项目核心产品：</w:t>
      </w:r>
      <w:r>
        <w:rPr>
          <w:rFonts w:hint="eastAsia" w:asciiTheme="minorEastAsia" w:hAnsiTheme="minorEastAsia" w:eastAsiaTheme="minorEastAsia" w:cstheme="minorEastAsia"/>
          <w:b/>
          <w:bCs/>
          <w:sz w:val="21"/>
          <w:szCs w:val="21"/>
          <w:highlight w:val="none"/>
          <w:u w:val="single"/>
        </w:rPr>
        <w:t>核心交换机、普通8口POE交换机</w:t>
      </w:r>
      <w:r>
        <w:rPr>
          <w:rFonts w:hint="eastAsia" w:asciiTheme="minorEastAsia" w:hAnsiTheme="minorEastAsia" w:eastAsiaTheme="minorEastAsia" w:cstheme="minorEastAsia"/>
          <w:b/>
          <w:bCs/>
          <w:sz w:val="21"/>
          <w:szCs w:val="21"/>
          <w:highlight w:val="none"/>
        </w:rPr>
        <w:t>。</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若出现多家投标人提供任意一个核心产品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860"/>
        <w:numPr>
          <w:ilvl w:val="0"/>
          <w:numId w:val="4"/>
        </w:numPr>
        <w:spacing w:line="360" w:lineRule="auto"/>
        <w:ind w:firstLine="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项目集成实施标准</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本项目的实施应遵循以下建设标准及规范，如有最新标准、规范的以最新为准：</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1.《综合布线系统工程验收规范》GB/T50312-2016</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2.中小学数字校园建设规范（试行）</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3.浙江省教育信息化暂行建设标准</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4.浙江省推进互联网协议第六版（IPv6）规模部署和应用实施行计划</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5.其他相关建设规范等。</w:t>
      </w:r>
    </w:p>
    <w:p>
      <w:pPr>
        <w:pStyle w:val="860"/>
        <w:numPr>
          <w:ilvl w:val="0"/>
          <w:numId w:val="4"/>
        </w:numPr>
        <w:spacing w:line="360" w:lineRule="auto"/>
        <w:ind w:firstLine="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项目实施内容分析及应对</w:t>
      </w:r>
    </w:p>
    <w:p>
      <w:pPr>
        <w:numPr>
          <w:ilvl w:val="0"/>
          <w:numId w:val="5"/>
        </w:num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投标人通过自身经验、积累的数据，对项目集成、实施的风险应有充分认识，并对集成的技术风险提供应对措施；</w:t>
      </w:r>
    </w:p>
    <w:p>
      <w:pPr>
        <w:numPr>
          <w:ilvl w:val="0"/>
          <w:numId w:val="5"/>
        </w:num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投标人参与本项目应有完整的、可行的技术方案，对项目实施进行重难点分析，为招标人提供参考，并对招标文件提出的技术要求予以响应。</w:t>
      </w:r>
    </w:p>
    <w:p>
      <w:pPr>
        <w:numPr>
          <w:ilvl w:val="0"/>
          <w:numId w:val="5"/>
        </w:num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根据项目进度要求，投标人应提供工作进度计划表、工作程序和步骤、管理和协调方法、关键节点的思路和要点内容，以保障项目的顺利实施。</w:t>
      </w:r>
    </w:p>
    <w:p>
      <w:pPr>
        <w:numPr>
          <w:ilvl w:val="0"/>
          <w:numId w:val="5"/>
        </w:num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产品供货、验货、安装调试、试运行、测试、调优等内容</w:t>
      </w:r>
    </w:p>
    <w:p>
      <w:pPr>
        <w:pStyle w:val="2"/>
        <w:spacing w:before="120" w:after="1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六</w:t>
      </w:r>
      <w:r>
        <w:rPr>
          <w:rFonts w:hint="eastAsia" w:asciiTheme="minorEastAsia" w:hAnsiTheme="minorEastAsia" w:eastAsiaTheme="minorEastAsia" w:cstheme="minorEastAsia"/>
          <w:sz w:val="21"/>
          <w:szCs w:val="21"/>
          <w:highlight w:val="none"/>
        </w:rPr>
        <w:t>、项目商务要求</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1.实施周期及安装：合同签订后 90 日历天内完成。</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2.质保期：免费质保期限不得低于</w:t>
      </w:r>
      <w:r>
        <w:rPr>
          <w:rFonts w:hint="eastAsia" w:asciiTheme="minorEastAsia" w:hAnsiTheme="minorEastAsia" w:eastAsiaTheme="minorEastAsia" w:cstheme="minorEastAsia"/>
          <w:sz w:val="21"/>
          <w:szCs w:val="21"/>
          <w:highlight w:val="none"/>
          <w:u w:val="single"/>
        </w:rPr>
        <w:t xml:space="preserve">  3  </w:t>
      </w:r>
      <w:r>
        <w:rPr>
          <w:rFonts w:hint="eastAsia" w:asciiTheme="minorEastAsia" w:hAnsiTheme="minorEastAsia" w:eastAsiaTheme="minorEastAsia" w:cstheme="minorEastAsia"/>
          <w:sz w:val="21"/>
          <w:szCs w:val="21"/>
          <w:highlight w:val="none"/>
        </w:rPr>
        <w:t>年。在质保期内出现项目质量缺陷或瑕疵的，由投标人负责维修或更换，并应承担由此对</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造成的经济损失。</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售后服务：有项目所在地及时服务的能力，要求有专门的应急维修小组，每天24小时开通专门应急电话，提供不低于7*24小时的现场质保和技术支持服务，做到2小时应急响应，4小时到达现场处理，8小时以内解决问题；不能当场修复的，必须采取提供备品、备件或备机等措施，以保证使用方的正常使用。如果逾期未作出响应，投标人应承担由于故障所造成的全部损失。</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售后巡查：要求每月一巡查，巡检情况归档备查。</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售后人员：落实专门的对接技术人员。</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投标人对售后服务承诺内容须有具体的落实保障措施以及突发事件的应急措施。</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的配件、附件、备品备件的准备和保障措施情况：设备正常运行需要配件、附件、备品备件的，产品清单已明确的耗品耗材（或者备品备件）请包含在报价中。投标文件中需提供耗品耗材（或者备品备件）方案，告知招标人一般多长时间更换，后期材料每更换一次经费数额等内容，以及为售后准备的配件、附件、备品备件准备情况。</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合同总价为包干价，投标报价应包括验收合格前的所有费用、操作维修培训费用及质保期内设备的维修保养费用等完成本项目所需的所有费用。由于包装不善所引起的货物锈蚀、损坏和损失等一切风险均由投标方承担。</w:t>
      </w:r>
    </w:p>
    <w:p>
      <w:pPr>
        <w:pStyle w:val="2"/>
        <w:spacing w:before="120" w:after="12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lang w:val="en-US"/>
        </w:rPr>
        <w:t>、项目管理要求</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投标人有责任检查安装现场是否符合产品安装条件，事先提出对安装的环境的要求，包括接电、安装等。</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 本项目涉及的材料、设备由投标人负责测试、安装、调试和有关配置工作，投标人应按上述方案完成测试、安装、调试和有关配置工作。</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 投标人需保证材料、设备均为原装产品，保证所提供材料货物是全新的、未使用过的，并完全符合合同规定的质量、规格和性能的要求。</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 投标人保证其提供的材料货物在正确安装、正常使用和保养条件下，在使用期内具有满意的性能，投标人对由于产品设计、工艺或材料的缺陷而产生的故障负责并解决。</w:t>
      </w: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 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6.</w:t>
      </w:r>
      <w:r>
        <w:rPr>
          <w:rFonts w:hint="eastAsia" w:asciiTheme="minorEastAsia" w:hAnsiTheme="minorEastAsia" w:eastAsiaTheme="minorEastAsia" w:cstheme="minorEastAsia"/>
          <w:sz w:val="21"/>
          <w:szCs w:val="21"/>
          <w:highlight w:val="none"/>
        </w:rPr>
        <w:t>项目实施团队要求：</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1）投标人为本项目配备技术团队，投入本项目人员须提供社保机构出具投标人为其缴纳的至投标截止时间3个月内任意时间的社保证明，否则人员不予认可。</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2）设项目负责人1名，应具有机电工程建造师、中级及以上工程师职称证书。</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3）根据项目专业（含安装施工人员、安装调试人员、售后人员）设专业管理人员安装人员</w:t>
      </w:r>
      <w:r>
        <w:rPr>
          <w:rFonts w:hint="eastAsia" w:asciiTheme="minorEastAsia" w:hAnsiTheme="minorEastAsia" w:eastAsiaTheme="minorEastAsia" w:cstheme="minorEastAsia"/>
          <w:sz w:val="21"/>
          <w:szCs w:val="21"/>
          <w:highlight w:val="none"/>
          <w:lang w:val="en-US"/>
        </w:rPr>
        <w:t>5人，</w:t>
      </w:r>
      <w:r>
        <w:rPr>
          <w:rFonts w:hint="eastAsia" w:asciiTheme="minorEastAsia" w:hAnsiTheme="minorEastAsia" w:eastAsiaTheme="minorEastAsia" w:cstheme="minorEastAsia"/>
          <w:sz w:val="21"/>
          <w:szCs w:val="21"/>
          <w:highlight w:val="none"/>
        </w:rPr>
        <w:t>调试人员</w:t>
      </w:r>
      <w:r>
        <w:rPr>
          <w:rFonts w:hint="eastAsia" w:asciiTheme="minorEastAsia" w:hAnsiTheme="minorEastAsia" w:eastAsiaTheme="minorEastAsia" w:cstheme="minorEastAsia"/>
          <w:sz w:val="21"/>
          <w:szCs w:val="21"/>
          <w:highlight w:val="none"/>
          <w:lang w:val="en-US"/>
        </w:rPr>
        <w:t>2人，售后1人</w:t>
      </w:r>
      <w:r>
        <w:rPr>
          <w:rFonts w:hint="eastAsia" w:asciiTheme="minorEastAsia" w:hAnsiTheme="minorEastAsia" w:eastAsiaTheme="minorEastAsia" w:cstheme="minorEastAsia"/>
          <w:sz w:val="21"/>
          <w:szCs w:val="21"/>
          <w:highlight w:val="none"/>
        </w:rPr>
        <w:t>，其中安装管理人员均应具有相应的岗位证书，可以满足项目实施管理需求。</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rPr>
        <w:t>4）</w:t>
      </w:r>
      <w:r>
        <w:rPr>
          <w:rFonts w:hint="eastAsia" w:asciiTheme="minorEastAsia" w:hAnsiTheme="minorEastAsia" w:eastAsiaTheme="minorEastAsia" w:cstheme="minorEastAsia"/>
          <w:sz w:val="21"/>
          <w:szCs w:val="21"/>
          <w:highlight w:val="none"/>
        </w:rPr>
        <w:t>投标文件中应提供团队成员名单，每个参加项目人员提供履历介绍，主要内容包括学历、工作特长、经验与业绩、资质情况等，该人员参与的时间以及在项目中的责任。</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5）</w:t>
      </w:r>
      <w:r>
        <w:rPr>
          <w:rFonts w:hint="eastAsia" w:asciiTheme="minorEastAsia" w:hAnsiTheme="minorEastAsia" w:eastAsiaTheme="minorEastAsia" w:cstheme="minorEastAsia"/>
          <w:sz w:val="21"/>
          <w:szCs w:val="21"/>
          <w:highlight w:val="none"/>
        </w:rPr>
        <w:t>投标文件中明确的人员在项目开展过程中不得擅自更换，如需更换应提前10个工作日以书面形式通知招标人，经招标人同意后方可更换。更换后的人员资质及经验不得低于更换前。</w:t>
      </w:r>
    </w:p>
    <w:p>
      <w:pPr>
        <w:pStyle w:val="23"/>
        <w:snapToGrid w:val="0"/>
        <w:ind w:firstLine="420" w:firstLineChars="200"/>
        <w:outlineLvl w:val="2"/>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lang w:val="en-US"/>
        </w:rPr>
        <w:t>7.培训方案</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1）中标人应编制相关设备使用指导手册或使用说明，提供使用操作培训，直至使用员工能熟练、安全地操作（如需）。</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2）中标人应提供相应的培训计划。</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3）中标人应对上述内容的实现方式、地点、人数、时间在投标文件中详细说明。</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4）培训相关费用含在报价中。</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5）为保障培训质量，投标人所落实的相关措施、保障方案。</w:t>
      </w:r>
    </w:p>
    <w:p>
      <w:pPr>
        <w:pStyle w:val="6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rPr>
        <w:t>8.调试验收方案：根据项目实施总进度要求，投标人需提供项目安装调试及验收方案，充分考虑项目调试环节的质量风险点及排除，以及验收环节需具备的材料、资料。</w:t>
      </w:r>
    </w:p>
    <w:p>
      <w:pPr>
        <w:pStyle w:val="2"/>
        <w:spacing w:before="120" w:after="12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八</w:t>
      </w:r>
      <w:r>
        <w:rPr>
          <w:rFonts w:hint="eastAsia" w:asciiTheme="minorEastAsia" w:hAnsiTheme="minorEastAsia" w:eastAsiaTheme="minorEastAsia" w:cstheme="minorEastAsia"/>
          <w:sz w:val="21"/>
          <w:szCs w:val="21"/>
          <w:highlight w:val="none"/>
          <w:lang w:val="en-US"/>
        </w:rPr>
        <w:t>、验收</w:t>
      </w:r>
    </w:p>
    <w:p>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采用一般验收。投标人应提供合同服务和货物的有效检验文件（包括产品合格证书），经招标人认可后，与合同的性能指标一起作为合同货物验收标准。投标人应在投标文件中提供合同货物的验收标准和检测办法，并在验收中提供招标人认可的相应检测手段，验收标准应符合中国有关的国家、地方、行业的标准，如若中标，经招标人确认后作为验收的依据。</w:t>
      </w:r>
    </w:p>
    <w:p>
      <w:pPr>
        <w:rPr>
          <w:rFonts w:ascii="宋体" w:hAnsi="宋体" w:cs="宋体"/>
          <w:highlight w:val="none"/>
        </w:rPr>
      </w:pPr>
    </w:p>
    <w:p>
      <w:pPr>
        <w:rPr>
          <w:rFonts w:hint="eastAsia" w:ascii="宋体" w:hAnsi="宋体" w:cs="宋体"/>
          <w:b/>
          <w:sz w:val="36"/>
          <w:szCs w:val="36"/>
          <w:highlight w:val="none"/>
        </w:rPr>
      </w:pPr>
      <w:bookmarkStart w:id="27" w:name="_Toc184313238"/>
      <w:bookmarkEnd w:id="27"/>
      <w:bookmarkStart w:id="28" w:name="_Toc184314462"/>
      <w:bookmarkEnd w:id="28"/>
      <w:bookmarkStart w:id="29" w:name="_Toc184308038"/>
      <w:bookmarkEnd w:id="29"/>
      <w:bookmarkStart w:id="30" w:name="_Toc184308107"/>
      <w:bookmarkEnd w:id="30"/>
      <w:bookmarkStart w:id="31" w:name="_Toc184310293"/>
      <w:bookmarkEnd w:id="31"/>
      <w:bookmarkStart w:id="32" w:name="_Toc184313249"/>
      <w:bookmarkEnd w:id="32"/>
      <w:bookmarkStart w:id="33" w:name="_Toc184308043"/>
      <w:bookmarkEnd w:id="33"/>
      <w:bookmarkStart w:id="34" w:name="_Toc184310317"/>
      <w:bookmarkEnd w:id="34"/>
      <w:bookmarkStart w:id="35" w:name="_Toc184310334"/>
      <w:bookmarkEnd w:id="35"/>
      <w:bookmarkStart w:id="36" w:name="_Toc184312107"/>
      <w:bookmarkEnd w:id="36"/>
      <w:bookmarkStart w:id="37" w:name="_Toc184313295"/>
      <w:bookmarkEnd w:id="37"/>
      <w:bookmarkStart w:id="38" w:name="_Toc184314448"/>
      <w:bookmarkEnd w:id="38"/>
      <w:bookmarkStart w:id="39" w:name="_Toc184313303"/>
      <w:bookmarkEnd w:id="39"/>
      <w:bookmarkStart w:id="40" w:name="_Toc184312071"/>
      <w:bookmarkEnd w:id="40"/>
      <w:bookmarkStart w:id="41" w:name="_Toc184314445"/>
      <w:bookmarkEnd w:id="41"/>
      <w:bookmarkStart w:id="42" w:name="_Toc184313272"/>
      <w:bookmarkEnd w:id="42"/>
      <w:bookmarkStart w:id="43" w:name="_Toc184312137"/>
      <w:bookmarkEnd w:id="43"/>
      <w:bookmarkStart w:id="44" w:name="_Toc184312088"/>
      <w:bookmarkEnd w:id="44"/>
      <w:bookmarkStart w:id="45" w:name="_Toc184308051"/>
      <w:bookmarkEnd w:id="45"/>
      <w:bookmarkStart w:id="46" w:name="_Toc184313240"/>
      <w:bookmarkEnd w:id="46"/>
      <w:bookmarkStart w:id="47" w:name="_Toc184308105"/>
      <w:bookmarkEnd w:id="47"/>
      <w:bookmarkStart w:id="48" w:name="_Toc184314449"/>
      <w:bookmarkEnd w:id="48"/>
      <w:bookmarkStart w:id="49" w:name="_Toc184310310"/>
      <w:bookmarkEnd w:id="49"/>
      <w:bookmarkStart w:id="50" w:name="_Toc184314466"/>
      <w:bookmarkEnd w:id="50"/>
      <w:bookmarkStart w:id="51" w:name="_Toc184312084"/>
      <w:bookmarkEnd w:id="51"/>
      <w:bookmarkStart w:id="52" w:name="_Toc184313254"/>
      <w:bookmarkEnd w:id="52"/>
      <w:bookmarkStart w:id="53" w:name="_Toc184308079"/>
      <w:bookmarkEnd w:id="53"/>
      <w:bookmarkStart w:id="54" w:name="_Toc184308057"/>
      <w:bookmarkEnd w:id="54"/>
      <w:bookmarkStart w:id="55" w:name="_Toc184308095"/>
      <w:bookmarkEnd w:id="55"/>
      <w:bookmarkStart w:id="56" w:name="_Toc184314440"/>
      <w:bookmarkEnd w:id="56"/>
      <w:bookmarkStart w:id="57" w:name="_Toc184313255"/>
      <w:bookmarkEnd w:id="57"/>
      <w:bookmarkStart w:id="58" w:name="_Toc184308086"/>
      <w:bookmarkEnd w:id="58"/>
      <w:bookmarkStart w:id="59" w:name="_Toc184313264"/>
      <w:bookmarkEnd w:id="59"/>
      <w:bookmarkStart w:id="60" w:name="_Toc184308108"/>
      <w:bookmarkEnd w:id="60"/>
      <w:bookmarkStart w:id="61" w:name="_Toc184308102"/>
      <w:bookmarkEnd w:id="61"/>
      <w:bookmarkStart w:id="62" w:name="_Toc184308093"/>
      <w:bookmarkEnd w:id="62"/>
      <w:bookmarkStart w:id="63" w:name="_Toc184313258"/>
      <w:bookmarkEnd w:id="63"/>
      <w:bookmarkStart w:id="64" w:name="_Toc184312100"/>
      <w:bookmarkEnd w:id="64"/>
      <w:bookmarkStart w:id="65" w:name="_Toc184308041"/>
      <w:bookmarkEnd w:id="65"/>
      <w:bookmarkStart w:id="66" w:name="_Toc184310289"/>
      <w:bookmarkEnd w:id="66"/>
      <w:bookmarkStart w:id="67" w:name="_Toc184310285"/>
      <w:bookmarkEnd w:id="67"/>
      <w:bookmarkStart w:id="68" w:name="_Toc184312083"/>
      <w:bookmarkEnd w:id="68"/>
      <w:bookmarkStart w:id="69" w:name="_Toc184308100"/>
      <w:bookmarkEnd w:id="69"/>
      <w:bookmarkStart w:id="70" w:name="_Toc184308052"/>
      <w:bookmarkEnd w:id="70"/>
      <w:bookmarkStart w:id="71" w:name="_Toc184310275"/>
      <w:bookmarkEnd w:id="71"/>
      <w:bookmarkStart w:id="72" w:name="_Toc184314411"/>
      <w:bookmarkEnd w:id="72"/>
      <w:bookmarkStart w:id="73" w:name="_Toc184310313"/>
      <w:bookmarkEnd w:id="73"/>
      <w:bookmarkStart w:id="74" w:name="_Toc184310332"/>
      <w:bookmarkEnd w:id="74"/>
      <w:bookmarkStart w:id="75" w:name="_Toc184310343"/>
      <w:bookmarkEnd w:id="75"/>
      <w:bookmarkStart w:id="76" w:name="_Toc184312078"/>
      <w:bookmarkEnd w:id="76"/>
      <w:bookmarkStart w:id="77" w:name="_Toc184312095"/>
      <w:bookmarkEnd w:id="77"/>
      <w:bookmarkStart w:id="78" w:name="_Toc184313279"/>
      <w:bookmarkEnd w:id="78"/>
      <w:bookmarkStart w:id="79" w:name="_Toc184308092"/>
      <w:bookmarkEnd w:id="79"/>
      <w:bookmarkStart w:id="80" w:name="_Toc184314422"/>
      <w:bookmarkEnd w:id="80"/>
      <w:bookmarkStart w:id="81" w:name="_Toc184314455"/>
      <w:bookmarkEnd w:id="81"/>
      <w:bookmarkStart w:id="82" w:name="_Toc184313280"/>
      <w:bookmarkEnd w:id="82"/>
      <w:bookmarkStart w:id="83" w:name="_Toc184313241"/>
      <w:bookmarkEnd w:id="83"/>
      <w:bookmarkStart w:id="84" w:name="_Toc184312133"/>
      <w:bookmarkEnd w:id="84"/>
      <w:bookmarkStart w:id="85" w:name="_Toc184314439"/>
      <w:bookmarkEnd w:id="85"/>
      <w:bookmarkStart w:id="86" w:name="_Toc184310306"/>
      <w:bookmarkEnd w:id="86"/>
      <w:bookmarkStart w:id="87" w:name="_Toc184312105"/>
      <w:bookmarkEnd w:id="87"/>
      <w:bookmarkStart w:id="88" w:name="_Toc184312069"/>
      <w:bookmarkEnd w:id="88"/>
      <w:bookmarkStart w:id="89" w:name="_Toc184313250"/>
      <w:bookmarkEnd w:id="89"/>
      <w:bookmarkStart w:id="90" w:name="_Toc184310288"/>
      <w:bookmarkEnd w:id="90"/>
      <w:bookmarkStart w:id="91" w:name="_Toc184310308"/>
      <w:bookmarkEnd w:id="91"/>
      <w:bookmarkStart w:id="92" w:name="_Toc184312094"/>
      <w:bookmarkEnd w:id="92"/>
      <w:bookmarkStart w:id="93" w:name="_Toc184313283"/>
      <w:bookmarkEnd w:id="93"/>
      <w:bookmarkStart w:id="94" w:name="_Toc184314441"/>
      <w:bookmarkEnd w:id="94"/>
      <w:bookmarkStart w:id="95" w:name="_Toc184313281"/>
      <w:bookmarkEnd w:id="95"/>
      <w:bookmarkStart w:id="96" w:name="_Toc184312116"/>
      <w:bookmarkEnd w:id="96"/>
      <w:bookmarkStart w:id="97" w:name="_Toc184310323"/>
      <w:bookmarkEnd w:id="97"/>
      <w:bookmarkStart w:id="98" w:name="_Toc184312119"/>
      <w:bookmarkEnd w:id="98"/>
      <w:bookmarkStart w:id="99" w:name="_Toc184308098"/>
      <w:bookmarkEnd w:id="99"/>
      <w:bookmarkStart w:id="100" w:name="_Toc184313256"/>
      <w:bookmarkEnd w:id="100"/>
      <w:bookmarkStart w:id="101" w:name="_Toc184313282"/>
      <w:bookmarkEnd w:id="101"/>
      <w:bookmarkStart w:id="102" w:name="_Toc184308054"/>
      <w:bookmarkEnd w:id="102"/>
      <w:bookmarkStart w:id="103" w:name="_Toc184314417"/>
      <w:bookmarkEnd w:id="103"/>
      <w:bookmarkStart w:id="104" w:name="_Toc184310298"/>
      <w:bookmarkEnd w:id="104"/>
      <w:bookmarkStart w:id="105" w:name="_Toc184308053"/>
      <w:bookmarkEnd w:id="105"/>
      <w:bookmarkStart w:id="106" w:name="_Toc184310276"/>
      <w:bookmarkEnd w:id="106"/>
      <w:bookmarkStart w:id="107" w:name="_Toc184314437"/>
      <w:bookmarkEnd w:id="107"/>
      <w:bookmarkStart w:id="108" w:name="_Toc184313306"/>
      <w:bookmarkEnd w:id="108"/>
      <w:bookmarkStart w:id="109" w:name="_Toc184314414"/>
      <w:bookmarkEnd w:id="109"/>
      <w:bookmarkStart w:id="110" w:name="_Toc184310340"/>
      <w:bookmarkEnd w:id="110"/>
      <w:bookmarkStart w:id="111" w:name="_Toc184310296"/>
      <w:bookmarkEnd w:id="111"/>
      <w:bookmarkStart w:id="112" w:name="_Toc184312075"/>
      <w:bookmarkEnd w:id="112"/>
      <w:bookmarkStart w:id="113" w:name="_Toc184310280"/>
      <w:bookmarkEnd w:id="113"/>
      <w:bookmarkStart w:id="114" w:name="_Toc184314475"/>
      <w:bookmarkEnd w:id="114"/>
      <w:bookmarkStart w:id="115" w:name="_Toc184310321"/>
      <w:bookmarkEnd w:id="115"/>
      <w:bookmarkStart w:id="116" w:name="_Toc184310272"/>
      <w:bookmarkEnd w:id="116"/>
      <w:bookmarkStart w:id="117" w:name="_Toc184313299"/>
      <w:bookmarkEnd w:id="117"/>
      <w:bookmarkStart w:id="118" w:name="_Toc184310291"/>
      <w:bookmarkEnd w:id="118"/>
      <w:bookmarkStart w:id="119" w:name="_Toc184310281"/>
      <w:bookmarkEnd w:id="119"/>
      <w:bookmarkStart w:id="120" w:name="_Toc184313297"/>
      <w:bookmarkEnd w:id="120"/>
      <w:bookmarkStart w:id="121" w:name="_Toc184308064"/>
      <w:bookmarkEnd w:id="121"/>
      <w:bookmarkStart w:id="122" w:name="_Toc184310278"/>
      <w:bookmarkEnd w:id="122"/>
      <w:bookmarkStart w:id="123" w:name="_Toc184312067"/>
      <w:bookmarkEnd w:id="123"/>
      <w:bookmarkStart w:id="124" w:name="_Toc184312096"/>
      <w:bookmarkEnd w:id="124"/>
      <w:bookmarkStart w:id="125" w:name="_Toc184313266"/>
      <w:bookmarkEnd w:id="125"/>
      <w:bookmarkStart w:id="126" w:name="_Toc184310290"/>
      <w:bookmarkEnd w:id="126"/>
      <w:bookmarkStart w:id="127" w:name="_Toc184314416"/>
      <w:bookmarkEnd w:id="127"/>
      <w:bookmarkStart w:id="128" w:name="_Toc184314450"/>
      <w:bookmarkEnd w:id="128"/>
      <w:bookmarkStart w:id="129" w:name="_Toc184313273"/>
      <w:bookmarkEnd w:id="129"/>
      <w:bookmarkStart w:id="130" w:name="_Toc184313259"/>
      <w:bookmarkEnd w:id="130"/>
      <w:bookmarkStart w:id="131" w:name="_Toc184312127"/>
      <w:bookmarkEnd w:id="131"/>
      <w:bookmarkStart w:id="132" w:name="_Toc184310301"/>
      <w:bookmarkEnd w:id="132"/>
      <w:bookmarkStart w:id="133" w:name="_Toc184314482"/>
      <w:bookmarkEnd w:id="133"/>
      <w:bookmarkStart w:id="134" w:name="_Toc184310274"/>
      <w:bookmarkEnd w:id="134"/>
      <w:bookmarkStart w:id="135" w:name="_Toc184308073"/>
      <w:bookmarkEnd w:id="135"/>
      <w:bookmarkStart w:id="136" w:name="_Toc184308063"/>
      <w:bookmarkEnd w:id="136"/>
      <w:bookmarkStart w:id="137" w:name="_Toc184313296"/>
      <w:bookmarkEnd w:id="137"/>
      <w:bookmarkStart w:id="138" w:name="_Toc184314425"/>
      <w:bookmarkEnd w:id="138"/>
      <w:bookmarkStart w:id="139" w:name="_Toc184314432"/>
      <w:bookmarkEnd w:id="139"/>
      <w:bookmarkStart w:id="140" w:name="_Toc184314435"/>
      <w:bookmarkEnd w:id="140"/>
      <w:bookmarkStart w:id="141" w:name="_Toc184314468"/>
      <w:bookmarkEnd w:id="141"/>
      <w:bookmarkStart w:id="142" w:name="_Toc184312134"/>
      <w:bookmarkEnd w:id="142"/>
      <w:bookmarkStart w:id="143" w:name="_Toc184312131"/>
      <w:bookmarkEnd w:id="143"/>
      <w:bookmarkStart w:id="144" w:name="_Toc184314430"/>
      <w:bookmarkEnd w:id="144"/>
      <w:bookmarkStart w:id="145" w:name="_Toc184314420"/>
      <w:bookmarkEnd w:id="145"/>
      <w:bookmarkStart w:id="146" w:name="_Toc184314476"/>
      <w:bookmarkEnd w:id="146"/>
      <w:bookmarkStart w:id="147" w:name="_Toc184313269"/>
      <w:bookmarkEnd w:id="147"/>
      <w:bookmarkStart w:id="148" w:name="_Toc184312136"/>
      <w:bookmarkEnd w:id="148"/>
      <w:bookmarkStart w:id="149" w:name="_Toc184308083"/>
      <w:bookmarkEnd w:id="149"/>
      <w:bookmarkStart w:id="150" w:name="_Toc184312108"/>
      <w:bookmarkEnd w:id="150"/>
      <w:bookmarkStart w:id="151" w:name="_Toc184310327"/>
      <w:bookmarkEnd w:id="151"/>
      <w:bookmarkStart w:id="152" w:name="_Toc184312101"/>
      <w:bookmarkEnd w:id="152"/>
      <w:bookmarkStart w:id="153" w:name="_Toc184314460"/>
      <w:bookmarkEnd w:id="153"/>
      <w:bookmarkStart w:id="154" w:name="_Toc184312112"/>
      <w:bookmarkEnd w:id="154"/>
      <w:bookmarkStart w:id="155" w:name="_Toc184312103"/>
      <w:bookmarkEnd w:id="155"/>
      <w:bookmarkStart w:id="156" w:name="_Toc184310335"/>
      <w:bookmarkEnd w:id="156"/>
      <w:bookmarkStart w:id="157" w:name="_Toc184308070"/>
      <w:bookmarkEnd w:id="157"/>
      <w:bookmarkStart w:id="158" w:name="_Toc184308104"/>
      <w:bookmarkEnd w:id="158"/>
      <w:bookmarkStart w:id="159" w:name="_Toc184313289"/>
      <w:bookmarkEnd w:id="159"/>
      <w:bookmarkStart w:id="160" w:name="_Toc184312090"/>
      <w:bookmarkEnd w:id="160"/>
      <w:bookmarkStart w:id="161" w:name="_Toc184313293"/>
      <w:bookmarkEnd w:id="161"/>
      <w:bookmarkStart w:id="162" w:name="_Toc184308088"/>
      <w:bookmarkEnd w:id="162"/>
      <w:bookmarkStart w:id="163" w:name="_Toc184308069"/>
      <w:bookmarkEnd w:id="163"/>
      <w:bookmarkStart w:id="164" w:name="_Toc184313294"/>
      <w:bookmarkEnd w:id="164"/>
      <w:bookmarkStart w:id="165" w:name="_Toc184308097"/>
      <w:bookmarkEnd w:id="165"/>
      <w:bookmarkStart w:id="166" w:name="_Toc184312113"/>
      <w:bookmarkEnd w:id="166"/>
      <w:bookmarkStart w:id="167" w:name="_Toc184308106"/>
      <w:bookmarkEnd w:id="167"/>
      <w:bookmarkStart w:id="168" w:name="_Toc184312139"/>
      <w:bookmarkEnd w:id="168"/>
      <w:bookmarkStart w:id="169" w:name="_Toc184308071"/>
      <w:bookmarkEnd w:id="169"/>
      <w:bookmarkStart w:id="170" w:name="_Toc184314474"/>
      <w:bookmarkEnd w:id="170"/>
      <w:bookmarkStart w:id="171" w:name="_Toc184310320"/>
      <w:bookmarkEnd w:id="171"/>
      <w:bookmarkStart w:id="172" w:name="_Toc184310284"/>
      <w:bookmarkEnd w:id="172"/>
      <w:bookmarkStart w:id="173" w:name="_Toc184312138"/>
      <w:bookmarkEnd w:id="173"/>
      <w:bookmarkStart w:id="174" w:name="_Toc184312104"/>
      <w:bookmarkEnd w:id="174"/>
      <w:bookmarkStart w:id="175" w:name="_Toc184313304"/>
      <w:bookmarkEnd w:id="175"/>
      <w:bookmarkStart w:id="176" w:name="_Toc184310316"/>
      <w:bookmarkEnd w:id="176"/>
      <w:bookmarkStart w:id="177" w:name="_Toc184308084"/>
      <w:bookmarkEnd w:id="177"/>
      <w:bookmarkStart w:id="178" w:name="_Toc184314454"/>
      <w:bookmarkEnd w:id="178"/>
      <w:bookmarkStart w:id="179" w:name="_Toc184308045"/>
      <w:bookmarkEnd w:id="179"/>
      <w:bookmarkStart w:id="180" w:name="_Toc184312123"/>
      <w:bookmarkEnd w:id="180"/>
      <w:bookmarkStart w:id="181" w:name="_Toc184313274"/>
      <w:bookmarkEnd w:id="181"/>
      <w:bookmarkStart w:id="182" w:name="_Toc184308046"/>
      <w:bookmarkEnd w:id="182"/>
      <w:bookmarkStart w:id="183" w:name="_Toc184308065"/>
      <w:bookmarkEnd w:id="183"/>
      <w:bookmarkStart w:id="184" w:name="_Toc184312098"/>
      <w:bookmarkEnd w:id="184"/>
      <w:bookmarkStart w:id="185" w:name="_Toc184312099"/>
      <w:bookmarkEnd w:id="185"/>
      <w:bookmarkStart w:id="186" w:name="_Toc184314471"/>
      <w:bookmarkEnd w:id="186"/>
      <w:bookmarkStart w:id="187" w:name="_Toc184313242"/>
      <w:bookmarkEnd w:id="187"/>
      <w:bookmarkStart w:id="188" w:name="_Toc184308087"/>
      <w:bookmarkEnd w:id="188"/>
      <w:bookmarkStart w:id="189" w:name="_Toc184312082"/>
      <w:bookmarkEnd w:id="189"/>
      <w:bookmarkStart w:id="190" w:name="_Toc184312097"/>
      <w:bookmarkEnd w:id="190"/>
      <w:bookmarkStart w:id="191" w:name="_Toc184312102"/>
      <w:bookmarkEnd w:id="191"/>
      <w:bookmarkStart w:id="192" w:name="_Toc184308049"/>
      <w:bookmarkEnd w:id="192"/>
      <w:bookmarkStart w:id="193" w:name="_Toc184313244"/>
      <w:bookmarkEnd w:id="193"/>
      <w:bookmarkStart w:id="194" w:name="_Toc184308072"/>
      <w:bookmarkEnd w:id="194"/>
      <w:bookmarkStart w:id="195" w:name="_Toc184312110"/>
      <w:bookmarkEnd w:id="195"/>
      <w:bookmarkStart w:id="196" w:name="_Toc184308036"/>
      <w:bookmarkEnd w:id="196"/>
      <w:bookmarkStart w:id="197" w:name="_Toc184312124"/>
      <w:bookmarkEnd w:id="197"/>
      <w:bookmarkStart w:id="198" w:name="_Toc184310341"/>
      <w:bookmarkEnd w:id="198"/>
      <w:bookmarkStart w:id="199" w:name="_Toc184310283"/>
      <w:bookmarkEnd w:id="199"/>
      <w:bookmarkStart w:id="200" w:name="_Toc184314457"/>
      <w:bookmarkEnd w:id="200"/>
      <w:bookmarkStart w:id="201" w:name="_Toc184310305"/>
      <w:bookmarkEnd w:id="201"/>
      <w:bookmarkStart w:id="202" w:name="_Toc184310344"/>
      <w:bookmarkEnd w:id="202"/>
      <w:bookmarkStart w:id="203" w:name="_Toc184313271"/>
      <w:bookmarkEnd w:id="203"/>
      <w:bookmarkStart w:id="204" w:name="_Toc184308077"/>
      <w:bookmarkEnd w:id="204"/>
      <w:bookmarkStart w:id="205" w:name="_Toc184314415"/>
      <w:bookmarkEnd w:id="205"/>
      <w:bookmarkStart w:id="206" w:name="_Toc184308081"/>
      <w:bookmarkEnd w:id="206"/>
      <w:bookmarkStart w:id="207" w:name="_Toc184314453"/>
      <w:bookmarkEnd w:id="207"/>
      <w:bookmarkStart w:id="208" w:name="_Toc184313268"/>
      <w:bookmarkEnd w:id="208"/>
      <w:bookmarkStart w:id="209" w:name="_Toc184310337"/>
      <w:bookmarkEnd w:id="209"/>
      <w:bookmarkStart w:id="210" w:name="_Toc184310303"/>
      <w:bookmarkEnd w:id="210"/>
      <w:bookmarkStart w:id="211" w:name="_Toc184314464"/>
      <w:bookmarkEnd w:id="211"/>
      <w:bookmarkStart w:id="212" w:name="_Toc184312081"/>
      <w:bookmarkEnd w:id="212"/>
      <w:bookmarkStart w:id="213" w:name="_Toc184310300"/>
      <w:bookmarkEnd w:id="213"/>
      <w:bookmarkStart w:id="214" w:name="_Toc184310312"/>
      <w:bookmarkEnd w:id="214"/>
      <w:bookmarkStart w:id="215" w:name="_Toc184314426"/>
      <w:bookmarkEnd w:id="215"/>
      <w:bookmarkStart w:id="216" w:name="_Toc184308090"/>
      <w:bookmarkEnd w:id="216"/>
      <w:bookmarkStart w:id="217" w:name="_Toc184310315"/>
      <w:bookmarkEnd w:id="217"/>
      <w:bookmarkStart w:id="218" w:name="_Toc184314433"/>
      <w:bookmarkEnd w:id="218"/>
      <w:bookmarkStart w:id="219" w:name="_Toc184313239"/>
      <w:bookmarkEnd w:id="219"/>
      <w:bookmarkStart w:id="220" w:name="_Toc184312079"/>
      <w:bookmarkEnd w:id="220"/>
      <w:bookmarkStart w:id="221" w:name="_Toc184312121"/>
      <w:bookmarkEnd w:id="221"/>
      <w:bookmarkStart w:id="222" w:name="_Toc184313253"/>
      <w:bookmarkEnd w:id="222"/>
      <w:bookmarkStart w:id="223" w:name="_Toc184310282"/>
      <w:bookmarkEnd w:id="223"/>
      <w:bookmarkStart w:id="224" w:name="_Toc184314442"/>
      <w:bookmarkEnd w:id="224"/>
      <w:bookmarkStart w:id="225" w:name="_Toc184312111"/>
      <w:bookmarkEnd w:id="225"/>
      <w:bookmarkStart w:id="226" w:name="_Toc184314472"/>
      <w:bookmarkEnd w:id="226"/>
      <w:bookmarkStart w:id="227" w:name="_Toc184313262"/>
      <w:bookmarkEnd w:id="227"/>
      <w:bookmarkStart w:id="228" w:name="_Toc184314410"/>
      <w:bookmarkEnd w:id="228"/>
      <w:bookmarkStart w:id="229" w:name="_Toc184314465"/>
      <w:bookmarkEnd w:id="229"/>
      <w:bookmarkStart w:id="230" w:name="_Toc184312129"/>
      <w:bookmarkEnd w:id="230"/>
      <w:bookmarkStart w:id="231" w:name="_Toc184308058"/>
      <w:bookmarkEnd w:id="231"/>
      <w:bookmarkStart w:id="232" w:name="_Toc184314421"/>
      <w:bookmarkEnd w:id="232"/>
      <w:bookmarkStart w:id="233" w:name="_Toc184312070"/>
      <w:bookmarkEnd w:id="233"/>
      <w:bookmarkStart w:id="234" w:name="_Toc184313245"/>
      <w:bookmarkEnd w:id="234"/>
      <w:bookmarkStart w:id="235" w:name="_Toc184312072"/>
      <w:bookmarkEnd w:id="235"/>
      <w:bookmarkStart w:id="236" w:name="_Toc184312120"/>
      <w:bookmarkEnd w:id="236"/>
      <w:bookmarkStart w:id="237" w:name="_Toc184313247"/>
      <w:bookmarkEnd w:id="237"/>
      <w:bookmarkStart w:id="238" w:name="_Toc184312076"/>
      <w:bookmarkEnd w:id="238"/>
      <w:bookmarkStart w:id="239" w:name="_Toc184313308"/>
      <w:bookmarkEnd w:id="239"/>
      <w:bookmarkStart w:id="240" w:name="_Toc184310338"/>
      <w:bookmarkEnd w:id="240"/>
      <w:bookmarkStart w:id="241" w:name="_Toc184310311"/>
      <w:bookmarkEnd w:id="241"/>
      <w:bookmarkStart w:id="242" w:name="_Toc184314418"/>
      <w:bookmarkEnd w:id="242"/>
      <w:bookmarkStart w:id="243" w:name="_Toc184313246"/>
      <w:bookmarkEnd w:id="243"/>
      <w:bookmarkStart w:id="244" w:name="_Toc184310279"/>
      <w:bookmarkEnd w:id="244"/>
      <w:bookmarkStart w:id="245" w:name="_Toc184308078"/>
      <w:bookmarkEnd w:id="245"/>
      <w:bookmarkStart w:id="246" w:name="_Toc184310286"/>
      <w:bookmarkEnd w:id="246"/>
      <w:bookmarkStart w:id="247" w:name="_Toc184312077"/>
      <w:bookmarkEnd w:id="247"/>
      <w:bookmarkStart w:id="248" w:name="_Toc184310297"/>
      <w:bookmarkEnd w:id="248"/>
      <w:bookmarkStart w:id="249" w:name="_Toc184313291"/>
      <w:bookmarkEnd w:id="249"/>
      <w:bookmarkStart w:id="250" w:name="_Toc184310277"/>
      <w:bookmarkEnd w:id="250"/>
      <w:bookmarkStart w:id="251" w:name="_Toc184313252"/>
      <w:bookmarkEnd w:id="251"/>
      <w:bookmarkStart w:id="252" w:name="_Toc184310319"/>
      <w:bookmarkEnd w:id="252"/>
      <w:bookmarkStart w:id="253" w:name="_Toc184314469"/>
      <w:bookmarkEnd w:id="253"/>
      <w:bookmarkStart w:id="254" w:name="_Toc184313278"/>
      <w:bookmarkEnd w:id="254"/>
      <w:bookmarkStart w:id="255" w:name="_Toc184312109"/>
      <w:bookmarkEnd w:id="255"/>
      <w:bookmarkStart w:id="256" w:name="_Toc184310314"/>
      <w:bookmarkEnd w:id="256"/>
      <w:bookmarkStart w:id="257" w:name="_Toc184312073"/>
      <w:bookmarkEnd w:id="257"/>
      <w:bookmarkStart w:id="258" w:name="_Toc184314479"/>
      <w:bookmarkEnd w:id="258"/>
      <w:bookmarkStart w:id="259" w:name="_Toc184313298"/>
      <w:bookmarkEnd w:id="259"/>
      <w:bookmarkStart w:id="260" w:name="_Toc184314459"/>
      <w:bookmarkEnd w:id="260"/>
      <w:bookmarkStart w:id="261" w:name="_Toc184308099"/>
      <w:bookmarkEnd w:id="261"/>
      <w:bookmarkStart w:id="262" w:name="_Toc184313275"/>
      <w:bookmarkEnd w:id="262"/>
      <w:bookmarkStart w:id="263" w:name="_Toc184312122"/>
      <w:bookmarkEnd w:id="263"/>
      <w:bookmarkStart w:id="264" w:name="_Toc184308082"/>
      <w:bookmarkEnd w:id="264"/>
      <w:bookmarkStart w:id="265" w:name="_Toc184312128"/>
      <w:bookmarkEnd w:id="265"/>
      <w:bookmarkStart w:id="266" w:name="_Toc184312118"/>
      <w:bookmarkEnd w:id="266"/>
      <w:bookmarkStart w:id="267" w:name="_Toc184312074"/>
      <w:bookmarkEnd w:id="267"/>
      <w:bookmarkStart w:id="268" w:name="_Toc184308074"/>
      <w:bookmarkEnd w:id="268"/>
      <w:bookmarkStart w:id="269" w:name="_Toc184308055"/>
      <w:bookmarkEnd w:id="269"/>
      <w:bookmarkStart w:id="270" w:name="_Toc184312092"/>
      <w:bookmarkEnd w:id="270"/>
      <w:bookmarkStart w:id="271" w:name="_Toc184313287"/>
      <w:bookmarkEnd w:id="271"/>
      <w:bookmarkStart w:id="272" w:name="_Toc184314470"/>
      <w:bookmarkEnd w:id="272"/>
      <w:bookmarkStart w:id="273" w:name="_Toc184314444"/>
      <w:bookmarkEnd w:id="273"/>
      <w:bookmarkStart w:id="274" w:name="_Toc184313277"/>
      <w:bookmarkEnd w:id="274"/>
      <w:bookmarkStart w:id="275" w:name="_Toc184308056"/>
      <w:bookmarkEnd w:id="275"/>
      <w:bookmarkStart w:id="276" w:name="_Toc184308042"/>
      <w:bookmarkEnd w:id="276"/>
      <w:bookmarkStart w:id="277" w:name="_Toc184312089"/>
      <w:bookmarkEnd w:id="277"/>
      <w:bookmarkStart w:id="278" w:name="_Toc184313265"/>
      <w:bookmarkEnd w:id="278"/>
      <w:bookmarkStart w:id="279" w:name="_Toc184313263"/>
      <w:bookmarkEnd w:id="279"/>
      <w:bookmarkStart w:id="280" w:name="_Toc184312132"/>
      <w:bookmarkEnd w:id="280"/>
      <w:bookmarkStart w:id="281" w:name="_Toc184314447"/>
      <w:bookmarkEnd w:id="281"/>
      <w:bookmarkStart w:id="282" w:name="_Toc184312106"/>
      <w:bookmarkEnd w:id="282"/>
      <w:bookmarkStart w:id="283" w:name="_Toc184314423"/>
      <w:bookmarkEnd w:id="283"/>
      <w:bookmarkStart w:id="284" w:name="_Toc184312086"/>
      <w:bookmarkEnd w:id="284"/>
      <w:bookmarkStart w:id="285" w:name="_Toc184310294"/>
      <w:bookmarkEnd w:id="285"/>
      <w:bookmarkStart w:id="286" w:name="_Toc184310333"/>
      <w:bookmarkEnd w:id="286"/>
      <w:bookmarkStart w:id="287" w:name="_Toc184308061"/>
      <w:bookmarkEnd w:id="287"/>
      <w:bookmarkStart w:id="288" w:name="_Toc184310328"/>
      <w:bookmarkEnd w:id="288"/>
      <w:bookmarkStart w:id="289" w:name="_Toc184310302"/>
      <w:bookmarkEnd w:id="289"/>
      <w:bookmarkStart w:id="290" w:name="_Toc184313251"/>
      <w:bookmarkEnd w:id="290"/>
      <w:bookmarkStart w:id="291" w:name="_Toc184308075"/>
      <w:bookmarkEnd w:id="291"/>
      <w:bookmarkStart w:id="292" w:name="_Toc184310339"/>
      <w:bookmarkEnd w:id="292"/>
      <w:bookmarkStart w:id="293" w:name="_Toc184308048"/>
      <w:bookmarkEnd w:id="293"/>
      <w:bookmarkStart w:id="294" w:name="_Toc184310330"/>
      <w:bookmarkEnd w:id="294"/>
      <w:bookmarkStart w:id="295" w:name="_Toc184314456"/>
      <w:bookmarkEnd w:id="295"/>
      <w:bookmarkStart w:id="296" w:name="_Toc184313286"/>
      <w:bookmarkEnd w:id="296"/>
      <w:bookmarkStart w:id="297" w:name="_Toc184310331"/>
      <w:bookmarkEnd w:id="297"/>
      <w:bookmarkStart w:id="298" w:name="_Toc184308037"/>
      <w:bookmarkEnd w:id="298"/>
      <w:bookmarkStart w:id="299" w:name="_Toc184310329"/>
      <w:bookmarkEnd w:id="299"/>
      <w:bookmarkStart w:id="300" w:name="_Toc184308076"/>
      <w:bookmarkEnd w:id="300"/>
      <w:bookmarkStart w:id="301" w:name="_Toc184308089"/>
      <w:bookmarkEnd w:id="301"/>
      <w:bookmarkStart w:id="302" w:name="_Toc184308096"/>
      <w:bookmarkEnd w:id="302"/>
      <w:bookmarkStart w:id="303" w:name="_Toc184313248"/>
      <w:bookmarkEnd w:id="303"/>
      <w:bookmarkStart w:id="304" w:name="_Toc184312135"/>
      <w:bookmarkEnd w:id="304"/>
      <w:bookmarkStart w:id="305" w:name="_Toc184310287"/>
      <w:bookmarkEnd w:id="305"/>
      <w:bookmarkStart w:id="306" w:name="_Toc184308050"/>
      <w:bookmarkEnd w:id="306"/>
      <w:bookmarkStart w:id="307" w:name="_Toc184308067"/>
      <w:bookmarkEnd w:id="307"/>
      <w:bookmarkStart w:id="308" w:name="_Toc184310307"/>
      <w:bookmarkEnd w:id="308"/>
      <w:bookmarkStart w:id="309" w:name="_Toc184308080"/>
      <w:bookmarkEnd w:id="309"/>
      <w:bookmarkStart w:id="310" w:name="_Toc184310295"/>
      <w:bookmarkEnd w:id="310"/>
      <w:bookmarkStart w:id="311" w:name="_Toc184313276"/>
      <w:bookmarkEnd w:id="311"/>
      <w:bookmarkStart w:id="312" w:name="_Toc184308059"/>
      <w:bookmarkEnd w:id="312"/>
      <w:bookmarkStart w:id="313" w:name="_Toc184310309"/>
      <w:bookmarkEnd w:id="313"/>
      <w:bookmarkStart w:id="314" w:name="_Toc184312115"/>
      <w:bookmarkEnd w:id="314"/>
      <w:bookmarkStart w:id="315" w:name="_Toc184308044"/>
      <w:bookmarkEnd w:id="315"/>
      <w:bookmarkStart w:id="316" w:name="_Toc184314463"/>
      <w:bookmarkEnd w:id="316"/>
      <w:bookmarkStart w:id="317" w:name="_Toc184312085"/>
      <w:bookmarkEnd w:id="317"/>
      <w:bookmarkStart w:id="318" w:name="_Toc184313309"/>
      <w:bookmarkEnd w:id="318"/>
      <w:bookmarkStart w:id="319" w:name="_Toc184312117"/>
      <w:bookmarkEnd w:id="319"/>
      <w:bookmarkStart w:id="320" w:name="_Toc184312114"/>
      <w:bookmarkEnd w:id="320"/>
      <w:bookmarkStart w:id="321" w:name="_Toc184308039"/>
      <w:bookmarkEnd w:id="321"/>
      <w:bookmarkStart w:id="322" w:name="_Toc184314429"/>
      <w:bookmarkEnd w:id="322"/>
      <w:bookmarkStart w:id="323" w:name="_Toc184310299"/>
      <w:bookmarkEnd w:id="323"/>
      <w:bookmarkStart w:id="324" w:name="_Toc184308103"/>
      <w:bookmarkEnd w:id="324"/>
      <w:bookmarkStart w:id="325" w:name="_Toc184313243"/>
      <w:bookmarkEnd w:id="325"/>
      <w:bookmarkStart w:id="326" w:name="_Toc184310304"/>
      <w:bookmarkEnd w:id="326"/>
      <w:bookmarkStart w:id="327" w:name="_Toc184314481"/>
      <w:bookmarkEnd w:id="327"/>
      <w:bookmarkStart w:id="328" w:name="_Toc184313305"/>
      <w:bookmarkEnd w:id="328"/>
      <w:bookmarkStart w:id="329" w:name="_Toc184313302"/>
      <w:bookmarkEnd w:id="329"/>
      <w:bookmarkStart w:id="330" w:name="_Toc184310342"/>
      <w:bookmarkEnd w:id="330"/>
      <w:bookmarkStart w:id="331" w:name="_Toc184308101"/>
      <w:bookmarkEnd w:id="331"/>
      <w:bookmarkStart w:id="332" w:name="_Toc184312091"/>
      <w:bookmarkEnd w:id="332"/>
      <w:bookmarkStart w:id="333" w:name="_Toc184312080"/>
      <w:bookmarkEnd w:id="333"/>
      <w:bookmarkStart w:id="334" w:name="_Toc184310336"/>
      <w:bookmarkEnd w:id="334"/>
      <w:bookmarkStart w:id="335" w:name="_Toc184308060"/>
      <w:bookmarkEnd w:id="335"/>
      <w:bookmarkStart w:id="336" w:name="_Toc184310325"/>
      <w:bookmarkEnd w:id="336"/>
      <w:bookmarkStart w:id="337" w:name="_Toc184308040"/>
      <w:bookmarkEnd w:id="337"/>
      <w:bookmarkStart w:id="338" w:name="_Toc184312125"/>
      <w:bookmarkEnd w:id="338"/>
      <w:bookmarkStart w:id="339" w:name="_Toc184314451"/>
      <w:bookmarkEnd w:id="339"/>
      <w:bookmarkStart w:id="340" w:name="_Toc184314412"/>
      <w:bookmarkEnd w:id="340"/>
      <w:bookmarkStart w:id="341" w:name="_Toc184308047"/>
      <w:bookmarkEnd w:id="341"/>
      <w:bookmarkStart w:id="342" w:name="_Toc184308068"/>
      <w:bookmarkEnd w:id="342"/>
      <w:bookmarkStart w:id="343" w:name="_Toc184314424"/>
      <w:bookmarkEnd w:id="343"/>
      <w:bookmarkStart w:id="344" w:name="_Toc184313261"/>
      <w:bookmarkEnd w:id="344"/>
      <w:bookmarkStart w:id="345" w:name="_Toc184314413"/>
      <w:bookmarkEnd w:id="345"/>
      <w:bookmarkStart w:id="346" w:name="_Toc184314438"/>
      <w:bookmarkEnd w:id="346"/>
      <w:bookmarkStart w:id="347" w:name="_Toc184308091"/>
      <w:bookmarkEnd w:id="347"/>
      <w:bookmarkStart w:id="348" w:name="_Toc184314446"/>
      <w:bookmarkEnd w:id="348"/>
      <w:bookmarkStart w:id="349" w:name="_Toc184313284"/>
      <w:bookmarkEnd w:id="349"/>
      <w:bookmarkStart w:id="350" w:name="_Toc184310273"/>
      <w:bookmarkEnd w:id="350"/>
      <w:bookmarkStart w:id="351" w:name="_Toc184314436"/>
      <w:bookmarkEnd w:id="351"/>
      <w:bookmarkStart w:id="352" w:name="_Toc184313260"/>
      <w:bookmarkEnd w:id="352"/>
      <w:bookmarkStart w:id="353" w:name="_Toc184310318"/>
      <w:bookmarkEnd w:id="353"/>
      <w:bookmarkStart w:id="354" w:name="_Toc184314427"/>
      <w:bookmarkEnd w:id="354"/>
      <w:bookmarkStart w:id="355" w:name="_Toc184312087"/>
      <w:bookmarkEnd w:id="355"/>
      <w:bookmarkStart w:id="356" w:name="_Toc184312093"/>
      <w:bookmarkEnd w:id="356"/>
      <w:bookmarkStart w:id="357" w:name="_Toc184313270"/>
      <w:bookmarkEnd w:id="357"/>
      <w:bookmarkStart w:id="358" w:name="_Toc184308066"/>
      <w:bookmarkEnd w:id="358"/>
      <w:bookmarkStart w:id="359" w:name="_Toc184310292"/>
      <w:bookmarkEnd w:id="359"/>
      <w:bookmarkStart w:id="360" w:name="_Toc184313288"/>
      <w:bookmarkEnd w:id="360"/>
      <w:bookmarkStart w:id="361" w:name="_Toc184314434"/>
      <w:bookmarkEnd w:id="361"/>
      <w:bookmarkStart w:id="362" w:name="_Toc184314467"/>
      <w:bookmarkEnd w:id="362"/>
      <w:bookmarkStart w:id="363" w:name="_Toc184308085"/>
      <w:bookmarkEnd w:id="363"/>
      <w:bookmarkStart w:id="364" w:name="_Toc184314419"/>
      <w:bookmarkEnd w:id="364"/>
      <w:bookmarkStart w:id="365" w:name="_Toc184310324"/>
      <w:bookmarkEnd w:id="365"/>
      <w:bookmarkStart w:id="366" w:name="_Toc184313290"/>
      <w:bookmarkEnd w:id="366"/>
      <w:bookmarkStart w:id="367" w:name="_Toc184313300"/>
      <w:bookmarkEnd w:id="367"/>
      <w:bookmarkStart w:id="368" w:name="_Toc184314477"/>
      <w:bookmarkEnd w:id="368"/>
      <w:bookmarkStart w:id="369" w:name="_Toc184313301"/>
      <w:bookmarkEnd w:id="369"/>
      <w:bookmarkStart w:id="370" w:name="_Toc184314443"/>
      <w:bookmarkEnd w:id="370"/>
      <w:bookmarkStart w:id="371" w:name="_Toc184313257"/>
      <w:bookmarkEnd w:id="371"/>
      <w:bookmarkStart w:id="372" w:name="_Toc184313307"/>
      <w:bookmarkEnd w:id="372"/>
      <w:bookmarkStart w:id="373" w:name="_Toc184313267"/>
      <w:bookmarkEnd w:id="373"/>
      <w:bookmarkStart w:id="374" w:name="_Toc184313310"/>
      <w:bookmarkEnd w:id="374"/>
      <w:bookmarkStart w:id="375" w:name="_Toc184314458"/>
      <w:bookmarkEnd w:id="375"/>
      <w:bookmarkStart w:id="376" w:name="_Toc184308062"/>
      <w:bookmarkEnd w:id="376"/>
      <w:bookmarkStart w:id="377" w:name="_Toc184308094"/>
      <w:bookmarkEnd w:id="377"/>
      <w:bookmarkStart w:id="378" w:name="_Toc184314473"/>
      <w:bookmarkEnd w:id="378"/>
      <w:bookmarkStart w:id="379" w:name="_Toc184310326"/>
      <w:bookmarkEnd w:id="379"/>
      <w:bookmarkStart w:id="380" w:name="_Toc184310322"/>
      <w:bookmarkEnd w:id="380"/>
      <w:bookmarkStart w:id="381" w:name="_Toc184313292"/>
      <w:bookmarkEnd w:id="381"/>
      <w:bookmarkStart w:id="382" w:name="_Toc184314480"/>
      <w:bookmarkEnd w:id="382"/>
      <w:bookmarkStart w:id="383" w:name="_Toc184314478"/>
      <w:bookmarkEnd w:id="383"/>
      <w:bookmarkStart w:id="384" w:name="_Toc184312068"/>
      <w:bookmarkEnd w:id="384"/>
      <w:bookmarkStart w:id="385" w:name="_Toc184314431"/>
      <w:bookmarkEnd w:id="385"/>
      <w:bookmarkStart w:id="386" w:name="_Toc184313285"/>
      <w:bookmarkEnd w:id="386"/>
      <w:bookmarkStart w:id="387" w:name="_Toc184314428"/>
      <w:bookmarkEnd w:id="387"/>
      <w:bookmarkStart w:id="388" w:name="_Toc184312126"/>
      <w:bookmarkEnd w:id="388"/>
      <w:bookmarkStart w:id="389" w:name="_Toc184314452"/>
      <w:bookmarkEnd w:id="389"/>
      <w:bookmarkStart w:id="390" w:name="_Toc184314461"/>
      <w:bookmarkEnd w:id="390"/>
      <w:bookmarkStart w:id="391" w:name="_Toc184312130"/>
      <w:bookmarkEnd w:id="391"/>
      <w:r>
        <w:rPr>
          <w:rFonts w:hint="eastAsia" w:ascii="宋体" w:hAnsi="宋体" w:cs="宋体"/>
          <w:b/>
          <w:sz w:val="36"/>
          <w:szCs w:val="36"/>
          <w:highlight w:val="none"/>
        </w:rPr>
        <w:br w:type="page"/>
      </w: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第四部分 评标办法</w:t>
      </w:r>
    </w:p>
    <w:p>
      <w:pPr>
        <w:jc w:val="center"/>
        <w:rPr>
          <w:rFonts w:ascii="宋体" w:hAnsi="宋体" w:cs="宋体"/>
          <w:b/>
          <w:bCs/>
          <w:sz w:val="32"/>
          <w:szCs w:val="32"/>
          <w:highlight w:val="none"/>
        </w:rPr>
      </w:pPr>
      <w:r>
        <w:rPr>
          <w:rFonts w:hint="eastAsia" w:ascii="宋体" w:hAnsi="宋体" w:cs="宋体"/>
          <w:b/>
          <w:bCs/>
          <w:sz w:val="32"/>
          <w:szCs w:val="32"/>
          <w:highlight w:val="none"/>
        </w:rPr>
        <w:t>评标办法前附表</w:t>
      </w:r>
    </w:p>
    <w:tbl>
      <w:tblPr>
        <w:tblStyle w:val="62"/>
        <w:tblpPr w:leftFromText="180" w:rightFromText="180" w:vertAnchor="text" w:horzAnchor="page" w:tblpX="1334" w:tblpY="618"/>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689"/>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08" w:type="pct"/>
            <w:vAlign w:val="center"/>
          </w:tcPr>
          <w:p>
            <w:pPr>
              <w:spacing w:line="276" w:lineRule="auto"/>
              <w:jc w:val="center"/>
              <w:outlineLvl w:val="0"/>
              <w:rPr>
                <w:rFonts w:ascii="宋体" w:hAnsi="宋体" w:cs="宋体"/>
                <w:bCs/>
                <w:szCs w:val="21"/>
                <w:highlight w:val="none"/>
              </w:rPr>
            </w:pPr>
            <w:r>
              <w:rPr>
                <w:rFonts w:hint="eastAsia" w:ascii="宋体" w:hAnsi="宋体" w:cs="宋体"/>
                <w:bCs/>
                <w:szCs w:val="21"/>
                <w:highlight w:val="none"/>
              </w:rPr>
              <w:t>序号</w:t>
            </w:r>
          </w:p>
        </w:tc>
        <w:tc>
          <w:tcPr>
            <w:tcW w:w="3982" w:type="pct"/>
            <w:vAlign w:val="center"/>
          </w:tcPr>
          <w:p>
            <w:pPr>
              <w:spacing w:line="276" w:lineRule="auto"/>
              <w:ind w:firstLine="29" w:firstLineChars="14"/>
              <w:jc w:val="center"/>
              <w:outlineLvl w:val="0"/>
              <w:rPr>
                <w:rFonts w:ascii="宋体" w:hAnsi="宋体" w:cs="宋体"/>
                <w:bCs/>
                <w:szCs w:val="21"/>
                <w:highlight w:val="none"/>
              </w:rPr>
            </w:pPr>
            <w:r>
              <w:rPr>
                <w:rFonts w:hint="eastAsia" w:ascii="宋体" w:hAnsi="宋体" w:cs="宋体"/>
                <w:bCs/>
                <w:szCs w:val="21"/>
                <w:highlight w:val="none"/>
              </w:rPr>
              <w:t>评标标准</w:t>
            </w:r>
          </w:p>
        </w:tc>
        <w:tc>
          <w:tcPr>
            <w:tcW w:w="508" w:type="pct"/>
            <w:vAlign w:val="center"/>
          </w:tcPr>
          <w:p>
            <w:pPr>
              <w:spacing w:line="276" w:lineRule="auto"/>
              <w:jc w:val="center"/>
              <w:outlineLvl w:val="0"/>
              <w:rPr>
                <w:rFonts w:ascii="宋体" w:hAnsi="宋体" w:cs="宋体"/>
                <w:bCs/>
                <w:szCs w:val="21"/>
                <w:highlight w:val="none"/>
              </w:rPr>
            </w:pPr>
            <w:r>
              <w:rPr>
                <w:rFonts w:hint="eastAsia" w:ascii="宋体" w:hAnsi="宋体" w:cs="宋体"/>
                <w:bCs/>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08" w:type="pct"/>
            <w:vAlign w:val="center"/>
          </w:tcPr>
          <w:p>
            <w:pPr>
              <w:spacing w:line="276" w:lineRule="auto"/>
              <w:ind w:firstLine="210" w:firstLineChars="100"/>
              <w:outlineLvl w:val="0"/>
              <w:rPr>
                <w:rFonts w:ascii="宋体" w:hAnsi="宋体" w:cs="宋体"/>
                <w:szCs w:val="21"/>
                <w:highlight w:val="none"/>
              </w:rPr>
            </w:pPr>
            <w:bookmarkStart w:id="392" w:name="OLE_LINK1" w:colFirst="2" w:colLast="2"/>
            <w:r>
              <w:rPr>
                <w:rFonts w:hint="eastAsia" w:ascii="宋体" w:hAnsi="宋体" w:cs="宋体"/>
                <w:szCs w:val="21"/>
                <w:highlight w:val="none"/>
              </w:rPr>
              <w:t xml:space="preserve">/ </w:t>
            </w:r>
          </w:p>
        </w:tc>
        <w:tc>
          <w:tcPr>
            <w:tcW w:w="3982" w:type="pct"/>
          </w:tcPr>
          <w:p>
            <w:pPr>
              <w:spacing w:line="276" w:lineRule="auto"/>
              <w:outlineLvl w:val="0"/>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有效投标报价的最低价作为评标基准价，其最低报价为满分；按［投标报价得分=（评标基准价/投标报价）*30］的计算公式计算。</w:t>
            </w:r>
          </w:p>
          <w:p>
            <w:pPr>
              <w:spacing w:line="276" w:lineRule="auto"/>
              <w:outlineLvl w:val="0"/>
              <w:rPr>
                <w:rFonts w:ascii="宋体" w:hAnsi="宋体" w:cs="宋体"/>
                <w:szCs w:val="21"/>
                <w:highlight w:val="none"/>
              </w:rPr>
            </w:pPr>
            <w:r>
              <w:rPr>
                <w:rFonts w:hint="eastAsia" w:ascii="宋体" w:hAnsi="宋体" w:cs="宋体"/>
                <w:szCs w:val="21"/>
                <w:highlight w:val="none"/>
              </w:rPr>
              <w:t>评标过程中，不得去掉报价中的最高报价和最低报价。</w:t>
            </w:r>
          </w:p>
          <w:p>
            <w:pPr>
              <w:spacing w:line="276" w:lineRule="auto"/>
              <w:outlineLvl w:val="0"/>
              <w:rPr>
                <w:rFonts w:ascii="宋体" w:hAnsi="宋体" w:cs="宋体"/>
                <w:szCs w:val="21"/>
                <w:highlight w:val="none"/>
              </w:rPr>
            </w:pPr>
            <w:r>
              <w:rPr>
                <w:rFonts w:hint="eastAsia" w:ascii="宋体" w:hAnsi="宋体" w:cs="宋体"/>
                <w:szCs w:val="21"/>
                <w:highlight w:val="none"/>
              </w:rPr>
              <w:t>因落实政府采购政策需要进行价格调整的，以调整后的价格计算评标基准价和投标报价。</w:t>
            </w:r>
          </w:p>
        </w:tc>
        <w:tc>
          <w:tcPr>
            <w:tcW w:w="508" w:type="pct"/>
            <w:vAlign w:val="center"/>
          </w:tcPr>
          <w:p>
            <w:pPr>
              <w:spacing w:line="276" w:lineRule="auto"/>
              <w:ind w:firstLine="105" w:firstLineChars="50"/>
              <w:jc w:val="center"/>
              <w:outlineLvl w:val="0"/>
              <w:rPr>
                <w:rFonts w:ascii="宋体" w:hAnsi="宋体" w:cs="宋体"/>
                <w:szCs w:val="21"/>
                <w:highlight w:val="none"/>
              </w:rPr>
            </w:pPr>
            <w:r>
              <w:rPr>
                <w:rFonts w:hint="eastAsia" w:ascii="宋体" w:hAnsi="宋体" w:cs="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1</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投标人自2020年1月1日以来承接过类似</w:t>
            </w:r>
            <w:r>
              <w:rPr>
                <w:rFonts w:hint="eastAsia" w:ascii="宋体" w:hAnsi="宋体" w:cs="宋体"/>
                <w:szCs w:val="21"/>
                <w:highlight w:val="none"/>
                <w:lang w:eastAsia="zh-CN"/>
              </w:rPr>
              <w:t>电子与智能化</w:t>
            </w:r>
            <w:r>
              <w:rPr>
                <w:rFonts w:hint="eastAsia" w:ascii="宋体" w:hAnsi="宋体" w:cs="宋体"/>
                <w:szCs w:val="21"/>
                <w:highlight w:val="none"/>
              </w:rPr>
              <w:t>项目业绩，每个得1分，最高</w:t>
            </w:r>
            <w:r>
              <w:rPr>
                <w:rFonts w:hint="eastAsia" w:ascii="宋体" w:hAnsi="宋体" w:cs="宋体"/>
                <w:szCs w:val="21"/>
                <w:highlight w:val="none"/>
                <w:lang w:val="en-US" w:eastAsia="zh-CN"/>
              </w:rPr>
              <w:t>3</w:t>
            </w:r>
            <w:r>
              <w:rPr>
                <w:rFonts w:hint="eastAsia" w:ascii="宋体" w:hAnsi="宋体" w:cs="宋体"/>
                <w:szCs w:val="21"/>
                <w:highlight w:val="none"/>
              </w:rPr>
              <w:t>分，业绩材料需提供合同复印件，时间以合同签订时间为准。</w:t>
            </w:r>
            <w:r>
              <w:rPr>
                <w:rFonts w:hint="eastAsia" w:ascii="宋体" w:hAnsi="宋体" w:cs="宋体"/>
                <w:szCs w:val="21"/>
                <w:highlight w:val="none"/>
                <w:lang w:eastAsia="zh-CN"/>
              </w:rPr>
              <w:t>【</w:t>
            </w:r>
            <w:r>
              <w:rPr>
                <w:rFonts w:hint="eastAsia" w:ascii="宋体" w:hAnsi="宋体" w:cs="宋体"/>
                <w:szCs w:val="21"/>
                <w:highlight w:val="none"/>
                <w:lang w:val="en-US" w:eastAsia="zh-CN"/>
              </w:rPr>
              <w:t>客观分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2</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投标人通过</w:t>
            </w:r>
            <w:r>
              <w:rPr>
                <w:rFonts w:hint="eastAsia" w:ascii="宋体" w:hAnsi="宋体" w:cs="宋体"/>
                <w:szCs w:val="21"/>
                <w:highlight w:val="none"/>
                <w:lang w:val="en-US" w:eastAsia="zh-CN"/>
              </w:rPr>
              <w:t>有效期内的</w:t>
            </w:r>
            <w:r>
              <w:rPr>
                <w:rFonts w:hint="eastAsia" w:ascii="宋体" w:hAnsi="宋体" w:cs="宋体"/>
                <w:szCs w:val="21"/>
                <w:highlight w:val="none"/>
              </w:rPr>
              <w:t>质量管理体系、环境认证体系、职业安全健康管理体系认证，每个得1分，最高得3分。</w:t>
            </w:r>
          </w:p>
          <w:p>
            <w:pPr>
              <w:spacing w:line="276" w:lineRule="auto"/>
              <w:outlineLvl w:val="0"/>
              <w:rPr>
                <w:rFonts w:hint="eastAsia" w:ascii="宋体" w:hAnsi="宋体" w:cs="宋体"/>
                <w:szCs w:val="21"/>
                <w:highlight w:val="none"/>
                <w:lang w:eastAsia="zh-CN"/>
              </w:rPr>
            </w:pPr>
            <w:r>
              <w:rPr>
                <w:rFonts w:hint="eastAsia" w:ascii="宋体" w:hAnsi="宋体" w:cs="宋体"/>
                <w:szCs w:val="21"/>
                <w:highlight w:val="none"/>
              </w:rPr>
              <w:t>说明：提供</w:t>
            </w:r>
            <w:r>
              <w:rPr>
                <w:rFonts w:hint="eastAsia" w:ascii="宋体" w:hAnsi="宋体" w:cs="宋体"/>
                <w:szCs w:val="21"/>
                <w:highlight w:val="none"/>
                <w:lang w:eastAsia="zh-CN"/>
              </w:rPr>
              <w:t>有效</w:t>
            </w:r>
            <w:r>
              <w:rPr>
                <w:rFonts w:hint="eastAsia" w:ascii="宋体" w:hAnsi="宋体" w:cs="宋体"/>
                <w:szCs w:val="21"/>
                <w:highlight w:val="none"/>
              </w:rPr>
              <w:t>证书复印件或扫描件</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客观分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3</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根据采购需求，投标人针对本项目的实施目标明确、内容完整得3分</w:t>
            </w:r>
            <w:r>
              <w:rPr>
                <w:rFonts w:hint="eastAsia" w:ascii="宋体" w:hAnsi="宋体" w:cs="宋体"/>
                <w:szCs w:val="21"/>
                <w:highlight w:val="none"/>
                <w:lang w:eastAsia="zh-CN"/>
              </w:rPr>
              <w:t>；</w:t>
            </w:r>
            <w:r>
              <w:rPr>
                <w:rFonts w:hint="eastAsia" w:ascii="宋体" w:hAnsi="宋体" w:cs="宋体"/>
                <w:szCs w:val="21"/>
                <w:highlight w:val="none"/>
              </w:rPr>
              <w:t>目标</w:t>
            </w:r>
            <w:r>
              <w:rPr>
                <w:rFonts w:hint="eastAsia" w:ascii="宋体" w:hAnsi="宋体" w:cs="宋体"/>
                <w:szCs w:val="21"/>
                <w:highlight w:val="none"/>
                <w:lang w:eastAsia="zh-CN"/>
              </w:rPr>
              <w:t>基本</w:t>
            </w:r>
            <w:r>
              <w:rPr>
                <w:rFonts w:hint="eastAsia" w:ascii="宋体" w:hAnsi="宋体" w:cs="宋体"/>
                <w:szCs w:val="21"/>
                <w:highlight w:val="none"/>
              </w:rPr>
              <w:t>明确、内容</w:t>
            </w:r>
            <w:r>
              <w:rPr>
                <w:rFonts w:hint="eastAsia" w:ascii="宋体" w:hAnsi="宋体" w:cs="宋体"/>
                <w:szCs w:val="21"/>
                <w:highlight w:val="none"/>
                <w:lang w:eastAsia="zh-CN"/>
              </w:rPr>
              <w:t>基本</w:t>
            </w:r>
            <w:r>
              <w:rPr>
                <w:rFonts w:hint="eastAsia" w:ascii="宋体" w:hAnsi="宋体" w:cs="宋体"/>
                <w:szCs w:val="21"/>
                <w:highlight w:val="none"/>
              </w:rPr>
              <w:t>完整得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目标</w:t>
            </w:r>
            <w:r>
              <w:rPr>
                <w:rFonts w:hint="eastAsia" w:ascii="宋体" w:hAnsi="宋体" w:cs="宋体"/>
                <w:szCs w:val="21"/>
                <w:highlight w:val="none"/>
                <w:lang w:eastAsia="zh-CN"/>
              </w:rPr>
              <w:t>较差</w:t>
            </w:r>
            <w:r>
              <w:rPr>
                <w:rFonts w:hint="eastAsia" w:ascii="宋体" w:hAnsi="宋体" w:cs="宋体"/>
                <w:szCs w:val="21"/>
                <w:highlight w:val="none"/>
              </w:rPr>
              <w:t>、内容</w:t>
            </w:r>
            <w:r>
              <w:rPr>
                <w:rFonts w:hint="eastAsia" w:ascii="宋体" w:hAnsi="宋体" w:cs="宋体"/>
                <w:szCs w:val="21"/>
                <w:highlight w:val="none"/>
                <w:lang w:eastAsia="zh-CN"/>
              </w:rPr>
              <w:t>缺失</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未提供项目实施目标内容的不得分。</w:t>
            </w:r>
          </w:p>
          <w:p>
            <w:pPr>
              <w:spacing w:line="276" w:lineRule="auto"/>
              <w:outlineLvl w:val="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主观分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4</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根据采购需求，投标人提供了</w:t>
            </w:r>
            <w:r>
              <w:rPr>
                <w:rFonts w:hint="eastAsia" w:ascii="宋体" w:hAnsi="宋体" w:cs="宋体"/>
                <w:szCs w:val="21"/>
                <w:highlight w:val="none"/>
                <w:lang w:eastAsia="zh-CN"/>
              </w:rPr>
              <w:t>完整</w:t>
            </w:r>
            <w:r>
              <w:rPr>
                <w:rFonts w:hint="eastAsia" w:ascii="宋体" w:hAnsi="宋体" w:cs="宋体"/>
                <w:szCs w:val="21"/>
                <w:highlight w:val="none"/>
                <w:lang w:val="en-US" w:eastAsia="zh-CN"/>
              </w:rPr>
              <w:t>项目集成、实施风险分析及应对</w:t>
            </w:r>
            <w:r>
              <w:rPr>
                <w:rFonts w:hint="eastAsia" w:ascii="宋体" w:hAnsi="宋体" w:cs="宋体"/>
                <w:szCs w:val="21"/>
                <w:highlight w:val="none"/>
                <w:lang w:eastAsia="zh-CN"/>
              </w:rPr>
              <w:t>，</w:t>
            </w:r>
            <w:r>
              <w:rPr>
                <w:rFonts w:hint="eastAsia" w:ascii="宋体" w:hAnsi="宋体" w:cs="宋体"/>
                <w:szCs w:val="21"/>
                <w:highlight w:val="none"/>
                <w:lang w:val="en-US" w:eastAsia="zh-CN"/>
              </w:rPr>
              <w:t>风险分析及应对内容针对性强的</w:t>
            </w:r>
            <w:r>
              <w:rPr>
                <w:rFonts w:hint="eastAsia" w:ascii="宋体" w:hAnsi="宋体" w:cs="宋体"/>
                <w:szCs w:val="21"/>
                <w:highlight w:val="none"/>
              </w:rPr>
              <w:t>得3分</w:t>
            </w:r>
            <w:r>
              <w:rPr>
                <w:rFonts w:hint="eastAsia" w:ascii="宋体" w:hAnsi="宋体" w:cs="宋体"/>
                <w:szCs w:val="21"/>
                <w:highlight w:val="none"/>
                <w:lang w:eastAsia="zh-CN"/>
              </w:rPr>
              <w:t>；</w:t>
            </w:r>
            <w:r>
              <w:rPr>
                <w:rFonts w:hint="eastAsia" w:ascii="宋体" w:hAnsi="宋体" w:cs="宋体"/>
                <w:szCs w:val="21"/>
                <w:highlight w:val="none"/>
                <w:lang w:val="en-US" w:eastAsia="zh-CN"/>
              </w:rPr>
              <w:t>风险分析及应对内容与</w:t>
            </w:r>
            <w:r>
              <w:rPr>
                <w:rFonts w:hint="eastAsia" w:ascii="宋体" w:hAnsi="宋体" w:cs="宋体"/>
                <w:szCs w:val="21"/>
                <w:highlight w:val="none"/>
                <w:lang w:eastAsia="zh-CN"/>
              </w:rPr>
              <w:t>项目实施基本吻合的</w:t>
            </w:r>
            <w:r>
              <w:rPr>
                <w:rFonts w:hint="eastAsia" w:ascii="宋体" w:hAnsi="宋体" w:cs="宋体"/>
                <w:szCs w:val="21"/>
                <w:highlight w:val="none"/>
                <w:lang w:val="en-US" w:eastAsia="zh-CN"/>
              </w:rPr>
              <w:t>得2分；风险分析及应对内容</w:t>
            </w:r>
            <w:r>
              <w:rPr>
                <w:rFonts w:hint="eastAsia" w:ascii="宋体" w:hAnsi="宋体" w:cs="宋体"/>
                <w:szCs w:val="21"/>
                <w:highlight w:val="none"/>
                <w:lang w:eastAsia="zh-CN"/>
              </w:rPr>
              <w:t>一般</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未提供</w:t>
            </w:r>
            <w:r>
              <w:rPr>
                <w:rFonts w:hint="eastAsia" w:ascii="宋体" w:hAnsi="宋体" w:cs="宋体"/>
                <w:szCs w:val="21"/>
                <w:highlight w:val="none"/>
                <w:lang w:eastAsia="zh-CN"/>
              </w:rPr>
              <w:t>完整风险</w:t>
            </w:r>
            <w:r>
              <w:rPr>
                <w:rFonts w:hint="eastAsia" w:ascii="宋体" w:hAnsi="宋体" w:cs="宋体"/>
                <w:szCs w:val="21"/>
                <w:highlight w:val="none"/>
                <w:lang w:val="en-US" w:eastAsia="zh-CN"/>
              </w:rPr>
              <w:t>分析及应对内容</w:t>
            </w:r>
            <w:r>
              <w:rPr>
                <w:rFonts w:hint="eastAsia" w:ascii="宋体" w:hAnsi="宋体" w:cs="宋体"/>
                <w:szCs w:val="21"/>
                <w:highlight w:val="none"/>
              </w:rPr>
              <w:t>的不得分。</w:t>
            </w:r>
          </w:p>
          <w:p>
            <w:pPr>
              <w:spacing w:line="276" w:lineRule="auto"/>
              <w:outlineLvl w:val="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主观分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5</w:t>
            </w:r>
          </w:p>
        </w:tc>
        <w:tc>
          <w:tcPr>
            <w:tcW w:w="3982" w:type="pct"/>
            <w:vAlign w:val="center"/>
          </w:tcPr>
          <w:p>
            <w:pPr>
              <w:spacing w:line="276" w:lineRule="auto"/>
              <w:outlineLvl w:val="0"/>
              <w:rPr>
                <w:rFonts w:hint="eastAsia" w:ascii="宋体" w:hAnsi="宋体" w:cs="宋体"/>
                <w:szCs w:val="21"/>
                <w:highlight w:val="none"/>
                <w:lang w:eastAsia="zh-CN"/>
              </w:rPr>
            </w:pPr>
            <w:r>
              <w:rPr>
                <w:rFonts w:hint="eastAsia" w:ascii="宋体" w:hAnsi="宋体" w:cs="宋体"/>
                <w:szCs w:val="21"/>
                <w:highlight w:val="none"/>
                <w:lang w:eastAsia="zh-CN"/>
              </w:rPr>
              <w:t>根据采购需求，投标人提供了项目实施重难点分析内容，重难点实施分析针对性强的得</w:t>
            </w:r>
            <w:r>
              <w:rPr>
                <w:rFonts w:hint="eastAsia" w:ascii="宋体" w:hAnsi="宋体" w:cs="宋体"/>
                <w:szCs w:val="21"/>
                <w:highlight w:val="none"/>
                <w:lang w:val="en-US" w:eastAsia="zh-CN"/>
              </w:rPr>
              <w:t>3分，</w:t>
            </w:r>
            <w:r>
              <w:rPr>
                <w:rFonts w:hint="eastAsia" w:ascii="宋体" w:hAnsi="宋体" w:cs="宋体"/>
                <w:szCs w:val="21"/>
                <w:highlight w:val="none"/>
                <w:lang w:eastAsia="zh-CN"/>
              </w:rPr>
              <w:t>重难点实施分析与项目实施基本吻合的得</w:t>
            </w:r>
            <w:r>
              <w:rPr>
                <w:rFonts w:hint="eastAsia" w:ascii="宋体" w:hAnsi="宋体" w:cs="宋体"/>
                <w:szCs w:val="21"/>
                <w:highlight w:val="none"/>
                <w:lang w:val="en-US" w:eastAsia="zh-CN"/>
              </w:rPr>
              <w:t>2分，</w:t>
            </w:r>
            <w:r>
              <w:rPr>
                <w:rFonts w:hint="eastAsia" w:ascii="宋体" w:hAnsi="宋体" w:cs="宋体"/>
                <w:szCs w:val="21"/>
                <w:highlight w:val="none"/>
                <w:lang w:eastAsia="zh-CN"/>
              </w:rPr>
              <w:t>重难点实施分析针对性一般得</w:t>
            </w:r>
            <w:r>
              <w:rPr>
                <w:rFonts w:hint="eastAsia" w:ascii="宋体" w:hAnsi="宋体" w:cs="宋体"/>
                <w:szCs w:val="21"/>
                <w:highlight w:val="none"/>
                <w:lang w:val="en-US" w:eastAsia="zh-CN"/>
              </w:rPr>
              <w:t>1分，未提供</w:t>
            </w:r>
            <w:r>
              <w:rPr>
                <w:rFonts w:hint="eastAsia" w:ascii="宋体" w:hAnsi="宋体" w:cs="宋体"/>
                <w:szCs w:val="21"/>
                <w:highlight w:val="none"/>
                <w:lang w:eastAsia="zh-CN"/>
              </w:rPr>
              <w:t>重难点实施分析或与项目需求不相符不得分。</w:t>
            </w:r>
          </w:p>
          <w:p>
            <w:pPr>
              <w:spacing w:line="276" w:lineRule="auto"/>
              <w:outlineLvl w:val="0"/>
              <w:rPr>
                <w:rFonts w:hint="eastAsia" w:ascii="宋体" w:hAnsi="宋体" w:cs="宋体"/>
                <w:szCs w:val="21"/>
                <w:highlight w:val="none"/>
              </w:rPr>
            </w:pP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6</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工作进度计划表、工作程序和步骤、管理和协调方法、关键节点的思路和要点内容完整、针对性强得3分；内容完整</w:t>
            </w:r>
            <w:r>
              <w:rPr>
                <w:rFonts w:hint="eastAsia" w:ascii="宋体" w:hAnsi="宋体" w:cs="宋体"/>
                <w:szCs w:val="21"/>
                <w:highlight w:val="none"/>
                <w:lang w:eastAsia="zh-CN"/>
              </w:rPr>
              <w:t>性</w:t>
            </w:r>
            <w:r>
              <w:rPr>
                <w:rFonts w:hint="eastAsia" w:ascii="宋体" w:hAnsi="宋体" w:cs="宋体"/>
                <w:szCs w:val="21"/>
                <w:highlight w:val="none"/>
              </w:rPr>
              <w:t>、针对性</w:t>
            </w:r>
            <w:r>
              <w:rPr>
                <w:rFonts w:hint="eastAsia" w:ascii="宋体" w:hAnsi="宋体" w:cs="宋体"/>
                <w:szCs w:val="21"/>
                <w:highlight w:val="none"/>
                <w:lang w:eastAsia="zh-CN"/>
              </w:rPr>
              <w:t>描述与项目实际基本符合</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分；内容一般</w:t>
            </w:r>
            <w:r>
              <w:rPr>
                <w:rFonts w:hint="eastAsia" w:ascii="宋体" w:hAnsi="宋体" w:cs="宋体"/>
                <w:szCs w:val="21"/>
                <w:highlight w:val="none"/>
                <w:lang w:eastAsia="zh-CN"/>
              </w:rPr>
              <w:t>或针对性差</w:t>
            </w:r>
            <w:r>
              <w:rPr>
                <w:rFonts w:hint="eastAsia" w:ascii="宋体" w:hAnsi="宋体" w:cs="宋体"/>
                <w:szCs w:val="21"/>
                <w:highlight w:val="none"/>
              </w:rPr>
              <w:t>得1分</w:t>
            </w:r>
            <w:r>
              <w:rPr>
                <w:rFonts w:hint="eastAsia" w:ascii="宋体" w:hAnsi="宋体" w:cs="宋体"/>
                <w:szCs w:val="21"/>
                <w:highlight w:val="none"/>
                <w:lang w:eastAsia="zh-CN"/>
              </w:rPr>
              <w:t>；</w:t>
            </w:r>
            <w:r>
              <w:rPr>
                <w:rFonts w:hint="eastAsia" w:ascii="宋体" w:hAnsi="宋体" w:cs="宋体"/>
                <w:szCs w:val="21"/>
                <w:highlight w:val="none"/>
              </w:rPr>
              <w:t>内容缺失不完善不得分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7</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产品供货、验货、安装调试、试运行、测试、调优等内容评审，内容完整、针对性强得3分；内容完整</w:t>
            </w:r>
            <w:r>
              <w:rPr>
                <w:rFonts w:hint="eastAsia" w:ascii="宋体" w:hAnsi="宋体" w:cs="宋体"/>
                <w:szCs w:val="21"/>
                <w:highlight w:val="none"/>
                <w:lang w:eastAsia="zh-CN"/>
              </w:rPr>
              <w:t>性</w:t>
            </w:r>
            <w:r>
              <w:rPr>
                <w:rFonts w:hint="eastAsia" w:ascii="宋体" w:hAnsi="宋体" w:cs="宋体"/>
                <w:szCs w:val="21"/>
                <w:highlight w:val="none"/>
              </w:rPr>
              <w:t>、针对性</w:t>
            </w:r>
            <w:r>
              <w:rPr>
                <w:rFonts w:hint="eastAsia" w:ascii="宋体" w:hAnsi="宋体" w:cs="宋体"/>
                <w:szCs w:val="21"/>
                <w:highlight w:val="none"/>
                <w:lang w:eastAsia="zh-CN"/>
              </w:rPr>
              <w:t>描述与项目实际基本符合</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分；内容完整</w:t>
            </w:r>
            <w:r>
              <w:rPr>
                <w:rFonts w:hint="eastAsia" w:ascii="宋体" w:hAnsi="宋体" w:cs="宋体"/>
                <w:szCs w:val="21"/>
                <w:highlight w:val="none"/>
                <w:lang w:eastAsia="zh-CN"/>
              </w:rPr>
              <w:t>性</w:t>
            </w:r>
            <w:r>
              <w:rPr>
                <w:rFonts w:hint="eastAsia" w:ascii="宋体" w:hAnsi="宋体" w:cs="宋体"/>
                <w:szCs w:val="21"/>
                <w:highlight w:val="none"/>
              </w:rPr>
              <w:t>、针对性一般得1分，内容缺失不完善不得分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8</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本次投标所提供产品的主要性能指标应满足本次招标文件第三部分“</w:t>
            </w:r>
            <w:r>
              <w:rPr>
                <w:rFonts w:hint="eastAsia" w:ascii="宋体" w:hAnsi="宋体" w:cs="宋体"/>
                <w:szCs w:val="21"/>
                <w:highlight w:val="none"/>
                <w:lang w:eastAsia="zh-CN"/>
              </w:rPr>
              <w:t>五、</w:t>
            </w:r>
            <w:r>
              <w:rPr>
                <w:rFonts w:hint="eastAsia" w:ascii="宋体" w:hAnsi="宋体" w:cs="宋体"/>
                <w:szCs w:val="21"/>
                <w:highlight w:val="none"/>
              </w:rPr>
              <w:t>项目技术要求”（标注▲条款除外），</w:t>
            </w:r>
            <w:r>
              <w:rPr>
                <w:rFonts w:hint="eastAsia" w:ascii="宋体" w:hAnsi="宋体" w:cs="宋体"/>
                <w:color w:val="auto"/>
                <w:szCs w:val="21"/>
                <w:highlight w:val="none"/>
              </w:rPr>
              <w:t>全部满足基本参数要求的得</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分。对于不满足要求的将进行扣分处理，技术参数负偏离一项扣减1分，◆条款的负偏离一项扣2分。如偏离项导致累计扣分达2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分以上的，</w:t>
            </w:r>
            <w:r>
              <w:rPr>
                <w:rFonts w:hint="eastAsia" w:ascii="宋体" w:hAnsi="宋体" w:cs="宋体"/>
                <w:color w:val="auto"/>
                <w:szCs w:val="21"/>
                <w:highlight w:val="none"/>
                <w:lang w:eastAsia="zh-CN"/>
              </w:rPr>
              <w:t>视为</w:t>
            </w:r>
            <w:r>
              <w:rPr>
                <w:rFonts w:hint="eastAsia" w:ascii="宋体" w:hAnsi="宋体" w:cs="宋体"/>
                <w:color w:val="auto"/>
                <w:szCs w:val="21"/>
                <w:highlight w:val="none"/>
              </w:rPr>
              <w:t>该设备将无法满足采购人的基本需求，其投标将被否决</w:t>
            </w:r>
            <w:r>
              <w:rPr>
                <w:rFonts w:hint="eastAsia" w:ascii="宋体" w:hAnsi="宋体" w:cs="宋体"/>
                <w:szCs w:val="21"/>
                <w:highlight w:val="none"/>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rPr>
              <w:t>（提供投标产品技术参数与采购需求技术参数的对照表，每一栏中如同时有多项要求的，每一项具体描述视为一项技术参数）</w:t>
            </w:r>
          </w:p>
          <w:p>
            <w:pPr>
              <w:spacing w:line="276" w:lineRule="auto"/>
              <w:outlineLvl w:val="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客观分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9</w:t>
            </w:r>
          </w:p>
        </w:tc>
        <w:tc>
          <w:tcPr>
            <w:tcW w:w="3982" w:type="pct"/>
            <w:vAlign w:val="center"/>
          </w:tcPr>
          <w:p>
            <w:pPr>
              <w:spacing w:line="276" w:lineRule="auto"/>
              <w:outlineLvl w:val="0"/>
              <w:rPr>
                <w:rFonts w:hint="eastAsia" w:ascii="宋体" w:hAnsi="宋体" w:cs="宋体"/>
                <w:szCs w:val="21"/>
                <w:highlight w:val="none"/>
                <w:lang w:eastAsia="zh-CN"/>
              </w:rPr>
            </w:pPr>
            <w:r>
              <w:rPr>
                <w:rFonts w:hint="eastAsia" w:ascii="宋体" w:hAnsi="宋体" w:cs="宋体"/>
                <w:szCs w:val="21"/>
                <w:highlight w:val="none"/>
              </w:rPr>
              <w:t>项目组成员情况</w:t>
            </w:r>
            <w:r>
              <w:rPr>
                <w:rFonts w:hint="eastAsia" w:ascii="宋体" w:hAnsi="宋体" w:cs="宋体"/>
                <w:szCs w:val="21"/>
                <w:highlight w:val="none"/>
                <w:lang w:eastAsia="zh-CN"/>
              </w:rPr>
              <w:t>：</w:t>
            </w:r>
          </w:p>
          <w:p>
            <w:pPr>
              <w:spacing w:line="276" w:lineRule="auto"/>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项目负责人具有中级及以上工程师职称证书的得</w:t>
            </w:r>
            <w:r>
              <w:rPr>
                <w:rFonts w:hint="eastAsia" w:ascii="宋体" w:hAnsi="宋体" w:cs="宋体"/>
                <w:szCs w:val="21"/>
                <w:highlight w:val="none"/>
                <w:lang w:val="en-US" w:eastAsia="zh-CN"/>
              </w:rPr>
              <w:t>2分，不满足不得分；</w:t>
            </w:r>
            <w:r>
              <w:rPr>
                <w:rFonts w:hint="eastAsia" w:ascii="宋体" w:hAnsi="宋体" w:cs="宋体"/>
                <w:szCs w:val="21"/>
                <w:highlight w:val="none"/>
              </w:rPr>
              <w:t>0-2分；</w:t>
            </w:r>
            <w:r>
              <w:rPr>
                <w:rFonts w:hint="eastAsia" w:ascii="宋体" w:hAnsi="宋体" w:cs="宋体"/>
                <w:szCs w:val="21"/>
                <w:highlight w:val="none"/>
                <w:lang w:eastAsia="zh-CN"/>
              </w:rPr>
              <w:t>【</w:t>
            </w:r>
            <w:r>
              <w:rPr>
                <w:rFonts w:hint="eastAsia" w:ascii="宋体" w:hAnsi="宋体" w:cs="宋体"/>
                <w:szCs w:val="21"/>
                <w:highlight w:val="none"/>
                <w:lang w:val="en-US" w:eastAsia="zh-CN"/>
              </w:rPr>
              <w:t>客观分</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团队人员技术能力、专业总体水平强</w:t>
            </w:r>
            <w:r>
              <w:rPr>
                <w:rFonts w:hint="eastAsia" w:ascii="宋体" w:hAnsi="宋体" w:cs="宋体"/>
                <w:szCs w:val="21"/>
                <w:highlight w:val="none"/>
                <w:lang w:eastAsia="zh-CN"/>
              </w:rPr>
              <w:t>的</w:t>
            </w:r>
            <w:r>
              <w:rPr>
                <w:rFonts w:hint="eastAsia" w:ascii="宋体" w:hAnsi="宋体" w:cs="宋体"/>
                <w:szCs w:val="21"/>
                <w:highlight w:val="none"/>
              </w:rPr>
              <w:t>得3分；团队人员技术能力、专业总体水平</w:t>
            </w:r>
            <w:r>
              <w:rPr>
                <w:rFonts w:hint="eastAsia" w:ascii="宋体" w:hAnsi="宋体" w:cs="宋体"/>
                <w:szCs w:val="21"/>
                <w:highlight w:val="none"/>
                <w:lang w:eastAsia="zh-CN"/>
              </w:rPr>
              <w:t>基本满足项目实施的</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团队人员技术能力、专业总体水平</w:t>
            </w:r>
            <w:r>
              <w:rPr>
                <w:rFonts w:hint="eastAsia" w:ascii="宋体" w:hAnsi="宋体" w:cs="宋体"/>
                <w:szCs w:val="21"/>
                <w:highlight w:val="none"/>
                <w:lang w:eastAsia="zh-CN"/>
              </w:rPr>
              <w:t>一般</w:t>
            </w:r>
            <w:r>
              <w:rPr>
                <w:rFonts w:hint="eastAsia" w:ascii="宋体" w:hAnsi="宋体" w:cs="宋体"/>
                <w:szCs w:val="21"/>
                <w:highlight w:val="none"/>
              </w:rPr>
              <w:t>得1分；团队人员技术能力、专业总体水平弱的不得分；0-</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团队人员</w:t>
            </w:r>
            <w:r>
              <w:rPr>
                <w:rFonts w:hint="eastAsia" w:ascii="宋体" w:hAnsi="宋体" w:cs="宋体"/>
                <w:szCs w:val="21"/>
                <w:highlight w:val="none"/>
                <w:lang w:eastAsia="zh-CN"/>
              </w:rPr>
              <w:t>数量</w:t>
            </w:r>
            <w:r>
              <w:rPr>
                <w:rFonts w:hint="eastAsia" w:ascii="宋体" w:hAnsi="宋体" w:cs="宋体"/>
                <w:szCs w:val="21"/>
                <w:highlight w:val="none"/>
              </w:rPr>
              <w:t>配置合理的得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人员</w:t>
            </w:r>
            <w:r>
              <w:rPr>
                <w:rFonts w:hint="eastAsia" w:ascii="宋体" w:hAnsi="宋体" w:cs="宋体"/>
                <w:szCs w:val="21"/>
                <w:highlight w:val="none"/>
              </w:rPr>
              <w:t>配置</w:t>
            </w:r>
            <w:r>
              <w:rPr>
                <w:rFonts w:hint="eastAsia" w:ascii="宋体" w:hAnsi="宋体" w:cs="宋体"/>
                <w:szCs w:val="21"/>
                <w:highlight w:val="none"/>
                <w:lang w:eastAsia="zh-CN"/>
              </w:rPr>
              <w:t>基本合理得</w:t>
            </w:r>
            <w:r>
              <w:rPr>
                <w:rFonts w:hint="eastAsia" w:ascii="宋体" w:hAnsi="宋体" w:cs="宋体"/>
                <w:szCs w:val="21"/>
                <w:highlight w:val="none"/>
                <w:lang w:val="en-US" w:eastAsia="zh-CN"/>
              </w:rPr>
              <w:t>2分，</w:t>
            </w:r>
            <w:r>
              <w:rPr>
                <w:rFonts w:hint="eastAsia" w:ascii="宋体" w:hAnsi="宋体" w:cs="宋体"/>
                <w:szCs w:val="21"/>
                <w:highlight w:val="none"/>
              </w:rPr>
              <w:t>合理性一般</w:t>
            </w:r>
            <w:r>
              <w:rPr>
                <w:rFonts w:hint="eastAsia" w:ascii="宋体" w:hAnsi="宋体" w:cs="宋体"/>
                <w:szCs w:val="21"/>
                <w:highlight w:val="none"/>
                <w:lang w:eastAsia="zh-CN"/>
              </w:rPr>
              <w:t>的</w:t>
            </w:r>
            <w:r>
              <w:rPr>
                <w:rFonts w:hint="eastAsia" w:ascii="宋体" w:hAnsi="宋体" w:cs="宋体"/>
                <w:szCs w:val="21"/>
                <w:highlight w:val="none"/>
              </w:rPr>
              <w:t>得1分</w:t>
            </w:r>
            <w:r>
              <w:rPr>
                <w:rFonts w:hint="eastAsia" w:ascii="宋体" w:hAnsi="宋体" w:cs="宋体"/>
                <w:szCs w:val="21"/>
                <w:highlight w:val="none"/>
                <w:lang w:eastAsia="zh-CN"/>
              </w:rPr>
              <w:t>，人员</w:t>
            </w:r>
            <w:r>
              <w:rPr>
                <w:rFonts w:hint="eastAsia" w:ascii="宋体" w:hAnsi="宋体" w:cs="宋体"/>
                <w:szCs w:val="21"/>
                <w:highlight w:val="none"/>
              </w:rPr>
              <w:t>配置合理性差</w:t>
            </w:r>
            <w:r>
              <w:rPr>
                <w:rFonts w:hint="eastAsia" w:ascii="宋体" w:hAnsi="宋体" w:cs="宋体"/>
                <w:szCs w:val="21"/>
                <w:highlight w:val="none"/>
                <w:lang w:eastAsia="zh-CN"/>
              </w:rPr>
              <w:t>的</w:t>
            </w:r>
            <w:r>
              <w:rPr>
                <w:rFonts w:hint="eastAsia" w:ascii="宋体" w:hAnsi="宋体" w:cs="宋体"/>
                <w:szCs w:val="21"/>
                <w:highlight w:val="none"/>
              </w:rPr>
              <w:t>不得分</w:t>
            </w:r>
            <w:r>
              <w:rPr>
                <w:rFonts w:hint="eastAsia" w:ascii="宋体" w:hAnsi="宋体" w:cs="宋体"/>
                <w:szCs w:val="21"/>
                <w:highlight w:val="none"/>
                <w:lang w:eastAsia="zh-CN"/>
              </w:rPr>
              <w:t>；</w:t>
            </w: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rPr>
              <w:t>注：提供以上所有人员证书复印件及在投标人单位最近3个月内任一时间的社保</w:t>
            </w:r>
            <w:r>
              <w:rPr>
                <w:rFonts w:hint="eastAsia" w:ascii="宋体" w:hAnsi="宋体" w:cs="宋体"/>
                <w:szCs w:val="21"/>
                <w:highlight w:val="none"/>
                <w:lang w:eastAsia="zh-CN"/>
              </w:rPr>
              <w:t>缴纳</w:t>
            </w:r>
            <w:r>
              <w:rPr>
                <w:rFonts w:hint="eastAsia" w:ascii="宋体" w:hAnsi="宋体" w:cs="宋体"/>
                <w:szCs w:val="21"/>
                <w:highlight w:val="none"/>
              </w:rPr>
              <w:t>证明，否则此项不得分。</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10</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售后服务：</w:t>
            </w:r>
          </w:p>
          <w:p>
            <w:pPr>
              <w:spacing w:line="276" w:lineRule="auto"/>
              <w:outlineLvl w:val="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售后服务方案</w:t>
            </w:r>
            <w:r>
              <w:rPr>
                <w:rFonts w:hint="eastAsia" w:ascii="宋体" w:hAnsi="宋体" w:cs="宋体"/>
                <w:szCs w:val="21"/>
                <w:highlight w:val="none"/>
                <w:lang w:eastAsia="zh-CN"/>
              </w:rPr>
              <w:t>内容完整、服务事项</w:t>
            </w:r>
            <w:r>
              <w:rPr>
                <w:rFonts w:hint="eastAsia" w:ascii="宋体" w:hAnsi="宋体" w:cs="宋体"/>
                <w:szCs w:val="21"/>
                <w:highlight w:val="none"/>
              </w:rPr>
              <w:t>明确具体、针对性强得3分；</w:t>
            </w:r>
            <w:r>
              <w:rPr>
                <w:rFonts w:hint="eastAsia" w:ascii="宋体" w:hAnsi="宋体" w:cs="宋体"/>
                <w:szCs w:val="21"/>
                <w:highlight w:val="none"/>
                <w:lang w:eastAsia="zh-CN"/>
              </w:rPr>
              <w:t>服务</w:t>
            </w:r>
            <w:r>
              <w:rPr>
                <w:rFonts w:hint="eastAsia" w:ascii="宋体" w:hAnsi="宋体" w:cs="宋体"/>
                <w:szCs w:val="21"/>
                <w:highlight w:val="none"/>
              </w:rPr>
              <w:t>方案内容</w:t>
            </w:r>
            <w:r>
              <w:rPr>
                <w:rFonts w:hint="eastAsia" w:ascii="宋体" w:hAnsi="宋体" w:cs="宋体"/>
                <w:szCs w:val="21"/>
                <w:highlight w:val="none"/>
                <w:lang w:eastAsia="zh-CN"/>
              </w:rPr>
              <w:t>基本完整</w:t>
            </w:r>
            <w:r>
              <w:rPr>
                <w:rFonts w:hint="eastAsia" w:ascii="宋体" w:hAnsi="宋体" w:cs="宋体"/>
                <w:szCs w:val="21"/>
                <w:highlight w:val="none"/>
              </w:rPr>
              <w:t>、</w:t>
            </w:r>
            <w:r>
              <w:rPr>
                <w:rFonts w:hint="eastAsia" w:ascii="宋体" w:hAnsi="宋体" w:cs="宋体"/>
                <w:szCs w:val="21"/>
                <w:highlight w:val="none"/>
                <w:lang w:eastAsia="zh-CN"/>
              </w:rPr>
              <w:t>服务事项</w:t>
            </w:r>
            <w:r>
              <w:rPr>
                <w:rFonts w:hint="eastAsia" w:ascii="宋体" w:hAnsi="宋体" w:cs="宋体"/>
                <w:szCs w:val="21"/>
                <w:highlight w:val="none"/>
              </w:rPr>
              <w:t>、针对性</w:t>
            </w:r>
            <w:r>
              <w:rPr>
                <w:rFonts w:hint="eastAsia" w:ascii="宋体" w:hAnsi="宋体" w:cs="宋体"/>
                <w:szCs w:val="21"/>
                <w:highlight w:val="none"/>
                <w:lang w:eastAsia="zh-CN"/>
              </w:rPr>
              <w:t>尚可</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服务</w:t>
            </w:r>
            <w:r>
              <w:rPr>
                <w:rFonts w:hint="eastAsia" w:ascii="宋体" w:hAnsi="宋体" w:cs="宋体"/>
                <w:szCs w:val="21"/>
                <w:highlight w:val="none"/>
              </w:rPr>
              <w:t>方案内容</w:t>
            </w:r>
            <w:r>
              <w:rPr>
                <w:rFonts w:hint="eastAsia" w:ascii="宋体" w:hAnsi="宋体" w:cs="宋体"/>
                <w:szCs w:val="21"/>
                <w:highlight w:val="none"/>
                <w:lang w:eastAsia="zh-CN"/>
              </w:rPr>
              <w:t>一般、服务事项</w:t>
            </w:r>
            <w:r>
              <w:rPr>
                <w:rFonts w:hint="eastAsia" w:ascii="宋体" w:hAnsi="宋体" w:cs="宋体"/>
                <w:szCs w:val="21"/>
                <w:highlight w:val="none"/>
              </w:rPr>
              <w:t>、针对性</w:t>
            </w:r>
            <w:r>
              <w:rPr>
                <w:rFonts w:hint="eastAsia" w:ascii="宋体" w:hAnsi="宋体" w:cs="宋体"/>
                <w:szCs w:val="21"/>
                <w:highlight w:val="none"/>
                <w:lang w:eastAsia="zh-CN"/>
              </w:rPr>
              <w:t>一般的</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无售后方案及服务人员不得分；0-3分；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投标人</w:t>
            </w:r>
            <w:r>
              <w:rPr>
                <w:rFonts w:hint="eastAsia" w:ascii="宋体" w:hAnsi="宋体" w:cs="宋体"/>
                <w:szCs w:val="21"/>
                <w:highlight w:val="none"/>
                <w:lang w:eastAsia="zh-CN"/>
              </w:rPr>
              <w:t>对售后</w:t>
            </w:r>
            <w:r>
              <w:rPr>
                <w:rFonts w:hint="eastAsia" w:ascii="宋体" w:hAnsi="宋体" w:cs="宋体"/>
                <w:szCs w:val="21"/>
                <w:highlight w:val="none"/>
              </w:rPr>
              <w:t>服务承诺</w:t>
            </w:r>
            <w:r>
              <w:rPr>
                <w:rFonts w:hint="eastAsia" w:ascii="宋体" w:hAnsi="宋体" w:cs="宋体"/>
                <w:szCs w:val="21"/>
                <w:highlight w:val="none"/>
                <w:lang w:eastAsia="zh-CN"/>
              </w:rPr>
              <w:t>内容的具体</w:t>
            </w:r>
            <w:r>
              <w:rPr>
                <w:rFonts w:hint="eastAsia" w:ascii="宋体" w:hAnsi="宋体" w:cs="宋体"/>
                <w:szCs w:val="21"/>
                <w:highlight w:val="none"/>
              </w:rPr>
              <w:t>落实保障措施以及突发事件的应急措施，针对性强</w:t>
            </w:r>
            <w:r>
              <w:rPr>
                <w:rFonts w:hint="eastAsia" w:ascii="宋体" w:hAnsi="宋体" w:cs="宋体"/>
                <w:szCs w:val="21"/>
                <w:highlight w:val="none"/>
                <w:lang w:eastAsia="zh-CN"/>
              </w:rPr>
              <w:t>的</w:t>
            </w:r>
            <w:r>
              <w:rPr>
                <w:rFonts w:hint="eastAsia" w:ascii="宋体" w:hAnsi="宋体" w:cs="宋体"/>
                <w:szCs w:val="21"/>
                <w:highlight w:val="none"/>
              </w:rPr>
              <w:t>得3分；针对性</w:t>
            </w:r>
            <w:r>
              <w:rPr>
                <w:rFonts w:hint="eastAsia" w:ascii="宋体" w:hAnsi="宋体" w:cs="宋体"/>
                <w:szCs w:val="21"/>
                <w:highlight w:val="none"/>
                <w:lang w:eastAsia="zh-CN"/>
              </w:rPr>
              <w:t>尚可</w:t>
            </w:r>
            <w:r>
              <w:rPr>
                <w:rFonts w:hint="eastAsia" w:ascii="宋体" w:hAnsi="宋体" w:cs="宋体"/>
                <w:szCs w:val="21"/>
                <w:highlight w:val="none"/>
              </w:rPr>
              <w:t>得1分；针对性一般得1分；不具有针对性的不得分：0-3分；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质保期，在满足招标文件的基础上，网络交换机设备产品的质保期每延长1年得0.5分，最高得1分；0-</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【客</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p>
            <w:pPr>
              <w:spacing w:line="276" w:lineRule="auto"/>
              <w:outlineLvl w:val="0"/>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w:t>
            </w:r>
            <w:r>
              <w:rPr>
                <w:rFonts w:hint="eastAsia" w:ascii="宋体" w:hAnsi="宋体" w:cs="宋体"/>
                <w:szCs w:val="21"/>
                <w:highlight w:val="none"/>
              </w:rPr>
              <w:t>投标设备的配件、附件、备品备件的准备和保障措施情况（不允许出现报价），配件、附件、备品备件准备充足，数量内容具体的得2分；配件、附件、备品备件准备一般，数量内容一般的得1分；未体现相关内容的不得分</w:t>
            </w:r>
            <w:r>
              <w:rPr>
                <w:rFonts w:hint="eastAsia" w:ascii="宋体" w:hAnsi="宋体" w:cs="宋体"/>
                <w:szCs w:val="21"/>
                <w:highlight w:val="none"/>
                <w:lang w:eastAsia="zh-CN"/>
              </w:rPr>
              <w:t>；</w:t>
            </w:r>
            <w:r>
              <w:rPr>
                <w:rFonts w:hint="eastAsia" w:ascii="宋体" w:hAnsi="宋体" w:cs="宋体"/>
                <w:szCs w:val="21"/>
                <w:highlight w:val="none"/>
              </w:rPr>
              <w:t>0-</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11</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培训方案</w:t>
            </w:r>
            <w:r>
              <w:rPr>
                <w:rFonts w:hint="eastAsia" w:ascii="宋体" w:hAnsi="宋体" w:cs="宋体"/>
                <w:szCs w:val="21"/>
                <w:highlight w:val="none"/>
                <w:lang w:eastAsia="zh-CN"/>
              </w:rPr>
              <w:t>（计划）内容完善、全面、针对性强</w:t>
            </w:r>
            <w:r>
              <w:rPr>
                <w:rFonts w:hint="eastAsia" w:ascii="宋体" w:hAnsi="宋体" w:cs="宋体"/>
                <w:szCs w:val="21"/>
                <w:highlight w:val="none"/>
              </w:rPr>
              <w:t>得3分；培训方案</w:t>
            </w:r>
            <w:r>
              <w:rPr>
                <w:rFonts w:hint="eastAsia" w:ascii="宋体" w:hAnsi="宋体" w:cs="宋体"/>
                <w:szCs w:val="21"/>
                <w:highlight w:val="none"/>
                <w:lang w:eastAsia="zh-CN"/>
              </w:rPr>
              <w:t>（计划）内容基本完善、内容针对性尚可</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方案</w:t>
            </w:r>
            <w:r>
              <w:rPr>
                <w:rFonts w:hint="eastAsia" w:ascii="宋体" w:hAnsi="宋体" w:cs="宋体"/>
                <w:szCs w:val="21"/>
                <w:highlight w:val="none"/>
                <w:lang w:eastAsia="zh-CN"/>
              </w:rPr>
              <w:t>（计划）内容一般、针对性弱</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分；方案</w:t>
            </w:r>
            <w:r>
              <w:rPr>
                <w:rFonts w:hint="eastAsia" w:ascii="宋体" w:hAnsi="宋体" w:cs="宋体"/>
                <w:szCs w:val="21"/>
                <w:highlight w:val="none"/>
                <w:lang w:eastAsia="zh-CN"/>
              </w:rPr>
              <w:t>（计划）内容</w:t>
            </w:r>
            <w:r>
              <w:rPr>
                <w:rFonts w:hint="eastAsia" w:ascii="宋体" w:hAnsi="宋体" w:cs="宋体"/>
                <w:szCs w:val="21"/>
                <w:highlight w:val="none"/>
              </w:rPr>
              <w:t>不具有针对性的不得分。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8" w:type="pct"/>
            <w:vAlign w:val="center"/>
          </w:tcPr>
          <w:p>
            <w:pPr>
              <w:spacing w:line="276" w:lineRule="auto"/>
              <w:jc w:val="center"/>
              <w:outlineLvl w:val="0"/>
              <w:rPr>
                <w:rFonts w:ascii="宋体" w:hAnsi="宋体" w:cs="宋体"/>
                <w:szCs w:val="21"/>
                <w:highlight w:val="none"/>
              </w:rPr>
            </w:pPr>
            <w:r>
              <w:rPr>
                <w:rFonts w:hint="eastAsia" w:ascii="宋体" w:hAnsi="宋体" w:cs="宋体"/>
                <w:szCs w:val="21"/>
                <w:highlight w:val="none"/>
              </w:rPr>
              <w:t>12</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lang w:eastAsia="zh-CN"/>
              </w:rPr>
              <w:t>为保障培训质量，</w:t>
            </w:r>
            <w:r>
              <w:rPr>
                <w:rFonts w:hint="eastAsia" w:ascii="宋体" w:hAnsi="宋体" w:cs="宋体"/>
                <w:szCs w:val="21"/>
                <w:highlight w:val="none"/>
                <w:lang w:val="en-US" w:eastAsia="zh-CN"/>
              </w:rPr>
              <w:t>投标人所落实的相关措施、保障方案，</w:t>
            </w:r>
            <w:r>
              <w:rPr>
                <w:rFonts w:hint="eastAsia" w:ascii="宋体" w:hAnsi="宋体" w:cs="宋体"/>
                <w:szCs w:val="21"/>
                <w:highlight w:val="none"/>
                <w:lang w:eastAsia="zh-CN"/>
              </w:rPr>
              <w:t>针对性强的得</w:t>
            </w:r>
            <w:r>
              <w:rPr>
                <w:rFonts w:hint="eastAsia" w:ascii="宋体" w:hAnsi="宋体" w:cs="宋体"/>
                <w:szCs w:val="21"/>
                <w:highlight w:val="none"/>
                <w:lang w:val="en-US" w:eastAsia="zh-CN"/>
              </w:rPr>
              <w:t>2</w:t>
            </w:r>
            <w:r>
              <w:rPr>
                <w:rFonts w:hint="eastAsia" w:ascii="宋体" w:hAnsi="宋体" w:cs="宋体"/>
                <w:szCs w:val="21"/>
                <w:highlight w:val="none"/>
                <w:lang w:eastAsia="zh-CN"/>
              </w:rPr>
              <w:t>分；针对性一般得1分；不具有针对性的不得分。【主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8" w:type="pct"/>
            <w:vAlign w:val="center"/>
          </w:tcPr>
          <w:p>
            <w:pPr>
              <w:spacing w:line="276" w:lineRule="auto"/>
              <w:jc w:val="center"/>
              <w:outlineLvl w:val="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w:t>
            </w:r>
          </w:p>
        </w:tc>
        <w:tc>
          <w:tcPr>
            <w:tcW w:w="3982" w:type="pct"/>
            <w:vAlign w:val="center"/>
          </w:tcPr>
          <w:p>
            <w:pPr>
              <w:spacing w:line="276" w:lineRule="auto"/>
              <w:outlineLvl w:val="0"/>
              <w:rPr>
                <w:rFonts w:hint="eastAsia" w:ascii="宋体" w:hAnsi="宋体" w:cs="宋体"/>
                <w:szCs w:val="21"/>
                <w:highlight w:val="none"/>
                <w:lang w:eastAsia="zh-CN"/>
              </w:rPr>
            </w:pPr>
            <w:r>
              <w:rPr>
                <w:rFonts w:hint="eastAsia" w:ascii="宋体" w:hAnsi="宋体" w:cs="宋体"/>
                <w:szCs w:val="21"/>
                <w:highlight w:val="none"/>
              </w:rPr>
              <w:t>调试验收：根据项目实施要求，投标人提供的调试验收配合工作内容针对性强得</w:t>
            </w:r>
            <w:r>
              <w:rPr>
                <w:rFonts w:hint="eastAsia" w:ascii="宋体" w:hAnsi="宋体" w:cs="宋体"/>
                <w:szCs w:val="21"/>
                <w:highlight w:val="none"/>
                <w:lang w:val="en-US" w:eastAsia="zh-CN"/>
              </w:rPr>
              <w:t>2</w:t>
            </w:r>
            <w:r>
              <w:rPr>
                <w:rFonts w:hint="eastAsia" w:ascii="宋体" w:hAnsi="宋体" w:cs="宋体"/>
                <w:szCs w:val="21"/>
                <w:highlight w:val="none"/>
              </w:rPr>
              <w:t>分；内容针对性一般得1分；内容缺失未体现的不得分。</w:t>
            </w:r>
            <w:r>
              <w:rPr>
                <w:rFonts w:hint="eastAsia" w:ascii="宋体" w:hAnsi="宋体" w:cs="宋体"/>
                <w:szCs w:val="21"/>
                <w:highlight w:val="none"/>
                <w:lang w:eastAsia="zh-CN"/>
              </w:rPr>
              <w:t>【主</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8" w:type="pct"/>
            <w:vAlign w:val="center"/>
          </w:tcPr>
          <w:p>
            <w:pPr>
              <w:spacing w:line="276" w:lineRule="auto"/>
              <w:jc w:val="center"/>
              <w:outlineLvl w:val="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14</w:t>
            </w:r>
          </w:p>
        </w:tc>
        <w:tc>
          <w:tcPr>
            <w:tcW w:w="3982" w:type="pct"/>
            <w:vAlign w:val="center"/>
          </w:tcPr>
          <w:p>
            <w:pPr>
              <w:spacing w:line="276" w:lineRule="auto"/>
              <w:outlineLvl w:val="0"/>
              <w:rPr>
                <w:rFonts w:hint="eastAsia" w:ascii="宋体" w:hAnsi="宋体" w:cs="宋体"/>
                <w:szCs w:val="21"/>
                <w:highlight w:val="none"/>
              </w:rPr>
            </w:pPr>
            <w:r>
              <w:rPr>
                <w:rFonts w:hint="eastAsia" w:ascii="宋体" w:hAnsi="宋体" w:cs="宋体"/>
                <w:szCs w:val="21"/>
                <w:highlight w:val="none"/>
              </w:rPr>
              <w:t>政策功能：1、提供投标产品环境标志产品认证证书的（有效期内），得0.5分；</w:t>
            </w:r>
          </w:p>
          <w:p>
            <w:pPr>
              <w:spacing w:line="276" w:lineRule="auto"/>
              <w:outlineLvl w:val="0"/>
              <w:rPr>
                <w:rFonts w:hint="eastAsia" w:ascii="宋体" w:hAnsi="宋体" w:cs="宋体"/>
                <w:szCs w:val="21"/>
                <w:highlight w:val="none"/>
                <w:lang w:eastAsia="zh-CN"/>
              </w:rPr>
            </w:pPr>
            <w:r>
              <w:rPr>
                <w:rFonts w:hint="eastAsia" w:ascii="宋体" w:hAnsi="宋体" w:cs="宋体"/>
                <w:szCs w:val="21"/>
                <w:highlight w:val="none"/>
              </w:rPr>
              <w:t>2、提供投标产品节能产品认证证书的（有效期内），得0.5分。</w:t>
            </w:r>
            <w:r>
              <w:rPr>
                <w:rFonts w:hint="eastAsia" w:ascii="宋体" w:hAnsi="宋体" w:cs="宋体"/>
                <w:szCs w:val="21"/>
                <w:highlight w:val="none"/>
                <w:lang w:eastAsia="zh-CN"/>
              </w:rPr>
              <w:t>【客</w:t>
            </w:r>
            <w:r>
              <w:rPr>
                <w:rFonts w:hint="eastAsia" w:ascii="宋体" w:hAnsi="宋体" w:cs="宋体"/>
                <w:szCs w:val="21"/>
                <w:highlight w:val="none"/>
                <w:lang w:val="en-US" w:eastAsia="zh-CN"/>
              </w:rPr>
              <w:t>观分</w:t>
            </w:r>
            <w:r>
              <w:rPr>
                <w:rFonts w:hint="eastAsia" w:ascii="宋体" w:hAnsi="宋体" w:cs="宋体"/>
                <w:szCs w:val="21"/>
                <w:highlight w:val="none"/>
                <w:lang w:eastAsia="zh-CN"/>
              </w:rPr>
              <w:t>】</w:t>
            </w:r>
          </w:p>
        </w:tc>
        <w:tc>
          <w:tcPr>
            <w:tcW w:w="508" w:type="pct"/>
            <w:vAlign w:val="center"/>
          </w:tcPr>
          <w:p>
            <w:pPr>
              <w:spacing w:line="276" w:lineRule="auto"/>
              <w:jc w:val="center"/>
              <w:outlineLvl w:val="0"/>
              <w:rPr>
                <w:rFonts w:hint="eastAsia" w:ascii="宋体" w:hAnsi="宋体" w:cs="宋体"/>
                <w:szCs w:val="21"/>
                <w:highlight w:val="none"/>
              </w:rPr>
            </w:pPr>
            <w:r>
              <w:rPr>
                <w:rFonts w:hint="eastAsia" w:ascii="宋体" w:hAnsi="宋体" w:cs="宋体"/>
                <w:szCs w:val="21"/>
                <w:highlight w:val="none"/>
              </w:rPr>
              <w:t>1</w:t>
            </w:r>
          </w:p>
        </w:tc>
      </w:tr>
      <w:bookmarkEnd w:id="392"/>
    </w:tbl>
    <w:p>
      <w:pPr>
        <w:snapToGrid w:val="0"/>
        <w:spacing w:line="360" w:lineRule="auto"/>
        <w:jc w:val="center"/>
        <w:rPr>
          <w:rFonts w:ascii="宋体" w:hAnsi="宋体" w:cs="宋体"/>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shd w:val="clear" w:color="auto" w:fill="FFFFFF"/>
        </w:rPr>
        <w:t> *</w:t>
      </w:r>
      <w:r>
        <w:rPr>
          <w:rFonts w:hint="eastAsia" w:ascii="宋体" w:hAnsi="宋体" w:cs="宋体"/>
          <w:b/>
          <w:szCs w:val="21"/>
          <w:highlight w:val="none"/>
        </w:rPr>
        <w:t>备注：</w:t>
      </w:r>
      <w:r>
        <w:rPr>
          <w:rFonts w:hint="eastAsia" w:ascii="宋体" w:hAnsi="宋体" w:cs="宋体"/>
          <w:szCs w:val="21"/>
          <w:highlight w:val="none"/>
        </w:rPr>
        <w:t>投标人编制投标文件（商务技术文件部分）时，建议按此目录（序号和内容）提供评标标准相应的商务技术资料。 </w:t>
      </w:r>
    </w:p>
    <w:p>
      <w:pPr>
        <w:pStyle w:val="60"/>
        <w:rPr>
          <w:rFonts w:ascii="宋体" w:hAnsi="宋体" w:cs="宋体"/>
          <w:highlight w:val="none"/>
        </w:rPr>
      </w:pPr>
    </w:p>
    <w:p>
      <w:pPr>
        <w:pStyle w:val="60"/>
        <w:rPr>
          <w:rFonts w:ascii="宋体" w:hAnsi="宋体" w:cs="宋体"/>
          <w:highlight w:val="none"/>
        </w:rPr>
      </w:pP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1.本项目采用综合评分法。</w:t>
      </w:r>
      <w:r>
        <w:rPr>
          <w:rFonts w:hint="eastAsia" w:ascii="宋体" w:hAnsi="宋体" w:cs="宋体"/>
          <w:kern w:val="0"/>
          <w:szCs w:val="21"/>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2.</w:t>
      </w:r>
      <w:r>
        <w:rPr>
          <w:rFonts w:hint="eastAsia" w:ascii="宋体" w:hAnsi="宋体" w:cs="宋体"/>
          <w:szCs w:val="21"/>
          <w:highlight w:val="none"/>
        </w:rPr>
        <w:t xml:space="preserve"> </w:t>
      </w:r>
      <w:r>
        <w:rPr>
          <w:rFonts w:hint="eastAsia" w:ascii="宋体" w:hAnsi="宋体" w:cs="宋体"/>
          <w:b/>
          <w:szCs w:val="21"/>
          <w:highlight w:val="none"/>
        </w:rPr>
        <w:t>评标标准：</w:t>
      </w:r>
      <w:r>
        <w:rPr>
          <w:rFonts w:hint="eastAsia" w:ascii="宋体" w:hAnsi="宋体" w:cs="宋体"/>
          <w:kern w:val="0"/>
          <w:szCs w:val="21"/>
          <w:highlight w:val="none"/>
        </w:rPr>
        <w:t>见评标办法前附表。</w:t>
      </w:r>
    </w:p>
    <w:p>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3.1符合性审查。</w:t>
      </w:r>
      <w:r>
        <w:rPr>
          <w:rFonts w:hint="eastAsia" w:ascii="宋体" w:hAnsi="宋体" w:cs="宋体"/>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3.2 比较与评价。</w:t>
      </w:r>
      <w:r>
        <w:rPr>
          <w:rFonts w:hint="eastAsia" w:ascii="宋体" w:hAnsi="宋体" w:cs="宋体"/>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3.3汇总商务技术得分。</w:t>
      </w:r>
      <w:r>
        <w:rPr>
          <w:rFonts w:hint="eastAsia" w:ascii="宋体" w:hAnsi="宋体" w:cs="宋体"/>
          <w:kern w:val="0"/>
          <w:szCs w:val="21"/>
          <w:highlight w:val="none"/>
        </w:rPr>
        <w:t>评标委员会各成员应当独立对每个投标人的商务和技术文件进行评价，并汇总商务技术得分情况。</w:t>
      </w:r>
    </w:p>
    <w:p>
      <w:pPr>
        <w:spacing w:line="360" w:lineRule="auto"/>
        <w:ind w:firstLine="413" w:firstLineChars="196"/>
        <w:rPr>
          <w:rFonts w:ascii="宋体" w:hAnsi="宋体" w:cs="宋体"/>
          <w:b/>
          <w:kern w:val="0"/>
          <w:szCs w:val="21"/>
          <w:highlight w:val="none"/>
        </w:rPr>
      </w:pPr>
      <w:r>
        <w:rPr>
          <w:rFonts w:hint="eastAsia" w:ascii="宋体" w:hAnsi="宋体" w:cs="宋体"/>
          <w:b/>
          <w:kern w:val="0"/>
          <w:szCs w:val="21"/>
          <w:highlight w:val="none"/>
        </w:rPr>
        <w:t>3.4报价评审。</w:t>
      </w:r>
    </w:p>
    <w:p>
      <w:pPr>
        <w:pStyle w:val="128"/>
        <w:spacing w:before="0"/>
        <w:ind w:firstLine="445" w:firstLineChars="212"/>
        <w:rPr>
          <w:rFonts w:ascii="宋体" w:hAnsi="宋体" w:cs="宋体"/>
          <w:kern w:val="0"/>
          <w:sz w:val="21"/>
          <w:szCs w:val="21"/>
          <w:highlight w:val="none"/>
        </w:rPr>
      </w:pPr>
      <w:r>
        <w:rPr>
          <w:rFonts w:hint="eastAsia" w:ascii="宋体" w:hAnsi="宋体" w:cs="宋体"/>
          <w:kern w:val="0"/>
          <w:sz w:val="21"/>
          <w:szCs w:val="21"/>
          <w:highlight w:val="none"/>
        </w:rPr>
        <w:t>3.4.1投标文件报价出现前后不一致的，按照下列规定修正：</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3.4.1.1投标文件中开标一览表(报价表)内容与投标文件中相应内容不一致的，以开标一览表(报价表)为准；</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3.4.1.2大写金额和小写金额不一致的，以大写金额为准；</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3.4.1.3单价金额小数点或者百分比有明显错位的，以开标一览表的总价为准，并修改单价；</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3.4.1.4总价金额与按单价汇总金额不一致的，以单价金额计算结果为准。</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3.4.2投标文件出现不是唯一的、有选择性投标报价的，投标无效。</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3.4.3投标报价超过招标文件中规定的预算金额或者最高限价的，投标无效。</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kern w:val="0"/>
          <w:szCs w:val="21"/>
          <w:highlight w:val="none"/>
        </w:rPr>
      </w:pPr>
      <w:r>
        <w:rPr>
          <w:rFonts w:hint="eastAsia" w:ascii="宋体" w:hAnsi="宋体" w:cs="宋体"/>
          <w:b/>
          <w:kern w:val="0"/>
          <w:szCs w:val="21"/>
          <w:highlight w:val="none"/>
        </w:rPr>
        <w:t>3.5排序与推荐。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宋体" w:hAnsi="宋体" w:cs="宋体"/>
          <w:b/>
          <w:kern w:val="0"/>
          <w:szCs w:val="21"/>
          <w:highlight w:val="non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3.6编写评标报告。</w:t>
      </w:r>
      <w:r>
        <w:rPr>
          <w:rFonts w:hint="eastAsia" w:ascii="宋体" w:hAnsi="宋体" w:cs="宋体"/>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宋体" w:hAnsi="宋体" w:cs="宋体"/>
          <w:b/>
          <w:sz w:val="32"/>
          <w:highlight w:val="none"/>
        </w:rPr>
      </w:pPr>
      <w:r>
        <w:rPr>
          <w:rFonts w:hint="eastAsia" w:ascii="宋体" w:hAnsi="宋体" w:cs="宋体"/>
          <w:b/>
          <w:sz w:val="32"/>
          <w:highlight w:val="none"/>
        </w:rPr>
        <w:t>四、评标中的其他事项</w:t>
      </w:r>
    </w:p>
    <w:p>
      <w:pPr>
        <w:pStyle w:val="128"/>
        <w:spacing w:before="0"/>
        <w:ind w:firstLine="413" w:firstLineChars="196"/>
        <w:rPr>
          <w:rFonts w:ascii="宋体" w:hAnsi="宋体" w:cs="宋体"/>
          <w:kern w:val="0"/>
          <w:sz w:val="21"/>
          <w:szCs w:val="21"/>
          <w:highlight w:val="none"/>
        </w:rPr>
      </w:pPr>
      <w:r>
        <w:rPr>
          <w:rFonts w:hint="eastAsia" w:ascii="宋体" w:hAnsi="宋体" w:cs="宋体"/>
          <w:b/>
          <w:kern w:val="0"/>
          <w:sz w:val="21"/>
          <w:szCs w:val="21"/>
          <w:highlight w:val="none"/>
        </w:rPr>
        <w:t>4.1投标人澄清、说明或者补正。</w:t>
      </w:r>
      <w:r>
        <w:rPr>
          <w:rFonts w:hint="eastAsia" w:ascii="宋体" w:hAnsi="宋体" w:cs="宋体"/>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 w:val="21"/>
          <w:szCs w:val="21"/>
          <w:highlight w:val="none"/>
        </w:rPr>
      </w:pPr>
      <w:r>
        <w:rPr>
          <w:rFonts w:hint="eastAsia" w:cs="宋体"/>
          <w:b/>
          <w:kern w:val="0"/>
          <w:sz w:val="21"/>
          <w:szCs w:val="21"/>
          <w:highlight w:val="none"/>
        </w:rPr>
        <w:t>4.2投标无效。</w:t>
      </w:r>
      <w:r>
        <w:rPr>
          <w:rFonts w:hint="eastAsia" w:cs="宋体"/>
          <w:sz w:val="21"/>
          <w:szCs w:val="21"/>
          <w:highlight w:val="none"/>
        </w:rPr>
        <w:t>有下列情况之一的，投标无效：</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4.2.2投标文件未按照招标文件要求签署、盖章的；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4.2.3招标人拟采购的产品属于政府强制采购的节能产品品目清单范围的，投标人未按招标文件要求提供国家确定的认证机构出具的、处于有效期之内的节能产品认证证书的；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4.2.4投标文件含有招标人不能接受的附加条件的；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4.2.5投标文件中承诺的投标有效期少于招标文件中载明的投标有效期的；</w:t>
      </w:r>
    </w:p>
    <w:p>
      <w:pPr>
        <w:snapToGrid w:val="0"/>
        <w:spacing w:line="360" w:lineRule="auto"/>
        <w:ind w:firstLine="105" w:firstLineChars="50"/>
        <w:jc w:val="left"/>
        <w:rPr>
          <w:rFonts w:ascii="宋体" w:hAnsi="宋体" w:cs="宋体"/>
          <w:kern w:val="0"/>
          <w:szCs w:val="21"/>
          <w:highlight w:val="none"/>
        </w:rPr>
      </w:pPr>
      <w:r>
        <w:rPr>
          <w:rFonts w:hint="eastAsia" w:ascii="宋体" w:hAnsi="宋体" w:cs="宋体"/>
          <w:kern w:val="0"/>
          <w:szCs w:val="21"/>
          <w:highlight w:val="none"/>
        </w:rPr>
        <w:t xml:space="preserve">   4.2.6投标文件出现不是唯一的、有选择性投标报价的；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4.2.7投标报价超过招标文件中规定的预算金额或者最高限价的；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4.2.9投标人对根据修正原则修正后的报价不确认的；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4.2.10投标人提供虚假材料投标的；</w:t>
      </w:r>
    </w:p>
    <w:p>
      <w:pPr>
        <w:spacing w:line="360" w:lineRule="auto"/>
        <w:ind w:firstLine="210" w:firstLineChars="100"/>
        <w:rPr>
          <w:rFonts w:ascii="宋体" w:hAnsi="宋体" w:cs="宋体"/>
          <w:kern w:val="0"/>
          <w:szCs w:val="21"/>
          <w:highlight w:val="none"/>
        </w:rPr>
      </w:pPr>
      <w:r>
        <w:rPr>
          <w:rFonts w:hint="eastAsia" w:ascii="宋体" w:hAnsi="宋体" w:cs="宋体"/>
          <w:kern w:val="0"/>
          <w:szCs w:val="21"/>
          <w:highlight w:val="none"/>
        </w:rPr>
        <w:t xml:space="preserve">  4.2.11投标人有恶意串通、妨碍其他投标人的竞争行为、损害招标人或者其他投标人的合法权益情形的；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4.2.12投标人仅提交备份投标文件，没有在电子交易平台传输递交投标文件的，投标无效；</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4.2.13 投标文件不满足招标文件的其它实质性要求的；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4.2.14法律、法规、规章（适用本市的）及省级以上规范性文件（适用本市的）规定的其他无效情形。</w:t>
      </w:r>
    </w:p>
    <w:p>
      <w:pPr>
        <w:pStyle w:val="24"/>
        <w:snapToGrid w:val="0"/>
        <w:spacing w:line="360" w:lineRule="auto"/>
        <w:ind w:firstLine="413" w:firstLineChars="196"/>
        <w:rPr>
          <w:rFonts w:cs="宋体"/>
          <w:sz w:val="21"/>
          <w:szCs w:val="21"/>
          <w:highlight w:val="none"/>
        </w:rPr>
      </w:pPr>
      <w:r>
        <w:rPr>
          <w:rFonts w:hint="eastAsia" w:cs="宋体"/>
          <w:b/>
          <w:sz w:val="21"/>
          <w:szCs w:val="21"/>
          <w:highlight w:val="none"/>
        </w:rPr>
        <w:t>5.废标。</w:t>
      </w:r>
      <w:r>
        <w:rPr>
          <w:rFonts w:hint="eastAsia" w:cs="宋体"/>
          <w:sz w:val="21"/>
          <w:szCs w:val="21"/>
          <w:highlight w:val="none"/>
        </w:rPr>
        <w:t>根据《中华人民共和国政府采购法》第三十六条之规定，在采购中，出现下列情形之一的，应予废标：</w:t>
      </w:r>
    </w:p>
    <w:p>
      <w:pPr>
        <w:pStyle w:val="24"/>
        <w:snapToGrid w:val="0"/>
        <w:spacing w:line="360" w:lineRule="auto"/>
        <w:ind w:firstLine="420"/>
        <w:rPr>
          <w:rFonts w:cs="宋体"/>
          <w:sz w:val="21"/>
          <w:szCs w:val="21"/>
          <w:highlight w:val="none"/>
        </w:rPr>
      </w:pPr>
      <w:r>
        <w:rPr>
          <w:rFonts w:hint="eastAsia" w:cs="宋体"/>
          <w:sz w:val="21"/>
          <w:szCs w:val="21"/>
          <w:highlight w:val="none"/>
        </w:rPr>
        <w:t>5.1符合专业条件的供应商或者对招标文件作实质响应的供应商不足3家的；</w:t>
      </w:r>
    </w:p>
    <w:p>
      <w:pPr>
        <w:pStyle w:val="24"/>
        <w:snapToGrid w:val="0"/>
        <w:spacing w:line="360" w:lineRule="auto"/>
        <w:ind w:firstLine="420"/>
        <w:rPr>
          <w:rFonts w:cs="宋体"/>
          <w:sz w:val="21"/>
          <w:szCs w:val="21"/>
          <w:highlight w:val="none"/>
        </w:rPr>
      </w:pPr>
      <w:r>
        <w:rPr>
          <w:rFonts w:hint="eastAsia" w:cs="宋体"/>
          <w:sz w:val="21"/>
          <w:szCs w:val="21"/>
          <w:highlight w:val="none"/>
        </w:rPr>
        <w:t>5.2出现影响采购公正的违法、违规行为的；</w:t>
      </w:r>
    </w:p>
    <w:p>
      <w:pPr>
        <w:pStyle w:val="24"/>
        <w:snapToGrid w:val="0"/>
        <w:spacing w:line="360" w:lineRule="auto"/>
        <w:ind w:firstLine="420"/>
        <w:rPr>
          <w:rFonts w:cs="宋体"/>
          <w:sz w:val="21"/>
          <w:szCs w:val="21"/>
          <w:highlight w:val="none"/>
        </w:rPr>
      </w:pPr>
      <w:r>
        <w:rPr>
          <w:rFonts w:hint="eastAsia" w:cs="宋体"/>
          <w:sz w:val="21"/>
          <w:szCs w:val="21"/>
          <w:highlight w:val="none"/>
        </w:rPr>
        <w:t>5.3投标人的报价均超过了采购预算，招标人不能支付的；</w:t>
      </w:r>
    </w:p>
    <w:p>
      <w:pPr>
        <w:pStyle w:val="24"/>
        <w:snapToGrid w:val="0"/>
        <w:spacing w:line="360" w:lineRule="auto"/>
        <w:ind w:firstLine="420"/>
        <w:rPr>
          <w:rFonts w:cs="宋体"/>
          <w:sz w:val="21"/>
          <w:szCs w:val="21"/>
          <w:highlight w:val="none"/>
        </w:rPr>
      </w:pPr>
      <w:r>
        <w:rPr>
          <w:rFonts w:hint="eastAsia" w:cs="宋体"/>
          <w:sz w:val="21"/>
          <w:szCs w:val="21"/>
          <w:highlight w:val="none"/>
        </w:rPr>
        <w:t>5.4因重大变故，采购任务取消的。</w:t>
      </w:r>
    </w:p>
    <w:p>
      <w:pPr>
        <w:pStyle w:val="24"/>
        <w:snapToGrid w:val="0"/>
        <w:spacing w:line="360" w:lineRule="auto"/>
        <w:ind w:firstLine="420"/>
        <w:rPr>
          <w:rFonts w:cs="宋体"/>
          <w:sz w:val="21"/>
          <w:szCs w:val="21"/>
          <w:highlight w:val="none"/>
        </w:rPr>
      </w:pPr>
      <w:r>
        <w:rPr>
          <w:rFonts w:hint="eastAsia" w:cs="宋体"/>
          <w:sz w:val="21"/>
          <w:szCs w:val="21"/>
          <w:highlight w:val="none"/>
        </w:rPr>
        <w:t>废标后，招标代理机构应当将废标理由通知所有投标人。</w:t>
      </w:r>
    </w:p>
    <w:p>
      <w:pPr>
        <w:pStyle w:val="24"/>
        <w:snapToGrid w:val="0"/>
        <w:spacing w:line="360" w:lineRule="auto"/>
        <w:ind w:firstLine="517" w:firstLineChars="245"/>
        <w:rPr>
          <w:rFonts w:cs="宋体"/>
          <w:sz w:val="21"/>
          <w:szCs w:val="21"/>
          <w:highlight w:val="none"/>
        </w:rPr>
      </w:pPr>
      <w:r>
        <w:rPr>
          <w:rFonts w:hint="eastAsia" w:cs="宋体"/>
          <w:b/>
          <w:sz w:val="21"/>
          <w:szCs w:val="21"/>
          <w:highlight w:val="none"/>
        </w:rPr>
        <w:t>6.修改招标文件，重新组织采购活动。</w:t>
      </w:r>
      <w:r>
        <w:rPr>
          <w:rFonts w:hint="eastAsia" w:cs="宋体"/>
          <w:sz w:val="21"/>
          <w:szCs w:val="21"/>
          <w:highlight w:val="none"/>
        </w:rPr>
        <w:t>评标委员会发现招标文件存在歧义、重大缺陷导致评标工作无法进行，或者招标文件内容违反国家有关强制性规定的，将停止评标工作，并与招标人、招标代理机构沟通并作书面记录。招标人、招标代理机构确认后，将修改招标文件，重新组织采购活动。</w:t>
      </w:r>
    </w:p>
    <w:p>
      <w:pPr>
        <w:pStyle w:val="24"/>
        <w:snapToGrid w:val="0"/>
        <w:spacing w:line="360" w:lineRule="auto"/>
        <w:ind w:firstLine="517" w:firstLineChars="245"/>
        <w:rPr>
          <w:rFonts w:cs="宋体"/>
          <w:sz w:val="21"/>
          <w:szCs w:val="21"/>
          <w:highlight w:val="none"/>
        </w:rPr>
      </w:pPr>
      <w:r>
        <w:rPr>
          <w:rFonts w:hint="eastAsia" w:cs="宋体"/>
          <w:b/>
          <w:kern w:val="0"/>
          <w:sz w:val="21"/>
          <w:szCs w:val="21"/>
          <w:highlight w:val="none"/>
        </w:rPr>
        <w:t>7.重新开展采购。</w:t>
      </w:r>
      <w:r>
        <w:rPr>
          <w:rFonts w:hint="eastAsia" w:cs="宋体"/>
          <w:sz w:val="21"/>
          <w:szCs w:val="21"/>
          <w:highlight w:val="none"/>
        </w:rPr>
        <w:t>有政府采购法第七十一条、第七十二条规定的违法行为之一，影响或者可能影响中标、成交结果的，依照下列规定处理：</w:t>
      </w:r>
    </w:p>
    <w:p>
      <w:pPr>
        <w:pStyle w:val="24"/>
        <w:snapToGrid w:val="0"/>
        <w:spacing w:line="360" w:lineRule="auto"/>
        <w:ind w:firstLine="525" w:firstLineChars="250"/>
        <w:rPr>
          <w:rFonts w:cs="宋体"/>
          <w:sz w:val="21"/>
          <w:szCs w:val="21"/>
          <w:highlight w:val="none"/>
        </w:rPr>
      </w:pPr>
      <w:r>
        <w:rPr>
          <w:rFonts w:hint="eastAsia" w:cs="宋体"/>
          <w:sz w:val="21"/>
          <w:szCs w:val="21"/>
          <w:highlight w:val="none"/>
        </w:rPr>
        <w:t>7.1未确定中标或者中标人的，终止本次政府采购活动，重新开展政府采购活动。</w:t>
      </w:r>
    </w:p>
    <w:p>
      <w:pPr>
        <w:pStyle w:val="24"/>
        <w:snapToGrid w:val="0"/>
        <w:spacing w:line="360" w:lineRule="auto"/>
        <w:ind w:firstLine="525" w:firstLineChars="250"/>
        <w:rPr>
          <w:rFonts w:cs="宋体"/>
          <w:sz w:val="21"/>
          <w:szCs w:val="21"/>
          <w:highlight w:val="none"/>
        </w:rPr>
      </w:pPr>
      <w:r>
        <w:rPr>
          <w:rFonts w:hint="eastAsia" w:cs="宋体"/>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525" w:firstLineChars="250"/>
        <w:rPr>
          <w:rFonts w:cs="宋体"/>
          <w:sz w:val="21"/>
          <w:szCs w:val="21"/>
          <w:highlight w:val="none"/>
        </w:rPr>
      </w:pPr>
      <w:r>
        <w:rPr>
          <w:rFonts w:hint="eastAsia" w:cs="宋体"/>
          <w:sz w:val="21"/>
          <w:szCs w:val="21"/>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ind w:firstLine="420"/>
        <w:rPr>
          <w:rFonts w:cs="宋体"/>
          <w:sz w:val="21"/>
          <w:szCs w:val="21"/>
          <w:highlight w:val="none"/>
        </w:rPr>
      </w:pPr>
      <w:r>
        <w:rPr>
          <w:rFonts w:hint="eastAsia" w:cs="宋体"/>
          <w:sz w:val="21"/>
          <w:szCs w:val="21"/>
          <w:highlight w:val="none"/>
        </w:rPr>
        <w:t>7.4政府采购合同已经履行，给招标人、供应商造成损失的，由责任人承担赔偿责任。</w:t>
      </w:r>
    </w:p>
    <w:p>
      <w:pPr>
        <w:pStyle w:val="24"/>
        <w:snapToGrid w:val="0"/>
        <w:spacing w:line="360" w:lineRule="auto"/>
        <w:ind w:firstLine="420"/>
        <w:rPr>
          <w:rFonts w:cs="宋体"/>
          <w:highlight w:val="none"/>
        </w:rPr>
      </w:pPr>
      <w:r>
        <w:rPr>
          <w:rFonts w:hint="eastAsia" w:cs="宋体"/>
          <w:sz w:val="21"/>
          <w:szCs w:val="21"/>
          <w:highlight w:val="none"/>
        </w:rPr>
        <w:t>7.5政府采购当事人有其他违反政府采购法</w:t>
      </w:r>
      <w:r>
        <w:rPr>
          <w:rFonts w:hint="eastAsia" w:cs="宋体"/>
          <w:kern w:val="0"/>
          <w:sz w:val="21"/>
          <w:szCs w:val="21"/>
          <w:highlight w:val="none"/>
        </w:rPr>
        <w:t>或者政府采购法实施条例等法律法规规定</w:t>
      </w:r>
      <w:r>
        <w:rPr>
          <w:rFonts w:hint="eastAsia" w:cs="宋体"/>
          <w:sz w:val="21"/>
          <w:szCs w:val="21"/>
          <w:highlight w:val="none"/>
        </w:rPr>
        <w:t>的行为，经改正后仍然影响或者可能影响中标、成交结果或者依法被认定为中标、成交无效的，依照7.1-7.4规定处理。</w:t>
      </w:r>
      <w:bookmarkEnd w:id="26"/>
      <w:bookmarkStart w:id="393" w:name="第五部分"/>
      <w:bookmarkStart w:id="394" w:name="_Toc86217003"/>
    </w:p>
    <w:p>
      <w:pPr>
        <w:rPr>
          <w:rFonts w:hint="eastAsia" w:ascii="宋体" w:hAnsi="宋体" w:cs="宋体"/>
          <w:b/>
          <w:sz w:val="36"/>
          <w:szCs w:val="36"/>
          <w:highlight w:val="none"/>
        </w:rPr>
      </w:pPr>
      <w:r>
        <w:rPr>
          <w:rFonts w:hint="eastAsia" w:ascii="宋体" w:hAnsi="宋体" w:cs="宋体"/>
          <w:b/>
          <w:sz w:val="36"/>
          <w:szCs w:val="36"/>
          <w:highlight w:val="none"/>
        </w:rPr>
        <w:br w:type="page"/>
      </w: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spacing w:line="360" w:lineRule="auto"/>
        <w:ind w:left="-420" w:leftChars="-200" w:right="-420" w:rightChars="-200"/>
        <w:rPr>
          <w:rFonts w:ascii="宋体" w:hAnsi="宋体" w:cs="宋体"/>
          <w:sz w:val="24"/>
          <w:highlight w:val="none"/>
        </w:rPr>
      </w:pP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pStyle w:val="700"/>
        <w:rPr>
          <w:rFonts w:ascii="宋体" w:hAnsi="宋体" w:cs="宋体"/>
          <w:szCs w:val="24"/>
          <w:highlight w:val="none"/>
        </w:rPr>
      </w:pPr>
    </w:p>
    <w:p>
      <w:pPr>
        <w:pStyle w:val="700"/>
        <w:jc w:val="center"/>
        <w:rPr>
          <w:rFonts w:ascii="宋体" w:hAnsi="宋体" w:cs="宋体"/>
          <w:szCs w:val="24"/>
          <w:highlight w:val="none"/>
        </w:rPr>
      </w:pPr>
    </w:p>
    <w:p>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700"/>
        <w:rPr>
          <w:rFonts w:ascii="宋体" w:hAnsi="宋体" w:cs="宋体"/>
          <w:szCs w:val="24"/>
          <w:highlight w:val="none"/>
        </w:rPr>
      </w:pPr>
    </w:p>
    <w:p>
      <w:pPr>
        <w:pStyle w:val="700"/>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597"/>
        <w:spacing w:before="120" w:line="22" w:lineRule="atLeast"/>
        <w:rPr>
          <w:rFonts w:ascii="宋体" w:hAnsi="宋体" w:eastAsia="宋体" w:cs="宋体"/>
          <w:szCs w:val="24"/>
          <w:highlight w:val="none"/>
        </w:rPr>
      </w:pPr>
    </w:p>
    <w:p>
      <w:pPr>
        <w:pStyle w:val="597"/>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Cs w:val="21"/>
          <w:highlight w:val="none"/>
          <w:lang w:bidi="ar"/>
        </w:rPr>
        <w:sectPr>
          <w:headerReference r:id="rId8" w:type="default"/>
          <w:footnotePr>
            <w:numFmt w:val="decimalEnclosedCircleChinese"/>
            <w:numRestart w:val="eachPage"/>
          </w:footnotePr>
          <w:pgSz w:w="11915" w:h="16840"/>
          <w:pgMar w:top="1474" w:right="1814" w:bottom="1474" w:left="1814" w:header="851" w:footer="851" w:gutter="0"/>
          <w:cols w:space="720" w:num="1"/>
          <w:docGrid w:linePitch="312" w:charSpace="0"/>
        </w:sectPr>
      </w:pP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lang w:val="zh-CN"/>
        </w:rPr>
        <w:t>年</w:t>
      </w: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lang w:val="zh-CN"/>
        </w:rPr>
        <w:t>月</w:t>
      </w: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lang w:val="zh-CN"/>
        </w:rPr>
        <w:t>日</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杭州第四中学新湾学校   </w:t>
      </w:r>
      <w:r>
        <w:rPr>
          <w:rFonts w:hint="eastAsia" w:asciiTheme="minorEastAsia" w:hAnsiTheme="minorEastAsia" w:eastAsiaTheme="minorEastAsia" w:cstheme="minorEastAsia"/>
          <w:sz w:val="21"/>
          <w:szCs w:val="21"/>
          <w:highlight w:val="none"/>
        </w:rPr>
        <w:t>以</w:t>
      </w:r>
      <w:r>
        <w:rPr>
          <w:rFonts w:hint="eastAsia" w:asciiTheme="minorEastAsia" w:hAnsiTheme="minorEastAsia" w:eastAsiaTheme="minorEastAsia" w:cstheme="minorEastAsia"/>
          <w:sz w:val="21"/>
          <w:szCs w:val="21"/>
          <w:highlight w:val="none"/>
          <w:u w:val="single"/>
        </w:rPr>
        <w:t xml:space="preserve"> 公开招标方式 </w:t>
      </w:r>
      <w:r>
        <w:rPr>
          <w:rFonts w:hint="eastAsia" w:asciiTheme="minorEastAsia" w:hAnsiTheme="minorEastAsia" w:eastAsiaTheme="minorEastAsia" w:cstheme="minorEastAsia"/>
          <w:sz w:val="21"/>
          <w:szCs w:val="21"/>
          <w:highlight w:val="none"/>
        </w:rPr>
        <w:t>对</w:t>
      </w:r>
      <w:r>
        <w:rPr>
          <w:rFonts w:hint="eastAsia" w:asciiTheme="minorEastAsia" w:hAnsiTheme="minorEastAsia" w:eastAsiaTheme="minorEastAsia" w:cstheme="minorEastAsia"/>
          <w:sz w:val="21"/>
          <w:szCs w:val="21"/>
          <w:highlight w:val="none"/>
          <w:u w:val="single"/>
        </w:rPr>
        <w:t xml:space="preserve"> 杭州第四中学新湾学校校园网络及综合布线项目 </w:t>
      </w:r>
      <w:r>
        <w:rPr>
          <w:rFonts w:hint="eastAsia" w:asciiTheme="minorEastAsia" w:hAnsiTheme="minorEastAsia" w:eastAsiaTheme="minorEastAsia" w:cstheme="minorEastAsia"/>
          <w:sz w:val="21"/>
          <w:szCs w:val="21"/>
          <w:highlight w:val="none"/>
        </w:rPr>
        <w:t>项目进行了采购。经</w:t>
      </w:r>
      <w:r>
        <w:rPr>
          <w:rFonts w:hint="eastAsia" w:asciiTheme="minorEastAsia" w:hAnsiTheme="minorEastAsia" w:eastAsiaTheme="minorEastAsia" w:cstheme="minorEastAsia"/>
          <w:sz w:val="21"/>
          <w:szCs w:val="21"/>
          <w:highlight w:val="none"/>
          <w:u w:val="single"/>
        </w:rPr>
        <w:t xml:space="preserve">评标委员会 </w:t>
      </w:r>
      <w:r>
        <w:rPr>
          <w:rFonts w:hint="eastAsia" w:asciiTheme="minorEastAsia" w:hAnsiTheme="minorEastAsia" w:eastAsiaTheme="minorEastAsia" w:cstheme="minorEastAsia"/>
          <w:sz w:val="21"/>
          <w:szCs w:val="21"/>
          <w:highlight w:val="none"/>
        </w:rPr>
        <w:t>评定，</w:t>
      </w:r>
      <w:r>
        <w:rPr>
          <w:rFonts w:hint="eastAsia" w:asciiTheme="minorEastAsia" w:hAnsiTheme="minorEastAsia" w:eastAsiaTheme="minorEastAsia" w:cstheme="minorEastAsia"/>
          <w:sz w:val="21"/>
          <w:szCs w:val="21"/>
          <w:highlight w:val="none"/>
          <w:u w:val="single"/>
        </w:rPr>
        <w:t xml:space="preserve">   （中标供应商名称）</w:t>
      </w:r>
      <w:r>
        <w:rPr>
          <w:rFonts w:hint="eastAsia" w:asciiTheme="minorEastAsia" w:hAnsiTheme="minorEastAsia" w:eastAsiaTheme="minorEastAsia" w:cstheme="minorEastAsia"/>
          <w:sz w:val="21"/>
          <w:szCs w:val="21"/>
          <w:highlight w:val="none"/>
        </w:rPr>
        <w:t>为该项目中标供应商。现于中标通知书发出之日起三十日内，按照招标文件确定的事项签订本合同。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sz w:val="21"/>
          <w:szCs w:val="21"/>
          <w:highlight w:val="none"/>
          <w:u w:val="single"/>
        </w:rPr>
        <w:t xml:space="preserve">   杭州第四中学新湾学校   </w:t>
      </w:r>
      <w:r>
        <w:rPr>
          <w:rFonts w:hint="eastAsia" w:asciiTheme="minorEastAsia" w:hAnsiTheme="minorEastAsia" w:eastAsiaTheme="minorEastAsia" w:cstheme="minorEastAsia"/>
          <w:sz w:val="21"/>
          <w:szCs w:val="21"/>
          <w:highlight w:val="none"/>
          <w:lang w:val="zh-CN"/>
        </w:rPr>
        <w:t>(以下简称：甲方)和</w:t>
      </w:r>
      <w:r>
        <w:rPr>
          <w:rFonts w:hint="eastAsia" w:asciiTheme="minorEastAsia" w:hAnsiTheme="minorEastAsia" w:eastAsiaTheme="minorEastAsia" w:cstheme="minorEastAsia"/>
          <w:sz w:val="21"/>
          <w:szCs w:val="21"/>
          <w:highlight w:val="none"/>
          <w:u w:val="single"/>
        </w:rPr>
        <w:t xml:space="preserve">   （中标供应商名称）   </w:t>
      </w:r>
      <w:r>
        <w:rPr>
          <w:rFonts w:hint="eastAsia" w:asciiTheme="minorEastAsia" w:hAnsiTheme="minorEastAsia" w:eastAsiaTheme="minorEastAsia" w:cstheme="minorEastAsia"/>
          <w:sz w:val="21"/>
          <w:szCs w:val="21"/>
          <w:highlight w:val="none"/>
          <w:lang w:val="zh-CN"/>
        </w:rPr>
        <w:t>(以下简称：乙方)协商一致，约定以下合同</w:t>
      </w:r>
      <w:r>
        <w:rPr>
          <w:rFonts w:hint="eastAsia" w:asciiTheme="minorEastAsia" w:hAnsiTheme="minorEastAsia" w:eastAsiaTheme="minorEastAsia" w:cstheme="minorEastAsia"/>
          <w:sz w:val="21"/>
          <w:szCs w:val="21"/>
          <w:highlight w:val="none"/>
        </w:rPr>
        <w:t>条款，以兹共同遵守、全面履行。</w:t>
      </w:r>
    </w:p>
    <w:p>
      <w:pPr>
        <w:pStyle w:val="24"/>
        <w:rPr>
          <w:rFonts w:hint="eastAsia" w:asciiTheme="minorEastAsia" w:hAnsiTheme="minorEastAsia" w:eastAsiaTheme="minorEastAsia" w:cstheme="minorEastAsia"/>
          <w:sz w:val="21"/>
          <w:szCs w:val="21"/>
          <w:highlight w:val="none"/>
        </w:rPr>
      </w:pP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395" w:name="_Toc2232"/>
      <w:bookmarkStart w:id="396" w:name="_Toc3029"/>
      <w:bookmarkStart w:id="397" w:name="_Toc24059"/>
      <w:r>
        <w:rPr>
          <w:rFonts w:hint="eastAsia" w:asciiTheme="minorEastAsia" w:hAnsiTheme="minorEastAsia" w:eastAsiaTheme="minorEastAsia" w:cstheme="minorEastAsia"/>
          <w:b/>
          <w:sz w:val="21"/>
          <w:szCs w:val="21"/>
          <w:highlight w:val="none"/>
        </w:rPr>
        <w:t>1.1 合同组成部分</w:t>
      </w:r>
      <w:bookmarkEnd w:id="395"/>
      <w:bookmarkEnd w:id="396"/>
      <w:bookmarkEnd w:id="397"/>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1.1.1 本合同及其补充合同、变更协议；</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1.1.2 中标通知书；</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1.1.3 投标文件（含澄清或者说明文件）；</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1.1.4 招标文件（含澄清或者修改文件）；</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1.1.5 其他相关招标文件。</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398" w:name="_Toc21295"/>
      <w:bookmarkStart w:id="399" w:name="_Toc24300"/>
      <w:bookmarkStart w:id="400" w:name="_Toc27126"/>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1.2 货物</w:t>
      </w:r>
      <w:bookmarkEnd w:id="398"/>
      <w:bookmarkEnd w:id="399"/>
      <w:bookmarkEnd w:id="400"/>
    </w:p>
    <w:p>
      <w:pPr>
        <w:snapToGrid w:val="0"/>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1.2.1 货物名称：</w:t>
      </w:r>
      <w:r>
        <w:rPr>
          <w:rFonts w:hint="eastAsia" w:asciiTheme="minorEastAsia" w:hAnsiTheme="minorEastAsia" w:eastAsiaTheme="minorEastAsia" w:cstheme="minorEastAsia"/>
          <w:sz w:val="21"/>
          <w:szCs w:val="21"/>
          <w:highlight w:val="none"/>
          <w:u w:val="single"/>
        </w:rPr>
        <w:t>杭州第四中学新湾学校校园网络及综合布线</w:t>
      </w:r>
      <w:r>
        <w:rPr>
          <w:rFonts w:hint="eastAsia" w:asciiTheme="minorEastAsia" w:hAnsiTheme="minorEastAsia" w:eastAsiaTheme="minorEastAsia" w:cstheme="minorEastAsia"/>
          <w:sz w:val="21"/>
          <w:szCs w:val="21"/>
          <w:highlight w:val="none"/>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1.2.2 货物数量：</w:t>
      </w:r>
      <w:r>
        <w:rPr>
          <w:rFonts w:hint="eastAsia" w:asciiTheme="minorEastAsia" w:hAnsiTheme="minorEastAsia" w:eastAsiaTheme="minorEastAsia" w:cstheme="minorEastAsia"/>
          <w:sz w:val="21"/>
          <w:szCs w:val="21"/>
          <w:highlight w:val="none"/>
          <w:u w:val="single"/>
        </w:rPr>
        <w:t xml:space="preserve">一批 </w:t>
      </w:r>
      <w:r>
        <w:rPr>
          <w:rFonts w:hint="eastAsia" w:asciiTheme="minorEastAsia" w:hAnsiTheme="minorEastAsia" w:eastAsiaTheme="minorEastAsia" w:cstheme="minorEastAsia"/>
          <w:sz w:val="21"/>
          <w:szCs w:val="21"/>
          <w:highlight w:val="none"/>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1.2.3 货物质量：</w:t>
      </w:r>
      <w:r>
        <w:rPr>
          <w:rFonts w:hint="eastAsia" w:asciiTheme="minorEastAsia" w:hAnsiTheme="minorEastAsia" w:eastAsiaTheme="minorEastAsia" w:cstheme="minorEastAsia"/>
          <w:sz w:val="21"/>
          <w:szCs w:val="21"/>
          <w:highlight w:val="none"/>
          <w:u w:val="single"/>
        </w:rPr>
        <w:t>不限</w:t>
      </w:r>
      <w:r>
        <w:rPr>
          <w:rFonts w:hint="eastAsia" w:asciiTheme="minorEastAsia" w:hAnsiTheme="minorEastAsia" w:eastAsiaTheme="minorEastAsia" w:cstheme="minorEastAsia"/>
          <w:sz w:val="21"/>
          <w:szCs w:val="21"/>
          <w:highlight w:val="none"/>
        </w:rPr>
        <w:t>。</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01" w:name="_Toc21631"/>
      <w:bookmarkStart w:id="402" w:name="_Toc23292"/>
      <w:bookmarkStart w:id="403" w:name="_Toc21551"/>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1.3 价款</w:t>
      </w:r>
      <w:bookmarkEnd w:id="401"/>
      <w:bookmarkEnd w:id="402"/>
      <w:bookmarkEnd w:id="403"/>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本合同总价为：￥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元（大写：</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元人民币）。</w:t>
      </w:r>
    </w:p>
    <w:p>
      <w:pPr>
        <w:snapToGrid w:val="0"/>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Theme="minorEastAsia" w:hAnsiTheme="minorEastAsia" w:eastAsiaTheme="minorEastAsia" w:cstheme="minorEastAsia"/>
                <w:sz w:val="21"/>
                <w:szCs w:val="21"/>
                <w:highlight w:val="none"/>
              </w:rPr>
            </w:pPr>
          </w:p>
        </w:tc>
      </w:tr>
    </w:tbl>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04" w:name="_Toc1814"/>
      <w:bookmarkStart w:id="405" w:name="_Toc22618"/>
      <w:bookmarkStart w:id="406" w:name="_Toc10340"/>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1.4 付款</w:t>
      </w:r>
      <w:bookmarkEnd w:id="404"/>
      <w:bookmarkEnd w:id="405"/>
      <w:bookmarkEnd w:id="406"/>
      <w:r>
        <w:rPr>
          <w:rFonts w:hint="eastAsia" w:asciiTheme="minorEastAsia" w:hAnsiTheme="minorEastAsia" w:eastAsiaTheme="minorEastAsia" w:cstheme="minorEastAsia"/>
          <w:b/>
          <w:sz w:val="21"/>
          <w:szCs w:val="21"/>
          <w:highlight w:val="none"/>
        </w:rPr>
        <w:t>方式、时间和条件</w:t>
      </w:r>
    </w:p>
    <w:p>
      <w:pPr>
        <w:pStyle w:val="958"/>
        <w:adjustRightInd w:val="0"/>
        <w:snapToGrid w:val="0"/>
        <w:spacing w:before="0" w:beforeAutospacing="0" w:after="0" w:afterAutospacing="0"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1.4.2甲方在政府采购合同中约定预</w:t>
      </w:r>
      <w:r>
        <w:rPr>
          <w:rFonts w:hint="eastAsia" w:asciiTheme="minorEastAsia" w:hAnsiTheme="minorEastAsia" w:eastAsiaTheme="minorEastAsia" w:cstheme="minorEastAsia"/>
          <w:sz w:val="21"/>
          <w:szCs w:val="21"/>
          <w:highlight w:val="none"/>
        </w:rPr>
        <w:t>付款，预付款比例为合同金额的</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0％；项目分年安排预算的，每年预付款比例为项目年度计划支付资金额的</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0％。采购项目实施以人工投入为主的，可适当降低预付款比例，但不低于</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0%。甲方可以根据项目特点、乙方信用等实际情况提高预付款比例，最高预付比例可以达到</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rPr>
        <w:t>乙方可登录政采云前台大厅选择金融服务</w:t>
      </w:r>
      <w:r>
        <w:rPr>
          <w:rFonts w:hint="eastAsia" w:asciiTheme="minorEastAsia" w:hAnsiTheme="minorEastAsia" w:eastAsiaTheme="minorEastAsia" w:cstheme="minorEastAsia"/>
          <w:sz w:val="21"/>
          <w:szCs w:val="21"/>
          <w:highlight w:val="none"/>
        </w:rPr>
        <w:t xml:space="preserve">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napToGrid w:val="0"/>
        <w:spacing w:line="360" w:lineRule="auto"/>
        <w:ind w:firstLine="420" w:firstLineChars="200"/>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1.4.4资金支付的方式、时间和条件详见</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0" w:firstLineChars="200"/>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07" w:name="_Toc2846"/>
      <w:bookmarkStart w:id="408" w:name="_Toc19304"/>
      <w:bookmarkStart w:id="409" w:name="_Toc32071"/>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1.5 货物交付期限、地点和方式</w:t>
      </w:r>
      <w:bookmarkEnd w:id="407"/>
      <w:bookmarkEnd w:id="408"/>
      <w:bookmarkEnd w:id="409"/>
    </w:p>
    <w:p>
      <w:pPr>
        <w:snapToGrid w:val="0"/>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1.5.1 交付期限：详见</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1.5.2 交付地点：</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1.5.3 交付方式：</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10" w:name="_Toc27250"/>
      <w:bookmarkStart w:id="411" w:name="_Toc21423"/>
      <w:bookmarkStart w:id="412" w:name="_Toc19554"/>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1.6 违约责任</w:t>
      </w:r>
      <w:bookmarkEnd w:id="410"/>
      <w:bookmarkEnd w:id="411"/>
      <w:bookmarkEnd w:id="412"/>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sz w:val="21"/>
          <w:szCs w:val="21"/>
          <w:highlight w:val="none"/>
          <w:u w:val="single"/>
        </w:rPr>
        <w:t xml:space="preserve">  0.05  </w:t>
      </w:r>
      <w:r>
        <w:rPr>
          <w:rFonts w:hint="eastAsia" w:asciiTheme="minorEastAsia" w:hAnsiTheme="minorEastAsia" w:eastAsiaTheme="minorEastAsia" w:cstheme="minorEastAsia"/>
          <w:sz w:val="21"/>
          <w:szCs w:val="21"/>
          <w:highlight w:val="none"/>
        </w:rPr>
        <w:t>%计算，最高限额为本合同总价的</w:t>
      </w:r>
      <w:r>
        <w:rPr>
          <w:rFonts w:hint="eastAsia" w:asciiTheme="minorEastAsia" w:hAnsiTheme="minorEastAsia" w:eastAsiaTheme="minorEastAsia" w:cstheme="minorEastAsia"/>
          <w:sz w:val="21"/>
          <w:szCs w:val="21"/>
          <w:highlight w:val="none"/>
          <w:u w:val="single"/>
        </w:rPr>
        <w:t xml:space="preserve"> 20  </w:t>
      </w:r>
      <w:r>
        <w:rPr>
          <w:rFonts w:hint="eastAsia" w:asciiTheme="minorEastAsia" w:hAnsiTheme="minorEastAsia" w:eastAsiaTheme="minorEastAsia" w:cstheme="minorEastAsia"/>
          <w:sz w:val="21"/>
          <w:szCs w:val="21"/>
          <w:highlight w:val="none"/>
        </w:rPr>
        <w:t>%；迟延交付货物的违约金计算数额达到前述最高限额之日起，甲方有权在要求乙方支付违约金的同时，书面通知乙方解除本合同；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1"/>
          <w:szCs w:val="21"/>
          <w:highlight w:val="none"/>
          <w:u w:val="single"/>
        </w:rPr>
        <w:t xml:space="preserve">  0.05  </w:t>
      </w:r>
      <w:r>
        <w:rPr>
          <w:rFonts w:hint="eastAsia" w:asciiTheme="minorEastAsia" w:hAnsiTheme="minorEastAsia" w:eastAsiaTheme="minorEastAsia" w:cstheme="minorEastAsia"/>
          <w:sz w:val="21"/>
          <w:szCs w:val="21"/>
          <w:highlight w:val="none"/>
        </w:rPr>
        <w:t>%计算，最高限额为本合同总价的</w:t>
      </w:r>
      <w:r>
        <w:rPr>
          <w:rFonts w:hint="eastAsia" w:asciiTheme="minorEastAsia" w:hAnsiTheme="minorEastAsia" w:eastAsiaTheme="minorEastAsia" w:cstheme="minorEastAsia"/>
          <w:sz w:val="21"/>
          <w:szCs w:val="21"/>
          <w:highlight w:val="none"/>
          <w:u w:val="single"/>
        </w:rPr>
        <w:t xml:space="preserve">  20   </w:t>
      </w:r>
      <w:r>
        <w:rPr>
          <w:rFonts w:hint="eastAsia" w:asciiTheme="minorEastAsia" w:hAnsiTheme="minorEastAsia" w:eastAsiaTheme="minorEastAsia" w:cstheme="minorEastAsia"/>
          <w:sz w:val="21"/>
          <w:szCs w:val="21"/>
          <w:highlight w:val="none"/>
        </w:rPr>
        <w:t>%；迟延付款的违约金计算数额达到前述最高限额之日起，乙方有权在要求甲方支付违约金的同时，书面通知甲方解除本合同；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840" w:firstLineChars="4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1.6.7违约责任</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另有约定的，从其约定。</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13" w:name="_Toc15583"/>
      <w:bookmarkStart w:id="414" w:name="_Toc28375"/>
      <w:bookmarkStart w:id="415" w:name="_Toc16021"/>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1.7 合同争议的解决</w:t>
      </w:r>
      <w:bookmarkEnd w:id="413"/>
      <w:bookmarkEnd w:id="414"/>
      <w:bookmarkEnd w:id="415"/>
    </w:p>
    <w:p>
      <w:pPr>
        <w:snapToGrid w:val="0"/>
        <w:spacing w:line="360" w:lineRule="auto"/>
        <w:ind w:left="-61" w:leftChars="-29" w:right="-420" w:rightChars="-200"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sz w:val="21"/>
          <w:szCs w:val="21"/>
          <w:highlight w:val="none"/>
          <w:u w:val="single"/>
        </w:rPr>
        <w:t xml:space="preserve"> 合同专用条款  </w:t>
      </w:r>
      <w:r>
        <w:rPr>
          <w:rFonts w:hint="eastAsia" w:asciiTheme="minorEastAsia" w:hAnsiTheme="minorEastAsia" w:eastAsiaTheme="minorEastAsia" w:cstheme="minorEastAsia"/>
          <w:sz w:val="21"/>
          <w:szCs w:val="21"/>
          <w:highlight w:val="none"/>
        </w:rPr>
        <w:t>条款规定的方式解决：</w:t>
      </w:r>
    </w:p>
    <w:p>
      <w:pPr>
        <w:snapToGrid w:val="0"/>
        <w:spacing w:line="360" w:lineRule="auto"/>
        <w:ind w:left="-420" w:leftChars="-200" w:right="-420" w:rightChars="-200" w:firstLine="525" w:firstLineChars="2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1.7.1 将争议提交</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仲裁委员会依申请仲裁时其现行有效的仲裁规则裁决；</w:t>
      </w:r>
    </w:p>
    <w:p>
      <w:pPr>
        <w:snapToGrid w:val="0"/>
        <w:spacing w:line="360" w:lineRule="auto"/>
        <w:ind w:left="-420" w:leftChars="-200" w:right="-420" w:rightChars="-200" w:firstLine="525" w:firstLineChars="2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1.7.2 向</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人民法院起诉。</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16" w:name="_Toc7245"/>
      <w:bookmarkStart w:id="417" w:name="_Toc15322"/>
      <w:bookmarkStart w:id="418" w:name="_Toc11173"/>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1.8 合同生效</w:t>
      </w:r>
      <w:bookmarkEnd w:id="416"/>
      <w:bookmarkEnd w:id="417"/>
      <w:bookmarkEnd w:id="418"/>
    </w:p>
    <w:p>
      <w:pPr>
        <w:snapToGrid w:val="0"/>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本合同自双方当事人盖章或者签字时生效。</w:t>
      </w:r>
    </w:p>
    <w:p>
      <w:pPr>
        <w:autoSpaceDE w:val="0"/>
        <w:autoSpaceDN w:val="0"/>
        <w:spacing w:line="560" w:lineRule="exact"/>
        <w:rPr>
          <w:rFonts w:hint="eastAsia" w:asciiTheme="minorEastAsia" w:hAnsiTheme="minorEastAsia" w:eastAsiaTheme="minorEastAsia" w:cstheme="minorEastAsia"/>
          <w:sz w:val="21"/>
          <w:szCs w:val="21"/>
          <w:highlight w:val="none"/>
          <w:lang w:val="zh-CN"/>
        </w:rPr>
      </w:pP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b/>
          <w:sz w:val="21"/>
          <w:szCs w:val="21"/>
          <w:highlight w:val="none"/>
          <w:lang w:val="zh-CN"/>
        </w:rPr>
        <w:t>甲方</w:t>
      </w:r>
      <w:r>
        <w:rPr>
          <w:rFonts w:hint="eastAsia" w:asciiTheme="minorEastAsia" w:hAnsiTheme="minorEastAsia" w:eastAsiaTheme="minorEastAsia" w:cstheme="minorEastAsia"/>
          <w:sz w:val="21"/>
          <w:szCs w:val="21"/>
          <w:highlight w:val="none"/>
          <w:lang w:val="zh-CN"/>
        </w:rPr>
        <w:t xml:space="preserve">：                             </w:t>
      </w:r>
      <w:r>
        <w:rPr>
          <w:rFonts w:hint="eastAsia" w:asciiTheme="minorEastAsia" w:hAnsiTheme="minorEastAsia" w:eastAsiaTheme="minorEastAsia" w:cstheme="minorEastAsia"/>
          <w:b/>
          <w:sz w:val="21"/>
          <w:szCs w:val="21"/>
          <w:highlight w:val="none"/>
          <w:lang w:val="zh-CN"/>
        </w:rPr>
        <w:t xml:space="preserve">      乙方</w:t>
      </w:r>
      <w:r>
        <w:rPr>
          <w:rFonts w:hint="eastAsia" w:asciiTheme="minorEastAsia" w:hAnsiTheme="minorEastAsia" w:eastAsiaTheme="minorEastAsia" w:cstheme="minorEastAsia"/>
          <w:sz w:val="21"/>
          <w:szCs w:val="21"/>
          <w:highlight w:val="none"/>
          <w:lang w:val="zh-CN"/>
        </w:rPr>
        <w:t>：</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统一社会信用代码：                        统一社会信用代码或身份证号码：</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住所：                                   住所：</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法定代表人或                             法定代表人</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 xml:space="preserve">授权代表（签字）：                        或授权代表（签字）: </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联系人：                                 联系人：</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约定送达地址：                           约定送达地址：</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邮政编码：                               邮政编码：</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 xml:space="preserve">电话:                                    电话: </w:t>
      </w:r>
    </w:p>
    <w:p>
      <w:pPr>
        <w:autoSpaceDE w:val="0"/>
        <w:autoSpaceDN w:val="0"/>
        <w:snapToGrid w:val="0"/>
        <w:spacing w:line="360" w:lineRule="auto"/>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传真:                                    传真:</w:t>
      </w:r>
    </w:p>
    <w:p>
      <w:pPr>
        <w:autoSpaceDE w:val="0"/>
        <w:autoSpaceDN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电子邮箱：                               电子邮箱：</w:t>
      </w:r>
    </w:p>
    <w:p>
      <w:pPr>
        <w:autoSpaceDE w:val="0"/>
        <w:autoSpaceDN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开户银行：                               开户银行： </w:t>
      </w:r>
    </w:p>
    <w:p>
      <w:pPr>
        <w:autoSpaceDE w:val="0"/>
        <w:autoSpaceDN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开户名称：                               开户名称： </w:t>
      </w:r>
    </w:p>
    <w:p>
      <w:pPr>
        <w:autoSpaceDE w:val="0"/>
        <w:autoSpaceDN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开户账号：</w:t>
      </w:r>
      <w:r>
        <w:rPr>
          <w:rFonts w:hint="eastAsia" w:asciiTheme="minorEastAsia" w:hAnsiTheme="minorEastAsia" w:eastAsiaTheme="minorEastAsia" w:cstheme="minorEastAsia"/>
          <w:sz w:val="21"/>
          <w:szCs w:val="21"/>
          <w:highlight w:val="none"/>
          <w:lang w:val="zh-CN"/>
        </w:rPr>
        <w:t xml:space="preserve">                               </w:t>
      </w:r>
      <w:r>
        <w:rPr>
          <w:rFonts w:hint="eastAsia" w:asciiTheme="minorEastAsia" w:hAnsiTheme="minorEastAsia" w:eastAsiaTheme="minorEastAsia" w:cstheme="minorEastAsia"/>
          <w:sz w:val="21"/>
          <w:szCs w:val="21"/>
          <w:highlight w:val="none"/>
        </w:rPr>
        <w:t>开户账号：</w:t>
      </w:r>
    </w:p>
    <w:p>
      <w:pPr>
        <w:rPr>
          <w:rFonts w:hint="eastAsia" w:asciiTheme="minorEastAsia" w:hAnsiTheme="minorEastAsia" w:eastAsiaTheme="minorEastAsia" w:cstheme="minorEastAsia"/>
          <w:b/>
          <w:sz w:val="21"/>
          <w:szCs w:val="21"/>
          <w:highlight w:val="none"/>
        </w:rPr>
      </w:pPr>
      <w:bookmarkStart w:id="419" w:name="_Toc331685783"/>
      <w:r>
        <w:rPr>
          <w:rFonts w:hint="eastAsia" w:asciiTheme="minorEastAsia" w:hAnsiTheme="minorEastAsia" w:eastAsiaTheme="minorEastAsia" w:cstheme="minorEastAsia"/>
          <w:b/>
          <w:sz w:val="21"/>
          <w:szCs w:val="21"/>
          <w:highlight w:val="none"/>
        </w:rPr>
        <w:br w:type="page"/>
      </w:r>
    </w:p>
    <w:p>
      <w:pPr>
        <w:pStyle w:val="700"/>
        <w:spacing w:line="560" w:lineRule="exact"/>
        <w:ind w:left="0" w:leftChars="0" w:firstLine="0" w:firstLineChars="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第二部分 合同一般条款</w:t>
      </w:r>
      <w:bookmarkEnd w:id="419"/>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20" w:name="_Toc16917"/>
      <w:bookmarkStart w:id="421" w:name="_Ref467379094"/>
      <w:bookmarkStart w:id="422" w:name="_Ref467379214"/>
      <w:bookmarkStart w:id="423" w:name="_Ref467379109"/>
      <w:bookmarkStart w:id="424" w:name="_Toc279701240"/>
      <w:bookmarkStart w:id="425" w:name="_Ref467378404"/>
      <w:bookmarkStart w:id="426" w:name="_Toc259093669"/>
      <w:bookmarkStart w:id="427" w:name="_Toc487900349"/>
      <w:bookmarkStart w:id="428" w:name="_Ref467378499"/>
      <w:bookmarkStart w:id="429" w:name="_Ref467379101"/>
      <w:bookmarkStart w:id="430" w:name="_Ref467379225"/>
      <w:bookmarkStart w:id="431" w:name="_Ref467379205"/>
      <w:bookmarkStart w:id="432" w:name="_Ref467378463"/>
      <w:bookmarkStart w:id="433" w:name="_Toc19614"/>
      <w:bookmarkStart w:id="434" w:name="_Toc28763"/>
      <w:bookmarkStart w:id="435" w:name="_Ref467379195"/>
      <w:r>
        <w:rPr>
          <w:rFonts w:hint="eastAsia" w:asciiTheme="minorEastAsia" w:hAnsiTheme="minorEastAsia" w:eastAsiaTheme="minorEastAsia" w:cstheme="minorEastAsia"/>
          <w:b/>
          <w:sz w:val="21"/>
          <w:szCs w:val="21"/>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本合同中的下列词语应按以下内容进行解释：</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2.1.1 “合同”系指采购人和中标供应商签订的载明双方当事人所达成的协议，并包括所有的附件、附录和构成合同的其他文件。</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 “合同价”系指根据合同约定，中标供应商在完全履行合同义务后，采购人应支付给中标供应商的价格。</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2.1.3 “货物”系指中标供应商根据合同约定应向采购人交付的一切各种形态和种类的物品，包括原材料、燃料、设备、机械、仪表、备件、计算机软件、产品等，并包括工具、手册等其他相关资料。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bookmarkStart w:id="436" w:name="_Ref467378840"/>
      <w:r>
        <w:rPr>
          <w:rFonts w:hint="eastAsia" w:asciiTheme="minorEastAsia" w:hAnsiTheme="minorEastAsia" w:eastAsiaTheme="minorEastAsia" w:cstheme="minorEastAsia"/>
          <w:sz w:val="21"/>
          <w:szCs w:val="21"/>
          <w:highlight w:val="none"/>
        </w:rPr>
        <w:t>2.1.4 “甲方”系指与中标供应商签署合同的采购人</w:t>
      </w:r>
      <w:bookmarkEnd w:id="436"/>
      <w:r>
        <w:rPr>
          <w:rFonts w:hint="eastAsia" w:asciiTheme="minorEastAsia" w:hAnsiTheme="minorEastAsia" w:eastAsiaTheme="minorEastAsia" w:cstheme="minorEastAsia"/>
          <w:sz w:val="21"/>
          <w:szCs w:val="21"/>
          <w:highlight w:val="none"/>
        </w:rPr>
        <w:t>；采购人委托采购代理机构代表其与乙方签订合同的，采购人的授权委托书作为合同附件。</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bookmarkStart w:id="437" w:name="_Ref467379400"/>
      <w:r>
        <w:rPr>
          <w:rFonts w:hint="eastAsia" w:asciiTheme="minorEastAsia" w:hAnsiTheme="minorEastAsia" w:eastAsiaTheme="minorEastAsia" w:cstheme="minorEastAsia"/>
          <w:sz w:val="21"/>
          <w:szCs w:val="21"/>
          <w:highlight w:val="none"/>
        </w:rPr>
        <w:t>2.1.5 “乙方”系指根据合同约定交付货物的中标供应商</w:t>
      </w:r>
      <w:bookmarkEnd w:id="437"/>
      <w:r>
        <w:rPr>
          <w:rFonts w:hint="eastAsia" w:asciiTheme="minorEastAsia" w:hAnsiTheme="minorEastAsia" w:eastAsiaTheme="minorEastAsia" w:cstheme="minorEastAsia"/>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bookmarkStart w:id="438" w:name="_Ref467379436"/>
      <w:r>
        <w:rPr>
          <w:rFonts w:hint="eastAsia" w:asciiTheme="minorEastAsia" w:hAnsiTheme="minorEastAsia" w:eastAsiaTheme="minorEastAsia" w:cstheme="minorEastAsia"/>
          <w:sz w:val="21"/>
          <w:szCs w:val="21"/>
          <w:highlight w:val="none"/>
        </w:rPr>
        <w:t>2.1.6 “现场”系指合同约定货物将要运至或者安装的地点。</w:t>
      </w:r>
      <w:bookmarkEnd w:id="438"/>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39" w:name="_Toc279701241"/>
      <w:bookmarkStart w:id="440" w:name="_Toc13336"/>
      <w:bookmarkStart w:id="441" w:name="_Toc487900350"/>
      <w:bookmarkStart w:id="442" w:name="_Toc27635"/>
      <w:bookmarkStart w:id="443" w:name="_Toc259093670"/>
      <w:bookmarkStart w:id="444" w:name="_Toc32504"/>
      <w:r>
        <w:rPr>
          <w:rFonts w:hint="eastAsia" w:asciiTheme="minorEastAsia" w:hAnsiTheme="minorEastAsia" w:eastAsiaTheme="minorEastAsia" w:cstheme="minorEastAsia"/>
          <w:b/>
          <w:sz w:val="21"/>
          <w:szCs w:val="21"/>
          <w:highlight w:val="none"/>
        </w:rPr>
        <w:t>2.2 技术规范</w:t>
      </w:r>
      <w:bookmarkEnd w:id="439"/>
      <w:bookmarkEnd w:id="440"/>
      <w:bookmarkEnd w:id="441"/>
      <w:bookmarkEnd w:id="442"/>
      <w:bookmarkEnd w:id="443"/>
      <w:bookmarkEnd w:id="444"/>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45" w:name="_Toc279701242"/>
      <w:bookmarkStart w:id="446" w:name="_Toc259093671"/>
      <w:bookmarkStart w:id="447" w:name="_Toc9829"/>
      <w:bookmarkStart w:id="448" w:name="_Toc487900351"/>
      <w:bookmarkStart w:id="449" w:name="_Toc27853"/>
      <w:bookmarkStart w:id="450" w:name="_Toc31634"/>
      <w:r>
        <w:rPr>
          <w:rFonts w:hint="eastAsia" w:asciiTheme="minorEastAsia" w:hAnsiTheme="minorEastAsia" w:eastAsiaTheme="minorEastAsia" w:cstheme="minorEastAsia"/>
          <w:b/>
          <w:sz w:val="21"/>
          <w:szCs w:val="21"/>
          <w:highlight w:val="none"/>
        </w:rPr>
        <w:t>2.3 知识产权</w:t>
      </w:r>
      <w:bookmarkEnd w:id="445"/>
      <w:bookmarkEnd w:id="446"/>
      <w:bookmarkEnd w:id="447"/>
      <w:bookmarkEnd w:id="448"/>
      <w:bookmarkEnd w:id="449"/>
      <w:bookmarkEnd w:id="450"/>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2.3.2具有知识产权的计算机软件等货物的知识产权归属，详见</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51" w:name="_Toc4194"/>
      <w:bookmarkStart w:id="452" w:name="_Toc11932"/>
      <w:bookmarkStart w:id="453" w:name="_Toc29149"/>
      <w:r>
        <w:rPr>
          <w:rFonts w:hint="eastAsia" w:asciiTheme="minorEastAsia" w:hAnsiTheme="minorEastAsia" w:eastAsiaTheme="minorEastAsia" w:cstheme="minorEastAsia"/>
          <w:b/>
          <w:sz w:val="21"/>
          <w:szCs w:val="21"/>
          <w:highlight w:val="none"/>
        </w:rPr>
        <w:t>2.4 包装和装运</w:t>
      </w:r>
      <w:bookmarkEnd w:id="451"/>
      <w:bookmarkEnd w:id="452"/>
      <w:bookmarkEnd w:id="453"/>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2.4.1除</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2.4.2 装运货物的要求和通知，详见</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54" w:name="_Ref467379527"/>
      <w:bookmarkStart w:id="455" w:name="_Ref467378541"/>
      <w:bookmarkStart w:id="456" w:name="_Ref467378591"/>
      <w:bookmarkStart w:id="457" w:name="_Toc487900354"/>
      <w:bookmarkStart w:id="458" w:name="_Ref467379542"/>
      <w:bookmarkStart w:id="459" w:name="_Toc279701245"/>
      <w:bookmarkStart w:id="460" w:name="_Toc259093674"/>
      <w:bookmarkStart w:id="461" w:name="_Ref467379536"/>
      <w:bookmarkStart w:id="462" w:name="_Toc30272"/>
      <w:bookmarkStart w:id="463" w:name="_Toc19074"/>
      <w:bookmarkStart w:id="464" w:name="_Toc26182"/>
      <w:r>
        <w:rPr>
          <w:rFonts w:hint="eastAsia" w:asciiTheme="minorEastAsia" w:hAnsiTheme="minorEastAsia" w:eastAsiaTheme="minorEastAsia" w:cstheme="minorEastAsia"/>
          <w:b/>
          <w:sz w:val="21"/>
          <w:szCs w:val="21"/>
          <w:highlight w:val="none"/>
        </w:rPr>
        <w:t>2.</w:t>
      </w:r>
      <w:bookmarkEnd w:id="454"/>
      <w:bookmarkEnd w:id="455"/>
      <w:bookmarkEnd w:id="456"/>
      <w:bookmarkEnd w:id="457"/>
      <w:bookmarkEnd w:id="458"/>
      <w:bookmarkEnd w:id="459"/>
      <w:bookmarkEnd w:id="460"/>
      <w:bookmarkEnd w:id="461"/>
      <w:r>
        <w:rPr>
          <w:rFonts w:hint="eastAsia" w:asciiTheme="minorEastAsia" w:hAnsiTheme="minorEastAsia" w:eastAsiaTheme="minorEastAsia" w:cstheme="minorEastAsia"/>
          <w:b/>
          <w:sz w:val="21"/>
          <w:szCs w:val="21"/>
          <w:highlight w:val="none"/>
        </w:rPr>
        <w:t>5 履约检查和问题反馈</w:t>
      </w:r>
      <w:bookmarkEnd w:id="462"/>
      <w:bookmarkEnd w:id="463"/>
      <w:bookmarkEnd w:id="464"/>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bookmarkStart w:id="465" w:name="_Ref467379657"/>
      <w:r>
        <w:rPr>
          <w:rFonts w:hint="eastAsia" w:asciiTheme="minorEastAsia" w:hAnsiTheme="minorEastAsia" w:eastAsiaTheme="minorEastAsia" w:cstheme="minorEastAsia"/>
          <w:sz w:val="21"/>
          <w:szCs w:val="21"/>
          <w:highlight w:val="none"/>
        </w:rPr>
        <w:t>2.5.1</w:t>
      </w:r>
      <w:bookmarkEnd w:id="465"/>
      <w:bookmarkStart w:id="466" w:name="_Toc186431854"/>
      <w:bookmarkStart w:id="467" w:name="_Toc259093676"/>
      <w:bookmarkStart w:id="468" w:name="_Toc279701247"/>
      <w:bookmarkStart w:id="469" w:name="_Toc487900357"/>
      <w:bookmarkStart w:id="470" w:name="_Ref467379793"/>
      <w:bookmarkStart w:id="471" w:name="_Ref467379807"/>
      <w:r>
        <w:rPr>
          <w:rFonts w:hint="eastAsia" w:asciiTheme="minorEastAsia" w:hAnsiTheme="minorEastAsia" w:eastAsiaTheme="minorEastAsia" w:cstheme="minorEastAsia"/>
          <w:sz w:val="21"/>
          <w:szCs w:val="21"/>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Theme="minorEastAsia" w:hAnsiTheme="minorEastAsia" w:eastAsiaTheme="minorEastAsia" w:cstheme="minorEastAsia"/>
          <w:sz w:val="21"/>
          <w:szCs w:val="21"/>
          <w:highlight w:val="none"/>
        </w:rPr>
        <w:t>。</w:t>
      </w:r>
    </w:p>
    <w:bookmarkEnd w:id="467"/>
    <w:bookmarkEnd w:id="468"/>
    <w:bookmarkEnd w:id="469"/>
    <w:bookmarkEnd w:id="470"/>
    <w:bookmarkEnd w:id="471"/>
    <w:bookmarkEnd w:id="472"/>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73" w:name="_Ref467379923"/>
      <w:bookmarkStart w:id="474" w:name="_Ref467379852"/>
      <w:bookmarkStart w:id="475" w:name="_Ref467379863"/>
      <w:bookmarkStart w:id="476" w:name="_Toc487900358"/>
      <w:bookmarkStart w:id="477" w:name="_Toc259093677"/>
      <w:bookmarkStart w:id="478" w:name="_Toc279701248"/>
      <w:bookmarkStart w:id="479" w:name="_Toc3225"/>
      <w:bookmarkStart w:id="480" w:name="_Toc774"/>
      <w:bookmarkStart w:id="481" w:name="_Toc16110"/>
      <w:r>
        <w:rPr>
          <w:rFonts w:hint="eastAsia" w:asciiTheme="minorEastAsia" w:hAnsiTheme="minorEastAsia" w:eastAsiaTheme="minorEastAsia" w:cstheme="minorEastAsia"/>
          <w:b/>
          <w:sz w:val="21"/>
          <w:szCs w:val="21"/>
          <w:highlight w:val="none"/>
        </w:rPr>
        <w:t>2.6 技术资料</w:t>
      </w:r>
      <w:bookmarkEnd w:id="473"/>
      <w:bookmarkEnd w:id="474"/>
      <w:bookmarkEnd w:id="475"/>
      <w:bookmarkEnd w:id="476"/>
      <w:bookmarkEnd w:id="477"/>
      <w:bookmarkEnd w:id="478"/>
      <w:r>
        <w:rPr>
          <w:rFonts w:hint="eastAsia" w:asciiTheme="minorEastAsia" w:hAnsiTheme="minorEastAsia" w:eastAsiaTheme="minorEastAsia" w:cstheme="minorEastAsia"/>
          <w:b/>
          <w:sz w:val="21"/>
          <w:szCs w:val="21"/>
          <w:highlight w:val="none"/>
        </w:rPr>
        <w:t>和保密义务</w:t>
      </w:r>
      <w:bookmarkEnd w:id="479"/>
      <w:bookmarkEnd w:id="480"/>
      <w:bookmarkEnd w:id="481"/>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2.6.1 乙方有权依据合同约定和项目需要，向甲方了解有关情况，调阅有关资料等，甲方应予积极配合；</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2.6.2 乙方有义务妥善保管和保护由甲方提供的前款信息和资料等；</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82" w:name="_Toc7860"/>
      <w:r>
        <w:rPr>
          <w:rFonts w:hint="eastAsia" w:asciiTheme="minorEastAsia" w:hAnsiTheme="minorEastAsia" w:eastAsiaTheme="minorEastAsia" w:cstheme="minorEastAsia"/>
          <w:b/>
          <w:sz w:val="21"/>
          <w:szCs w:val="21"/>
          <w:highlight w:val="none"/>
        </w:rPr>
        <w:t>2.7 质量保证</w:t>
      </w:r>
      <w:bookmarkEnd w:id="482"/>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2.7.1 乙方应建立和完善履行合同的内部质量保证体系，并提供相关内部规章制度给甲方，以便甲方进行监督检查；</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83" w:name="_Toc17244"/>
      <w:bookmarkStart w:id="484" w:name="_Toc279701252"/>
      <w:bookmarkStart w:id="485" w:name="_Toc259093681"/>
      <w:bookmarkStart w:id="486" w:name="_Toc487900362"/>
      <w:r>
        <w:rPr>
          <w:rFonts w:hint="eastAsia" w:asciiTheme="minorEastAsia" w:hAnsiTheme="minorEastAsia" w:eastAsiaTheme="minorEastAsia" w:cstheme="minorEastAsia"/>
          <w:b/>
          <w:sz w:val="21"/>
          <w:szCs w:val="21"/>
          <w:highlight w:val="none"/>
        </w:rPr>
        <w:t>2.8 货物的风险负担</w:t>
      </w:r>
      <w:bookmarkEnd w:id="483"/>
    </w:p>
    <w:p>
      <w:pPr>
        <w:snapToGrid w:val="0"/>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货物或者在途货物或者交付给第一承运人后的货物毁损、灭失的风险负担详见</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87" w:name="_Toc14055"/>
      <w:r>
        <w:rPr>
          <w:rFonts w:hint="eastAsia" w:asciiTheme="minorEastAsia" w:hAnsiTheme="minorEastAsia" w:eastAsiaTheme="minorEastAsia" w:cstheme="minorEastAsia"/>
          <w:b/>
          <w:sz w:val="21"/>
          <w:szCs w:val="21"/>
          <w:highlight w:val="none"/>
        </w:rPr>
        <w:t>2.9 延迟交货</w:t>
      </w:r>
      <w:bookmarkEnd w:id="484"/>
      <w:bookmarkEnd w:id="485"/>
      <w:bookmarkEnd w:id="486"/>
      <w:bookmarkEnd w:id="487"/>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88" w:name="_Toc7502"/>
      <w:bookmarkStart w:id="489" w:name="_Toc259093683"/>
      <w:bookmarkStart w:id="490" w:name="_Toc487900364"/>
      <w:bookmarkStart w:id="491" w:name="_Ref467378121"/>
      <w:bookmarkStart w:id="492" w:name="_Toc279701254"/>
      <w:r>
        <w:rPr>
          <w:rFonts w:hint="eastAsia" w:asciiTheme="minorEastAsia" w:hAnsiTheme="minorEastAsia" w:eastAsiaTheme="minorEastAsia" w:cstheme="minorEastAsia"/>
          <w:b/>
          <w:sz w:val="21"/>
          <w:szCs w:val="21"/>
          <w:highlight w:val="none"/>
        </w:rPr>
        <w:t>2.10 合同变更</w:t>
      </w:r>
      <w:bookmarkEnd w:id="488"/>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96" w:name="_Toc15237"/>
      <w:bookmarkStart w:id="497" w:name="_Toc10366"/>
      <w:bookmarkStart w:id="498" w:name="_Toc22955"/>
      <w:r>
        <w:rPr>
          <w:rFonts w:hint="eastAsia" w:asciiTheme="minorEastAsia" w:hAnsiTheme="minorEastAsia" w:eastAsiaTheme="minorEastAsia" w:cstheme="minorEastAsia"/>
          <w:b/>
          <w:sz w:val="21"/>
          <w:szCs w:val="21"/>
          <w:highlight w:val="none"/>
        </w:rPr>
        <w:t>2.11 合同转让</w:t>
      </w:r>
      <w:bookmarkEnd w:id="493"/>
      <w:bookmarkEnd w:id="494"/>
      <w:bookmarkEnd w:id="495"/>
      <w:r>
        <w:rPr>
          <w:rFonts w:hint="eastAsia" w:asciiTheme="minorEastAsia" w:hAnsiTheme="minorEastAsia" w:eastAsiaTheme="minorEastAsia" w:cstheme="minorEastAsia"/>
          <w:b/>
          <w:sz w:val="21"/>
          <w:szCs w:val="21"/>
          <w:highlight w:val="none"/>
        </w:rPr>
        <w:t>和分包</w:t>
      </w:r>
      <w:bookmarkEnd w:id="496"/>
      <w:bookmarkEnd w:id="497"/>
      <w:bookmarkEnd w:id="498"/>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2.11.2乙方采取分包方式履行合同的，甲方可直接向分包供应商支付款项。</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499" w:name="_Toc14066"/>
      <w:bookmarkStart w:id="500" w:name="_Toc13566"/>
      <w:bookmarkStart w:id="501" w:name="_Toc16508"/>
      <w:r>
        <w:rPr>
          <w:rFonts w:hint="eastAsia" w:asciiTheme="minorEastAsia" w:hAnsiTheme="minorEastAsia" w:eastAsiaTheme="minorEastAsia" w:cstheme="minorEastAsia"/>
          <w:b/>
          <w:sz w:val="21"/>
          <w:szCs w:val="21"/>
          <w:highlight w:val="none"/>
        </w:rPr>
        <w:t>2.12 不可抗力</w:t>
      </w:r>
      <w:bookmarkEnd w:id="499"/>
      <w:bookmarkEnd w:id="500"/>
      <w:bookmarkEnd w:id="501"/>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2.12.1如果任何一方遭遇法律规定的不可抗力，致使合同履行受阻时，履行合同的期限应予延长，延长的期限应相当于不可抗力所影响的时间；</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2.12.2 因不可抗力致使不能实现合同目的的，当事人可以解除合同；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2.12.3 因不可抗力致使合同有变更必要的，双方当事人应在</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约定时间内以书面形式变更合同；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2.12.4受不可抗力影响的一方在不可抗力发生后，应在</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约定时间内以书面形式通知对方当事人，并在</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约定时间内，将有关部门出具的证明文件送达对方当事人。</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02" w:name="_Toc487900365"/>
      <w:bookmarkStart w:id="503" w:name="_Toc6969"/>
      <w:bookmarkStart w:id="504" w:name="_Toc689"/>
      <w:bookmarkStart w:id="505" w:name="_Toc30676"/>
      <w:bookmarkStart w:id="506" w:name="_Toc259093684"/>
      <w:bookmarkStart w:id="507" w:name="_Toc279701255"/>
      <w:r>
        <w:rPr>
          <w:rFonts w:hint="eastAsia" w:asciiTheme="minorEastAsia" w:hAnsiTheme="minorEastAsia" w:eastAsiaTheme="minorEastAsia" w:cstheme="minorEastAsia"/>
          <w:b/>
          <w:sz w:val="21"/>
          <w:szCs w:val="21"/>
          <w:highlight w:val="none"/>
        </w:rPr>
        <w:t>2.13 税费</w:t>
      </w:r>
      <w:bookmarkEnd w:id="502"/>
      <w:bookmarkEnd w:id="503"/>
      <w:bookmarkEnd w:id="504"/>
      <w:bookmarkEnd w:id="505"/>
      <w:bookmarkEnd w:id="506"/>
      <w:bookmarkEnd w:id="507"/>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与合同有关的一切税费，均按照中华人民共和国法律的相关规定。</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08" w:name="_Toc279701258"/>
      <w:bookmarkStart w:id="509" w:name="_Toc487900368"/>
      <w:bookmarkStart w:id="510" w:name="_Toc8298"/>
      <w:bookmarkStart w:id="511" w:name="_Toc16959"/>
      <w:bookmarkStart w:id="512" w:name="_Toc7102"/>
      <w:bookmarkStart w:id="513" w:name="_Toc259093687"/>
      <w:r>
        <w:rPr>
          <w:rFonts w:hint="eastAsia" w:asciiTheme="minorEastAsia" w:hAnsiTheme="minorEastAsia" w:eastAsiaTheme="minorEastAsia" w:cstheme="minorEastAsia"/>
          <w:b/>
          <w:sz w:val="21"/>
          <w:szCs w:val="21"/>
          <w:highlight w:val="none"/>
        </w:rPr>
        <w:t>2.14乙方破产</w:t>
      </w:r>
      <w:bookmarkEnd w:id="508"/>
      <w:bookmarkEnd w:id="509"/>
      <w:bookmarkEnd w:id="510"/>
      <w:bookmarkEnd w:id="511"/>
      <w:bookmarkEnd w:id="512"/>
      <w:bookmarkEnd w:id="513"/>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14" w:name="_Toc6134"/>
      <w:bookmarkStart w:id="515" w:name="_Toc15387"/>
      <w:bookmarkStart w:id="516" w:name="_Toc29333"/>
      <w:r>
        <w:rPr>
          <w:rFonts w:hint="eastAsia" w:asciiTheme="minorEastAsia" w:hAnsiTheme="minorEastAsia" w:eastAsiaTheme="minorEastAsia" w:cstheme="minorEastAsia"/>
          <w:b/>
          <w:sz w:val="21"/>
          <w:szCs w:val="21"/>
          <w:highlight w:val="none"/>
        </w:rPr>
        <w:t>2.15 合同中止、终止</w:t>
      </w:r>
      <w:bookmarkEnd w:id="514"/>
      <w:bookmarkEnd w:id="515"/>
      <w:bookmarkEnd w:id="516"/>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2.15.1 双方当事人不得擅自中止或者终止合同；</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17" w:name="_Toc1125"/>
      <w:bookmarkStart w:id="518" w:name="_Toc14563"/>
      <w:bookmarkStart w:id="519" w:name="_Toc6596"/>
      <w:r>
        <w:rPr>
          <w:rFonts w:hint="eastAsia" w:asciiTheme="minorEastAsia" w:hAnsiTheme="minorEastAsia" w:eastAsiaTheme="minorEastAsia" w:cstheme="minorEastAsia"/>
          <w:b/>
          <w:sz w:val="21"/>
          <w:szCs w:val="21"/>
          <w:highlight w:val="none"/>
        </w:rPr>
        <w:t>2.16检验和验收</w:t>
      </w:r>
      <w:bookmarkEnd w:id="517"/>
      <w:bookmarkEnd w:id="518"/>
      <w:bookmarkEnd w:id="519"/>
    </w:p>
    <w:p>
      <w:pPr>
        <w:tabs>
          <w:tab w:val="left" w:pos="360"/>
          <w:tab w:val="left" w:pos="540"/>
          <w:tab w:val="left" w:pos="1080"/>
        </w:tabs>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2.16.1货物交付前，乙方应对货物的质量、数量等方面进行详细、全面的检验，并向甲方出具证明货物符合合同约定的文件；货物交付时，乙方在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约定时间内组织验收，并可依法邀请相关方参加，验收应出具验收书。</w:t>
      </w:r>
    </w:p>
    <w:p>
      <w:pPr>
        <w:tabs>
          <w:tab w:val="left" w:pos="360"/>
          <w:tab w:val="left" w:pos="540"/>
          <w:tab w:val="left" w:pos="1080"/>
        </w:tabs>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2.16.3 检验和验收标准、程序等具体内容以及前述验收书的效力详见</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i/>
          <w:sz w:val="21"/>
          <w:szCs w:val="21"/>
          <w:highlight w:val="none"/>
        </w:rPr>
        <w:t>。</w:t>
      </w:r>
    </w:p>
    <w:bookmarkEnd w:id="489"/>
    <w:bookmarkEnd w:id="490"/>
    <w:bookmarkEnd w:id="491"/>
    <w:bookmarkEnd w:id="492"/>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20" w:name="_Toc279701261"/>
      <w:bookmarkStart w:id="521" w:name="_Toc259093690"/>
      <w:bookmarkStart w:id="522" w:name="_Toc487900371"/>
      <w:bookmarkStart w:id="523" w:name="_Toc19604"/>
      <w:bookmarkStart w:id="524" w:name="_Toc11284"/>
      <w:bookmarkStart w:id="525" w:name="_Toc25182"/>
      <w:r>
        <w:rPr>
          <w:rFonts w:hint="eastAsia" w:asciiTheme="minorEastAsia" w:hAnsiTheme="minorEastAsia" w:eastAsiaTheme="minorEastAsia" w:cstheme="minorEastAsia"/>
          <w:b/>
          <w:sz w:val="21"/>
          <w:szCs w:val="21"/>
          <w:highlight w:val="none"/>
        </w:rPr>
        <w:t>2.17 通知</w:t>
      </w:r>
      <w:bookmarkEnd w:id="520"/>
      <w:bookmarkEnd w:id="521"/>
      <w:bookmarkEnd w:id="522"/>
      <w:r>
        <w:rPr>
          <w:rFonts w:hint="eastAsia" w:asciiTheme="minorEastAsia" w:hAnsiTheme="minorEastAsia" w:eastAsiaTheme="minorEastAsia" w:cstheme="minorEastAsia"/>
          <w:b/>
          <w:sz w:val="21"/>
          <w:szCs w:val="21"/>
          <w:highlight w:val="none"/>
        </w:rPr>
        <w:t>和送达</w:t>
      </w:r>
      <w:bookmarkEnd w:id="523"/>
      <w:bookmarkEnd w:id="524"/>
      <w:bookmarkEnd w:id="525"/>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bookmarkStart w:id="526" w:name="_Toc6698"/>
      <w:bookmarkStart w:id="527" w:name="_Toc3135"/>
      <w:bookmarkStart w:id="528" w:name="_Toc487900372"/>
      <w:bookmarkStart w:id="529" w:name="_Toc259093691"/>
      <w:bookmarkStart w:id="530" w:name="_Toc279701262"/>
      <w:r>
        <w:rPr>
          <w:rFonts w:hint="eastAsia" w:asciiTheme="minorEastAsia" w:hAnsiTheme="minorEastAsia" w:eastAsiaTheme="minorEastAsia" w:cstheme="minorEastAsia"/>
          <w:sz w:val="21"/>
          <w:szCs w:val="21"/>
          <w:highlight w:val="none"/>
        </w:rPr>
        <w:t xml:space="preserve">2.17.1任何一方因履行合同而以合同第一部分尾部所列明的传真或电子邮件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sz w:val="21"/>
          <w:szCs w:val="21"/>
          <w:highlight w:val="none"/>
          <w:u w:val="single"/>
        </w:rPr>
        <w:t>3</w:t>
      </w:r>
      <w:r>
        <w:rPr>
          <w:rFonts w:hint="eastAsia" w:asciiTheme="minorEastAsia" w:hAnsiTheme="minorEastAsia" w:eastAsiaTheme="minorEastAsia" w:cstheme="minorEastAsia"/>
          <w:sz w:val="21"/>
          <w:szCs w:val="21"/>
          <w:highlight w:val="none"/>
        </w:rPr>
        <w:t>个工作日内书面通知对方当事人，在对方当事人收到有关变更通知之前，变更前的约定送达方式或者地址仍视为有效。</w:t>
      </w:r>
      <w:bookmarkEnd w:id="526"/>
      <w:bookmarkEnd w:id="527"/>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bookmarkStart w:id="531" w:name="_Toc23294"/>
      <w:bookmarkStart w:id="532" w:name="_Toc23128"/>
      <w:r>
        <w:rPr>
          <w:rFonts w:hint="eastAsia" w:asciiTheme="minorEastAsia" w:hAnsiTheme="minorEastAsia" w:eastAsiaTheme="minorEastAsia" w:cstheme="minorEastAsia"/>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33" w:name="_Toc4355"/>
      <w:bookmarkStart w:id="534" w:name="_Toc30599"/>
      <w:bookmarkStart w:id="535" w:name="_Toc18540"/>
      <w:r>
        <w:rPr>
          <w:rFonts w:hint="eastAsia" w:asciiTheme="minorEastAsia" w:hAnsiTheme="minorEastAsia" w:eastAsiaTheme="minorEastAsia" w:cstheme="minorEastAsia"/>
          <w:b/>
          <w:sz w:val="21"/>
          <w:szCs w:val="21"/>
          <w:highlight w:val="none"/>
        </w:rPr>
        <w:t>2.18 计量单位</w:t>
      </w:r>
      <w:bookmarkEnd w:id="528"/>
      <w:bookmarkEnd w:id="529"/>
      <w:bookmarkEnd w:id="530"/>
      <w:bookmarkEnd w:id="533"/>
      <w:bookmarkEnd w:id="534"/>
      <w:bookmarkEnd w:id="535"/>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除技术规范中另有规定外,合同的计量单位均使用国家法定计量单位。</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36" w:name="_Toc12773"/>
      <w:bookmarkStart w:id="537" w:name="_Toc487900373"/>
      <w:bookmarkStart w:id="538" w:name="_Toc10330"/>
      <w:bookmarkStart w:id="539" w:name="_Toc259093692"/>
      <w:bookmarkStart w:id="540" w:name="_Toc18567"/>
      <w:bookmarkStart w:id="541" w:name="_Toc279701263"/>
      <w:r>
        <w:rPr>
          <w:rFonts w:hint="eastAsia" w:asciiTheme="minorEastAsia" w:hAnsiTheme="minorEastAsia" w:eastAsiaTheme="minorEastAsia" w:cstheme="minorEastAsia"/>
          <w:b/>
          <w:sz w:val="21"/>
          <w:szCs w:val="21"/>
          <w:highlight w:val="none"/>
        </w:rPr>
        <w:t>2.19 合同使用的文字和适用的法律</w:t>
      </w:r>
      <w:bookmarkEnd w:id="536"/>
      <w:bookmarkEnd w:id="537"/>
      <w:bookmarkEnd w:id="538"/>
      <w:bookmarkEnd w:id="539"/>
      <w:bookmarkEnd w:id="540"/>
      <w:bookmarkEnd w:id="541"/>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2.19.1 合同使用汉语书就、变更和解释；</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2.19.2 合同适用中华人民共和国法律。</w:t>
      </w:r>
    </w:p>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42" w:name="_Toc3148"/>
      <w:bookmarkStart w:id="543" w:name="_Toc279701264"/>
      <w:bookmarkStart w:id="544" w:name="_Toc16673"/>
      <w:bookmarkStart w:id="545" w:name="_Toc12004"/>
      <w:bookmarkStart w:id="546" w:name="_Toc259093693"/>
      <w:bookmarkStart w:id="547" w:name="_Toc487900374"/>
      <w:r>
        <w:rPr>
          <w:rFonts w:hint="eastAsia" w:asciiTheme="minorEastAsia" w:hAnsiTheme="minorEastAsia" w:eastAsiaTheme="minorEastAsia" w:cstheme="minorEastAsia"/>
          <w:b/>
          <w:sz w:val="21"/>
          <w:szCs w:val="21"/>
          <w:highlight w:val="none"/>
        </w:rPr>
        <w:t>2.20 履约保证金</w:t>
      </w:r>
      <w:bookmarkEnd w:id="542"/>
      <w:bookmarkEnd w:id="543"/>
      <w:bookmarkEnd w:id="544"/>
      <w:bookmarkEnd w:id="545"/>
      <w:bookmarkEnd w:id="546"/>
    </w:p>
    <w:p>
      <w:pPr>
        <w:pStyle w:val="958"/>
        <w:adjustRightInd w:val="0"/>
        <w:snapToGrid w:val="0"/>
        <w:spacing w:before="0" w:beforeAutospacing="0" w:after="0" w:afterAutospacing="0" w:line="360" w:lineRule="auto"/>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2.20.1 招标文件要求乙方提交履约保证金的，乙方应按</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约定的方式，以支票、汇票、本票或者金融机构、担保机构出具的保函等非现金形式，提交不超过合同金额2.5%的履约保证金；鼓励和支持乙方以银行、保险公司出具的保函形式提供履约保证。</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2.20.2  履约保证金在</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约定期间内不予退还。乙方在前述约定期间届满前能履行完合同约定义务事项的，甲方在前述约定期间届满之日起</w:t>
      </w:r>
      <w:r>
        <w:rPr>
          <w:rFonts w:hint="eastAsia" w:asciiTheme="minorEastAsia" w:hAnsiTheme="minorEastAsia" w:eastAsiaTheme="minorEastAsia" w:cstheme="minorEastAsia"/>
          <w:sz w:val="21"/>
          <w:szCs w:val="21"/>
          <w:highlight w:val="none"/>
          <w:u w:val="single"/>
        </w:rPr>
        <w:t xml:space="preserve"> 5 </w:t>
      </w:r>
      <w:r>
        <w:rPr>
          <w:rFonts w:hint="eastAsia" w:asciiTheme="minorEastAsia" w:hAnsiTheme="minorEastAsia" w:eastAsiaTheme="minorEastAsia" w:cstheme="minorEastAsia"/>
          <w:sz w:val="21"/>
          <w:szCs w:val="21"/>
          <w:highlight w:val="none"/>
        </w:rPr>
        <w:t>个工作日内，按</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sz w:val="21"/>
          <w:szCs w:val="21"/>
          <w:highlight w:val="none"/>
          <w:u w:val="single"/>
        </w:rPr>
        <w:t xml:space="preserve">  0.05  </w:t>
      </w:r>
      <w:r>
        <w:rPr>
          <w:rFonts w:hint="eastAsia" w:asciiTheme="minorEastAsia" w:hAnsiTheme="minorEastAsia" w:eastAsiaTheme="minorEastAsia" w:cstheme="minorEastAsia"/>
          <w:sz w:val="21"/>
          <w:szCs w:val="21"/>
          <w:highlight w:val="none"/>
        </w:rPr>
        <w:t>%计算，最高限额为本合同履约保证金的</w:t>
      </w:r>
      <w:r>
        <w:rPr>
          <w:rFonts w:hint="eastAsia" w:asciiTheme="minorEastAsia" w:hAnsiTheme="minorEastAsia" w:eastAsiaTheme="minorEastAsia" w:cstheme="minorEastAsia"/>
          <w:sz w:val="21"/>
          <w:szCs w:val="21"/>
          <w:highlight w:val="none"/>
          <w:u w:val="single"/>
        </w:rPr>
        <w:t xml:space="preserve">  20   </w:t>
      </w:r>
      <w:r>
        <w:rPr>
          <w:rFonts w:hint="eastAsia" w:asciiTheme="minorEastAsia" w:hAnsiTheme="minorEastAsia" w:eastAsiaTheme="minorEastAsia" w:cstheme="minorEastAsia"/>
          <w:sz w:val="21"/>
          <w:szCs w:val="21"/>
          <w:highlight w:val="none"/>
        </w:rPr>
        <w:t xml:space="preserve">%； </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2.20.5甲方在乙方履行完合同约定义务事项后及时退还，延迟退还的，应当按照合同约定和法律规定承担相应的赔偿责任。</w:t>
      </w:r>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2.21对于因甲方原因导致变更、中止或者终止政府采购合同的，甲方应当依照合同约定对供应商受到的损失予以赔偿或者补偿。</w:t>
      </w:r>
    </w:p>
    <w:bookmarkEnd w:id="547"/>
    <w:p>
      <w:pPr>
        <w:snapToGrid w:val="0"/>
        <w:spacing w:line="360" w:lineRule="auto"/>
        <w:ind w:firstLine="422" w:firstLineChars="200"/>
        <w:outlineLvl w:val="0"/>
        <w:rPr>
          <w:rFonts w:hint="eastAsia" w:asciiTheme="minorEastAsia" w:hAnsiTheme="minorEastAsia" w:eastAsiaTheme="minorEastAsia" w:cstheme="minorEastAsia"/>
          <w:b/>
          <w:sz w:val="21"/>
          <w:szCs w:val="21"/>
          <w:highlight w:val="none"/>
        </w:rPr>
      </w:pPr>
      <w:bookmarkStart w:id="548" w:name="_Toc6885"/>
      <w:bookmarkStart w:id="549" w:name="_Toc19890"/>
      <w:bookmarkStart w:id="550" w:name="_Toc14001"/>
      <w:r>
        <w:rPr>
          <w:rFonts w:hint="eastAsia" w:asciiTheme="minorEastAsia" w:hAnsiTheme="minorEastAsia" w:eastAsiaTheme="minorEastAsia" w:cstheme="minorEastAsia"/>
          <w:b/>
          <w:sz w:val="21"/>
          <w:szCs w:val="21"/>
          <w:highlight w:val="none"/>
        </w:rPr>
        <w:t>2.22合同份数</w:t>
      </w:r>
      <w:bookmarkEnd w:id="548"/>
      <w:bookmarkEnd w:id="549"/>
      <w:bookmarkEnd w:id="550"/>
    </w:p>
    <w:p>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合同份数按</w:t>
      </w:r>
      <w:r>
        <w:rPr>
          <w:rFonts w:hint="eastAsia" w:asciiTheme="minorEastAsia" w:hAnsiTheme="minorEastAsia" w:eastAsiaTheme="minorEastAsia" w:cstheme="minorEastAsia"/>
          <w:b/>
          <w:i/>
          <w:sz w:val="21"/>
          <w:szCs w:val="21"/>
          <w:highlight w:val="none"/>
          <w:u w:val="single"/>
        </w:rPr>
        <w:t>合同专用条款</w:t>
      </w:r>
      <w:r>
        <w:rPr>
          <w:rFonts w:hint="eastAsia" w:asciiTheme="minorEastAsia" w:hAnsiTheme="minorEastAsia" w:eastAsiaTheme="minorEastAsia" w:cstheme="minorEastAsia"/>
          <w:sz w:val="21"/>
          <w:szCs w:val="21"/>
          <w:highlight w:val="none"/>
        </w:rPr>
        <w:t>规定，每份均具有同等法律效力。</w:t>
      </w:r>
    </w:p>
    <w:p>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br w:type="page"/>
      </w:r>
    </w:p>
    <w:p>
      <w:pPr>
        <w:pStyle w:val="700"/>
        <w:spacing w:line="560" w:lineRule="exact"/>
        <w:ind w:left="0" w:leftChars="0" w:firstLine="0" w:firstLineChars="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第三部分  合同专用条款</w:t>
      </w:r>
    </w:p>
    <w:p>
      <w:pPr>
        <w:snapToGrid w:val="0"/>
        <w:spacing w:line="360" w:lineRule="auto"/>
        <w:ind w:left="-420" w:leftChars="-200" w:right="-420" w:rightChars="-20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条款号</w:t>
            </w:r>
          </w:p>
        </w:tc>
        <w:tc>
          <w:tcPr>
            <w:tcW w:w="4534" w:type="pct"/>
            <w:vAlign w:val="center"/>
          </w:tcPr>
          <w:p>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1.4.4</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合同总价为包干价，</w:t>
            </w:r>
            <w:r>
              <w:rPr>
                <w:rFonts w:hint="eastAsia" w:asciiTheme="minorEastAsia" w:hAnsiTheme="minorEastAsia" w:eastAsiaTheme="minorEastAsia" w:cstheme="minorEastAsia"/>
                <w:sz w:val="21"/>
                <w:szCs w:val="21"/>
                <w:highlight w:val="none"/>
              </w:rPr>
              <w:t>合同签订后7日内，甲方支付合同总额40%的预付款；项目交货完成、安装调试完成并验收后，付清余款。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1.5.1 </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合同签订后90日历天，且满足总包施工进度要求。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1.5.2</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新湾校区项目地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1.5.3 </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货到工地，包安装、调试、验收等交钥匙项目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1.6.7</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如产品质量未达到投标承诺技术要求及品牌、型号的；采购人将退货处理，乙方承担项目总额20%的违约金。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1.7.2(诉讼)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1.7.1</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1.7.2</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2.3.2</w:t>
            </w:r>
          </w:p>
        </w:tc>
        <w:tc>
          <w:tcPr>
            <w:tcW w:w="4534" w:type="pct"/>
            <w:vAlign w:val="center"/>
          </w:tcPr>
          <w:p>
            <w:pPr>
              <w:spacing w:line="360" w:lineRule="auto"/>
              <w:ind w:left="-420" w:leftChars="-200" w:right="-420" w:rightChars="-20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归乙方所有，但针对本项目，甲方有无限使用权。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2.4.1</w:t>
            </w:r>
          </w:p>
        </w:tc>
        <w:tc>
          <w:tcPr>
            <w:tcW w:w="4534" w:type="pct"/>
            <w:vAlign w:val="center"/>
          </w:tcPr>
          <w:p>
            <w:pPr>
              <w:spacing w:line="360" w:lineRule="auto"/>
              <w:ind w:left="-420" w:leftChars="-200" w:right="-420" w:rightChars="-20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按行业及通用条款要求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2.4.2</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装运货物的要求和通知，乙方应提前7天通知甲方并协调设备的卸货及安装事宜。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2.8 </w:t>
            </w:r>
          </w:p>
        </w:tc>
        <w:tc>
          <w:tcPr>
            <w:tcW w:w="4534" w:type="pct"/>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货物或者在途货物或者交付给第一承运人后的货物毁损、灭失的风险负担均由乙方负责，并承担延期交货的违约责任。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2.12.3</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不可抗力时间发生后7天内以书面形式变更合同。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2.12.4</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2.16.1</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2.16.3</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2.20.1</w:t>
            </w:r>
          </w:p>
        </w:tc>
        <w:tc>
          <w:tcPr>
            <w:tcW w:w="4534" w:type="pct"/>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合同金额的2.5%。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2.20.2 </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合同验收后30天前。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20" w:firstLineChars="200"/>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2.22 </w:t>
            </w:r>
          </w:p>
        </w:tc>
        <w:tc>
          <w:tcPr>
            <w:tcW w:w="4534" w:type="pct"/>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6份。</w:t>
            </w:r>
          </w:p>
        </w:tc>
      </w:tr>
    </w:tbl>
    <w:p>
      <w:pPr>
        <w:widowControl/>
        <w:adjustRightInd/>
        <w:jc w:val="left"/>
        <w:rPr>
          <w:rFonts w:ascii="宋体" w:hAnsi="宋体" w:cs="宋体"/>
          <w:b/>
          <w:sz w:val="36"/>
          <w:szCs w:val="20"/>
          <w:highlight w:val="none"/>
        </w:rPr>
      </w:pPr>
    </w:p>
    <w:p>
      <w:pPr>
        <w:rPr>
          <w:rFonts w:ascii="宋体" w:hAnsi="宋体" w:cs="宋体"/>
          <w:highlight w:val="none"/>
        </w:rPr>
      </w:pPr>
      <w:r>
        <w:rPr>
          <w:rFonts w:ascii="宋体" w:hAnsi="宋体" w:cs="宋体"/>
          <w:highlight w:val="none"/>
        </w:rPr>
        <w:br w:type="page"/>
      </w:r>
    </w:p>
    <w:p>
      <w:pPr>
        <w:pStyle w:val="61"/>
        <w:rPr>
          <w:highlight w:val="none"/>
        </w:rPr>
      </w:pP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pPr>
        <w:rPr>
          <w:rFonts w:ascii="宋体" w:hAnsi="宋体" w:cs="宋体"/>
          <w:highlight w:val="none"/>
        </w:rPr>
      </w:pPr>
    </w:p>
    <w:p>
      <w:pPr>
        <w:pStyle w:val="2"/>
        <w:jc w:val="center"/>
        <w:rPr>
          <w:rFonts w:ascii="宋体" w:hAnsi="宋体" w:cs="宋体"/>
          <w:sz w:val="36"/>
          <w:szCs w:val="36"/>
          <w:highlight w:val="none"/>
        </w:rPr>
      </w:pPr>
      <w:r>
        <w:rPr>
          <w:rFonts w:hint="eastAsia" w:ascii="宋体" w:hAnsi="宋体" w:cs="宋体"/>
          <w:sz w:val="36"/>
          <w:szCs w:val="36"/>
          <w:highlight w:val="none"/>
        </w:rPr>
        <w:t>资格文件部分</w:t>
      </w:r>
    </w:p>
    <w:p>
      <w:pPr>
        <w:jc w:val="center"/>
        <w:rPr>
          <w:rFonts w:ascii="宋体" w:hAnsi="宋体" w:cs="宋体"/>
          <w:b/>
          <w:bCs/>
          <w:sz w:val="28"/>
          <w:szCs w:val="28"/>
          <w:highlight w:val="none"/>
        </w:rPr>
      </w:pPr>
      <w:r>
        <w:rPr>
          <w:rFonts w:hint="eastAsia" w:ascii="宋体" w:hAnsi="宋体" w:cs="宋体"/>
          <w:b/>
          <w:bCs/>
          <w:sz w:val="28"/>
          <w:szCs w:val="28"/>
          <w:highlight w:val="none"/>
        </w:rPr>
        <w:t>目录</w:t>
      </w:r>
    </w:p>
    <w:p>
      <w:pPr>
        <w:rPr>
          <w:rFonts w:ascii="宋体" w:hAnsi="宋体" w:cs="宋体"/>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z w:val="24"/>
          <w:highlight w:val="none"/>
        </w:rPr>
        <w:t>（2）落实政府采购政策需满足的资格要求………………………………（页码）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（3）本项目的特定资格要求………………………………………………（页码）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sectPr>
          <w:headerReference r:id="rId10" w:type="first"/>
          <w:footerReference r:id="rId12" w:type="first"/>
          <w:headerReference r:id="rId9" w:type="default"/>
          <w:footerReference r:id="rId11" w:type="default"/>
          <w:pgSz w:w="11906" w:h="16838"/>
          <w:pgMar w:top="1418" w:right="1418" w:bottom="1418" w:left="1418" w:header="851" w:footer="992" w:gutter="0"/>
          <w:cols w:space="720" w:num="1"/>
          <w:titlePg/>
          <w:docGrid w:linePitch="312" w:charSpace="0"/>
        </w:sectPr>
      </w:pPr>
    </w:p>
    <w:p>
      <w:pPr>
        <w:rPr>
          <w:rFonts w:ascii="宋体" w:hAnsi="宋体" w:cs="宋体"/>
          <w:highlight w:val="none"/>
        </w:rPr>
      </w:pPr>
    </w:p>
    <w:p>
      <w:pPr>
        <w:pStyle w:val="2"/>
        <w:jc w:val="center"/>
        <w:rPr>
          <w:rFonts w:ascii="宋体" w:hAnsi="宋体" w:cs="宋体"/>
          <w:highlight w:val="none"/>
        </w:rPr>
      </w:pPr>
      <w:r>
        <w:rPr>
          <w:rFonts w:hint="eastAsia" w:ascii="宋体" w:hAnsi="宋体" w:cs="宋体"/>
          <w:highlight w:val="none"/>
        </w:rPr>
        <w:t>一、 符合参加政府采购活动应当具备的一般条件的承诺函</w:t>
      </w:r>
    </w:p>
    <w:p>
      <w:pPr>
        <w:snapToGrid w:val="0"/>
        <w:spacing w:line="360" w:lineRule="auto"/>
        <w:rPr>
          <w:rFonts w:ascii="宋体" w:hAnsi="宋体" w:cs="宋体"/>
          <w:szCs w:val="21"/>
          <w:highlight w:val="none"/>
        </w:rPr>
      </w:pPr>
      <w:r>
        <w:rPr>
          <w:rFonts w:hint="eastAsia" w:ascii="宋体" w:hAnsi="宋体" w:cs="宋体"/>
          <w:szCs w:val="21"/>
          <w:highlight w:val="none"/>
        </w:rPr>
        <w:t>杭州第四中学新湾学校、浙江省建设工程设备招标有限公司：</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我方参与</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】政府采购活动，郑重承诺：</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2、具有良好的商业信誉和健全的财务会计制度； </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6、具有法律、行政法规规定的其他条件。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（三）不存在以下情况：</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kern w:val="0"/>
          <w:szCs w:val="21"/>
          <w:highlight w:val="none"/>
        </w:rPr>
      </w:pPr>
      <w:r>
        <w:rPr>
          <w:rFonts w:hint="eastAsia" w:ascii="宋体" w:hAnsi="宋体" w:cs="宋体"/>
          <w:kern w:val="0"/>
          <w:szCs w:val="21"/>
          <w:highlight w:val="none"/>
          <w:lang w:val="zh-CN"/>
        </w:rPr>
        <w:t>投标人名称(电子签名)：</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lang w:val="zh-CN"/>
        </w:rPr>
        <w:t xml:space="preserve">                        </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日期</w:t>
      </w:r>
      <w:r>
        <w:rPr>
          <w:rFonts w:hint="eastAsia" w:ascii="宋体" w:hAnsi="宋体" w:cs="宋体"/>
          <w:kern w:val="0"/>
          <w:szCs w:val="21"/>
          <w:highlight w:val="none"/>
        </w:rPr>
        <w:t xml:space="preserve">：  年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w:t>
      </w:r>
    </w:p>
    <w:p>
      <w:pPr>
        <w:snapToGrid w:val="0"/>
        <w:spacing w:line="360" w:lineRule="auto"/>
        <w:ind w:right="480"/>
        <w:jc w:val="center"/>
        <w:rPr>
          <w:rFonts w:ascii="宋体" w:hAnsi="宋体" w:cs="宋体"/>
          <w:b/>
          <w:kern w:val="0"/>
          <w:szCs w:val="21"/>
          <w:highlight w:val="none"/>
        </w:rPr>
      </w:pPr>
    </w:p>
    <w:p>
      <w:pPr>
        <w:snapToGrid w:val="0"/>
        <w:spacing w:line="360" w:lineRule="auto"/>
        <w:ind w:right="480"/>
        <w:jc w:val="center"/>
        <w:rPr>
          <w:rFonts w:ascii="宋体" w:hAnsi="宋体" w:cs="宋体"/>
          <w:b/>
          <w:kern w:val="0"/>
          <w:szCs w:val="21"/>
          <w:highlight w:val="none"/>
        </w:rPr>
      </w:pP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附：营业执照</w:t>
      </w: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二、落实政府采购政策需满足的资格要求</w:t>
      </w:r>
    </w:p>
    <w:p>
      <w:pPr>
        <w:spacing w:line="360" w:lineRule="auto"/>
        <w:rPr>
          <w:rFonts w:ascii="宋体" w:hAnsi="宋体" w:cs="宋体"/>
          <w:szCs w:val="21"/>
          <w:highlight w:val="none"/>
        </w:rPr>
      </w:pPr>
      <w:r>
        <w:rPr>
          <w:rFonts w:hint="eastAsia" w:ascii="宋体" w:hAnsi="宋体" w:cs="宋体"/>
          <w:szCs w:val="21"/>
          <w:highlight w:val="none"/>
        </w:rPr>
        <w:t>（根据招标公告落实政府采购政策需满足的资格要求选择提供相应的材料；未要求的，无需提供）</w:t>
      </w:r>
    </w:p>
    <w:p>
      <w:pPr>
        <w:snapToGrid w:val="0"/>
        <w:spacing w:before="50" w:after="50" w:line="360" w:lineRule="auto"/>
        <w:ind w:firstLine="413" w:firstLineChars="196"/>
        <w:jc w:val="left"/>
        <w:rPr>
          <w:rFonts w:ascii="宋体" w:hAnsi="宋体" w:cs="宋体"/>
          <w:b/>
          <w:szCs w:val="21"/>
          <w:highlight w:val="none"/>
        </w:rPr>
      </w:pPr>
    </w:p>
    <w:p>
      <w:pPr>
        <w:snapToGrid w:val="0"/>
        <w:spacing w:before="50" w:after="50" w:line="360" w:lineRule="auto"/>
        <w:ind w:firstLine="413" w:firstLineChars="196"/>
        <w:jc w:val="left"/>
        <w:rPr>
          <w:rFonts w:ascii="宋体" w:hAnsi="宋体" w:cs="宋体"/>
          <w:szCs w:val="21"/>
          <w:highlight w:val="none"/>
        </w:rPr>
      </w:pPr>
      <w:r>
        <w:rPr>
          <w:rFonts w:hint="eastAsia" w:ascii="宋体" w:hAnsi="宋体" w:cs="宋体"/>
          <w:b/>
          <w:szCs w:val="21"/>
          <w:highlight w:val="none"/>
        </w:rPr>
        <w:t>A</w:t>
      </w:r>
      <w:r>
        <w:rPr>
          <w:rFonts w:hint="eastAsia" w:ascii="宋体" w:hAnsi="宋体" w:cs="宋体"/>
          <w:szCs w:val="21"/>
          <w:highlight w:val="none"/>
        </w:rPr>
        <w:t>.专门面向中小企业，货物全部由符合政策要求的中小企业（或小微企业）制造或者服务全部由符合政策要求的中小企业（或小微企业）承接的，提供相应的中小企业声明函（附件5）或</w:t>
      </w:r>
      <w:r>
        <w:rPr>
          <w:rFonts w:hint="eastAsia" w:ascii="宋体" w:hAnsi="宋体" w:cs="宋体"/>
          <w:b/>
          <w:kern w:val="0"/>
          <w:szCs w:val="21"/>
          <w:highlight w:val="none"/>
        </w:rPr>
        <w:t>监狱企业声明函、残疾人福利性单位声明函（附件1）</w:t>
      </w:r>
      <w:r>
        <w:rPr>
          <w:rFonts w:hint="eastAsia" w:ascii="宋体" w:hAnsi="宋体" w:cs="宋体"/>
          <w:szCs w:val="21"/>
          <w:highlight w:val="none"/>
        </w:rPr>
        <w:t xml:space="preserve">。 </w:t>
      </w:r>
    </w:p>
    <w:p>
      <w:pPr>
        <w:widowControl/>
        <w:spacing w:line="360" w:lineRule="auto"/>
        <w:ind w:firstLine="480"/>
        <w:jc w:val="left"/>
        <w:rPr>
          <w:rFonts w:ascii="宋体" w:hAnsi="宋体" w:cs="宋体"/>
          <w:szCs w:val="21"/>
          <w:highlight w:val="none"/>
        </w:rPr>
      </w:pPr>
    </w:p>
    <w:p>
      <w:pPr>
        <w:widowControl/>
        <w:spacing w:line="360" w:lineRule="auto"/>
        <w:ind w:firstLine="413" w:firstLineChars="196"/>
        <w:jc w:val="left"/>
        <w:rPr>
          <w:rFonts w:ascii="宋体" w:hAnsi="宋体" w:cs="宋体"/>
          <w:szCs w:val="21"/>
          <w:highlight w:val="none"/>
        </w:rPr>
      </w:pPr>
      <w:r>
        <w:rPr>
          <w:rFonts w:hint="eastAsia" w:ascii="宋体" w:hAnsi="宋体" w:cs="宋体"/>
          <w:b/>
          <w:szCs w:val="21"/>
          <w:highlight w:val="none"/>
        </w:rPr>
        <w:t>B.</w:t>
      </w:r>
      <w:r>
        <w:rPr>
          <w:rFonts w:hint="eastAsia" w:ascii="宋体" w:hAnsi="宋体" w:cs="宋体"/>
          <w:szCs w:val="21"/>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ascii="宋体" w:hAnsi="宋体" w:cs="宋体"/>
          <w:highlight w:val="none"/>
        </w:rPr>
      </w:pPr>
    </w:p>
    <w:p>
      <w:pPr>
        <w:spacing w:line="360" w:lineRule="auto"/>
        <w:ind w:firstLine="422" w:firstLineChars="200"/>
        <w:rPr>
          <w:rFonts w:ascii="宋体" w:hAnsi="宋体" w:cs="宋体"/>
          <w:szCs w:val="21"/>
          <w:highlight w:val="none"/>
        </w:rPr>
      </w:pPr>
      <w:r>
        <w:rPr>
          <w:rFonts w:hint="eastAsia" w:ascii="宋体" w:hAnsi="宋体" w:cs="宋体"/>
          <w:b/>
          <w:szCs w:val="21"/>
          <w:highlight w:val="none"/>
        </w:rPr>
        <w:t>C、</w:t>
      </w:r>
      <w:r>
        <w:rPr>
          <w:rFonts w:hint="eastAsia" w:ascii="宋体" w:hAnsi="宋体" w:cs="宋体"/>
          <w:szCs w:val="21"/>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rPr>
          <w:rFonts w:ascii="宋体" w:hAnsi="宋体" w:cs="宋体"/>
          <w:highlight w:val="none"/>
        </w:rPr>
      </w:pPr>
    </w:p>
    <w:p>
      <w:pPr>
        <w:snapToGrid w:val="0"/>
        <w:spacing w:before="50" w:after="50" w:line="360" w:lineRule="auto"/>
        <w:jc w:val="center"/>
        <w:rPr>
          <w:rFonts w:ascii="宋体" w:hAnsi="宋体" w:cs="宋体"/>
          <w:b/>
          <w:sz w:val="24"/>
          <w:highlight w:val="none"/>
        </w:rPr>
      </w:pPr>
      <w:r>
        <w:rPr>
          <w:rFonts w:hint="eastAsia" w:ascii="宋体" w:hAnsi="宋体" w:cs="宋体"/>
          <w:b/>
          <w:sz w:val="24"/>
          <w:highlight w:val="none"/>
        </w:rPr>
        <w:t xml:space="preserve">   </w:t>
      </w:r>
    </w:p>
    <w:p>
      <w:pPr>
        <w:rPr>
          <w:rFonts w:ascii="宋体" w:hAnsi="宋体" w:cs="宋体"/>
          <w:highlight w:val="none"/>
        </w:rPr>
      </w:pPr>
      <w:r>
        <w:rPr>
          <w:rFonts w:hint="eastAsia" w:ascii="宋体" w:hAnsi="宋体" w:cs="宋体"/>
          <w:highlight w:val="none"/>
        </w:rPr>
        <w:br w:type="page"/>
      </w:r>
    </w:p>
    <w:p>
      <w:pPr>
        <w:snapToGrid w:val="0"/>
        <w:spacing w:before="50" w:after="50" w:line="360" w:lineRule="auto"/>
        <w:jc w:val="left"/>
        <w:rPr>
          <w:rFonts w:ascii="宋体" w:hAnsi="宋体" w:cs="宋体"/>
          <w:b/>
          <w:sz w:val="24"/>
          <w:highlight w:val="none"/>
        </w:rPr>
      </w:pPr>
      <w:r>
        <w:rPr>
          <w:rFonts w:hint="eastAsia" w:ascii="宋体" w:hAnsi="宋体" w:cs="宋体"/>
          <w:b/>
          <w:sz w:val="24"/>
          <w:highlight w:val="none"/>
        </w:rPr>
        <w:t>格式一：</w:t>
      </w:r>
    </w:p>
    <w:p>
      <w:pPr>
        <w:snapToGrid w:val="0"/>
        <w:spacing w:before="50" w:after="50" w:line="360" w:lineRule="auto"/>
        <w:jc w:val="center"/>
        <w:rPr>
          <w:rFonts w:ascii="宋体" w:hAnsi="宋体" w:cs="宋体"/>
          <w:b/>
          <w:kern w:val="0"/>
          <w:sz w:val="32"/>
          <w:szCs w:val="32"/>
          <w:highlight w:val="none"/>
          <w:lang w:val="zh-CN"/>
        </w:rPr>
      </w:pPr>
      <w:r>
        <w:rPr>
          <w:rFonts w:hint="eastAsia" w:ascii="宋体" w:hAnsi="宋体" w:cs="宋体"/>
          <w:b/>
          <w:sz w:val="24"/>
          <w:highlight w:val="none"/>
        </w:rPr>
        <w:t xml:space="preserve"> </w:t>
      </w:r>
      <w:r>
        <w:rPr>
          <w:rFonts w:hint="eastAsia" w:ascii="宋体" w:hAnsi="宋体" w:cs="宋体"/>
          <w:b/>
          <w:kern w:val="0"/>
          <w:sz w:val="32"/>
          <w:szCs w:val="32"/>
          <w:highlight w:val="none"/>
          <w:lang w:val="zh-CN"/>
        </w:rPr>
        <w:t>联合协议</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（联合体所有成员名称）</w:t>
      </w:r>
      <w:r>
        <w:rPr>
          <w:rFonts w:hint="eastAsia" w:ascii="宋体" w:hAnsi="宋体" w:cs="宋体"/>
          <w:kern w:val="0"/>
          <w:szCs w:val="21"/>
          <w:highlight w:val="none"/>
        </w:rPr>
        <w:t>自愿</w:t>
      </w:r>
      <w:r>
        <w:rPr>
          <w:rFonts w:hint="eastAsia" w:ascii="宋体" w:hAnsi="宋体" w:cs="宋体"/>
          <w:kern w:val="0"/>
          <w:szCs w:val="21"/>
          <w:highlight w:val="none"/>
          <w:lang w:val="zh-CN"/>
        </w:rPr>
        <w:t>组成一个联合体，以一个投标人的身份</w:t>
      </w:r>
      <w:r>
        <w:rPr>
          <w:rFonts w:hint="eastAsia" w:ascii="宋体" w:hAnsi="宋体" w:cs="宋体"/>
          <w:kern w:val="0"/>
          <w:szCs w:val="21"/>
          <w:highlight w:val="none"/>
        </w:rPr>
        <w:t>参加</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kern w:val="0"/>
          <w:szCs w:val="21"/>
          <w:highlight w:val="none"/>
          <w:lang w:val="zh-CN"/>
        </w:rPr>
        <w:t xml:space="preserve">投标。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一、各方一致决定，</w:t>
      </w:r>
      <w:r>
        <w:rPr>
          <w:rFonts w:hint="eastAsia" w:ascii="宋体" w:hAnsi="宋体" w:cs="宋体"/>
          <w:kern w:val="0"/>
          <w:szCs w:val="21"/>
          <w:highlight w:val="none"/>
          <w:u w:val="single"/>
        </w:rPr>
        <w:t>（某联合体成员名称）</w:t>
      </w:r>
      <w:r>
        <w:rPr>
          <w:rFonts w:hint="eastAsia" w:ascii="宋体" w:hAnsi="宋体" w:cs="宋体"/>
          <w:kern w:val="0"/>
          <w:szCs w:val="21"/>
          <w:highlight w:val="none"/>
        </w:rPr>
        <w:t>为联合体</w:t>
      </w:r>
      <w:r>
        <w:rPr>
          <w:rFonts w:hint="eastAsia" w:ascii="宋体" w:hAnsi="宋体" w:cs="宋体"/>
          <w:kern w:val="0"/>
          <w:szCs w:val="21"/>
          <w:highlight w:val="none"/>
          <w:lang w:val="zh-CN"/>
        </w:rPr>
        <w:t>牵头人</w:t>
      </w:r>
      <w:r>
        <w:rPr>
          <w:rFonts w:hint="eastAsia" w:ascii="宋体" w:hAnsi="宋体" w:cs="宋体"/>
          <w:szCs w:val="21"/>
          <w:highlight w:val="none"/>
        </w:rPr>
        <w:t>，代表所有联合体成员负责投标和合同实施阶段的主办、协调工作</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二、</w:t>
      </w:r>
      <w:r>
        <w:rPr>
          <w:rFonts w:hint="eastAsia" w:ascii="宋体" w:hAnsi="宋体" w:cs="宋体"/>
          <w:szCs w:val="21"/>
          <w:highlight w:val="none"/>
        </w:rPr>
        <w:t>所有联合体成员各方签署授权书，授权书载明的</w:t>
      </w:r>
      <w:r>
        <w:rPr>
          <w:rFonts w:hint="eastAsia" w:ascii="宋体" w:hAnsi="宋体" w:cs="宋体"/>
          <w:kern w:val="0"/>
          <w:szCs w:val="21"/>
          <w:highlight w:val="none"/>
          <w:lang w:val="zh-CN"/>
        </w:rPr>
        <w:t>授权代表根据招标文件规定及投标内容而对招标人、招标代理机构所作的任何合法承诺，包括书面澄清及相应等均对联合投标各方产生约束力。</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三、本次联合投标中，分工如下：</w:t>
      </w:r>
      <w:r>
        <w:rPr>
          <w:rFonts w:hint="eastAsia" w:ascii="宋体" w:hAnsi="宋体" w:cs="宋体"/>
          <w:kern w:val="0"/>
          <w:szCs w:val="21"/>
          <w:highlight w:val="none"/>
          <w:u w:val="single"/>
        </w:rPr>
        <w:t>（联合体其中一方成员名称）</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w:t>
      </w:r>
      <w:r>
        <w:rPr>
          <w:rFonts w:hint="eastAsia" w:ascii="宋体" w:hAnsi="宋体" w:cs="宋体"/>
          <w:kern w:val="0"/>
          <w:szCs w:val="21"/>
          <w:highlight w:val="none"/>
          <w:u w:val="single"/>
        </w:rPr>
        <w:t>（联合体其中一方成员名称）</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四、</w:t>
      </w:r>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五、如果中标，</w:t>
      </w:r>
      <w:r>
        <w:rPr>
          <w:rFonts w:hint="eastAsia" w:ascii="宋体" w:hAnsi="宋体" w:cs="宋体"/>
          <w:szCs w:val="21"/>
          <w:highlight w:val="none"/>
        </w:rPr>
        <w:t>联合体各成员方共同与招标人签订合同，并就采购合同约定的事项对招标人承担连带责任。</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六、有关本次联合投标的其他事宜：</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3、本协议提交招标人、招标代理机构后，联合体各方不得以任何形式对上述内容进行修改或撤销。</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5040" w:firstLineChars="2400"/>
        <w:rPr>
          <w:rFonts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spacing w:line="360" w:lineRule="auto"/>
        <w:ind w:firstLine="480" w:firstLineChars="200"/>
        <w:rPr>
          <w:rFonts w:ascii="宋体" w:hAnsi="宋体" w:cs="宋体"/>
          <w:sz w:val="24"/>
          <w:highlight w:val="none"/>
        </w:rPr>
      </w:pPr>
    </w:p>
    <w:p>
      <w:pPr>
        <w:spacing w:line="360" w:lineRule="auto"/>
        <w:ind w:firstLine="482" w:firstLineChars="200"/>
        <w:rPr>
          <w:rFonts w:ascii="宋体" w:hAnsi="宋体" w:cs="宋体"/>
          <w:b/>
          <w:sz w:val="24"/>
          <w:highlight w:val="none"/>
        </w:rPr>
      </w:pPr>
    </w:p>
    <w:p>
      <w:pPr>
        <w:widowControl/>
        <w:adjustRightInd/>
        <w:jc w:val="left"/>
        <w:rPr>
          <w:rFonts w:ascii="宋体" w:hAnsi="宋体" w:cs="宋体"/>
          <w:b/>
          <w:sz w:val="24"/>
          <w:highlight w:val="none"/>
        </w:rPr>
      </w:pPr>
      <w:r>
        <w:rPr>
          <w:rFonts w:hint="eastAsia" w:ascii="宋体" w:hAnsi="宋体" w:cs="宋体"/>
          <w:b/>
          <w:sz w:val="24"/>
          <w:highlight w:val="none"/>
        </w:rPr>
        <w:br w:type="page"/>
      </w:r>
    </w:p>
    <w:p>
      <w:pPr>
        <w:snapToGrid w:val="0"/>
        <w:spacing w:line="360" w:lineRule="auto"/>
        <w:rPr>
          <w:rFonts w:ascii="宋体" w:hAnsi="宋体" w:cs="宋体"/>
          <w:b/>
          <w:sz w:val="24"/>
          <w:highlight w:val="none"/>
        </w:rPr>
      </w:pPr>
      <w:r>
        <w:rPr>
          <w:rFonts w:hint="eastAsia" w:ascii="宋体" w:hAnsi="宋体" w:cs="宋体"/>
          <w:b/>
          <w:sz w:val="24"/>
          <w:highlight w:val="none"/>
        </w:rPr>
        <w:t>格式二：</w:t>
      </w: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分包意向协议</w:t>
      </w:r>
    </w:p>
    <w:p>
      <w:pPr>
        <w:widowControl/>
        <w:spacing w:line="360" w:lineRule="auto"/>
        <w:ind w:firstLine="105" w:firstLineChars="5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中标后以分包方式履行合同的，提供分包意向协议；招标人不同意分包或者投标人中标后不以分包方式履行合同的，则不需要提供。</w:t>
      </w:r>
      <w:r>
        <w:rPr>
          <w:rFonts w:hint="eastAsia" w:ascii="宋体" w:hAnsi="宋体" w:cs="宋体"/>
          <w:szCs w:val="21"/>
          <w:highlight w:val="none"/>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（投标人名称）</w:t>
      </w:r>
      <w:r>
        <w:rPr>
          <w:rFonts w:hint="eastAsia" w:ascii="宋体" w:hAnsi="宋体" w:cs="宋体"/>
          <w:kern w:val="0"/>
          <w:szCs w:val="21"/>
          <w:highlight w:val="none"/>
          <w:lang w:val="zh-CN"/>
        </w:rPr>
        <w:t>若成为</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kern w:val="0"/>
          <w:szCs w:val="21"/>
          <w:highlight w:val="none"/>
          <w:lang w:val="zh-CN"/>
        </w:rPr>
        <w:t>的中标人，将依法采取分包方式履行合同。</w:t>
      </w:r>
      <w:r>
        <w:rPr>
          <w:rFonts w:hint="eastAsia" w:ascii="宋体" w:hAnsi="宋体" w:cs="宋体"/>
          <w:kern w:val="0"/>
          <w:szCs w:val="21"/>
          <w:highlight w:val="none"/>
          <w:u w:val="single"/>
        </w:rPr>
        <w:t>（投标人名称）</w:t>
      </w:r>
      <w:r>
        <w:rPr>
          <w:rFonts w:hint="eastAsia" w:ascii="宋体" w:hAnsi="宋体" w:cs="宋体"/>
          <w:kern w:val="0"/>
          <w:szCs w:val="21"/>
          <w:highlight w:val="none"/>
        </w:rPr>
        <w:t>与</w:t>
      </w:r>
      <w:r>
        <w:rPr>
          <w:rFonts w:hint="eastAsia" w:ascii="宋体" w:hAnsi="宋体" w:cs="宋体"/>
          <w:kern w:val="0"/>
          <w:szCs w:val="21"/>
          <w:highlight w:val="none"/>
          <w:u w:val="single"/>
        </w:rPr>
        <w:t>（所有分包供应商名称）</w:t>
      </w:r>
      <w:r>
        <w:rPr>
          <w:rFonts w:hint="eastAsia" w:ascii="宋体" w:hAnsi="宋体" w:cs="宋体"/>
          <w:kern w:val="0"/>
          <w:szCs w:val="21"/>
          <w:highlight w:val="none"/>
        </w:rPr>
        <w:t>达成分包意向协议</w:t>
      </w:r>
      <w:r>
        <w:rPr>
          <w:rFonts w:hint="eastAsia" w:ascii="宋体" w:hAnsi="宋体" w:cs="宋体"/>
          <w:kern w:val="0"/>
          <w:szCs w:val="21"/>
          <w:highlight w:val="none"/>
          <w:lang w:val="zh-CN"/>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一、分包标的及数量</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（投标人名称）</w:t>
      </w:r>
      <w:r>
        <w:rPr>
          <w:rFonts w:hint="eastAsia" w:ascii="宋体" w:hAnsi="宋体" w:cs="宋体"/>
          <w:kern w:val="0"/>
          <w:szCs w:val="21"/>
          <w:highlight w:val="none"/>
          <w:lang w:val="zh-CN"/>
        </w:rPr>
        <w:t>将</w:t>
      </w:r>
      <w:r>
        <w:rPr>
          <w:rFonts w:hint="eastAsia" w:ascii="宋体" w:hAnsi="宋体" w:cs="宋体"/>
          <w:szCs w:val="21"/>
          <w:highlight w:val="none"/>
          <w:u w:val="single"/>
        </w:rPr>
        <w:t xml:space="preserve">   XX工作内容   </w:t>
      </w:r>
      <w:r>
        <w:rPr>
          <w:rFonts w:hint="eastAsia" w:ascii="宋体" w:hAnsi="宋体" w:cs="宋体"/>
          <w:szCs w:val="21"/>
          <w:highlight w:val="none"/>
        </w:rPr>
        <w:t>分包给</w:t>
      </w:r>
      <w:r>
        <w:rPr>
          <w:rFonts w:hint="eastAsia" w:ascii="宋体" w:hAnsi="宋体" w:cs="宋体"/>
          <w:kern w:val="0"/>
          <w:szCs w:val="21"/>
          <w:highlight w:val="none"/>
          <w:u w:val="single"/>
        </w:rPr>
        <w:t>（某分包供应商名称）</w:t>
      </w:r>
      <w:r>
        <w:rPr>
          <w:rFonts w:hint="eastAsia" w:ascii="宋体" w:hAnsi="宋体" w:cs="宋体"/>
          <w:kern w:val="0"/>
          <w:szCs w:val="21"/>
          <w:highlight w:val="none"/>
          <w:lang w:val="zh-CN"/>
        </w:rPr>
        <w:t>，</w:t>
      </w:r>
      <w:r>
        <w:rPr>
          <w:rFonts w:hint="eastAsia" w:ascii="宋体" w:hAnsi="宋体" w:cs="宋体"/>
          <w:kern w:val="0"/>
          <w:szCs w:val="21"/>
          <w:highlight w:val="none"/>
          <w:u w:val="single"/>
        </w:rPr>
        <w:t>（某分包供应商名称），</w:t>
      </w:r>
      <w:r>
        <w:rPr>
          <w:rFonts w:hint="eastAsia" w:ascii="宋体" w:hAnsi="宋体" w:cs="宋体"/>
          <w:kern w:val="0"/>
          <w:szCs w:val="21"/>
          <w:highlight w:val="none"/>
          <w:lang w:val="zh-CN"/>
        </w:rPr>
        <w:t>具备承</w:t>
      </w:r>
      <w:r>
        <w:rPr>
          <w:rFonts w:hint="eastAsia" w:ascii="宋体" w:hAnsi="宋体" w:cs="宋体"/>
          <w:kern w:val="0"/>
          <w:szCs w:val="21"/>
          <w:highlight w:val="none"/>
        </w:rPr>
        <w:t>担</w:t>
      </w:r>
      <w:r>
        <w:rPr>
          <w:rFonts w:hint="eastAsia" w:ascii="宋体" w:hAnsi="宋体" w:cs="宋体"/>
          <w:kern w:val="0"/>
          <w:szCs w:val="21"/>
          <w:highlight w:val="none"/>
          <w:u w:val="single"/>
          <w:lang w:val="zh-CN"/>
        </w:rPr>
        <w:t>XX工作内容</w:t>
      </w:r>
      <w:r>
        <w:rPr>
          <w:rFonts w:hint="eastAsia" w:ascii="宋体" w:hAnsi="宋体" w:cs="宋体"/>
          <w:kern w:val="0"/>
          <w:szCs w:val="21"/>
          <w:highlight w:val="none"/>
          <w:lang w:val="zh-CN"/>
        </w:rPr>
        <w:t>相应资质条件且不得再次分包；</w:t>
      </w:r>
    </w:p>
    <w:p>
      <w:pPr>
        <w:ind w:firstLine="840" w:firstLineChars="400"/>
        <w:rPr>
          <w:rFonts w:ascii="宋体" w:hAnsi="宋体" w:cs="宋体"/>
          <w:highlight w:val="none"/>
        </w:rPr>
      </w:pPr>
      <w:r>
        <w:rPr>
          <w:rFonts w:hint="eastAsia" w:ascii="宋体" w:hAnsi="宋体" w:cs="宋体"/>
          <w:highlight w:val="none"/>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二、分包工作履行期限、地点、方式</w:t>
      </w:r>
    </w:p>
    <w:p>
      <w:pPr>
        <w:snapToGrid w:val="0"/>
        <w:spacing w:line="360" w:lineRule="auto"/>
        <w:ind w:firstLine="576"/>
        <w:rPr>
          <w:rFonts w:ascii="宋体" w:hAnsi="宋体" w:cs="宋体"/>
          <w:szCs w:val="21"/>
          <w:highlight w:val="none"/>
          <w:u w:val="single"/>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三、质量</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四、价款或者报酬</w:t>
      </w:r>
    </w:p>
    <w:p>
      <w:pPr>
        <w:snapToGrid w:val="0"/>
        <w:spacing w:line="360" w:lineRule="auto"/>
        <w:ind w:left="573" w:leftChars="273"/>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left="573" w:leftChars="273"/>
        <w:rPr>
          <w:rFonts w:ascii="宋体" w:hAnsi="宋体" w:cs="宋体"/>
          <w:kern w:val="0"/>
          <w:szCs w:val="21"/>
          <w:highlight w:val="none"/>
          <w:lang w:val="zh-CN"/>
        </w:rPr>
      </w:pPr>
      <w:r>
        <w:rPr>
          <w:rFonts w:hint="eastAsia" w:ascii="宋体" w:hAnsi="宋体" w:cs="宋体"/>
          <w:kern w:val="0"/>
          <w:szCs w:val="21"/>
          <w:highlight w:val="none"/>
          <w:lang w:val="zh-CN"/>
        </w:rPr>
        <w:t>五、违约责任</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六、争议解决的办法</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七、其他</w:t>
      </w:r>
    </w:p>
    <w:p>
      <w:pPr>
        <w:snapToGrid w:val="0"/>
        <w:spacing w:line="360" w:lineRule="auto"/>
        <w:ind w:left="5128" w:leftChars="342" w:hanging="4410" w:hangingChars="2100"/>
        <w:rPr>
          <w:rFonts w:ascii="宋体" w:hAnsi="宋体" w:cs="宋体"/>
          <w:kern w:val="0"/>
          <w:szCs w:val="21"/>
          <w:highlight w:val="none"/>
          <w:lang w:val="zh-CN"/>
        </w:rPr>
      </w:pPr>
      <w:r>
        <w:rPr>
          <w:rFonts w:hint="eastAsia" w:ascii="宋体" w:hAnsi="宋体" w:cs="宋体"/>
          <w:szCs w:val="21"/>
          <w:highlight w:val="none"/>
        </w:rPr>
        <w:t>中小企业合同金额达到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%，小微企业合同金额达到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kern w:val="0"/>
          <w:szCs w:val="21"/>
          <w:highlight w:val="none"/>
          <w:lang w:val="zh-CN"/>
        </w:rPr>
        <w:t xml:space="preserve">  。                                           投标人名称(电子签名)：</w:t>
      </w:r>
    </w:p>
    <w:p>
      <w:pPr>
        <w:snapToGrid w:val="0"/>
        <w:spacing w:line="360" w:lineRule="auto"/>
        <w:ind w:firstLine="4935" w:firstLineChars="2350"/>
        <w:rPr>
          <w:rFonts w:ascii="宋体" w:hAnsi="宋体" w:cs="宋体"/>
          <w:kern w:val="0"/>
          <w:szCs w:val="21"/>
          <w:highlight w:val="none"/>
          <w:lang w:val="zh-CN"/>
        </w:rPr>
      </w:pPr>
      <w:r>
        <w:rPr>
          <w:rFonts w:hint="eastAsia" w:ascii="宋体" w:hAnsi="宋体" w:cs="宋体"/>
          <w:kern w:val="0"/>
          <w:szCs w:val="21"/>
          <w:highlight w:val="none"/>
          <w:lang w:val="zh-CN"/>
        </w:rPr>
        <w:t>分包供应商名称：</w:t>
      </w:r>
    </w:p>
    <w:p>
      <w:pPr>
        <w:snapToGrid w:val="0"/>
        <w:spacing w:line="360" w:lineRule="auto"/>
        <w:ind w:firstLine="5040" w:firstLineChars="2400"/>
        <w:rPr>
          <w:rFonts w:ascii="宋体" w:hAnsi="宋体" w:cs="宋体"/>
          <w:szCs w:val="21"/>
          <w:highlight w:val="none"/>
        </w:rPr>
      </w:pPr>
      <w:r>
        <w:rPr>
          <w:rFonts w:hint="eastAsia" w:ascii="宋体" w:hAnsi="宋体" w:cs="宋体"/>
          <w:kern w:val="0"/>
          <w:szCs w:val="21"/>
          <w:highlight w:val="none"/>
          <w:lang w:val="zh-CN"/>
        </w:rPr>
        <w:t>……</w:t>
      </w:r>
    </w:p>
    <w:p>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widowControl/>
        <w:spacing w:line="360" w:lineRule="auto"/>
        <w:ind w:left="15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三、本项目的特定资格要求</w:t>
      </w:r>
    </w:p>
    <w:p>
      <w:pPr>
        <w:spacing w:line="360" w:lineRule="auto"/>
        <w:jc w:val="center"/>
        <w:rPr>
          <w:rFonts w:ascii="宋体" w:hAnsi="宋体" w:cs="宋体"/>
          <w:szCs w:val="21"/>
          <w:highlight w:val="none"/>
        </w:rPr>
      </w:pPr>
      <w:r>
        <w:rPr>
          <w:rFonts w:hint="eastAsia" w:ascii="宋体" w:hAnsi="宋体" w:cs="宋体"/>
          <w:szCs w:val="21"/>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r>
        <w:rPr>
          <w:rFonts w:hint="eastAsia" w:ascii="宋体" w:hAnsi="宋体" w:cs="宋体"/>
          <w:b/>
          <w:kern w:val="0"/>
          <w:sz w:val="32"/>
          <w:szCs w:val="32"/>
          <w:highlight w:val="none"/>
        </w:rPr>
        <w:br w:type="page"/>
      </w:r>
    </w:p>
    <w:p>
      <w:pPr>
        <w:rPr>
          <w:rFonts w:ascii="宋体" w:hAnsi="宋体" w:cs="宋体"/>
          <w:highlight w:val="none"/>
        </w:rPr>
      </w:pPr>
    </w:p>
    <w:p>
      <w:pPr>
        <w:pStyle w:val="2"/>
        <w:jc w:val="center"/>
        <w:rPr>
          <w:rFonts w:ascii="宋体" w:hAnsi="宋体" w:cs="宋体"/>
          <w:sz w:val="36"/>
          <w:szCs w:val="36"/>
          <w:highlight w:val="none"/>
        </w:rPr>
      </w:pPr>
      <w:r>
        <w:rPr>
          <w:rFonts w:hint="eastAsia" w:ascii="宋体" w:hAnsi="宋体" w:cs="宋体"/>
          <w:sz w:val="36"/>
          <w:szCs w:val="36"/>
          <w:highlight w:val="none"/>
        </w:rPr>
        <w:t>商务技术文件部分</w:t>
      </w:r>
    </w:p>
    <w:p>
      <w:pPr>
        <w:rPr>
          <w:rFonts w:ascii="宋体" w:hAnsi="宋体" w:cs="宋体"/>
          <w:highlight w:val="none"/>
        </w:rPr>
      </w:pPr>
    </w:p>
    <w:p>
      <w:pPr>
        <w:jc w:val="center"/>
        <w:rPr>
          <w:rFonts w:ascii="宋体" w:hAnsi="宋体" w:cs="宋体"/>
          <w:b/>
          <w:bCs/>
          <w:sz w:val="36"/>
          <w:szCs w:val="36"/>
          <w:highlight w:val="none"/>
        </w:rPr>
      </w:pPr>
      <w:r>
        <w:rPr>
          <w:rFonts w:hint="eastAsia" w:ascii="宋体" w:hAnsi="宋体" w:cs="宋体"/>
          <w:b/>
          <w:bCs/>
          <w:sz w:val="36"/>
          <w:szCs w:val="36"/>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（3）联合协议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（4）分包意向协议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（5）符合性审查资料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（6）评标标准相应的商务技术资料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（7）商务技术偏离表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一、投标函</w:t>
      </w:r>
    </w:p>
    <w:p>
      <w:pPr>
        <w:snapToGrid w:val="0"/>
        <w:spacing w:line="360" w:lineRule="auto"/>
        <w:rPr>
          <w:rFonts w:ascii="宋体" w:hAnsi="宋体" w:cs="宋体"/>
          <w:szCs w:val="21"/>
          <w:highlight w:val="none"/>
        </w:rPr>
      </w:pPr>
      <w:r>
        <w:rPr>
          <w:rFonts w:hint="eastAsia" w:ascii="宋体" w:hAnsi="宋体" w:cs="宋体"/>
          <w:szCs w:val="21"/>
          <w:highlight w:val="none"/>
        </w:rPr>
        <w:t>杭州第四中学新湾学校、浙江省建设工程设备招标有限公司：</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我方参加你方组织的</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】招标的有关活动，并对此项目进行投标。为此：</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1、我方承诺投标有效期从提交投标文件的截止之日起</w:t>
      </w:r>
      <w:r>
        <w:rPr>
          <w:rFonts w:hint="eastAsia" w:ascii="宋体" w:hAnsi="宋体" w:cs="宋体"/>
          <w:szCs w:val="21"/>
          <w:highlight w:val="none"/>
          <w:u w:val="single"/>
        </w:rPr>
        <w:t xml:space="preserve">     </w:t>
      </w:r>
      <w:r>
        <w:rPr>
          <w:rFonts w:hint="eastAsia" w:ascii="宋体" w:hAnsi="宋体" w:cs="宋体"/>
          <w:szCs w:val="21"/>
          <w:highlight w:val="none"/>
        </w:rPr>
        <w:t>天（不少于90天），本投标文件在投标有效期满之前均具有约束力。</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2、我方的投标文件包括以下内容：</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2.1资格文件：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2.1.1承诺函；</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2.1.2落实政府采购政策需满足的资格要求（如果有）；</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2.1.3本项目的特定资格要求（如果有）。</w:t>
      </w:r>
    </w:p>
    <w:p>
      <w:pPr>
        <w:snapToGrid w:val="0"/>
        <w:spacing w:line="360" w:lineRule="auto"/>
        <w:ind w:left="210" w:leftChars="100"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 xml:space="preserve"> </w:t>
      </w:r>
      <w:r>
        <w:rPr>
          <w:rFonts w:hint="eastAsia" w:ascii="宋体" w:hAnsi="宋体" w:cs="宋体"/>
          <w:szCs w:val="21"/>
          <w:highlight w:val="none"/>
        </w:rPr>
        <w:t>商务技术</w:t>
      </w:r>
      <w:r>
        <w:rPr>
          <w:rFonts w:hint="eastAsia" w:ascii="宋体" w:hAnsi="宋体" w:cs="宋体"/>
          <w:szCs w:val="21"/>
          <w:highlight w:val="none"/>
          <w:lang w:val="zh-CN"/>
        </w:rPr>
        <w:t>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2.2.1投标函；</w:t>
      </w:r>
      <w:r>
        <w:rPr>
          <w:rFonts w:hint="eastAsia" w:ascii="宋体" w:hAnsi="宋体" w:cs="宋体"/>
          <w:szCs w:val="21"/>
          <w:highlight w:val="none"/>
          <w:lang w:val="zh-CN"/>
        </w:rPr>
        <w:t xml:space="preserve"> </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2.2.2授权委托书或法定代表人（单位负责人）身份证明；</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2.2.3联合协议（如果有）；</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2.2.4分包意向协议（如果有）；</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2.2.5符合性审查资料；</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2.2.6评标标准相应的商务技术资料；</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2.2.7商务技术偏离表；</w:t>
      </w:r>
    </w:p>
    <w:p>
      <w:pPr>
        <w:snapToGrid w:val="0"/>
        <w:spacing w:line="360" w:lineRule="auto"/>
        <w:ind w:left="420" w:leftChars="200" w:firstLine="420" w:firstLineChars="200"/>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政府采购供应商廉洁自律承诺书。</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w:t>
      </w:r>
      <w:r>
        <w:rPr>
          <w:rFonts w:hint="eastAsia" w:ascii="宋体" w:hAnsi="宋体" w:cs="宋体"/>
          <w:szCs w:val="21"/>
          <w:highlight w:val="none"/>
        </w:rPr>
        <w:t>3报价文件</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2.3.1开标一览表（报价表）；</w:t>
      </w:r>
    </w:p>
    <w:p>
      <w:pPr>
        <w:snapToGrid w:val="0"/>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2.3.2中小企业声明函（如果有）。</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3、我方承诺除商务技术偏离表列出的偏离外，我方响应招标文件的全部要求。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4、如我方中标，我方承诺：</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4.2在签订合同时不向你方提出附加条件；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4.3按照招标文件要求提交履约保证金；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 xml:space="preserve">4.4在合同约定的期限内完成合同规定的全部义务。 </w:t>
      </w:r>
    </w:p>
    <w:p>
      <w:pPr>
        <w:snapToGrid w:val="0"/>
        <w:spacing w:line="360" w:lineRule="auto"/>
        <w:ind w:left="210" w:leftChars="100" w:firstLine="420" w:firstLineChars="200"/>
        <w:rPr>
          <w:rFonts w:ascii="宋体" w:hAnsi="宋体" w:cs="宋体"/>
          <w:szCs w:val="21"/>
          <w:highlight w:val="none"/>
        </w:rPr>
      </w:pPr>
      <w:r>
        <w:rPr>
          <w:rFonts w:hint="eastAsia" w:ascii="宋体" w:hAnsi="宋体" w:cs="宋体"/>
          <w:szCs w:val="21"/>
          <w:highlight w:val="none"/>
        </w:rPr>
        <w:t>5、其他补充说明:</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3150" w:firstLineChars="1500"/>
        <w:rPr>
          <w:rFonts w:ascii="宋体" w:hAnsi="宋体" w:cs="宋体"/>
          <w:szCs w:val="21"/>
          <w:highlight w:val="none"/>
        </w:rPr>
      </w:pPr>
      <w:r>
        <w:rPr>
          <w:rFonts w:hint="eastAsia" w:ascii="宋体" w:hAnsi="宋体" w:cs="宋体"/>
          <w:szCs w:val="21"/>
          <w:highlight w:val="none"/>
        </w:rPr>
        <w:t xml:space="preserve">投标人名称（电子签名）：                          </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日期：  年   月   日</w:t>
      </w:r>
    </w:p>
    <w:p>
      <w:pP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jc w:val="center"/>
        <w:rPr>
          <w:rFonts w:ascii="宋体" w:hAnsi="宋体" w:cs="宋体"/>
          <w:b/>
          <w:kern w:val="0"/>
          <w:sz w:val="32"/>
          <w:szCs w:val="32"/>
          <w:highlight w:val="none"/>
          <w:lang w:val="zh-CN"/>
        </w:rPr>
      </w:pPr>
    </w:p>
    <w:p>
      <w:pPr>
        <w:pStyle w:val="2"/>
        <w:jc w:val="center"/>
        <w:rPr>
          <w:rFonts w:ascii="宋体" w:hAnsi="宋体" w:cs="宋体"/>
          <w:highlight w:val="none"/>
        </w:rPr>
      </w:pPr>
      <w:r>
        <w:rPr>
          <w:rFonts w:hint="eastAsia" w:ascii="宋体" w:hAnsi="宋体" w:cs="宋体"/>
          <w:highlight w:val="none"/>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Cs w:val="21"/>
          <w:highlight w:val="none"/>
        </w:rPr>
      </w:pPr>
      <w:r>
        <w:rPr>
          <w:rFonts w:hint="eastAsia" w:ascii="宋体" w:hAnsi="宋体" w:cs="宋体"/>
          <w:szCs w:val="21"/>
          <w:highlight w:val="none"/>
        </w:rPr>
        <w:t>杭州第四中学新湾学校、浙江省建设工程设备招标有限公司</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rPr>
      </w:pPr>
      <w:r>
        <w:rPr>
          <w:rFonts w:hint="eastAsia" w:ascii="宋体" w:hAnsi="宋体" w:cs="宋体"/>
          <w:kern w:val="0"/>
          <w:szCs w:val="21"/>
          <w:highlight w:val="none"/>
        </w:rPr>
        <w:t>现</w:t>
      </w:r>
      <w:r>
        <w:rPr>
          <w:rFonts w:hint="eastAsia" w:ascii="宋体" w:hAnsi="宋体" w:cs="宋体"/>
          <w:kern w:val="0"/>
          <w:szCs w:val="21"/>
          <w:highlight w:val="none"/>
          <w:lang w:val="zh-CN"/>
        </w:rPr>
        <w:t>委托</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（姓名）为我方代理人（身份证号码：</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，手机：</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），以我方名义处理</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kern w:val="0"/>
          <w:szCs w:val="21"/>
          <w:highlight w:val="none"/>
          <w:lang w:val="zh-CN"/>
        </w:rPr>
        <w:t>政府采购投标的一切事项，其法律后果由我方承担。</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委托期限</w:t>
      </w:r>
      <w:r>
        <w:rPr>
          <w:rFonts w:hint="eastAsia" w:ascii="宋体" w:hAnsi="宋体" w:cs="宋体"/>
          <w:kern w:val="0"/>
          <w:szCs w:val="21"/>
          <w:highlight w:val="none"/>
        </w:rPr>
        <w:t>：</w:t>
      </w:r>
      <w:r>
        <w:rPr>
          <w:rFonts w:hint="eastAsia" w:ascii="宋体" w:hAnsi="宋体" w:cs="宋体"/>
          <w:kern w:val="0"/>
          <w:szCs w:val="21"/>
          <w:highlight w:val="none"/>
          <w:lang w:val="zh-CN"/>
        </w:rPr>
        <w:t>自</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日起至</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日止。</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特此告知。</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lang w:val="zh-CN"/>
        </w:rPr>
        <w:t xml:space="preserve">                                                 投标人名称(电子签名)：</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jc w:val="center"/>
        <w:rPr>
          <w:rFonts w:ascii="宋体" w:hAnsi="宋体" w:cs="宋体"/>
          <w:b/>
          <w:kern w:val="0"/>
          <w:szCs w:val="21"/>
          <w:highlight w:val="none"/>
        </w:rPr>
      </w:pPr>
      <w:r>
        <w:rPr>
          <w:rFonts w:hint="eastAsia" w:ascii="宋体" w:hAnsi="宋体" w:cs="宋体"/>
          <w:b/>
          <w:kern w:val="0"/>
          <w:szCs w:val="21"/>
          <w:highlight w:val="none"/>
          <w:lang w:val="zh-CN"/>
        </w:rPr>
        <w:t xml:space="preserve">      </w:t>
      </w:r>
      <w:r>
        <w:rPr>
          <w:rFonts w:hint="eastAsia" w:ascii="宋体" w:hAnsi="宋体" w:cs="宋体"/>
          <w:b/>
          <w:kern w:val="0"/>
          <w:szCs w:val="21"/>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Cs w:val="21"/>
          <w:highlight w:val="none"/>
        </w:rPr>
      </w:pPr>
      <w:r>
        <w:rPr>
          <w:rFonts w:hint="eastAsia" w:ascii="宋体" w:hAnsi="宋体" w:cs="宋体"/>
          <w:szCs w:val="21"/>
          <w:highlight w:val="none"/>
        </w:rPr>
        <w:t>杭州第四中学新湾学校、浙江省建设工程设备招标有限公司</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rPr>
      </w:pPr>
      <w:r>
        <w:rPr>
          <w:rFonts w:hint="eastAsia" w:ascii="宋体" w:hAnsi="宋体" w:cs="宋体"/>
          <w:kern w:val="0"/>
          <w:szCs w:val="21"/>
          <w:highlight w:val="none"/>
        </w:rPr>
        <w:t>现</w:t>
      </w:r>
      <w:r>
        <w:rPr>
          <w:rFonts w:hint="eastAsia" w:ascii="宋体" w:hAnsi="宋体" w:cs="宋体"/>
          <w:kern w:val="0"/>
          <w:szCs w:val="21"/>
          <w:highlight w:val="none"/>
          <w:lang w:val="zh-CN"/>
        </w:rPr>
        <w:t>委托</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（姓名）为我方代理人（身份证号码：</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，手机：</w:t>
      </w:r>
      <w:r>
        <w:rPr>
          <w:rFonts w:hint="eastAsia" w:ascii="宋体" w:hAnsi="宋体" w:cs="宋体"/>
          <w:kern w:val="0"/>
          <w:szCs w:val="21"/>
          <w:highlight w:val="none"/>
          <w:u w:val="single"/>
          <w:lang w:val="zh-CN"/>
        </w:rPr>
        <w:t xml:space="preserve">          </w:t>
      </w:r>
      <w:r>
        <w:rPr>
          <w:rFonts w:hint="eastAsia" w:ascii="宋体" w:hAnsi="宋体" w:cs="宋体"/>
          <w:kern w:val="0"/>
          <w:szCs w:val="21"/>
          <w:highlight w:val="none"/>
          <w:lang w:val="zh-CN"/>
        </w:rPr>
        <w:t>），以我方名义处理</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kern w:val="0"/>
          <w:szCs w:val="21"/>
          <w:highlight w:val="none"/>
          <w:lang w:val="zh-CN"/>
        </w:rPr>
        <w:t>政府采购投标的一切事项，其法律后果由我方承担。</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委托期限</w:t>
      </w:r>
      <w:r>
        <w:rPr>
          <w:rFonts w:hint="eastAsia" w:ascii="宋体" w:hAnsi="宋体" w:cs="宋体"/>
          <w:kern w:val="0"/>
          <w:szCs w:val="21"/>
          <w:highlight w:val="none"/>
        </w:rPr>
        <w:t>：</w:t>
      </w:r>
      <w:r>
        <w:rPr>
          <w:rFonts w:hint="eastAsia" w:ascii="宋体" w:hAnsi="宋体" w:cs="宋体"/>
          <w:kern w:val="0"/>
          <w:szCs w:val="21"/>
          <w:highlight w:val="none"/>
          <w:lang w:val="zh-CN"/>
        </w:rPr>
        <w:t>自</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日起至</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年</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日止。</w:t>
      </w:r>
    </w:p>
    <w:p>
      <w:pPr>
        <w:snapToGrid w:val="0"/>
        <w:spacing w:line="360" w:lineRule="auto"/>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zh-CN"/>
        </w:rPr>
        <w:t>特此告知。</w:t>
      </w:r>
    </w:p>
    <w:p>
      <w:pPr>
        <w:jc w:val="center"/>
        <w:rPr>
          <w:rFonts w:ascii="宋体" w:hAnsi="宋体" w:cs="宋体"/>
          <w:b/>
          <w:kern w:val="0"/>
          <w:szCs w:val="21"/>
          <w:highlight w:val="none"/>
        </w:rPr>
      </w:pPr>
    </w:p>
    <w:p>
      <w:pPr>
        <w:jc w:val="center"/>
        <w:rPr>
          <w:rFonts w:ascii="宋体" w:hAnsi="宋体" w:cs="宋体"/>
          <w:b/>
          <w:kern w:val="0"/>
          <w:szCs w:val="21"/>
          <w:highlight w:val="none"/>
        </w:rPr>
      </w:pPr>
    </w:p>
    <w:p>
      <w:pPr>
        <w:rPr>
          <w:rFonts w:ascii="宋体" w:hAnsi="宋体" w:cs="宋体"/>
          <w:szCs w:val="21"/>
          <w:highlight w:val="none"/>
        </w:rPr>
      </w:pP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5040" w:firstLineChars="2400"/>
        <w:rPr>
          <w:rFonts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rPr>
          <w:rFonts w:ascii="宋体" w:hAnsi="宋体" w:cs="宋体"/>
          <w:highlight w:val="none"/>
        </w:rPr>
      </w:pPr>
      <w:r>
        <w:rPr>
          <w:rFonts w:hint="eastAsia" w:ascii="宋体" w:hAnsi="宋体" w:cs="宋体"/>
          <w:highlight w:val="none"/>
        </w:rPr>
        <w:br w:type="page"/>
      </w:r>
    </w:p>
    <w:p>
      <w:pPr>
        <w:rPr>
          <w:rFonts w:ascii="宋体" w:hAnsi="宋体" w:cs="宋体"/>
          <w:highlight w:val="none"/>
        </w:rPr>
      </w:pPr>
    </w:p>
    <w:p>
      <w:pPr>
        <w:rPr>
          <w:rFonts w:ascii="宋体" w:hAnsi="宋体" w:cs="宋体"/>
          <w:highlight w:val="none"/>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6"/>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highlight w:val="none"/>
              </w:rPr>
            </w:pPr>
            <w:r>
              <w:rPr>
                <w:rFonts w:hint="eastAsia" w:hAnsi="宋体" w:cs="宋体"/>
                <w:bCs/>
                <w:sz w:val="24"/>
                <w:highlight w:val="none"/>
              </w:rPr>
              <w:t>正面：                                 反面：</w:t>
            </w:r>
          </w:p>
          <w:p>
            <w:pPr>
              <w:pStyle w:val="146"/>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w:t>
      </w:r>
    </w:p>
    <w:p>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投标人名称(电子签名)：                              </w:t>
      </w:r>
    </w:p>
    <w:p>
      <w:pPr>
        <w:spacing w:line="360" w:lineRule="auto"/>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kern w:val="0"/>
          <w:highlight w:val="none"/>
        </w:rPr>
      </w:pPr>
      <w:r>
        <w:rPr>
          <w:rFonts w:hint="eastAsia" w:ascii="宋体" w:hAnsi="宋体" w:cs="宋体"/>
          <w:highlight w:val="none"/>
        </w:rPr>
        <w:t>三、联合协议</w:t>
      </w:r>
    </w:p>
    <w:p>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（联合体所有成员名称）</w:t>
      </w:r>
      <w:r>
        <w:rPr>
          <w:rFonts w:hint="eastAsia" w:ascii="宋体" w:hAnsi="宋体" w:cs="宋体"/>
          <w:kern w:val="0"/>
          <w:szCs w:val="21"/>
          <w:highlight w:val="none"/>
        </w:rPr>
        <w:t>自愿</w:t>
      </w:r>
      <w:r>
        <w:rPr>
          <w:rFonts w:hint="eastAsia" w:ascii="宋体" w:hAnsi="宋体" w:cs="宋体"/>
          <w:kern w:val="0"/>
          <w:szCs w:val="21"/>
          <w:highlight w:val="none"/>
          <w:lang w:val="zh-CN"/>
        </w:rPr>
        <w:t>组成一个联合体，以一个投标人的身份</w:t>
      </w:r>
      <w:r>
        <w:rPr>
          <w:rFonts w:hint="eastAsia" w:ascii="宋体" w:hAnsi="宋体" w:cs="宋体"/>
          <w:kern w:val="0"/>
          <w:szCs w:val="21"/>
          <w:highlight w:val="none"/>
        </w:rPr>
        <w:t>参加</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kern w:val="0"/>
          <w:szCs w:val="21"/>
          <w:highlight w:val="none"/>
          <w:lang w:val="zh-CN"/>
        </w:rPr>
        <w:t xml:space="preserve">投标。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一、各方一致决定，</w:t>
      </w:r>
      <w:r>
        <w:rPr>
          <w:rFonts w:hint="eastAsia" w:ascii="宋体" w:hAnsi="宋体" w:cs="宋体"/>
          <w:kern w:val="0"/>
          <w:szCs w:val="21"/>
          <w:highlight w:val="none"/>
          <w:u w:val="single"/>
        </w:rPr>
        <w:t>（某联合体成员名称）</w:t>
      </w:r>
      <w:r>
        <w:rPr>
          <w:rFonts w:hint="eastAsia" w:ascii="宋体" w:hAnsi="宋体" w:cs="宋体"/>
          <w:kern w:val="0"/>
          <w:szCs w:val="21"/>
          <w:highlight w:val="none"/>
        </w:rPr>
        <w:t>为联合体</w:t>
      </w:r>
      <w:r>
        <w:rPr>
          <w:rFonts w:hint="eastAsia" w:ascii="宋体" w:hAnsi="宋体" w:cs="宋体"/>
          <w:kern w:val="0"/>
          <w:szCs w:val="21"/>
          <w:highlight w:val="none"/>
          <w:lang w:val="zh-CN"/>
        </w:rPr>
        <w:t>牵头人</w:t>
      </w:r>
      <w:r>
        <w:rPr>
          <w:rFonts w:hint="eastAsia" w:ascii="宋体" w:hAnsi="宋体" w:cs="宋体"/>
          <w:szCs w:val="21"/>
          <w:highlight w:val="none"/>
        </w:rPr>
        <w:t>，代表所有联合体成员负责投标和合同实施阶段的主办、协调工作</w:t>
      </w:r>
      <w:r>
        <w:rPr>
          <w:rFonts w:hint="eastAsia" w:ascii="宋体" w:hAnsi="宋体" w:cs="宋体"/>
          <w:kern w:val="0"/>
          <w:szCs w:val="21"/>
          <w:highlight w:val="none"/>
          <w:lang w:val="zh-CN"/>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二、</w:t>
      </w:r>
      <w:r>
        <w:rPr>
          <w:rFonts w:hint="eastAsia" w:ascii="宋体" w:hAnsi="宋体" w:cs="宋体"/>
          <w:szCs w:val="21"/>
          <w:highlight w:val="none"/>
        </w:rPr>
        <w:t>所有联合体成员各方签署授权书，授权书载明的</w:t>
      </w:r>
      <w:r>
        <w:rPr>
          <w:rFonts w:hint="eastAsia" w:ascii="宋体" w:hAnsi="宋体" w:cs="宋体"/>
          <w:kern w:val="0"/>
          <w:szCs w:val="21"/>
          <w:highlight w:val="none"/>
          <w:lang w:val="zh-CN"/>
        </w:rPr>
        <w:t>授权代表根据招标文件规定及投标内容而对招标人、招标代理机构所作的任何合法承诺，包括书面澄清及相应等均对联合投标各方产生约束力。</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三、本次联合投标中，分工如下：</w:t>
      </w:r>
      <w:r>
        <w:rPr>
          <w:rFonts w:hint="eastAsia" w:ascii="宋体" w:hAnsi="宋体" w:cs="宋体"/>
          <w:kern w:val="0"/>
          <w:szCs w:val="21"/>
          <w:highlight w:val="none"/>
          <w:u w:val="single"/>
        </w:rPr>
        <w:t>（联合体其中一方成员名称）</w:t>
      </w:r>
      <w:r>
        <w:rPr>
          <w:rFonts w:hint="eastAsia" w:ascii="宋体" w:hAnsi="宋体" w:cs="宋体"/>
          <w:kern w:val="0"/>
          <w:szCs w:val="21"/>
          <w:highlight w:val="none"/>
          <w:lang w:val="zh-CN"/>
        </w:rPr>
        <w:t>承担的工作和义务为：</w:t>
      </w:r>
      <w:r>
        <w:rPr>
          <w:rFonts w:hint="eastAsia" w:ascii="宋体" w:hAnsi="宋体" w:cs="宋体"/>
          <w:szCs w:val="21"/>
          <w:highlight w:val="none"/>
          <w:u w:val="single"/>
        </w:rPr>
        <w:t xml:space="preserve">             </w:t>
      </w:r>
      <w:r>
        <w:rPr>
          <w:rFonts w:hint="eastAsia" w:ascii="宋体" w:hAnsi="宋体" w:cs="宋体"/>
          <w:kern w:val="0"/>
          <w:szCs w:val="21"/>
          <w:highlight w:val="none"/>
          <w:lang w:val="zh-CN"/>
        </w:rPr>
        <w:t>；……。</w:t>
      </w:r>
    </w:p>
    <w:p>
      <w:pPr>
        <w:snapToGrid w:val="0"/>
        <w:spacing w:line="360" w:lineRule="auto"/>
        <w:ind w:firstLine="576"/>
        <w:rPr>
          <w:rFonts w:ascii="宋体" w:hAnsi="宋体" w:cs="宋体"/>
          <w:b/>
          <w:kern w:val="0"/>
          <w:szCs w:val="21"/>
          <w:highlight w:val="none"/>
          <w:lang w:val="zh-CN"/>
        </w:rPr>
      </w:pPr>
      <w:r>
        <w:rPr>
          <w:rFonts w:hint="eastAsia" w:ascii="宋体" w:hAnsi="宋体" w:cs="宋体"/>
          <w:kern w:val="0"/>
          <w:szCs w:val="21"/>
          <w:highlight w:val="none"/>
          <w:lang w:val="zh-CN"/>
        </w:rPr>
        <w:t>四、</w:t>
      </w:r>
      <w:r>
        <w:rPr>
          <w:rFonts w:hint="eastAsia" w:ascii="宋体" w:hAnsi="宋体" w:cs="宋体"/>
          <w:kern w:val="0"/>
          <w:szCs w:val="21"/>
          <w:highlight w:val="none"/>
          <w:u w:val="single"/>
        </w:rPr>
        <w:t>（联合体其中一方成员名称）</w:t>
      </w:r>
      <w:r>
        <w:rPr>
          <w:rFonts w:hint="eastAsia" w:ascii="宋体" w:hAnsi="宋体" w:cs="宋体"/>
          <w:kern w:val="0"/>
          <w:szCs w:val="21"/>
          <w:highlight w:val="none"/>
        </w:rPr>
        <w:t>提供的全部货物由小微企业制造，其合同份额占到合同总金额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kern w:val="0"/>
          <w:szCs w:val="21"/>
          <w:highlight w:val="none"/>
          <w:lang w:val="zh-CN"/>
        </w:rPr>
        <w:t>……。</w:t>
      </w:r>
      <w:r>
        <w:rPr>
          <w:rFonts w:hint="eastAsia" w:ascii="宋体" w:hAnsi="宋体" w:cs="宋体"/>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五、如果中标，</w:t>
      </w:r>
      <w:r>
        <w:rPr>
          <w:rFonts w:hint="eastAsia" w:ascii="宋体" w:hAnsi="宋体" w:cs="宋体"/>
          <w:szCs w:val="21"/>
          <w:highlight w:val="none"/>
        </w:rPr>
        <w:t>联合体各成员方共同与招标人签订合同，并就采购合同约定的事项对招标人承担连带责任。</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六、有关本次联合投标的其他事宜：</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3、本协议提交招标人、招标代理机构后，联合体各方不得以任何形式对上述内容进行修改或撤销。</w:t>
      </w:r>
    </w:p>
    <w:p>
      <w:pPr>
        <w:snapToGrid w:val="0"/>
        <w:spacing w:line="360" w:lineRule="auto"/>
        <w:ind w:firstLine="4410" w:firstLineChars="2100"/>
        <w:rPr>
          <w:rFonts w:ascii="宋体" w:hAnsi="宋体" w:cs="宋体"/>
          <w:kern w:val="0"/>
          <w:szCs w:val="21"/>
          <w:highlight w:val="none"/>
          <w:lang w:val="zh-CN"/>
        </w:rPr>
      </w:pPr>
      <w:r>
        <w:rPr>
          <w:rFonts w:hint="eastAsia" w:ascii="宋体" w:hAnsi="宋体" w:cs="宋体"/>
          <w:kern w:val="0"/>
          <w:szCs w:val="21"/>
          <w:highlight w:val="none"/>
          <w:lang w:val="zh-CN"/>
        </w:rPr>
        <w:t>联合体成员名称(电子签名/公章)：</w:t>
      </w:r>
    </w:p>
    <w:p>
      <w:pPr>
        <w:snapToGrid w:val="0"/>
        <w:spacing w:line="360" w:lineRule="auto"/>
        <w:ind w:firstLine="5040" w:firstLineChars="2400"/>
        <w:rPr>
          <w:rFonts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日期：  年  月   日</w:t>
      </w: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四、分包意向协议</w:t>
      </w:r>
    </w:p>
    <w:p>
      <w:pPr>
        <w:widowControl/>
        <w:spacing w:line="360" w:lineRule="auto"/>
        <w:ind w:firstLine="105" w:firstLineChars="5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中标后以分包方式履行合同的，提供分包意向协议；招标人不同意分包或者投标人中标后不以分包方式履行合同的，则不需要提供。</w:t>
      </w:r>
      <w:r>
        <w:rPr>
          <w:rFonts w:hint="eastAsia" w:ascii="宋体" w:hAnsi="宋体" w:cs="宋体"/>
          <w:szCs w:val="21"/>
          <w:highlight w:val="none"/>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（投标人名称）</w:t>
      </w:r>
      <w:r>
        <w:rPr>
          <w:rFonts w:hint="eastAsia" w:ascii="宋体" w:hAnsi="宋体" w:cs="宋体"/>
          <w:kern w:val="0"/>
          <w:szCs w:val="21"/>
          <w:highlight w:val="none"/>
          <w:lang w:val="zh-CN"/>
        </w:rPr>
        <w:t>若成为</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kern w:val="0"/>
          <w:szCs w:val="21"/>
          <w:highlight w:val="none"/>
          <w:lang w:val="zh-CN"/>
        </w:rPr>
        <w:t>的中标人，将依法采取分包方式履行合同。</w:t>
      </w:r>
      <w:r>
        <w:rPr>
          <w:rFonts w:hint="eastAsia" w:ascii="宋体" w:hAnsi="宋体" w:cs="宋体"/>
          <w:kern w:val="0"/>
          <w:szCs w:val="21"/>
          <w:highlight w:val="none"/>
          <w:u w:val="single"/>
        </w:rPr>
        <w:t>（投标人名称）</w:t>
      </w:r>
      <w:r>
        <w:rPr>
          <w:rFonts w:hint="eastAsia" w:ascii="宋体" w:hAnsi="宋体" w:cs="宋体"/>
          <w:kern w:val="0"/>
          <w:szCs w:val="21"/>
          <w:highlight w:val="none"/>
        </w:rPr>
        <w:t>与</w:t>
      </w:r>
      <w:r>
        <w:rPr>
          <w:rFonts w:hint="eastAsia" w:ascii="宋体" w:hAnsi="宋体" w:cs="宋体"/>
          <w:kern w:val="0"/>
          <w:szCs w:val="21"/>
          <w:highlight w:val="none"/>
          <w:u w:val="single"/>
        </w:rPr>
        <w:t>（所有分包供应商名称）</w:t>
      </w:r>
      <w:r>
        <w:rPr>
          <w:rFonts w:hint="eastAsia" w:ascii="宋体" w:hAnsi="宋体" w:cs="宋体"/>
          <w:kern w:val="0"/>
          <w:szCs w:val="21"/>
          <w:highlight w:val="none"/>
        </w:rPr>
        <w:t>达成分包意向协议</w:t>
      </w:r>
      <w:r>
        <w:rPr>
          <w:rFonts w:hint="eastAsia" w:ascii="宋体" w:hAnsi="宋体" w:cs="宋体"/>
          <w:kern w:val="0"/>
          <w:szCs w:val="21"/>
          <w:highlight w:val="none"/>
          <w:lang w:val="zh-CN"/>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一、分包标的及数量</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u w:val="single"/>
        </w:rPr>
        <w:t>（投标人名称）</w:t>
      </w:r>
      <w:r>
        <w:rPr>
          <w:rFonts w:hint="eastAsia" w:ascii="宋体" w:hAnsi="宋体" w:cs="宋体"/>
          <w:kern w:val="0"/>
          <w:szCs w:val="21"/>
          <w:highlight w:val="none"/>
          <w:lang w:val="zh-CN"/>
        </w:rPr>
        <w:t>将</w:t>
      </w:r>
      <w:r>
        <w:rPr>
          <w:rFonts w:hint="eastAsia" w:ascii="宋体" w:hAnsi="宋体" w:cs="宋体"/>
          <w:szCs w:val="21"/>
          <w:highlight w:val="none"/>
          <w:u w:val="single"/>
        </w:rPr>
        <w:t xml:space="preserve">   XX工作内容   </w:t>
      </w:r>
      <w:r>
        <w:rPr>
          <w:rFonts w:hint="eastAsia" w:ascii="宋体" w:hAnsi="宋体" w:cs="宋体"/>
          <w:szCs w:val="21"/>
          <w:highlight w:val="none"/>
        </w:rPr>
        <w:t>分包给</w:t>
      </w:r>
      <w:r>
        <w:rPr>
          <w:rFonts w:hint="eastAsia" w:ascii="宋体" w:hAnsi="宋体" w:cs="宋体"/>
          <w:kern w:val="0"/>
          <w:szCs w:val="21"/>
          <w:highlight w:val="none"/>
          <w:u w:val="single"/>
        </w:rPr>
        <w:t>（某分包供应商名称）</w:t>
      </w:r>
      <w:r>
        <w:rPr>
          <w:rFonts w:hint="eastAsia" w:ascii="宋体" w:hAnsi="宋体" w:cs="宋体"/>
          <w:kern w:val="0"/>
          <w:szCs w:val="21"/>
          <w:highlight w:val="none"/>
          <w:lang w:val="zh-CN"/>
        </w:rPr>
        <w:t>，</w:t>
      </w:r>
      <w:r>
        <w:rPr>
          <w:rFonts w:hint="eastAsia" w:ascii="宋体" w:hAnsi="宋体" w:cs="宋体"/>
          <w:kern w:val="0"/>
          <w:szCs w:val="21"/>
          <w:highlight w:val="none"/>
          <w:u w:val="single"/>
        </w:rPr>
        <w:t>（某分包供应商名称），</w:t>
      </w:r>
      <w:r>
        <w:rPr>
          <w:rFonts w:hint="eastAsia" w:ascii="宋体" w:hAnsi="宋体" w:cs="宋体"/>
          <w:kern w:val="0"/>
          <w:szCs w:val="21"/>
          <w:highlight w:val="none"/>
          <w:lang w:val="zh-CN"/>
        </w:rPr>
        <w:t>具备承</w:t>
      </w:r>
      <w:r>
        <w:rPr>
          <w:rFonts w:hint="eastAsia" w:ascii="宋体" w:hAnsi="宋体" w:cs="宋体"/>
          <w:kern w:val="0"/>
          <w:szCs w:val="21"/>
          <w:highlight w:val="none"/>
        </w:rPr>
        <w:t>担</w:t>
      </w:r>
      <w:r>
        <w:rPr>
          <w:rFonts w:hint="eastAsia" w:ascii="宋体" w:hAnsi="宋体" w:cs="宋体"/>
          <w:kern w:val="0"/>
          <w:szCs w:val="21"/>
          <w:highlight w:val="none"/>
          <w:u w:val="single"/>
          <w:lang w:val="zh-CN"/>
        </w:rPr>
        <w:t>XX工作内容</w:t>
      </w:r>
      <w:r>
        <w:rPr>
          <w:rFonts w:hint="eastAsia" w:ascii="宋体" w:hAnsi="宋体" w:cs="宋体"/>
          <w:kern w:val="0"/>
          <w:szCs w:val="21"/>
          <w:highlight w:val="none"/>
          <w:lang w:val="zh-CN"/>
        </w:rPr>
        <w:t>相应资质条件且不得再次分包；</w:t>
      </w:r>
    </w:p>
    <w:p>
      <w:pPr>
        <w:ind w:firstLine="840" w:firstLineChars="400"/>
        <w:rPr>
          <w:rFonts w:ascii="宋体" w:hAnsi="宋体" w:cs="宋体"/>
          <w:highlight w:val="none"/>
        </w:rPr>
      </w:pPr>
      <w:r>
        <w:rPr>
          <w:rFonts w:hint="eastAsia" w:ascii="宋体" w:hAnsi="宋体" w:cs="宋体"/>
          <w:highlight w:val="none"/>
        </w:rPr>
        <w:t>……</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二、分包工作履行期限、地点、方式</w:t>
      </w:r>
    </w:p>
    <w:p>
      <w:pPr>
        <w:snapToGrid w:val="0"/>
        <w:spacing w:line="360" w:lineRule="auto"/>
        <w:ind w:firstLine="576"/>
        <w:rPr>
          <w:rFonts w:ascii="宋体" w:hAnsi="宋体" w:cs="宋体"/>
          <w:szCs w:val="21"/>
          <w:highlight w:val="none"/>
          <w:u w:val="single"/>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三、质量</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四、价款或者报酬</w:t>
      </w:r>
    </w:p>
    <w:p>
      <w:pPr>
        <w:snapToGrid w:val="0"/>
        <w:spacing w:line="360" w:lineRule="auto"/>
        <w:ind w:left="573" w:leftChars="273"/>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left="573" w:leftChars="273"/>
        <w:rPr>
          <w:rFonts w:ascii="宋体" w:hAnsi="宋体" w:cs="宋体"/>
          <w:kern w:val="0"/>
          <w:szCs w:val="21"/>
          <w:highlight w:val="none"/>
          <w:lang w:val="zh-CN"/>
        </w:rPr>
      </w:pPr>
      <w:r>
        <w:rPr>
          <w:rFonts w:hint="eastAsia" w:ascii="宋体" w:hAnsi="宋体" w:cs="宋体"/>
          <w:kern w:val="0"/>
          <w:szCs w:val="21"/>
          <w:highlight w:val="none"/>
          <w:lang w:val="zh-CN"/>
        </w:rPr>
        <w:t>五、违约责任</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六、争议解决的办法</w:t>
      </w:r>
    </w:p>
    <w:p>
      <w:pPr>
        <w:snapToGrid w:val="0"/>
        <w:spacing w:line="360" w:lineRule="auto"/>
        <w:ind w:firstLine="576"/>
        <w:rPr>
          <w:rFonts w:ascii="宋体" w:hAnsi="宋体" w:cs="宋体"/>
          <w:kern w:val="0"/>
          <w:szCs w:val="21"/>
          <w:highlight w:val="none"/>
          <w:lang w:val="zh-CN"/>
        </w:rPr>
      </w:pPr>
      <w:r>
        <w:rPr>
          <w:rFonts w:hint="eastAsia" w:ascii="宋体" w:hAnsi="宋体" w:cs="宋体"/>
          <w:szCs w:val="21"/>
          <w:highlight w:val="none"/>
          <w:u w:val="single"/>
        </w:rPr>
        <w:t xml:space="preserve">                                                                                  </w:t>
      </w:r>
    </w:p>
    <w:p>
      <w:pPr>
        <w:snapToGrid w:val="0"/>
        <w:spacing w:line="360" w:lineRule="auto"/>
        <w:ind w:firstLine="576"/>
        <w:rPr>
          <w:rFonts w:ascii="宋体" w:hAnsi="宋体" w:cs="宋体"/>
          <w:kern w:val="0"/>
          <w:szCs w:val="21"/>
          <w:highlight w:val="none"/>
          <w:lang w:val="zh-CN"/>
        </w:rPr>
      </w:pPr>
      <w:r>
        <w:rPr>
          <w:rFonts w:hint="eastAsia" w:ascii="宋体" w:hAnsi="宋体" w:cs="宋体"/>
          <w:kern w:val="0"/>
          <w:szCs w:val="21"/>
          <w:highlight w:val="none"/>
          <w:lang w:val="zh-CN"/>
        </w:rPr>
        <w:t>七、其他</w:t>
      </w:r>
    </w:p>
    <w:p>
      <w:pPr>
        <w:snapToGrid w:val="0"/>
        <w:spacing w:line="360" w:lineRule="auto"/>
        <w:ind w:firstLine="576"/>
        <w:rPr>
          <w:rFonts w:ascii="宋体" w:hAnsi="宋体" w:cs="宋体"/>
          <w:b/>
          <w:kern w:val="0"/>
          <w:szCs w:val="21"/>
          <w:highlight w:val="none"/>
          <w:lang w:val="zh-CN"/>
        </w:rPr>
      </w:pPr>
      <w:r>
        <w:rPr>
          <w:rFonts w:hint="eastAsia" w:ascii="宋体" w:hAnsi="宋体" w:cs="宋体"/>
          <w:kern w:val="0"/>
          <w:szCs w:val="21"/>
          <w:highlight w:val="none"/>
          <w:u w:val="single"/>
        </w:rPr>
        <w:t>（分包供应商名称）提供的货物全部由小微企业制造，</w:t>
      </w:r>
      <w:r>
        <w:rPr>
          <w:rFonts w:hint="eastAsia" w:ascii="宋体" w:hAnsi="宋体" w:cs="宋体"/>
          <w:kern w:val="0"/>
          <w:szCs w:val="21"/>
          <w:highlight w:val="none"/>
        </w:rPr>
        <w:t>其合同份额占到合同总金额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%以上</w:t>
      </w:r>
      <w:r>
        <w:rPr>
          <w:rFonts w:hint="eastAsia" w:ascii="宋体" w:hAnsi="宋体" w:cs="宋体"/>
          <w:szCs w:val="21"/>
          <w:highlight w:val="none"/>
        </w:rPr>
        <w:t>。</w:t>
      </w:r>
      <w:r>
        <w:rPr>
          <w:rFonts w:hint="eastAsia" w:ascii="宋体" w:hAnsi="宋体" w:cs="宋体"/>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投标人名称(电子签名)：</w:t>
      </w:r>
    </w:p>
    <w:p>
      <w:pPr>
        <w:snapToGrid w:val="0"/>
        <w:spacing w:line="360" w:lineRule="auto"/>
        <w:ind w:firstLine="4935" w:firstLineChars="2350"/>
        <w:rPr>
          <w:rFonts w:ascii="宋体" w:hAnsi="宋体" w:cs="宋体"/>
          <w:kern w:val="0"/>
          <w:szCs w:val="21"/>
          <w:highlight w:val="none"/>
          <w:lang w:val="zh-CN"/>
        </w:rPr>
      </w:pPr>
      <w:r>
        <w:rPr>
          <w:rFonts w:hint="eastAsia" w:ascii="宋体" w:hAnsi="宋体" w:cs="宋体"/>
          <w:kern w:val="0"/>
          <w:szCs w:val="21"/>
          <w:highlight w:val="none"/>
          <w:lang w:val="zh-CN"/>
        </w:rPr>
        <w:t>分包供应商名称：</w:t>
      </w:r>
    </w:p>
    <w:p>
      <w:pPr>
        <w:snapToGrid w:val="0"/>
        <w:spacing w:line="360" w:lineRule="auto"/>
        <w:ind w:firstLine="5040" w:firstLineChars="2400"/>
        <w:rPr>
          <w:rFonts w:ascii="宋体" w:hAnsi="宋体" w:cs="宋体"/>
          <w:szCs w:val="21"/>
          <w:highlight w:val="none"/>
        </w:rPr>
      </w:pPr>
      <w:r>
        <w:rPr>
          <w:rFonts w:hint="eastAsia" w:ascii="宋体" w:hAnsi="宋体" w:cs="宋体"/>
          <w:kern w:val="0"/>
          <w:szCs w:val="21"/>
          <w:highlight w:val="none"/>
          <w:lang w:val="zh-CN"/>
        </w:rPr>
        <w:t>……</w:t>
      </w:r>
    </w:p>
    <w:p>
      <w:pPr>
        <w:snapToGrid w:val="0"/>
        <w:spacing w:line="360" w:lineRule="auto"/>
        <w:rPr>
          <w:rFonts w:ascii="宋体" w:hAnsi="宋体" w:cs="宋体"/>
          <w:b/>
          <w:kern w:val="0"/>
          <w:sz w:val="32"/>
          <w:szCs w:val="32"/>
          <w:highlight w:val="none"/>
        </w:rPr>
      </w:pPr>
      <w:r>
        <w:rPr>
          <w:rFonts w:hint="eastAsia" w:ascii="宋体" w:hAnsi="宋体" w:cs="宋体"/>
          <w:kern w:val="0"/>
          <w:szCs w:val="21"/>
          <w:highlight w:val="none"/>
          <w:lang w:val="zh-CN"/>
        </w:rPr>
        <w:t xml:space="preserve">                                               日期：  年  月   日</w:t>
      </w: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五、符合性审查资料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序号</w:t>
            </w:r>
          </w:p>
        </w:tc>
        <w:tc>
          <w:tcPr>
            <w:tcW w:w="4991"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实质性要求</w:t>
            </w:r>
          </w:p>
        </w:tc>
        <w:tc>
          <w:tcPr>
            <w:tcW w:w="2551"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需要提供的符合性审查资料</w:t>
            </w:r>
          </w:p>
        </w:tc>
        <w:tc>
          <w:tcPr>
            <w:tcW w:w="1418" w:type="dxa"/>
            <w:vAlign w:val="center"/>
          </w:tcPr>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投标文件中的</w:t>
            </w:r>
          </w:p>
          <w:p>
            <w:pPr>
              <w:snapToGrid w:val="0"/>
              <w:spacing w:line="240" w:lineRule="atLeast"/>
              <w:jc w:val="center"/>
              <w:rPr>
                <w:rFonts w:ascii="宋体" w:hAnsi="宋体" w:cs="宋体"/>
                <w:b/>
                <w:szCs w:val="21"/>
                <w:highlight w:val="none"/>
              </w:rPr>
            </w:pPr>
            <w:r>
              <w:rPr>
                <w:rFonts w:hint="eastAsia" w:ascii="宋体" w:hAnsi="宋体" w:cs="宋体"/>
                <w:b/>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highlight w:val="none"/>
              </w:rPr>
            </w:pPr>
            <w:r>
              <w:rPr>
                <w:rFonts w:hint="eastAsia" w:ascii="宋体" w:hAnsi="宋体" w:cs="宋体"/>
                <w:szCs w:val="21"/>
                <w:highlight w:val="none"/>
              </w:rPr>
              <w:t>1</w:t>
            </w:r>
          </w:p>
        </w:tc>
        <w:tc>
          <w:tcPr>
            <w:tcW w:w="4991" w:type="dxa"/>
          </w:tcPr>
          <w:p>
            <w:pPr>
              <w:spacing w:line="360" w:lineRule="auto"/>
              <w:rPr>
                <w:rFonts w:ascii="宋体" w:hAnsi="宋体" w:cs="宋体"/>
                <w:szCs w:val="21"/>
                <w:highlight w:val="none"/>
              </w:rPr>
            </w:pPr>
            <w:r>
              <w:rPr>
                <w:rFonts w:hint="eastAsia" w:ascii="宋体" w:hAnsi="宋体" w:cs="宋体"/>
                <w:szCs w:val="21"/>
                <w:highlight w:val="none"/>
              </w:rPr>
              <w:t>投标文件按照招标文件要求签署、盖章。</w:t>
            </w:r>
          </w:p>
        </w:tc>
        <w:tc>
          <w:tcPr>
            <w:tcW w:w="2551" w:type="dxa"/>
            <w:vAlign w:val="center"/>
          </w:tcPr>
          <w:p>
            <w:pPr>
              <w:rPr>
                <w:rFonts w:ascii="宋体" w:hAnsi="宋体" w:cs="宋体"/>
                <w:szCs w:val="21"/>
                <w:highlight w:val="none"/>
              </w:rPr>
            </w:pPr>
            <w:r>
              <w:rPr>
                <w:rFonts w:hint="eastAsia" w:ascii="宋体" w:hAnsi="宋体" w:cs="宋体"/>
                <w:szCs w:val="21"/>
                <w:highlight w:val="none"/>
              </w:rPr>
              <w:t>需要使用电子签名或者签字盖章的投标文件的组成部分</w:t>
            </w:r>
          </w:p>
        </w:tc>
        <w:tc>
          <w:tcPr>
            <w:tcW w:w="1418" w:type="dxa"/>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见投标文件</w:t>
            </w:r>
          </w:p>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Cs w:val="21"/>
                <w:highlight w:val="none"/>
              </w:rPr>
            </w:pPr>
            <w:r>
              <w:rPr>
                <w:rFonts w:hint="eastAsia" w:ascii="宋体" w:hAnsi="宋体" w:cs="宋体"/>
                <w:szCs w:val="21"/>
                <w:highlight w:val="none"/>
              </w:rPr>
              <w:t>2</w:t>
            </w:r>
          </w:p>
        </w:tc>
        <w:tc>
          <w:tcPr>
            <w:tcW w:w="4991" w:type="dxa"/>
          </w:tcPr>
          <w:p>
            <w:pPr>
              <w:spacing w:line="360" w:lineRule="auto"/>
              <w:rPr>
                <w:rFonts w:ascii="宋体" w:hAnsi="宋体" w:cs="宋体"/>
                <w:szCs w:val="21"/>
                <w:highlight w:val="none"/>
              </w:rPr>
            </w:pPr>
            <w:r>
              <w:rPr>
                <w:rFonts w:hint="eastAsia" w:ascii="宋体" w:hAnsi="宋体" w:cs="宋体"/>
                <w:szCs w:val="21"/>
                <w:highlight w:val="none"/>
              </w:rPr>
              <w:t>招标人拟采购的产品属于政府强制采购的节能产品品目清单范围的，投标人按招标文件要求提供国家确定的认证机构出具的、处于有效期之内的节能产品认证证书。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Cs w:val="21"/>
                <w:highlight w:val="none"/>
              </w:rPr>
            </w:pPr>
            <w:r>
              <w:rPr>
                <w:rFonts w:hint="eastAsia" w:ascii="宋体" w:hAnsi="宋体" w:cs="宋体"/>
                <w:szCs w:val="21"/>
                <w:highlight w:val="none"/>
              </w:rPr>
              <w:t>节能产品认证证书（本项目拟采购的产品不属于政府强制采购的节能产品品目清单范围的，无需提供）</w:t>
            </w:r>
          </w:p>
        </w:tc>
        <w:tc>
          <w:tcPr>
            <w:tcW w:w="1418" w:type="dxa"/>
          </w:tcPr>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见投标文件</w:t>
            </w:r>
          </w:p>
          <w:p>
            <w:pPr>
              <w:pStyle w:val="2"/>
              <w:rPr>
                <w:rFonts w:ascii="宋体" w:hAnsi="宋体" w:cs="宋体"/>
                <w:sz w:val="21"/>
                <w:szCs w:val="21"/>
                <w:highlight w:val="none"/>
                <w:lang w:val="en-US"/>
              </w:rPr>
            </w:pPr>
            <w:r>
              <w:rPr>
                <w:rFonts w:hint="eastAsia" w:ascii="宋体" w:hAnsi="宋体" w:cs="宋体"/>
                <w:b w:val="0"/>
                <w:bCs w:val="0"/>
                <w:sz w:val="21"/>
                <w:szCs w:val="21"/>
                <w:highlight w:val="none"/>
                <w:lang w:val="en-US"/>
              </w:rPr>
              <w:t>第</w:t>
            </w:r>
            <w:r>
              <w:rPr>
                <w:rFonts w:hint="eastAsia" w:ascii="宋体" w:hAnsi="宋体" w:cs="宋体"/>
                <w:b w:val="0"/>
                <w:bCs w:val="0"/>
                <w:sz w:val="21"/>
                <w:szCs w:val="21"/>
                <w:highlight w:val="none"/>
                <w:u w:val="single"/>
                <w:lang w:val="en-US"/>
              </w:rPr>
              <w:t xml:space="preserve">  </w:t>
            </w:r>
            <w:r>
              <w:rPr>
                <w:rFonts w:hint="eastAsia" w:ascii="宋体" w:hAnsi="宋体" w:cs="宋体"/>
                <w:b w:val="0"/>
                <w:bCs w:val="0"/>
                <w:sz w:val="21"/>
                <w:szCs w:val="21"/>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highlight w:val="none"/>
              </w:rPr>
            </w:pPr>
            <w:r>
              <w:rPr>
                <w:rFonts w:hint="eastAsia" w:ascii="宋体" w:hAnsi="宋体" w:cs="宋体"/>
                <w:szCs w:val="21"/>
                <w:highlight w:val="none"/>
              </w:rPr>
              <w:t>3</w:t>
            </w:r>
          </w:p>
        </w:tc>
        <w:tc>
          <w:tcPr>
            <w:tcW w:w="4991" w:type="dxa"/>
          </w:tcPr>
          <w:p>
            <w:pPr>
              <w:spacing w:line="360" w:lineRule="auto"/>
              <w:rPr>
                <w:rFonts w:ascii="宋体" w:hAnsi="宋体" w:cs="宋体"/>
                <w:szCs w:val="21"/>
                <w:highlight w:val="none"/>
              </w:rPr>
            </w:pPr>
            <w:r>
              <w:rPr>
                <w:rFonts w:hint="eastAsia" w:ascii="宋体" w:hAnsi="宋体" w:cs="宋体"/>
                <w:szCs w:val="21"/>
                <w:highlight w:val="none"/>
              </w:rPr>
              <w:t>投标文件中承诺的投标有效期不少于招标文件中载明的投标有效期。</w:t>
            </w:r>
          </w:p>
        </w:tc>
        <w:tc>
          <w:tcPr>
            <w:tcW w:w="2551" w:type="dxa"/>
            <w:vAlign w:val="center"/>
          </w:tcPr>
          <w:p>
            <w:pPr>
              <w:rPr>
                <w:rFonts w:ascii="宋体" w:hAnsi="宋体" w:cs="宋体"/>
                <w:szCs w:val="21"/>
                <w:highlight w:val="none"/>
              </w:rPr>
            </w:pPr>
            <w:r>
              <w:rPr>
                <w:rFonts w:hint="eastAsia" w:ascii="宋体" w:hAnsi="宋体" w:cs="宋体"/>
                <w:szCs w:val="21"/>
                <w:highlight w:val="none"/>
              </w:rPr>
              <w:t>投标函</w:t>
            </w:r>
          </w:p>
        </w:tc>
        <w:tc>
          <w:tcPr>
            <w:tcW w:w="1418" w:type="dxa"/>
          </w:tcPr>
          <w:p>
            <w:pPr>
              <w:rPr>
                <w:rFonts w:ascii="宋体" w:hAnsi="宋体" w:cs="宋体"/>
                <w:szCs w:val="21"/>
                <w:highlight w:val="none"/>
              </w:rPr>
            </w:pPr>
            <w:r>
              <w:rPr>
                <w:rFonts w:hint="eastAsia" w:ascii="宋体" w:hAnsi="宋体" w:cs="宋体"/>
                <w:szCs w:val="21"/>
                <w:highlight w:val="none"/>
              </w:rPr>
              <w:t>见投标文件第</w:t>
            </w:r>
            <w:r>
              <w:rPr>
                <w:rFonts w:hint="eastAsia" w:ascii="宋体" w:hAnsi="宋体" w:cs="宋体"/>
                <w:szCs w:val="21"/>
                <w:highlight w:val="none"/>
                <w:u w:val="single"/>
              </w:rPr>
              <w:t xml:space="preserve">  </w:t>
            </w:r>
            <w:r>
              <w:rPr>
                <w:rFonts w:hint="eastAsia" w:ascii="宋体" w:hAnsi="宋体" w:cs="宋体"/>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highlight w:val="none"/>
              </w:rPr>
            </w:pPr>
            <w:r>
              <w:rPr>
                <w:rFonts w:hint="eastAsia" w:ascii="宋体" w:hAnsi="宋体" w:cs="宋体"/>
                <w:szCs w:val="21"/>
                <w:highlight w:val="none"/>
              </w:rPr>
              <w:t>4</w:t>
            </w:r>
          </w:p>
        </w:tc>
        <w:tc>
          <w:tcPr>
            <w:tcW w:w="4991" w:type="dxa"/>
          </w:tcPr>
          <w:p>
            <w:pPr>
              <w:spacing w:line="360" w:lineRule="auto"/>
              <w:rPr>
                <w:rFonts w:ascii="宋体" w:hAnsi="宋体" w:cs="宋体"/>
                <w:szCs w:val="21"/>
                <w:highlight w:val="none"/>
              </w:rPr>
            </w:pPr>
            <w:r>
              <w:rPr>
                <w:rFonts w:hint="eastAsia" w:ascii="宋体" w:hAnsi="宋体" w:cs="宋体"/>
                <w:szCs w:val="21"/>
                <w:highlight w:val="none"/>
              </w:rPr>
              <w:t>投标文件满足招标文件的其它实质性要求。</w:t>
            </w:r>
          </w:p>
        </w:tc>
        <w:tc>
          <w:tcPr>
            <w:tcW w:w="2551" w:type="dxa"/>
            <w:vAlign w:val="center"/>
          </w:tcPr>
          <w:p>
            <w:pPr>
              <w:rPr>
                <w:rFonts w:ascii="宋体" w:hAnsi="宋体" w:cs="宋体"/>
                <w:szCs w:val="21"/>
                <w:highlight w:val="none"/>
              </w:rPr>
            </w:pPr>
            <w:r>
              <w:rPr>
                <w:rFonts w:hint="eastAsia" w:ascii="宋体" w:hAnsi="宋体" w:cs="宋体"/>
                <w:kern w:val="0"/>
                <w:szCs w:val="21"/>
                <w:highlight w:val="none"/>
              </w:rPr>
              <w:t>招标文件其它实质性要求相应的材料（“▲” 系指实质性要求条款，招标文件无其它实质性要求的，无需提供）</w:t>
            </w:r>
          </w:p>
        </w:tc>
        <w:tc>
          <w:tcPr>
            <w:tcW w:w="1418" w:type="dxa"/>
          </w:tcPr>
          <w:p>
            <w:pPr>
              <w:rPr>
                <w:rFonts w:ascii="宋体" w:hAnsi="宋体" w:cs="宋体"/>
                <w:szCs w:val="21"/>
                <w:highlight w:val="none"/>
              </w:rPr>
            </w:pPr>
            <w:r>
              <w:rPr>
                <w:rFonts w:hint="eastAsia" w:ascii="宋体" w:hAnsi="宋体" w:cs="宋体"/>
                <w:szCs w:val="21"/>
                <w:highlight w:val="none"/>
              </w:rPr>
              <w:t>见投标文件第</w:t>
            </w:r>
            <w:r>
              <w:rPr>
                <w:rFonts w:hint="eastAsia" w:ascii="宋体" w:hAnsi="宋体" w:cs="宋体"/>
                <w:szCs w:val="21"/>
                <w:highlight w:val="none"/>
                <w:u w:val="single"/>
              </w:rPr>
              <w:t xml:space="preserve">  </w:t>
            </w:r>
            <w:r>
              <w:rPr>
                <w:rFonts w:hint="eastAsia" w:ascii="宋体" w:hAnsi="宋体" w:cs="宋体"/>
                <w:szCs w:val="21"/>
                <w:highlight w:val="none"/>
              </w:rPr>
              <w:t>页</w:t>
            </w:r>
          </w:p>
        </w:tc>
      </w:tr>
    </w:tbl>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六、评标标准相应的商务技术资料</w:t>
      </w:r>
    </w:p>
    <w:p>
      <w:pPr>
        <w:snapToGrid w:val="0"/>
        <w:spacing w:line="360" w:lineRule="auto"/>
        <w:jc w:val="left"/>
        <w:rPr>
          <w:rFonts w:ascii="宋体" w:hAnsi="宋体" w:cs="宋体"/>
          <w:b/>
          <w:szCs w:val="21"/>
          <w:highlight w:val="none"/>
        </w:rPr>
      </w:pPr>
      <w:r>
        <w:rPr>
          <w:rFonts w:hint="eastAsia" w:ascii="宋体" w:hAnsi="宋体" w:cs="宋体"/>
          <w:b/>
          <w:szCs w:val="21"/>
          <w:highlight w:val="none"/>
        </w:rPr>
        <w:t>（按招标文件第四部分评标办法前附表中“投标文件中评标标准相应的商务技术资料目录”提供资料）</w:t>
      </w:r>
    </w:p>
    <w:p>
      <w:pPr>
        <w:jc w:val="left"/>
        <w:rPr>
          <w:rFonts w:ascii="宋体" w:hAnsi="宋体" w:cs="宋体"/>
          <w:b/>
          <w:kern w:val="0"/>
          <w:szCs w:val="21"/>
          <w:highlight w:val="none"/>
        </w:rPr>
      </w:pPr>
    </w:p>
    <w:p>
      <w:pPr>
        <w:jc w:val="left"/>
        <w:rPr>
          <w:rFonts w:ascii="宋体" w:hAnsi="宋体" w:cs="宋体"/>
          <w:b/>
          <w:kern w:val="0"/>
          <w:szCs w:val="21"/>
          <w:highlight w:val="none"/>
        </w:rPr>
      </w:pPr>
      <w:r>
        <w:rPr>
          <w:rFonts w:hint="eastAsia" w:ascii="宋体" w:hAnsi="宋体" w:cs="宋体"/>
          <w:b/>
          <w:kern w:val="0"/>
          <w:szCs w:val="21"/>
          <w:highlight w:val="none"/>
        </w:rPr>
        <w:t>参考格式1：</w:t>
      </w:r>
    </w:p>
    <w:p>
      <w:pPr>
        <w:jc w:val="center"/>
        <w:rPr>
          <w:rFonts w:ascii="宋体" w:hAnsi="宋体" w:cs="宋体"/>
          <w:szCs w:val="21"/>
          <w:highlight w:val="none"/>
        </w:rPr>
      </w:pPr>
      <w:r>
        <w:rPr>
          <w:rFonts w:hint="eastAsia" w:ascii="宋体" w:hAnsi="宋体" w:cs="宋体"/>
          <w:b/>
          <w:bCs/>
          <w:szCs w:val="21"/>
          <w:highlight w:val="none"/>
        </w:rPr>
        <w:t>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单位名称</w:t>
            </w:r>
          </w:p>
        </w:tc>
        <w:tc>
          <w:tcPr>
            <w:tcW w:w="5143" w:type="dxa"/>
            <w:gridSpan w:val="4"/>
            <w:vAlign w:val="center"/>
          </w:tcPr>
          <w:p>
            <w:pPr>
              <w:autoSpaceDE w:val="0"/>
              <w:snapToGrid w:val="0"/>
              <w:spacing w:line="360" w:lineRule="auto"/>
              <w:jc w:val="center"/>
              <w:rPr>
                <w:rFonts w:ascii="宋体" w:hAnsi="宋体" w:cs="宋体"/>
                <w:szCs w:val="21"/>
                <w:highlight w:val="none"/>
                <w:lang w:val="zh-CN"/>
              </w:rPr>
            </w:pPr>
          </w:p>
        </w:tc>
        <w:tc>
          <w:tcPr>
            <w:tcW w:w="1418"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成立时间</w:t>
            </w:r>
          </w:p>
        </w:tc>
        <w:tc>
          <w:tcPr>
            <w:tcW w:w="1515" w:type="dxa"/>
            <w:vAlign w:val="center"/>
          </w:tcPr>
          <w:p>
            <w:pPr>
              <w:autoSpaceDE w:val="0"/>
              <w:snapToGrid w:val="0"/>
              <w:spacing w:line="360" w:lineRule="auto"/>
              <w:jc w:val="center"/>
              <w:rPr>
                <w:rFonts w:ascii="宋体" w:hAnsi="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资质等级</w:t>
            </w:r>
          </w:p>
        </w:tc>
        <w:tc>
          <w:tcPr>
            <w:tcW w:w="1600" w:type="dxa"/>
            <w:vAlign w:val="center"/>
          </w:tcPr>
          <w:p>
            <w:pPr>
              <w:autoSpaceDE w:val="0"/>
              <w:snapToGrid w:val="0"/>
              <w:spacing w:line="360" w:lineRule="auto"/>
              <w:jc w:val="center"/>
              <w:rPr>
                <w:rFonts w:ascii="宋体" w:hAnsi="宋体" w:cs="宋体"/>
                <w:szCs w:val="21"/>
                <w:highlight w:val="none"/>
                <w:lang w:val="zh-CN"/>
              </w:rPr>
            </w:pPr>
          </w:p>
        </w:tc>
        <w:tc>
          <w:tcPr>
            <w:tcW w:w="1134"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经营方式</w:t>
            </w:r>
          </w:p>
        </w:tc>
        <w:tc>
          <w:tcPr>
            <w:tcW w:w="2409" w:type="dxa"/>
            <w:gridSpan w:val="2"/>
            <w:vAlign w:val="center"/>
          </w:tcPr>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□有限责任公司</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□个人独立经营方式</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□合伙经营方式</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□其他</w:t>
            </w:r>
          </w:p>
        </w:tc>
        <w:tc>
          <w:tcPr>
            <w:tcW w:w="1418"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企业性质</w:t>
            </w:r>
          </w:p>
        </w:tc>
        <w:tc>
          <w:tcPr>
            <w:tcW w:w="1515" w:type="dxa"/>
            <w:vAlign w:val="center"/>
          </w:tcPr>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□事业单位</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□国企</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□民营</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□个体经营者</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□自然人</w:t>
            </w:r>
          </w:p>
          <w:p>
            <w:pPr>
              <w:autoSpaceDE w:val="0"/>
              <w:snapToGrid w:val="0"/>
              <w:spacing w:line="360" w:lineRule="auto"/>
              <w:jc w:val="left"/>
              <w:rPr>
                <w:rFonts w:ascii="宋体" w:hAnsi="宋体" w:cs="宋体"/>
                <w:szCs w:val="21"/>
                <w:highlight w:val="none"/>
                <w:lang w:val="zh-CN"/>
              </w:rPr>
            </w:pPr>
            <w:r>
              <w:rPr>
                <w:rFonts w:hint="eastAsia" w:ascii="宋体" w:hAnsi="宋体" w:cs="宋体"/>
                <w:szCs w:val="21"/>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注册资金</w:t>
            </w:r>
          </w:p>
        </w:tc>
        <w:tc>
          <w:tcPr>
            <w:tcW w:w="1600" w:type="dxa"/>
            <w:vAlign w:val="center"/>
          </w:tcPr>
          <w:p>
            <w:pPr>
              <w:autoSpaceDE w:val="0"/>
              <w:snapToGrid w:val="0"/>
              <w:spacing w:line="360" w:lineRule="auto"/>
              <w:jc w:val="center"/>
              <w:rPr>
                <w:rFonts w:ascii="宋体" w:hAnsi="宋体" w:cs="宋体"/>
                <w:szCs w:val="21"/>
                <w:highlight w:val="none"/>
                <w:lang w:val="zh-CN"/>
              </w:rPr>
            </w:pPr>
          </w:p>
        </w:tc>
        <w:tc>
          <w:tcPr>
            <w:tcW w:w="1134"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地    址</w:t>
            </w:r>
          </w:p>
        </w:tc>
        <w:tc>
          <w:tcPr>
            <w:tcW w:w="5342" w:type="dxa"/>
            <w:gridSpan w:val="4"/>
            <w:vAlign w:val="center"/>
          </w:tcPr>
          <w:p>
            <w:pPr>
              <w:autoSpaceDE w:val="0"/>
              <w:snapToGrid w:val="0"/>
              <w:spacing w:line="360" w:lineRule="auto"/>
              <w:jc w:val="center"/>
              <w:rPr>
                <w:rFonts w:ascii="宋体" w:hAnsi="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0" w:hRule="atLeast"/>
          <w:jc w:val="center"/>
        </w:trPr>
        <w:tc>
          <w:tcPr>
            <w:tcW w:w="1195"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经营范围</w:t>
            </w:r>
          </w:p>
        </w:tc>
        <w:tc>
          <w:tcPr>
            <w:tcW w:w="8076" w:type="dxa"/>
            <w:gridSpan w:val="6"/>
            <w:vAlign w:val="center"/>
          </w:tcPr>
          <w:p>
            <w:pPr>
              <w:autoSpaceDE w:val="0"/>
              <w:snapToGrid w:val="0"/>
              <w:spacing w:line="360" w:lineRule="auto"/>
              <w:rPr>
                <w:rFonts w:ascii="宋体" w:hAnsi="宋体" w:cs="宋体"/>
                <w:szCs w:val="21"/>
                <w:highlight w:val="none"/>
                <w:lang w:val="zh-CN"/>
              </w:rPr>
            </w:pPr>
          </w:p>
          <w:p>
            <w:pPr>
              <w:autoSpaceDE w:val="0"/>
              <w:snapToGrid w:val="0"/>
              <w:spacing w:line="360" w:lineRule="auto"/>
              <w:rPr>
                <w:rFonts w:ascii="宋体" w:hAnsi="宋体" w:cs="宋体"/>
                <w:szCs w:val="21"/>
                <w:highlight w:val="none"/>
                <w:lang w:val="zh-CN"/>
              </w:rPr>
            </w:pPr>
          </w:p>
          <w:p>
            <w:pPr>
              <w:autoSpaceDE w:val="0"/>
              <w:snapToGrid w:val="0"/>
              <w:spacing w:line="360" w:lineRule="auto"/>
              <w:rPr>
                <w:rFonts w:ascii="宋体" w:hAnsi="宋体" w:cs="宋体"/>
                <w:szCs w:val="21"/>
                <w:highlight w:val="none"/>
                <w:lang w:val="zh-CN"/>
              </w:rPr>
            </w:pPr>
          </w:p>
          <w:p>
            <w:pPr>
              <w:autoSpaceDE w:val="0"/>
              <w:snapToGrid w:val="0"/>
              <w:spacing w:line="360" w:lineRule="auto"/>
              <w:rPr>
                <w:rFonts w:ascii="宋体" w:hAnsi="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单位</w:t>
            </w:r>
          </w:p>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职工</w:t>
            </w:r>
          </w:p>
        </w:tc>
        <w:tc>
          <w:tcPr>
            <w:tcW w:w="4348" w:type="dxa"/>
            <w:gridSpan w:val="3"/>
            <w:vAlign w:val="center"/>
          </w:tcPr>
          <w:p>
            <w:pPr>
              <w:autoSpaceDE w:val="0"/>
              <w:snapToGrid w:val="0"/>
              <w:jc w:val="center"/>
              <w:rPr>
                <w:rFonts w:ascii="宋体" w:hAnsi="宋体" w:cs="宋体"/>
                <w:szCs w:val="21"/>
                <w:highlight w:val="none"/>
              </w:rPr>
            </w:pPr>
            <w:r>
              <w:rPr>
                <w:rFonts w:hint="eastAsia" w:ascii="宋体" w:hAnsi="宋体" w:cs="宋体"/>
                <w:szCs w:val="21"/>
                <w:highlight w:val="none"/>
                <w:lang w:val="zh-CN"/>
              </w:rPr>
              <w:t>人数</w:t>
            </w:r>
          </w:p>
        </w:tc>
        <w:tc>
          <w:tcPr>
            <w:tcW w:w="3728" w:type="dxa"/>
            <w:gridSpan w:val="3"/>
            <w:vAlign w:val="center"/>
          </w:tcPr>
          <w:p>
            <w:pPr>
              <w:autoSpaceDE w:val="0"/>
              <w:snapToGrid w:val="0"/>
              <w:jc w:val="center"/>
              <w:rPr>
                <w:rFonts w:ascii="宋体" w:hAnsi="宋体" w:cs="宋体"/>
                <w:szCs w:val="21"/>
                <w:highlight w:val="none"/>
              </w:rPr>
            </w:pPr>
            <w:r>
              <w:rPr>
                <w:rFonts w:hint="eastAsia" w:ascii="宋体" w:hAnsi="宋体" w:cs="宋体"/>
                <w:szCs w:val="21"/>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宋体" w:hAnsi="宋体" w:cs="宋体"/>
                <w:szCs w:val="21"/>
                <w:highlight w:val="none"/>
                <w:lang w:val="zh-CN"/>
              </w:rPr>
            </w:pPr>
          </w:p>
        </w:tc>
        <w:tc>
          <w:tcPr>
            <w:tcW w:w="4348" w:type="dxa"/>
            <w:gridSpan w:val="3"/>
            <w:vAlign w:val="center"/>
          </w:tcPr>
          <w:p>
            <w:pPr>
              <w:autoSpaceDE w:val="0"/>
              <w:snapToGrid w:val="0"/>
              <w:spacing w:line="360" w:lineRule="auto"/>
              <w:jc w:val="center"/>
              <w:rPr>
                <w:rFonts w:ascii="宋体" w:hAnsi="宋体" w:cs="宋体"/>
                <w:szCs w:val="21"/>
                <w:highlight w:val="none"/>
                <w:lang w:val="zh-CN"/>
              </w:rPr>
            </w:pPr>
          </w:p>
        </w:tc>
        <w:tc>
          <w:tcPr>
            <w:tcW w:w="3728" w:type="dxa"/>
            <w:gridSpan w:val="3"/>
            <w:vAlign w:val="center"/>
          </w:tcPr>
          <w:p>
            <w:pPr>
              <w:autoSpaceDE w:val="0"/>
              <w:snapToGrid w:val="0"/>
              <w:spacing w:line="360" w:lineRule="auto"/>
              <w:jc w:val="center"/>
              <w:rPr>
                <w:rFonts w:ascii="宋体" w:hAnsi="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8" w:hRule="atLeast"/>
          <w:jc w:val="center"/>
        </w:trPr>
        <w:tc>
          <w:tcPr>
            <w:tcW w:w="1195"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rPr>
              <w:t>获奖情况</w:t>
            </w:r>
          </w:p>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rPr>
              <w:t>(荣誉)</w:t>
            </w:r>
          </w:p>
        </w:tc>
        <w:tc>
          <w:tcPr>
            <w:tcW w:w="8076" w:type="dxa"/>
            <w:gridSpan w:val="6"/>
            <w:vAlign w:val="center"/>
          </w:tcPr>
          <w:p>
            <w:pPr>
              <w:autoSpaceDE w:val="0"/>
              <w:snapToGrid w:val="0"/>
              <w:spacing w:line="360" w:lineRule="auto"/>
              <w:jc w:val="center"/>
              <w:rPr>
                <w:rFonts w:ascii="宋体" w:hAnsi="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3" w:hRule="atLeast"/>
          <w:jc w:val="center"/>
        </w:trPr>
        <w:tc>
          <w:tcPr>
            <w:tcW w:w="1195" w:type="dxa"/>
            <w:vAlign w:val="center"/>
          </w:tcPr>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单</w:t>
            </w:r>
          </w:p>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位</w:t>
            </w:r>
          </w:p>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简</w:t>
            </w:r>
          </w:p>
          <w:p>
            <w:pPr>
              <w:autoSpaceDE w:val="0"/>
              <w:snapToGrid w:val="0"/>
              <w:spacing w:line="360" w:lineRule="auto"/>
              <w:jc w:val="center"/>
              <w:rPr>
                <w:rFonts w:ascii="宋体" w:hAnsi="宋体" w:cs="宋体"/>
                <w:szCs w:val="21"/>
                <w:highlight w:val="none"/>
              </w:rPr>
            </w:pPr>
            <w:r>
              <w:rPr>
                <w:rFonts w:hint="eastAsia" w:ascii="宋体" w:hAnsi="宋体" w:cs="宋体"/>
                <w:szCs w:val="21"/>
                <w:highlight w:val="none"/>
                <w:lang w:val="zh-CN"/>
              </w:rPr>
              <w:t>历</w:t>
            </w:r>
          </w:p>
        </w:tc>
        <w:tc>
          <w:tcPr>
            <w:tcW w:w="8076" w:type="dxa"/>
            <w:gridSpan w:val="6"/>
          </w:tcPr>
          <w:p>
            <w:pPr>
              <w:autoSpaceDE w:val="0"/>
              <w:snapToGrid w:val="0"/>
              <w:spacing w:line="360" w:lineRule="auto"/>
              <w:jc w:val="center"/>
              <w:rPr>
                <w:rFonts w:ascii="宋体" w:hAnsi="宋体" w:cs="宋体"/>
                <w:szCs w:val="21"/>
                <w:highlight w:val="none"/>
                <w:lang w:val="zh-CN"/>
              </w:rPr>
            </w:pPr>
          </w:p>
        </w:tc>
      </w:tr>
    </w:tbl>
    <w:p>
      <w:pPr>
        <w:autoSpaceDE w:val="0"/>
        <w:snapToGrid w:val="0"/>
        <w:spacing w:line="360" w:lineRule="auto"/>
        <w:ind w:firstLine="840"/>
        <w:rPr>
          <w:rFonts w:ascii="宋体" w:hAnsi="宋体" w:cs="宋体"/>
          <w:szCs w:val="21"/>
          <w:highlight w:val="none"/>
        </w:rPr>
      </w:pPr>
      <w:r>
        <w:rPr>
          <w:rFonts w:hint="eastAsia" w:ascii="宋体" w:hAnsi="宋体" w:cs="宋体"/>
          <w:szCs w:val="21"/>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投标人名称(电子签名)：                </w:t>
      </w:r>
    </w:p>
    <w:p>
      <w:pPr>
        <w:snapToGrid w:val="0"/>
        <w:spacing w:line="360" w:lineRule="auto"/>
        <w:ind w:firstLine="576"/>
        <w:jc w:val="center"/>
        <w:rPr>
          <w:rFonts w:ascii="宋体" w:hAnsi="宋体" w:cs="宋体"/>
          <w:szCs w:val="21"/>
          <w:highlight w:val="none"/>
        </w:rPr>
      </w:pPr>
      <w:r>
        <w:rPr>
          <w:rFonts w:hint="eastAsia" w:ascii="宋体" w:hAnsi="宋体" w:cs="宋体"/>
          <w:kern w:val="0"/>
          <w:szCs w:val="21"/>
          <w:highlight w:val="none"/>
          <w:lang w:val="zh-CN"/>
        </w:rPr>
        <w:t xml:space="preserve">                   日期：  年  月  日</w:t>
      </w:r>
    </w:p>
    <w:p>
      <w:pPr>
        <w:jc w:val="left"/>
        <w:rPr>
          <w:rFonts w:ascii="宋体" w:hAnsi="宋体" w:cs="宋体"/>
          <w:b/>
          <w:kern w:val="0"/>
          <w:sz w:val="32"/>
          <w:szCs w:val="32"/>
          <w:highlight w:val="none"/>
        </w:rPr>
      </w:pPr>
    </w:p>
    <w:p>
      <w:pPr>
        <w:jc w:val="left"/>
        <w:rPr>
          <w:rFonts w:ascii="宋体" w:hAnsi="宋体" w:cs="宋体"/>
          <w:b/>
          <w:kern w:val="0"/>
          <w:sz w:val="32"/>
          <w:szCs w:val="32"/>
          <w:highlight w:val="none"/>
        </w:rPr>
      </w:pPr>
      <w:r>
        <w:rPr>
          <w:rFonts w:hint="eastAsia" w:ascii="宋体" w:hAnsi="宋体" w:cs="宋体"/>
          <w:b/>
          <w:kern w:val="0"/>
          <w:sz w:val="32"/>
          <w:szCs w:val="32"/>
          <w:highlight w:val="none"/>
        </w:rPr>
        <w:t>参考格式2</w:t>
      </w:r>
    </w:p>
    <w:p>
      <w:pPr>
        <w:rPr>
          <w:rFonts w:ascii="宋体" w:hAnsi="宋体" w:cs="宋体"/>
          <w:highlight w:val="none"/>
        </w:rPr>
      </w:pPr>
    </w:p>
    <w:p>
      <w:pPr>
        <w:autoSpaceDE w:val="0"/>
        <w:spacing w:line="360" w:lineRule="auto"/>
        <w:ind w:firstLine="120"/>
        <w:jc w:val="center"/>
        <w:rPr>
          <w:rFonts w:ascii="宋体" w:hAnsi="宋体" w:cs="宋体"/>
          <w:highlight w:val="none"/>
        </w:rPr>
      </w:pPr>
      <w:r>
        <w:rPr>
          <w:rFonts w:hint="eastAsia" w:ascii="宋体" w:hAnsi="宋体" w:cs="宋体"/>
          <w:b/>
          <w:kern w:val="0"/>
          <w:sz w:val="30"/>
          <w:szCs w:val="30"/>
          <w:highlight w:val="none"/>
          <w:lang w:val="zh-CN"/>
        </w:rPr>
        <w:t>主要业绩证明</w:t>
      </w:r>
    </w:p>
    <w:p>
      <w:pPr>
        <w:autoSpaceDE w:val="0"/>
        <w:spacing w:line="360" w:lineRule="auto"/>
        <w:ind w:firstLine="120"/>
        <w:rPr>
          <w:rFonts w:ascii="宋体" w:hAnsi="宋体" w:cs="宋体"/>
          <w:szCs w:val="21"/>
          <w:highlight w:val="none"/>
        </w:rPr>
      </w:pPr>
      <w:r>
        <w:rPr>
          <w:rFonts w:hint="eastAsia" w:ascii="宋体" w:hAnsi="宋体" w:cs="宋体"/>
          <w:szCs w:val="21"/>
          <w:highlight w:val="none"/>
        </w:rPr>
        <w:t>附表 :相关项目业绩一览表</w:t>
      </w:r>
    </w:p>
    <w:tbl>
      <w:tblPr>
        <w:tblStyle w:val="62"/>
        <w:tblW w:w="0" w:type="auto"/>
        <w:tblInd w:w="-7" w:type="dxa"/>
        <w:tblLayout w:type="fixed"/>
        <w:tblCellMar>
          <w:top w:w="0" w:type="dxa"/>
          <w:left w:w="108" w:type="dxa"/>
          <w:bottom w:w="0" w:type="dxa"/>
          <w:right w:w="108" w:type="dxa"/>
        </w:tblCellMar>
      </w:tblPr>
      <w:tblGrid>
        <w:gridCol w:w="1828"/>
        <w:gridCol w:w="966"/>
        <w:gridCol w:w="1380"/>
        <w:gridCol w:w="1163"/>
        <w:gridCol w:w="1174"/>
        <w:gridCol w:w="1540"/>
        <w:gridCol w:w="1250"/>
      </w:tblGrid>
      <w:tr>
        <w:tblPrEx>
          <w:tblCellMar>
            <w:top w:w="0" w:type="dxa"/>
            <w:left w:w="108" w:type="dxa"/>
            <w:bottom w:w="0" w:type="dxa"/>
            <w:right w:w="108" w:type="dxa"/>
          </w:tblCellMar>
        </w:tblPrEx>
        <w:trPr>
          <w:trHeight w:val="1177" w:hRule="atLeast"/>
        </w:trPr>
        <w:tc>
          <w:tcPr>
            <w:tcW w:w="1828"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项目名称</w:t>
            </w:r>
          </w:p>
        </w:tc>
        <w:tc>
          <w:tcPr>
            <w:tcW w:w="966"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项目</w:t>
            </w:r>
          </w:p>
          <w:p>
            <w:pPr>
              <w:autoSpaceDE w:val="0"/>
              <w:spacing w:line="276" w:lineRule="auto"/>
              <w:jc w:val="center"/>
              <w:rPr>
                <w:rFonts w:ascii="宋体" w:hAnsi="宋体" w:cs="宋体"/>
                <w:szCs w:val="21"/>
                <w:highlight w:val="none"/>
              </w:rPr>
            </w:pPr>
            <w:r>
              <w:rPr>
                <w:rFonts w:hint="eastAsia" w:ascii="宋体" w:hAnsi="宋体" w:cs="宋体"/>
                <w:szCs w:val="21"/>
                <w:highlight w:val="none"/>
              </w:rPr>
              <w:t>类型</w:t>
            </w:r>
          </w:p>
        </w:tc>
        <w:tc>
          <w:tcPr>
            <w:tcW w:w="138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简要描述</w:t>
            </w:r>
          </w:p>
        </w:tc>
        <w:tc>
          <w:tcPr>
            <w:tcW w:w="1163"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项目</w:t>
            </w:r>
          </w:p>
          <w:p>
            <w:pPr>
              <w:autoSpaceDE w:val="0"/>
              <w:spacing w:line="276" w:lineRule="auto"/>
              <w:jc w:val="center"/>
              <w:rPr>
                <w:rFonts w:ascii="宋体" w:hAnsi="宋体" w:cs="宋体"/>
                <w:szCs w:val="21"/>
                <w:highlight w:val="none"/>
              </w:rPr>
            </w:pPr>
            <w:r>
              <w:rPr>
                <w:rFonts w:hint="eastAsia" w:ascii="宋体" w:hAnsi="宋体" w:cs="宋体"/>
                <w:szCs w:val="21"/>
                <w:highlight w:val="none"/>
              </w:rPr>
              <w:t>投资</w:t>
            </w:r>
          </w:p>
          <w:p>
            <w:pPr>
              <w:autoSpaceDE w:val="0"/>
              <w:spacing w:line="276" w:lineRule="auto"/>
              <w:jc w:val="center"/>
              <w:rPr>
                <w:rFonts w:ascii="宋体" w:hAnsi="宋体" w:cs="宋体"/>
                <w:szCs w:val="21"/>
                <w:highlight w:val="none"/>
              </w:rPr>
            </w:pPr>
            <w:r>
              <w:rPr>
                <w:rFonts w:hint="eastAsia" w:ascii="宋体" w:hAnsi="宋体" w:cs="宋体"/>
                <w:szCs w:val="21"/>
                <w:highlight w:val="none"/>
              </w:rPr>
              <w:t>（万元）</w:t>
            </w:r>
          </w:p>
        </w:tc>
        <w:tc>
          <w:tcPr>
            <w:tcW w:w="1174"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合同签订日期</w:t>
            </w:r>
          </w:p>
        </w:tc>
        <w:tc>
          <w:tcPr>
            <w:tcW w:w="154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项目地址与招标人联系电话</w:t>
            </w:r>
          </w:p>
        </w:tc>
        <w:tc>
          <w:tcPr>
            <w:tcW w:w="1250" w:type="dxa"/>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宋体" w:hAnsi="宋体" w:cs="宋体"/>
                <w:szCs w:val="21"/>
                <w:highlight w:val="none"/>
              </w:rPr>
            </w:pPr>
            <w:r>
              <w:rPr>
                <w:rFonts w:hint="eastAsia" w:ascii="宋体" w:hAnsi="宋体" w:cs="宋体"/>
                <w:szCs w:val="21"/>
                <w:highlight w:val="none"/>
              </w:rPr>
              <w:t>所在页码</w:t>
            </w:r>
          </w:p>
        </w:tc>
      </w:tr>
      <w:tr>
        <w:tblPrEx>
          <w:tblCellMar>
            <w:top w:w="0" w:type="dxa"/>
            <w:left w:w="108" w:type="dxa"/>
            <w:bottom w:w="0" w:type="dxa"/>
            <w:right w:w="108" w:type="dxa"/>
          </w:tblCellMar>
        </w:tblPrEx>
        <w:trPr>
          <w:trHeight w:val="894"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r>
      <w:tr>
        <w:tblPrEx>
          <w:tblCellMar>
            <w:top w:w="0" w:type="dxa"/>
            <w:left w:w="108" w:type="dxa"/>
            <w:bottom w:w="0" w:type="dxa"/>
            <w:right w:w="108" w:type="dxa"/>
          </w:tblCellMar>
        </w:tblPrEx>
        <w:trPr>
          <w:trHeight w:val="920" w:hRule="atLeast"/>
        </w:trPr>
        <w:tc>
          <w:tcPr>
            <w:tcW w:w="1828"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966"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38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163"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174"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54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c>
          <w:tcPr>
            <w:tcW w:w="1250" w:type="dxa"/>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宋体" w:hAnsi="宋体" w:cs="宋体"/>
                <w:szCs w:val="21"/>
                <w:highlight w:val="none"/>
              </w:rPr>
            </w:pPr>
          </w:p>
        </w:tc>
      </w:tr>
    </w:tbl>
    <w:p>
      <w:pPr>
        <w:autoSpaceDE w:val="0"/>
        <w:spacing w:line="360" w:lineRule="auto"/>
        <w:rPr>
          <w:rFonts w:ascii="宋体" w:hAnsi="宋体" w:cs="宋体"/>
          <w:szCs w:val="21"/>
          <w:highlight w:val="none"/>
        </w:rPr>
      </w:pPr>
      <w:r>
        <w:rPr>
          <w:rFonts w:hint="eastAsia" w:ascii="宋体" w:hAnsi="宋体" w:cs="宋体"/>
          <w:b/>
          <w:szCs w:val="21"/>
          <w:highlight w:val="none"/>
        </w:rPr>
        <w:t xml:space="preserve">  注：投标供应商可按上述的格式自行编制，须随表提交相应的合同复印件并注明所在投标商务文件页码。</w:t>
      </w:r>
    </w:p>
    <w:p>
      <w:pPr>
        <w:snapToGrid w:val="0"/>
        <w:spacing w:line="360" w:lineRule="auto"/>
        <w:ind w:firstLine="576"/>
        <w:jc w:val="center"/>
        <w:rPr>
          <w:rFonts w:ascii="宋体" w:hAnsi="宋体" w:cs="宋体"/>
          <w:kern w:val="0"/>
          <w:szCs w:val="21"/>
          <w:highlight w:val="none"/>
          <w:lang w:val="zh-CN"/>
        </w:rPr>
      </w:pPr>
      <w:r>
        <w:rPr>
          <w:rFonts w:hint="eastAsia" w:ascii="宋体" w:hAnsi="宋体" w:cs="宋体"/>
          <w:kern w:val="0"/>
          <w:szCs w:val="21"/>
          <w:highlight w:val="none"/>
          <w:lang w:val="zh-CN"/>
        </w:rPr>
        <w:t xml:space="preserve">                       投标人名称(电子签名)：                </w:t>
      </w:r>
    </w:p>
    <w:p>
      <w:pPr>
        <w:snapToGrid w:val="0"/>
        <w:spacing w:line="360" w:lineRule="auto"/>
        <w:ind w:firstLine="576"/>
        <w:jc w:val="center"/>
        <w:rPr>
          <w:rFonts w:ascii="宋体" w:hAnsi="宋体" w:cs="宋体"/>
          <w:szCs w:val="21"/>
          <w:highlight w:val="none"/>
        </w:rPr>
      </w:pPr>
      <w:r>
        <w:rPr>
          <w:rFonts w:hint="eastAsia" w:ascii="宋体" w:hAnsi="宋体" w:cs="宋体"/>
          <w:kern w:val="0"/>
          <w:szCs w:val="21"/>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highlight w:val="none"/>
        </w:rPr>
      </w:pPr>
      <w:r>
        <w:rPr>
          <w:rFonts w:hint="eastAsia" w:ascii="宋体" w:hAnsi="宋体" w:cs="宋体"/>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9" w:type="dxa"/>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3683" w:type="dxa"/>
            <w:vAlign w:val="center"/>
          </w:tcPr>
          <w:p>
            <w:pPr>
              <w:jc w:val="center"/>
              <w:rPr>
                <w:rFonts w:ascii="宋体" w:hAnsi="宋体" w:cs="宋体"/>
                <w:b/>
                <w:bCs/>
                <w:szCs w:val="21"/>
                <w:highlight w:val="none"/>
              </w:rPr>
            </w:pPr>
            <w:r>
              <w:rPr>
                <w:rFonts w:hint="eastAsia" w:ascii="宋体" w:hAnsi="宋体" w:cs="宋体"/>
                <w:b/>
                <w:bCs/>
                <w:szCs w:val="21"/>
                <w:highlight w:val="none"/>
              </w:rPr>
              <w:t>招标文件章节及具体内容</w:t>
            </w:r>
          </w:p>
        </w:tc>
        <w:tc>
          <w:tcPr>
            <w:tcW w:w="3546" w:type="dxa"/>
            <w:vAlign w:val="center"/>
          </w:tcPr>
          <w:p>
            <w:pPr>
              <w:jc w:val="center"/>
              <w:rPr>
                <w:rFonts w:ascii="宋体" w:hAnsi="宋体" w:cs="宋体"/>
                <w:b/>
                <w:bCs/>
                <w:szCs w:val="21"/>
                <w:highlight w:val="none"/>
              </w:rPr>
            </w:pPr>
            <w:r>
              <w:rPr>
                <w:rFonts w:hint="eastAsia" w:ascii="宋体" w:hAnsi="宋体" w:cs="宋体"/>
                <w:b/>
                <w:bCs/>
                <w:szCs w:val="21"/>
                <w:highlight w:val="none"/>
              </w:rPr>
              <w:t>投标文件章节及具体内容</w:t>
            </w:r>
          </w:p>
        </w:tc>
        <w:tc>
          <w:tcPr>
            <w:tcW w:w="1276" w:type="dxa"/>
            <w:vAlign w:val="center"/>
          </w:tcPr>
          <w:p>
            <w:pPr>
              <w:jc w:val="center"/>
              <w:rPr>
                <w:rFonts w:ascii="宋体" w:hAnsi="宋体" w:cs="宋体"/>
                <w:b/>
                <w:bCs/>
                <w:szCs w:val="21"/>
                <w:highlight w:val="none"/>
              </w:rPr>
            </w:pPr>
            <w:r>
              <w:rPr>
                <w:rFonts w:hint="eastAsia" w:ascii="宋体" w:hAnsi="宋体" w:cs="宋体"/>
                <w:b/>
                <w:bCs/>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683" w:type="dxa"/>
            <w:vAlign w:val="center"/>
          </w:tcPr>
          <w:p>
            <w:pPr>
              <w:jc w:val="center"/>
              <w:rPr>
                <w:rFonts w:ascii="宋体" w:hAnsi="宋体" w:cs="宋体"/>
                <w:b/>
                <w:kern w:val="0"/>
                <w:szCs w:val="21"/>
                <w:highlight w:val="none"/>
              </w:rPr>
            </w:pPr>
          </w:p>
        </w:tc>
        <w:tc>
          <w:tcPr>
            <w:tcW w:w="3546" w:type="dxa"/>
            <w:vAlign w:val="center"/>
          </w:tcPr>
          <w:p>
            <w:pPr>
              <w:jc w:val="center"/>
              <w:rPr>
                <w:rFonts w:ascii="宋体" w:hAnsi="宋体" w:cs="宋体"/>
                <w:b/>
                <w:kern w:val="0"/>
                <w:szCs w:val="21"/>
                <w:highlight w:val="none"/>
              </w:rPr>
            </w:pPr>
          </w:p>
        </w:tc>
        <w:tc>
          <w:tcPr>
            <w:tcW w:w="1276" w:type="dxa"/>
            <w:vAlign w:val="center"/>
          </w:tcPr>
          <w:p>
            <w:pPr>
              <w:jc w:val="center"/>
              <w:rPr>
                <w:rFonts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2</w:t>
            </w:r>
          </w:p>
        </w:tc>
        <w:tc>
          <w:tcPr>
            <w:tcW w:w="3683" w:type="dxa"/>
            <w:vAlign w:val="center"/>
          </w:tcPr>
          <w:p>
            <w:pPr>
              <w:jc w:val="center"/>
              <w:rPr>
                <w:rFonts w:ascii="宋体" w:hAnsi="宋体" w:cs="宋体"/>
                <w:b/>
                <w:kern w:val="0"/>
                <w:szCs w:val="21"/>
                <w:highlight w:val="none"/>
              </w:rPr>
            </w:pPr>
          </w:p>
        </w:tc>
        <w:tc>
          <w:tcPr>
            <w:tcW w:w="3546" w:type="dxa"/>
            <w:vAlign w:val="center"/>
          </w:tcPr>
          <w:p>
            <w:pPr>
              <w:jc w:val="center"/>
              <w:rPr>
                <w:rFonts w:ascii="宋体" w:hAnsi="宋体" w:cs="宋体"/>
                <w:b/>
                <w:kern w:val="0"/>
                <w:szCs w:val="21"/>
                <w:highlight w:val="none"/>
              </w:rPr>
            </w:pPr>
          </w:p>
        </w:tc>
        <w:tc>
          <w:tcPr>
            <w:tcW w:w="1276" w:type="dxa"/>
            <w:vAlign w:val="center"/>
          </w:tcPr>
          <w:p>
            <w:pPr>
              <w:jc w:val="center"/>
              <w:rPr>
                <w:rFonts w:ascii="宋体" w:hAnsi="宋体" w:cs="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9"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3683" w:type="dxa"/>
            <w:vAlign w:val="center"/>
          </w:tcPr>
          <w:p>
            <w:pPr>
              <w:jc w:val="center"/>
              <w:rPr>
                <w:rFonts w:ascii="宋体" w:hAnsi="宋体" w:cs="宋体"/>
                <w:b/>
                <w:kern w:val="0"/>
                <w:szCs w:val="21"/>
                <w:highlight w:val="none"/>
              </w:rPr>
            </w:pPr>
          </w:p>
        </w:tc>
        <w:tc>
          <w:tcPr>
            <w:tcW w:w="3546" w:type="dxa"/>
            <w:vAlign w:val="center"/>
          </w:tcPr>
          <w:p>
            <w:pPr>
              <w:jc w:val="center"/>
              <w:rPr>
                <w:rFonts w:ascii="宋体" w:hAnsi="宋体" w:cs="宋体"/>
                <w:b/>
                <w:kern w:val="0"/>
                <w:szCs w:val="21"/>
                <w:highlight w:val="none"/>
              </w:rPr>
            </w:pPr>
          </w:p>
        </w:tc>
        <w:tc>
          <w:tcPr>
            <w:tcW w:w="1276" w:type="dxa"/>
            <w:vAlign w:val="center"/>
          </w:tcPr>
          <w:p>
            <w:pPr>
              <w:jc w:val="center"/>
              <w:rPr>
                <w:rFonts w:ascii="宋体" w:hAnsi="宋体" w:cs="宋体"/>
                <w:b/>
                <w:kern w:val="0"/>
                <w:szCs w:val="21"/>
                <w:highlight w:val="none"/>
              </w:rPr>
            </w:pPr>
          </w:p>
        </w:tc>
      </w:tr>
    </w:tbl>
    <w:p>
      <w:pPr>
        <w:jc w:val="left"/>
        <w:rPr>
          <w:rFonts w:ascii="宋体" w:hAnsi="宋体" w:cs="宋体"/>
          <w:kern w:val="0"/>
          <w:szCs w:val="21"/>
          <w:highlight w:val="none"/>
        </w:rPr>
      </w:pPr>
      <w:r>
        <w:rPr>
          <w:rFonts w:hint="eastAsia" w:ascii="宋体" w:hAnsi="宋体" w:cs="宋体"/>
          <w:kern w:val="0"/>
          <w:szCs w:val="21"/>
          <w:highlight w:val="none"/>
        </w:rPr>
        <w:t>投标人保证：除商务技术偏离表列出的偏离外，投标人响应招标文件的全部要求</w:t>
      </w:r>
    </w:p>
    <w:p>
      <w:pPr>
        <w:jc w:val="center"/>
        <w:rPr>
          <w:rFonts w:ascii="宋体" w:hAnsi="宋体" w:cs="宋体"/>
          <w:b/>
          <w:kern w:val="0"/>
          <w:szCs w:val="21"/>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pStyle w:val="2"/>
        <w:jc w:val="center"/>
        <w:rPr>
          <w:rFonts w:ascii="宋体" w:hAnsi="宋体" w:cs="宋体"/>
          <w:kern w:val="0"/>
          <w:highlight w:val="none"/>
        </w:rPr>
      </w:pPr>
      <w:r>
        <w:rPr>
          <w:rFonts w:hint="eastAsia" w:ascii="宋体" w:hAnsi="宋体" w:cs="宋体"/>
          <w:highlight w:val="none"/>
        </w:rPr>
        <w:t>八、政府采购供应商廉洁自律承诺书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Cs w:val="21"/>
          <w:highlight w:val="none"/>
        </w:rPr>
      </w:pPr>
      <w:r>
        <w:rPr>
          <w:rFonts w:hint="eastAsia" w:ascii="宋体" w:hAnsi="宋体" w:cs="宋体"/>
          <w:szCs w:val="21"/>
          <w:highlight w:val="none"/>
        </w:rPr>
        <w:t>杭州第四中学新湾学校、浙江省建设工程设备招标有限公司</w:t>
      </w:r>
      <w:r>
        <w:rPr>
          <w:rFonts w:hint="eastAsia" w:ascii="宋体" w:hAnsi="宋体" w:cs="宋体"/>
          <w:kern w:val="0"/>
          <w:szCs w:val="21"/>
          <w:highlight w:val="none"/>
          <w:lang w:val="zh-CN"/>
        </w:rPr>
        <w:t>：</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我单位响应你</w:t>
      </w:r>
      <w:r>
        <w:rPr>
          <w:rFonts w:hint="eastAsia" w:ascii="宋体" w:hAnsi="宋体" w:cs="宋体"/>
          <w:szCs w:val="21"/>
          <w:highlight w:val="none"/>
        </w:rPr>
        <w:t>单位</w:t>
      </w:r>
      <w:r>
        <w:rPr>
          <w:rFonts w:hint="eastAsia" w:ascii="宋体" w:hAnsi="宋体" w:cs="宋体"/>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Cs w:val="21"/>
          <w:highlight w:val="none"/>
          <w:lang w:val="zh-CN"/>
        </w:rPr>
      </w:pPr>
      <w:r>
        <w:rPr>
          <w:rFonts w:hint="eastAsia" w:ascii="宋体" w:hAnsi="宋体" w:cs="宋体"/>
          <w:kern w:val="0"/>
          <w:szCs w:val="21"/>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Cs w:val="21"/>
          <w:highlight w:val="none"/>
          <w:lang w:val="zh-CN"/>
        </w:rPr>
      </w:pPr>
      <w:r>
        <w:rPr>
          <w:rFonts w:hint="eastAsia" w:ascii="宋体" w:hAnsi="宋体" w:cs="宋体"/>
          <w:kern w:val="0"/>
          <w:szCs w:val="21"/>
          <w:highlight w:val="none"/>
          <w:lang w:val="zh-CN"/>
        </w:rPr>
        <w:t>好处；</w:t>
      </w:r>
    </w:p>
    <w:p>
      <w:pPr>
        <w:autoSpaceDE w:val="0"/>
        <w:autoSpaceDN w:val="0"/>
        <w:spacing w:line="360" w:lineRule="auto"/>
        <w:ind w:left="481" w:leftChars="229"/>
        <w:jc w:val="left"/>
        <w:rPr>
          <w:rFonts w:ascii="宋体" w:hAnsi="宋体" w:cs="宋体"/>
          <w:kern w:val="0"/>
          <w:szCs w:val="21"/>
          <w:highlight w:val="none"/>
          <w:lang w:val="zh-CN"/>
        </w:rPr>
      </w:pPr>
      <w:r>
        <w:rPr>
          <w:rFonts w:hint="eastAsia" w:ascii="宋体" w:hAnsi="宋体" w:cs="宋体"/>
          <w:kern w:val="0"/>
          <w:szCs w:val="21"/>
          <w:highlight w:val="none"/>
          <w:lang w:val="zh-CN"/>
        </w:rPr>
        <w:t>六、严格遵守《</w:t>
      </w:r>
      <w:r>
        <w:rPr>
          <w:rFonts w:hint="eastAsia" w:ascii="宋体" w:hAnsi="宋体" w:cs="宋体"/>
          <w:szCs w:val="21"/>
          <w:highlight w:val="none"/>
          <w:lang w:val="zh-CN"/>
        </w:rPr>
        <w:t>中华人民共和国</w:t>
      </w:r>
      <w:r>
        <w:rPr>
          <w:rFonts w:hint="eastAsia" w:ascii="宋体" w:hAnsi="宋体" w:cs="宋体"/>
          <w:kern w:val="0"/>
          <w:szCs w:val="21"/>
          <w:highlight w:val="none"/>
          <w:lang w:val="zh-CN"/>
        </w:rPr>
        <w:t>政府采购法》《</w:t>
      </w:r>
      <w:r>
        <w:rPr>
          <w:rFonts w:hint="eastAsia" w:ascii="宋体" w:hAnsi="宋体" w:cs="宋体"/>
          <w:szCs w:val="21"/>
          <w:highlight w:val="none"/>
          <w:lang w:val="zh-CN"/>
        </w:rPr>
        <w:t>中华人民共和国</w:t>
      </w:r>
      <w:r>
        <w:rPr>
          <w:rFonts w:hint="eastAsia" w:ascii="宋体" w:hAnsi="宋体" w:cs="宋体"/>
          <w:kern w:val="0"/>
          <w:szCs w:val="21"/>
          <w:highlight w:val="none"/>
          <w:lang w:val="zh-CN"/>
        </w:rPr>
        <w:t>招标投标法》</w:t>
      </w:r>
      <w:r>
        <w:rPr>
          <w:rFonts w:hint="eastAsia" w:ascii="宋体" w:hAnsi="宋体" w:cs="宋体"/>
          <w:szCs w:val="21"/>
          <w:highlight w:val="none"/>
          <w:lang w:val="zh-CN"/>
        </w:rPr>
        <w:t>《中华人民共和国民法典》</w:t>
      </w:r>
      <w:r>
        <w:rPr>
          <w:rFonts w:hint="eastAsia" w:ascii="宋体" w:hAnsi="宋体" w:cs="宋体"/>
          <w:kern w:val="0"/>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如违反上述承诺，你</w:t>
      </w:r>
      <w:r>
        <w:rPr>
          <w:rFonts w:hint="eastAsia" w:ascii="宋体" w:hAnsi="宋体" w:cs="宋体"/>
          <w:szCs w:val="21"/>
          <w:highlight w:val="none"/>
        </w:rPr>
        <w:t>单位</w:t>
      </w:r>
      <w:r>
        <w:rPr>
          <w:rFonts w:hint="eastAsia" w:ascii="宋体" w:hAnsi="宋体" w:cs="宋体"/>
          <w:kern w:val="0"/>
          <w:szCs w:val="21"/>
          <w:highlight w:val="none"/>
          <w:lang w:val="zh-CN"/>
        </w:rPr>
        <w:t>有权立即取消我单位投标、中标或在建项目的建设资格，有权拒绝我单位在一定时期内进入你</w:t>
      </w:r>
      <w:r>
        <w:rPr>
          <w:rFonts w:hint="eastAsia" w:ascii="宋体" w:hAnsi="宋体" w:cs="宋体"/>
          <w:szCs w:val="21"/>
          <w:highlight w:val="none"/>
        </w:rPr>
        <w:t>单位</w:t>
      </w:r>
      <w:r>
        <w:rPr>
          <w:rFonts w:hint="eastAsia" w:ascii="宋体" w:hAnsi="宋体" w:cs="宋体"/>
          <w:kern w:val="0"/>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Cs w:val="21"/>
          <w:highlight w:val="none"/>
          <w:lang w:val="zh-CN"/>
        </w:rPr>
      </w:pPr>
    </w:p>
    <w:p>
      <w:pPr>
        <w:autoSpaceDE w:val="0"/>
        <w:autoSpaceDN w:val="0"/>
        <w:spacing w:line="360" w:lineRule="auto"/>
        <w:ind w:left="2"/>
        <w:jc w:val="left"/>
        <w:rPr>
          <w:rFonts w:ascii="宋体" w:hAnsi="宋体" w:cs="宋体"/>
          <w:kern w:val="0"/>
          <w:szCs w:val="21"/>
          <w:highlight w:val="none"/>
          <w:lang w:val="zh-CN"/>
        </w:rPr>
      </w:pPr>
    </w:p>
    <w:p>
      <w:pPr>
        <w:autoSpaceDE w:val="0"/>
        <w:autoSpaceDN w:val="0"/>
        <w:spacing w:line="360" w:lineRule="auto"/>
        <w:ind w:left="2"/>
        <w:jc w:val="left"/>
        <w:rPr>
          <w:rFonts w:ascii="宋体" w:hAnsi="宋体" w:cs="宋体"/>
          <w:kern w:val="0"/>
          <w:szCs w:val="21"/>
          <w:highlight w:val="none"/>
          <w:lang w:val="zh-CN"/>
        </w:rPr>
      </w:pPr>
    </w:p>
    <w:p>
      <w:pPr>
        <w:autoSpaceDE w:val="0"/>
        <w:autoSpaceDN w:val="0"/>
        <w:spacing w:line="360" w:lineRule="auto"/>
        <w:ind w:left="2" w:leftChars="1" w:right="1120" w:firstLine="3990" w:firstLineChars="1900"/>
        <w:jc w:val="left"/>
        <w:rPr>
          <w:rFonts w:ascii="宋体" w:hAnsi="宋体" w:cs="宋体"/>
          <w:kern w:val="0"/>
          <w:szCs w:val="21"/>
          <w:highlight w:val="none"/>
          <w:lang w:val="zh-CN"/>
        </w:rPr>
      </w:pPr>
      <w:r>
        <w:rPr>
          <w:rFonts w:hint="eastAsia" w:ascii="宋体" w:hAnsi="宋体" w:cs="宋体"/>
          <w:kern w:val="0"/>
          <w:szCs w:val="21"/>
          <w:highlight w:val="none"/>
          <w:lang w:val="zh-CN"/>
        </w:rPr>
        <w:t>投标人名称（</w:t>
      </w:r>
      <w:r>
        <w:rPr>
          <w:rFonts w:hint="eastAsia" w:ascii="宋体" w:hAnsi="宋体" w:cs="宋体"/>
          <w:szCs w:val="21"/>
          <w:highlight w:val="none"/>
        </w:rPr>
        <w:t>电子签名</w:t>
      </w:r>
      <w:r>
        <w:rPr>
          <w:rFonts w:hint="eastAsia" w:ascii="宋体" w:hAnsi="宋体" w:cs="宋体"/>
          <w:kern w:val="0"/>
          <w:szCs w:val="21"/>
          <w:highlight w:val="none"/>
          <w:lang w:val="zh-CN"/>
        </w:rPr>
        <w:t xml:space="preserve">）：                                                                                                                                                                                                               </w:t>
      </w:r>
    </w:p>
    <w:p>
      <w:pPr>
        <w:spacing w:line="360" w:lineRule="auto"/>
        <w:ind w:left="4620" w:leftChars="2200"/>
        <w:rPr>
          <w:rFonts w:ascii="宋体" w:hAnsi="宋体" w:cs="宋体"/>
          <w:szCs w:val="21"/>
          <w:highlight w:val="none"/>
        </w:rPr>
      </w:pPr>
      <w:r>
        <w:rPr>
          <w:rFonts w:hint="eastAsia" w:ascii="宋体" w:hAnsi="宋体" w:cs="宋体"/>
          <w:kern w:val="0"/>
          <w:szCs w:val="21"/>
          <w:highlight w:val="none"/>
          <w:lang w:val="zh-CN"/>
        </w:rPr>
        <w:t>日期</w:t>
      </w:r>
      <w:r>
        <w:rPr>
          <w:rFonts w:hint="eastAsia" w:ascii="宋体" w:hAnsi="宋体" w:cs="宋体"/>
          <w:kern w:val="0"/>
          <w:szCs w:val="21"/>
          <w:highlight w:val="none"/>
        </w:rPr>
        <w:t>：</w:t>
      </w:r>
      <w:r>
        <w:rPr>
          <w:rFonts w:hint="eastAsia" w:ascii="宋体" w:hAnsi="宋体" w:cs="宋体"/>
          <w:kern w:val="0"/>
          <w:szCs w:val="21"/>
          <w:highlight w:val="none"/>
          <w:lang w:val="zh-CN"/>
        </w:rPr>
        <w:t xml:space="preserve">   年   月   日</w:t>
      </w: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sectPr>
          <w:pgSz w:w="11906" w:h="16838"/>
          <w:pgMar w:top="1418" w:right="1418" w:bottom="1418" w:left="1418" w:header="851" w:footer="992" w:gutter="0"/>
          <w:cols w:space="720" w:num="1"/>
          <w:titlePg/>
          <w:docGrid w:linePitch="312" w:charSpace="0"/>
        </w:sectPr>
      </w:pPr>
    </w:p>
    <w:p>
      <w:pPr>
        <w:rPr>
          <w:rFonts w:ascii="宋体" w:hAnsi="宋体" w:cs="宋体"/>
          <w:highlight w:val="none"/>
        </w:rPr>
      </w:pPr>
    </w:p>
    <w:p>
      <w:pPr>
        <w:pStyle w:val="2"/>
        <w:jc w:val="center"/>
        <w:rPr>
          <w:rFonts w:ascii="宋体" w:hAnsi="宋体" w:cs="宋体"/>
          <w:szCs w:val="36"/>
          <w:highlight w:val="none"/>
        </w:rPr>
      </w:pPr>
      <w:r>
        <w:rPr>
          <w:rFonts w:hint="eastAsia" w:ascii="宋体" w:hAnsi="宋体" w:cs="宋体"/>
          <w:sz w:val="36"/>
          <w:szCs w:val="36"/>
          <w:highlight w:val="none"/>
        </w:rPr>
        <w:t>报价文件部分</w:t>
      </w:r>
    </w:p>
    <w:p>
      <w:pPr>
        <w:jc w:val="center"/>
        <w:rPr>
          <w:rFonts w:ascii="宋体" w:hAnsi="宋体" w:cs="宋体"/>
          <w:b/>
          <w:bCs/>
          <w:sz w:val="28"/>
          <w:szCs w:val="28"/>
          <w:highlight w:val="none"/>
        </w:rPr>
      </w:pPr>
      <w:r>
        <w:rPr>
          <w:rFonts w:hint="eastAsia" w:ascii="宋体" w:hAnsi="宋体" w:cs="宋体"/>
          <w:b/>
          <w:bCs/>
          <w:sz w:val="28"/>
          <w:szCs w:val="28"/>
          <w:highlight w:val="none"/>
        </w:rPr>
        <w:t>目录</w:t>
      </w:r>
    </w:p>
    <w:p>
      <w:pPr>
        <w:rPr>
          <w:rFonts w:ascii="宋体" w:hAnsi="宋体" w:cs="宋体"/>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（1）开标一览表（报价表）………………………………………………………（页码）</w:t>
      </w:r>
    </w:p>
    <w:p>
      <w:pPr>
        <w:snapToGrid w:val="0"/>
        <w:spacing w:line="360" w:lineRule="auto"/>
        <w:rPr>
          <w:rFonts w:ascii="宋体" w:hAnsi="宋体" w:cs="宋体"/>
          <w:szCs w:val="21"/>
          <w:highlight w:val="none"/>
        </w:rPr>
      </w:pPr>
      <w:r>
        <w:rPr>
          <w:rFonts w:hint="eastAsia" w:ascii="宋体" w:hAnsi="宋体" w:cs="宋体"/>
          <w:szCs w:val="21"/>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2"/>
        <w:jc w:val="center"/>
        <w:rPr>
          <w:rFonts w:ascii="宋体" w:hAnsi="宋体" w:cs="宋体"/>
          <w:highlight w:val="none"/>
        </w:rPr>
      </w:pPr>
      <w:r>
        <w:rPr>
          <w:rFonts w:hint="eastAsia" w:ascii="宋体" w:hAnsi="宋体" w:cs="宋体"/>
          <w:highlight w:val="none"/>
        </w:rPr>
        <w:t>一、开标一览表（报价表）</w:t>
      </w:r>
    </w:p>
    <w:p>
      <w:pPr>
        <w:snapToGrid w:val="0"/>
        <w:spacing w:line="360" w:lineRule="auto"/>
        <w:rPr>
          <w:rFonts w:ascii="宋体" w:hAnsi="宋体" w:cs="宋体"/>
          <w:kern w:val="0"/>
          <w:szCs w:val="21"/>
          <w:highlight w:val="none"/>
        </w:rPr>
      </w:pPr>
      <w:r>
        <w:rPr>
          <w:rFonts w:hint="eastAsia" w:ascii="宋体" w:hAnsi="宋体" w:cs="宋体"/>
          <w:szCs w:val="21"/>
          <w:highlight w:val="none"/>
        </w:rPr>
        <w:t>杭州第四中学新湾学校、浙江省建设工程设备招标有限公司</w:t>
      </w:r>
      <w:r>
        <w:rPr>
          <w:rFonts w:hint="eastAsia" w:ascii="宋体" w:hAnsi="宋体" w:cs="宋体"/>
          <w:kern w:val="0"/>
          <w:szCs w:val="21"/>
          <w:highlight w:val="none"/>
          <w:lang w:val="zh-CN"/>
        </w:rPr>
        <w:t>：</w:t>
      </w:r>
    </w:p>
    <w:p>
      <w:pPr>
        <w:snapToGrid w:val="0"/>
        <w:spacing w:line="360" w:lineRule="auto"/>
        <w:ind w:firstLine="482"/>
        <w:rPr>
          <w:rFonts w:ascii="宋体" w:hAnsi="宋体" w:cs="宋体"/>
          <w:kern w:val="0"/>
          <w:szCs w:val="21"/>
          <w:highlight w:val="none"/>
          <w:lang w:val="zh-CN"/>
        </w:rPr>
      </w:pPr>
      <w:r>
        <w:rPr>
          <w:rFonts w:hint="eastAsia" w:ascii="宋体" w:hAnsi="宋体" w:cs="宋体"/>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highlight w:val="none"/>
          <w:lang w:eastAsia="zh-CN"/>
        </w:rPr>
        <w:t>杭州第四中学新湾学校校园网络及综合布线项目</w:t>
      </w:r>
      <w:r>
        <w:rPr>
          <w:rFonts w:hint="eastAsia" w:ascii="宋体" w:hAnsi="宋体" w:cs="宋体"/>
          <w:kern w:val="0"/>
          <w:szCs w:val="21"/>
          <w:highlight w:val="none"/>
          <w:lang w:val="zh-CN"/>
        </w:rPr>
        <w:t>【招标编号：</w:t>
      </w:r>
      <w:r>
        <w:rPr>
          <w:rFonts w:hint="eastAsia" w:ascii="宋体" w:hAnsi="宋体" w:cs="宋体"/>
          <w:szCs w:val="21"/>
          <w:highlight w:val="none"/>
          <w:lang w:eastAsia="zh-CN"/>
        </w:rPr>
        <w:t>ZJZBC-22-717</w:t>
      </w:r>
      <w:r>
        <w:rPr>
          <w:rFonts w:hint="eastAsia" w:ascii="宋体" w:hAnsi="宋体" w:cs="宋体"/>
          <w:szCs w:val="21"/>
          <w:highlight w:val="none"/>
        </w:rPr>
        <w:t>】的实施</w:t>
      </w:r>
      <w:r>
        <w:rPr>
          <w:rFonts w:hint="eastAsia" w:ascii="宋体" w:hAnsi="宋体" w:cs="宋体"/>
          <w:kern w:val="0"/>
          <w:szCs w:val="21"/>
          <w:highlight w:val="none"/>
          <w:lang w:val="zh-CN"/>
        </w:rPr>
        <w:t>。</w:t>
      </w:r>
    </w:p>
    <w:p>
      <w:pPr>
        <w:spacing w:line="360" w:lineRule="auto"/>
        <w:jc w:val="center"/>
        <w:rPr>
          <w:rFonts w:ascii="宋体" w:hAnsi="宋体" w:cs="宋体"/>
          <w:b/>
          <w:kern w:val="0"/>
          <w:szCs w:val="21"/>
          <w:highlight w:val="none"/>
          <w:lang w:val="zh-CN"/>
        </w:rPr>
      </w:pPr>
      <w:r>
        <w:rPr>
          <w:rFonts w:hint="eastAsia" w:ascii="宋体" w:hAnsi="宋体" w:cs="宋体"/>
          <w:b/>
          <w:kern w:val="0"/>
          <w:szCs w:val="21"/>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78"/>
        <w:gridCol w:w="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1417"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名称</w:t>
            </w:r>
          </w:p>
        </w:tc>
        <w:tc>
          <w:tcPr>
            <w:tcW w:w="1843" w:type="dxa"/>
          </w:tcPr>
          <w:p>
            <w:pPr>
              <w:spacing w:line="360" w:lineRule="auto"/>
              <w:jc w:val="center"/>
              <w:rPr>
                <w:rFonts w:ascii="宋体" w:hAnsi="宋体" w:cs="宋体"/>
                <w:b/>
                <w:szCs w:val="21"/>
                <w:highlight w:val="none"/>
              </w:rPr>
            </w:pPr>
          </w:p>
          <w:p>
            <w:pPr>
              <w:spacing w:line="360" w:lineRule="auto"/>
              <w:jc w:val="center"/>
              <w:rPr>
                <w:rFonts w:ascii="宋体" w:hAnsi="宋体" w:cs="宋体"/>
                <w:b/>
                <w:szCs w:val="21"/>
                <w:highlight w:val="none"/>
              </w:rPr>
            </w:pPr>
            <w:r>
              <w:rPr>
                <w:rFonts w:hint="eastAsia" w:ascii="宋体" w:hAnsi="宋体" w:cs="宋体"/>
                <w:b/>
                <w:szCs w:val="21"/>
                <w:highlight w:val="none"/>
              </w:rPr>
              <w:t>品牌（如果有）</w:t>
            </w:r>
          </w:p>
        </w:tc>
        <w:tc>
          <w:tcPr>
            <w:tcW w:w="3118"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规格型号（或具体服务）</w:t>
            </w:r>
          </w:p>
        </w:tc>
        <w:tc>
          <w:tcPr>
            <w:tcW w:w="993"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数量</w:t>
            </w:r>
          </w:p>
        </w:tc>
        <w:tc>
          <w:tcPr>
            <w:tcW w:w="1559"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单价</w:t>
            </w:r>
          </w:p>
        </w:tc>
        <w:tc>
          <w:tcPr>
            <w:tcW w:w="1984" w:type="dxa"/>
            <w:gridSpan w:val="2"/>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总价</w:t>
            </w:r>
          </w:p>
        </w:tc>
        <w:tc>
          <w:tcPr>
            <w:tcW w:w="3119" w:type="dxa"/>
            <w:vAlign w:val="center"/>
          </w:tcPr>
          <w:p>
            <w:pPr>
              <w:spacing w:line="360" w:lineRule="auto"/>
              <w:jc w:val="center"/>
              <w:rPr>
                <w:rFonts w:ascii="宋体" w:hAnsi="宋体" w:cs="宋体"/>
                <w:b/>
                <w:szCs w:val="21"/>
                <w:highlight w:val="none"/>
              </w:rPr>
            </w:pPr>
          </w:p>
          <w:p>
            <w:pPr>
              <w:spacing w:line="360" w:lineRule="auto"/>
              <w:jc w:val="center"/>
              <w:rPr>
                <w:rFonts w:ascii="宋体" w:hAnsi="宋体" w:cs="宋体"/>
                <w:b/>
                <w:szCs w:val="21"/>
                <w:highlight w:val="none"/>
              </w:rPr>
            </w:pPr>
            <w:r>
              <w:rPr>
                <w:rFonts w:hint="eastAsia" w:ascii="宋体" w:hAnsi="宋体" w:cs="宋体"/>
                <w:b/>
                <w:szCs w:val="21"/>
                <w:highlight w:val="none"/>
              </w:rPr>
              <w:t>服务期（年限）</w:t>
            </w:r>
          </w:p>
          <w:p>
            <w:pPr>
              <w:spacing w:line="360" w:lineRule="auto"/>
              <w:jc w:val="center"/>
              <w:rPr>
                <w:rFonts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1417" w:type="dxa"/>
            <w:vAlign w:val="center"/>
          </w:tcPr>
          <w:p>
            <w:pPr>
              <w:snapToGrid w:val="0"/>
              <w:spacing w:line="360" w:lineRule="auto"/>
              <w:jc w:val="center"/>
              <w:rPr>
                <w:rFonts w:ascii="宋体" w:hAnsi="宋体" w:cs="宋体"/>
                <w:szCs w:val="21"/>
                <w:highlight w:val="none"/>
              </w:rPr>
            </w:pPr>
          </w:p>
        </w:tc>
        <w:tc>
          <w:tcPr>
            <w:tcW w:w="1843" w:type="dxa"/>
            <w:vAlign w:val="center"/>
          </w:tcPr>
          <w:p>
            <w:pPr>
              <w:snapToGrid w:val="0"/>
              <w:spacing w:line="360" w:lineRule="auto"/>
              <w:jc w:val="center"/>
              <w:rPr>
                <w:rFonts w:ascii="宋体" w:hAnsi="宋体" w:cs="宋体"/>
                <w:szCs w:val="21"/>
                <w:highlight w:val="none"/>
              </w:rPr>
            </w:pPr>
          </w:p>
        </w:tc>
        <w:tc>
          <w:tcPr>
            <w:tcW w:w="3118" w:type="dxa"/>
            <w:vAlign w:val="center"/>
          </w:tcPr>
          <w:p>
            <w:pPr>
              <w:snapToGrid w:val="0"/>
              <w:spacing w:line="360" w:lineRule="auto"/>
              <w:jc w:val="center"/>
              <w:rPr>
                <w:rFonts w:ascii="宋体" w:hAnsi="宋体" w:cs="宋体"/>
                <w:szCs w:val="21"/>
                <w:highlight w:val="none"/>
              </w:rPr>
            </w:pPr>
          </w:p>
        </w:tc>
        <w:tc>
          <w:tcPr>
            <w:tcW w:w="993" w:type="dxa"/>
            <w:vAlign w:val="center"/>
          </w:tcPr>
          <w:p>
            <w:pPr>
              <w:snapToGrid w:val="0"/>
              <w:spacing w:line="360" w:lineRule="auto"/>
              <w:jc w:val="center"/>
              <w:rPr>
                <w:rFonts w:ascii="宋体" w:hAnsi="宋体" w:cs="宋体"/>
                <w:szCs w:val="21"/>
                <w:highlight w:val="none"/>
              </w:rPr>
            </w:pPr>
          </w:p>
        </w:tc>
        <w:tc>
          <w:tcPr>
            <w:tcW w:w="1559" w:type="dxa"/>
            <w:vAlign w:val="center"/>
          </w:tcPr>
          <w:p>
            <w:pPr>
              <w:spacing w:line="360" w:lineRule="auto"/>
              <w:jc w:val="center"/>
              <w:rPr>
                <w:rFonts w:ascii="宋体" w:hAnsi="宋体" w:cs="宋体"/>
                <w:szCs w:val="21"/>
                <w:highlight w:val="none"/>
              </w:rPr>
            </w:pPr>
          </w:p>
        </w:tc>
        <w:tc>
          <w:tcPr>
            <w:tcW w:w="1984" w:type="dxa"/>
            <w:gridSpan w:val="2"/>
            <w:vAlign w:val="center"/>
          </w:tcPr>
          <w:p>
            <w:pPr>
              <w:spacing w:line="360" w:lineRule="auto"/>
              <w:jc w:val="center"/>
              <w:rPr>
                <w:rFonts w:ascii="宋体" w:hAnsi="宋体" w:cs="宋体"/>
                <w:szCs w:val="21"/>
                <w:highlight w:val="none"/>
              </w:rPr>
            </w:pPr>
          </w:p>
        </w:tc>
        <w:tc>
          <w:tcPr>
            <w:tcW w:w="3119"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1417" w:type="dxa"/>
            <w:vAlign w:val="center"/>
          </w:tcPr>
          <w:p>
            <w:pPr>
              <w:snapToGrid w:val="0"/>
              <w:spacing w:line="360" w:lineRule="auto"/>
              <w:jc w:val="center"/>
              <w:rPr>
                <w:rFonts w:ascii="宋体" w:hAnsi="宋体" w:cs="宋体"/>
                <w:szCs w:val="21"/>
                <w:highlight w:val="none"/>
              </w:rPr>
            </w:pPr>
          </w:p>
        </w:tc>
        <w:tc>
          <w:tcPr>
            <w:tcW w:w="1843" w:type="dxa"/>
            <w:vAlign w:val="center"/>
          </w:tcPr>
          <w:p>
            <w:pPr>
              <w:snapToGrid w:val="0"/>
              <w:spacing w:line="360" w:lineRule="auto"/>
              <w:jc w:val="center"/>
              <w:rPr>
                <w:rFonts w:ascii="宋体" w:hAnsi="宋体" w:cs="宋体"/>
                <w:szCs w:val="21"/>
                <w:highlight w:val="none"/>
              </w:rPr>
            </w:pPr>
          </w:p>
        </w:tc>
        <w:tc>
          <w:tcPr>
            <w:tcW w:w="3118" w:type="dxa"/>
            <w:vAlign w:val="center"/>
          </w:tcPr>
          <w:p>
            <w:pPr>
              <w:snapToGrid w:val="0"/>
              <w:spacing w:line="360" w:lineRule="auto"/>
              <w:jc w:val="center"/>
              <w:rPr>
                <w:rFonts w:ascii="宋体" w:hAnsi="宋体" w:cs="宋体"/>
                <w:szCs w:val="21"/>
                <w:highlight w:val="none"/>
              </w:rPr>
            </w:pPr>
          </w:p>
        </w:tc>
        <w:tc>
          <w:tcPr>
            <w:tcW w:w="993" w:type="dxa"/>
            <w:vAlign w:val="center"/>
          </w:tcPr>
          <w:p>
            <w:pPr>
              <w:snapToGrid w:val="0"/>
              <w:spacing w:line="360" w:lineRule="auto"/>
              <w:jc w:val="center"/>
              <w:rPr>
                <w:rFonts w:ascii="宋体" w:hAnsi="宋体" w:cs="宋体"/>
                <w:szCs w:val="21"/>
                <w:highlight w:val="none"/>
              </w:rPr>
            </w:pPr>
          </w:p>
        </w:tc>
        <w:tc>
          <w:tcPr>
            <w:tcW w:w="1559" w:type="dxa"/>
            <w:vAlign w:val="center"/>
          </w:tcPr>
          <w:p>
            <w:pPr>
              <w:spacing w:line="360" w:lineRule="auto"/>
              <w:jc w:val="center"/>
              <w:rPr>
                <w:rFonts w:ascii="宋体" w:hAnsi="宋体" w:cs="宋体"/>
                <w:szCs w:val="21"/>
                <w:highlight w:val="none"/>
              </w:rPr>
            </w:pPr>
          </w:p>
        </w:tc>
        <w:tc>
          <w:tcPr>
            <w:tcW w:w="1984" w:type="dxa"/>
            <w:gridSpan w:val="2"/>
            <w:vAlign w:val="center"/>
          </w:tcPr>
          <w:p>
            <w:pPr>
              <w:spacing w:line="360" w:lineRule="auto"/>
              <w:jc w:val="center"/>
              <w:rPr>
                <w:rFonts w:ascii="宋体" w:hAnsi="宋体" w:cs="宋体"/>
                <w:szCs w:val="21"/>
                <w:highlight w:val="none"/>
              </w:rPr>
            </w:pPr>
          </w:p>
        </w:tc>
        <w:tc>
          <w:tcPr>
            <w:tcW w:w="3119"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w:t>
            </w:r>
          </w:p>
        </w:tc>
        <w:tc>
          <w:tcPr>
            <w:tcW w:w="1417" w:type="dxa"/>
            <w:vAlign w:val="center"/>
          </w:tcPr>
          <w:p>
            <w:pPr>
              <w:snapToGrid w:val="0"/>
              <w:spacing w:line="360" w:lineRule="auto"/>
              <w:jc w:val="center"/>
              <w:rPr>
                <w:rFonts w:ascii="宋体" w:hAnsi="宋体" w:cs="宋体"/>
                <w:szCs w:val="21"/>
                <w:highlight w:val="none"/>
              </w:rPr>
            </w:pPr>
          </w:p>
        </w:tc>
        <w:tc>
          <w:tcPr>
            <w:tcW w:w="1843" w:type="dxa"/>
            <w:vAlign w:val="center"/>
          </w:tcPr>
          <w:p>
            <w:pPr>
              <w:snapToGrid w:val="0"/>
              <w:spacing w:line="360" w:lineRule="auto"/>
              <w:jc w:val="center"/>
              <w:rPr>
                <w:rFonts w:ascii="宋体" w:hAnsi="宋体" w:cs="宋体"/>
                <w:szCs w:val="21"/>
                <w:highlight w:val="none"/>
              </w:rPr>
            </w:pPr>
          </w:p>
        </w:tc>
        <w:tc>
          <w:tcPr>
            <w:tcW w:w="3118" w:type="dxa"/>
            <w:vAlign w:val="center"/>
          </w:tcPr>
          <w:p>
            <w:pPr>
              <w:snapToGrid w:val="0"/>
              <w:spacing w:line="360" w:lineRule="auto"/>
              <w:jc w:val="center"/>
              <w:rPr>
                <w:rFonts w:ascii="宋体" w:hAnsi="宋体" w:cs="宋体"/>
                <w:szCs w:val="21"/>
                <w:highlight w:val="none"/>
              </w:rPr>
            </w:pPr>
          </w:p>
        </w:tc>
        <w:tc>
          <w:tcPr>
            <w:tcW w:w="993" w:type="dxa"/>
            <w:vAlign w:val="center"/>
          </w:tcPr>
          <w:p>
            <w:pPr>
              <w:snapToGrid w:val="0"/>
              <w:spacing w:line="360" w:lineRule="auto"/>
              <w:jc w:val="center"/>
              <w:rPr>
                <w:rFonts w:ascii="宋体" w:hAnsi="宋体" w:cs="宋体"/>
                <w:szCs w:val="21"/>
                <w:highlight w:val="none"/>
              </w:rPr>
            </w:pPr>
          </w:p>
        </w:tc>
        <w:tc>
          <w:tcPr>
            <w:tcW w:w="1559" w:type="dxa"/>
            <w:vAlign w:val="center"/>
          </w:tcPr>
          <w:p>
            <w:pPr>
              <w:spacing w:line="360" w:lineRule="auto"/>
              <w:jc w:val="center"/>
              <w:rPr>
                <w:rFonts w:ascii="宋体" w:hAnsi="宋体" w:cs="宋体"/>
                <w:szCs w:val="21"/>
                <w:highlight w:val="none"/>
              </w:rPr>
            </w:pPr>
          </w:p>
        </w:tc>
        <w:tc>
          <w:tcPr>
            <w:tcW w:w="1984" w:type="dxa"/>
            <w:gridSpan w:val="2"/>
            <w:vAlign w:val="center"/>
          </w:tcPr>
          <w:p>
            <w:pPr>
              <w:spacing w:line="360" w:lineRule="auto"/>
              <w:jc w:val="center"/>
              <w:rPr>
                <w:rFonts w:ascii="宋体" w:hAnsi="宋体" w:cs="宋体"/>
                <w:szCs w:val="21"/>
                <w:highlight w:val="none"/>
              </w:rPr>
            </w:pPr>
          </w:p>
        </w:tc>
        <w:tc>
          <w:tcPr>
            <w:tcW w:w="3119"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Cs w:val="21"/>
                <w:highlight w:val="none"/>
              </w:rPr>
            </w:pPr>
          </w:p>
        </w:tc>
        <w:tc>
          <w:tcPr>
            <w:tcW w:w="1417" w:type="dxa"/>
            <w:vAlign w:val="center"/>
          </w:tcPr>
          <w:p>
            <w:pPr>
              <w:snapToGrid w:val="0"/>
              <w:spacing w:line="360" w:lineRule="auto"/>
              <w:jc w:val="center"/>
              <w:rPr>
                <w:rFonts w:ascii="宋体" w:hAnsi="宋体" w:cs="宋体"/>
                <w:szCs w:val="21"/>
                <w:highlight w:val="none"/>
              </w:rPr>
            </w:pPr>
          </w:p>
        </w:tc>
        <w:tc>
          <w:tcPr>
            <w:tcW w:w="1843" w:type="dxa"/>
            <w:vAlign w:val="center"/>
          </w:tcPr>
          <w:p>
            <w:pPr>
              <w:snapToGrid w:val="0"/>
              <w:spacing w:line="360" w:lineRule="auto"/>
              <w:jc w:val="center"/>
              <w:rPr>
                <w:rFonts w:ascii="宋体" w:hAnsi="宋体" w:cs="宋体"/>
                <w:szCs w:val="21"/>
                <w:highlight w:val="none"/>
              </w:rPr>
            </w:pPr>
          </w:p>
        </w:tc>
        <w:tc>
          <w:tcPr>
            <w:tcW w:w="3118" w:type="dxa"/>
            <w:vAlign w:val="center"/>
          </w:tcPr>
          <w:p>
            <w:pPr>
              <w:snapToGrid w:val="0"/>
              <w:spacing w:line="360" w:lineRule="auto"/>
              <w:jc w:val="center"/>
              <w:rPr>
                <w:rFonts w:ascii="宋体" w:hAnsi="宋体" w:cs="宋体"/>
                <w:szCs w:val="21"/>
                <w:highlight w:val="none"/>
              </w:rPr>
            </w:pPr>
          </w:p>
        </w:tc>
        <w:tc>
          <w:tcPr>
            <w:tcW w:w="993" w:type="dxa"/>
            <w:vAlign w:val="center"/>
          </w:tcPr>
          <w:p>
            <w:pPr>
              <w:snapToGrid w:val="0"/>
              <w:spacing w:line="360" w:lineRule="auto"/>
              <w:jc w:val="center"/>
              <w:rPr>
                <w:rFonts w:ascii="宋体" w:hAnsi="宋体" w:cs="宋体"/>
                <w:szCs w:val="21"/>
                <w:highlight w:val="none"/>
              </w:rPr>
            </w:pPr>
          </w:p>
        </w:tc>
        <w:tc>
          <w:tcPr>
            <w:tcW w:w="1559" w:type="dxa"/>
            <w:vAlign w:val="center"/>
          </w:tcPr>
          <w:p>
            <w:pPr>
              <w:spacing w:line="360" w:lineRule="auto"/>
              <w:jc w:val="center"/>
              <w:rPr>
                <w:rFonts w:ascii="宋体" w:hAnsi="宋体" w:cs="宋体"/>
                <w:szCs w:val="21"/>
                <w:highlight w:val="none"/>
              </w:rPr>
            </w:pPr>
          </w:p>
        </w:tc>
        <w:tc>
          <w:tcPr>
            <w:tcW w:w="1984" w:type="dxa"/>
            <w:gridSpan w:val="2"/>
            <w:vAlign w:val="center"/>
          </w:tcPr>
          <w:p>
            <w:pPr>
              <w:spacing w:line="360" w:lineRule="auto"/>
              <w:jc w:val="center"/>
              <w:rPr>
                <w:rFonts w:ascii="宋体" w:hAnsi="宋体" w:cs="宋体"/>
                <w:szCs w:val="21"/>
                <w:highlight w:val="none"/>
              </w:rPr>
            </w:pPr>
          </w:p>
        </w:tc>
        <w:tc>
          <w:tcPr>
            <w:tcW w:w="3119"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Cs w:val="21"/>
                <w:highlight w:val="none"/>
              </w:rPr>
            </w:pPr>
          </w:p>
        </w:tc>
        <w:tc>
          <w:tcPr>
            <w:tcW w:w="1417" w:type="dxa"/>
            <w:vAlign w:val="center"/>
          </w:tcPr>
          <w:p>
            <w:pPr>
              <w:snapToGrid w:val="0"/>
              <w:spacing w:line="360" w:lineRule="auto"/>
              <w:jc w:val="center"/>
              <w:rPr>
                <w:rFonts w:ascii="宋体" w:hAnsi="宋体" w:cs="宋体"/>
                <w:szCs w:val="21"/>
                <w:highlight w:val="none"/>
              </w:rPr>
            </w:pPr>
          </w:p>
        </w:tc>
        <w:tc>
          <w:tcPr>
            <w:tcW w:w="1843" w:type="dxa"/>
            <w:vAlign w:val="center"/>
          </w:tcPr>
          <w:p>
            <w:pPr>
              <w:snapToGrid w:val="0"/>
              <w:spacing w:line="360" w:lineRule="auto"/>
              <w:jc w:val="center"/>
              <w:rPr>
                <w:rFonts w:ascii="宋体" w:hAnsi="宋体" w:cs="宋体"/>
                <w:szCs w:val="21"/>
                <w:highlight w:val="none"/>
              </w:rPr>
            </w:pPr>
          </w:p>
        </w:tc>
        <w:tc>
          <w:tcPr>
            <w:tcW w:w="3118" w:type="dxa"/>
            <w:vAlign w:val="center"/>
          </w:tcPr>
          <w:p>
            <w:pPr>
              <w:snapToGrid w:val="0"/>
              <w:spacing w:line="360" w:lineRule="auto"/>
              <w:jc w:val="center"/>
              <w:rPr>
                <w:rFonts w:ascii="宋体" w:hAnsi="宋体" w:cs="宋体"/>
                <w:szCs w:val="21"/>
                <w:highlight w:val="none"/>
              </w:rPr>
            </w:pPr>
          </w:p>
        </w:tc>
        <w:tc>
          <w:tcPr>
            <w:tcW w:w="993" w:type="dxa"/>
            <w:vAlign w:val="center"/>
          </w:tcPr>
          <w:p>
            <w:pPr>
              <w:snapToGrid w:val="0"/>
              <w:spacing w:line="360" w:lineRule="auto"/>
              <w:jc w:val="center"/>
              <w:rPr>
                <w:rFonts w:ascii="宋体" w:hAnsi="宋体" w:cs="宋体"/>
                <w:szCs w:val="21"/>
                <w:highlight w:val="none"/>
              </w:rPr>
            </w:pPr>
          </w:p>
        </w:tc>
        <w:tc>
          <w:tcPr>
            <w:tcW w:w="1559" w:type="dxa"/>
            <w:vAlign w:val="center"/>
          </w:tcPr>
          <w:p>
            <w:pPr>
              <w:spacing w:line="360" w:lineRule="auto"/>
              <w:jc w:val="center"/>
              <w:rPr>
                <w:rFonts w:ascii="宋体" w:hAnsi="宋体" w:cs="宋体"/>
                <w:szCs w:val="21"/>
                <w:highlight w:val="none"/>
              </w:rPr>
            </w:pPr>
          </w:p>
        </w:tc>
        <w:tc>
          <w:tcPr>
            <w:tcW w:w="1984" w:type="dxa"/>
            <w:gridSpan w:val="2"/>
            <w:vAlign w:val="center"/>
          </w:tcPr>
          <w:p>
            <w:pPr>
              <w:spacing w:line="360" w:lineRule="auto"/>
              <w:jc w:val="center"/>
              <w:rPr>
                <w:rFonts w:ascii="宋体" w:hAnsi="宋体" w:cs="宋体"/>
                <w:szCs w:val="21"/>
                <w:highlight w:val="none"/>
              </w:rPr>
            </w:pPr>
          </w:p>
        </w:tc>
        <w:tc>
          <w:tcPr>
            <w:tcW w:w="3119"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投标报价（小写）</w:t>
            </w:r>
          </w:p>
        </w:tc>
        <w:tc>
          <w:tcPr>
            <w:tcW w:w="4530" w:type="dxa"/>
            <w:gridSpan w:val="3"/>
            <w:vAlign w:val="center"/>
          </w:tcPr>
          <w:p>
            <w:pPr>
              <w:spacing w:line="360" w:lineRule="auto"/>
              <w:jc w:val="center"/>
              <w:rPr>
                <w:rFonts w:ascii="宋体" w:hAnsi="宋体" w:cs="宋体"/>
                <w:szCs w:val="21"/>
                <w:highlight w:val="none"/>
              </w:rPr>
            </w:pPr>
          </w:p>
        </w:tc>
        <w:tc>
          <w:tcPr>
            <w:tcW w:w="3125"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投标报价（大写）</w:t>
            </w:r>
          </w:p>
        </w:tc>
        <w:tc>
          <w:tcPr>
            <w:tcW w:w="4530" w:type="dxa"/>
            <w:gridSpan w:val="3"/>
            <w:vAlign w:val="center"/>
          </w:tcPr>
          <w:p>
            <w:pPr>
              <w:spacing w:line="360" w:lineRule="auto"/>
              <w:jc w:val="center"/>
              <w:rPr>
                <w:rFonts w:ascii="宋体" w:hAnsi="宋体" w:cs="宋体"/>
                <w:szCs w:val="21"/>
                <w:highlight w:val="none"/>
              </w:rPr>
            </w:pPr>
          </w:p>
        </w:tc>
        <w:tc>
          <w:tcPr>
            <w:tcW w:w="3125" w:type="dxa"/>
            <w:gridSpan w:val="2"/>
            <w:vAlign w:val="center"/>
          </w:tcPr>
          <w:p>
            <w:pPr>
              <w:spacing w:line="360" w:lineRule="auto"/>
              <w:jc w:val="center"/>
              <w:rPr>
                <w:rFonts w:ascii="宋体" w:hAnsi="宋体" w:cs="宋体"/>
                <w:szCs w:val="21"/>
                <w:highlight w:val="none"/>
              </w:rPr>
            </w:pPr>
          </w:p>
        </w:tc>
      </w:tr>
    </w:tbl>
    <w:p>
      <w:pPr>
        <w:snapToGrid w:val="0"/>
        <w:spacing w:line="360" w:lineRule="auto"/>
        <w:ind w:left="480"/>
        <w:rPr>
          <w:rFonts w:ascii="宋体" w:hAnsi="宋体" w:cs="宋体"/>
          <w:b/>
          <w:kern w:val="0"/>
          <w:szCs w:val="21"/>
          <w:highlight w:val="none"/>
          <w:lang w:val="zh-CN"/>
        </w:rPr>
      </w:pPr>
      <w:r>
        <w:rPr>
          <w:rFonts w:hint="eastAsia" w:ascii="宋体" w:hAnsi="宋体" w:cs="宋体"/>
          <w:b/>
          <w:kern w:val="0"/>
          <w:szCs w:val="21"/>
          <w:highlight w:val="none"/>
          <w:lang w:val="zh-CN"/>
        </w:rPr>
        <w:t>注：</w:t>
      </w:r>
    </w:p>
    <w:p>
      <w:pPr>
        <w:spacing w:line="360" w:lineRule="auto"/>
        <w:ind w:left="-2" w:leftChars="-1"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1、投标人需按本表格式填写，不得自行更改。</w:t>
      </w:r>
    </w:p>
    <w:p>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2、有关本项目实施所涉及的一切费用均计入报价。</w:t>
      </w:r>
      <w:r>
        <w:rPr>
          <w:rFonts w:hint="eastAsia" w:ascii="宋体" w:hAnsi="宋体" w:cs="宋体"/>
          <w:b/>
          <w:kern w:val="0"/>
          <w:szCs w:val="21"/>
          <w:highlight w:val="none"/>
          <w:lang w:val="zh-CN"/>
        </w:rPr>
        <w:t>招标人将以合同形式有偿取得货物或服务，不接受投标人给予的赠品、回扣或者与采购无关的其他商品、服务</w:t>
      </w:r>
      <w:r>
        <w:rPr>
          <w:rFonts w:hint="eastAsia" w:ascii="宋体" w:hAnsi="宋体" w:cs="宋体"/>
          <w:kern w:val="0"/>
          <w:szCs w:val="21"/>
          <w:highlight w:val="none"/>
          <w:lang w:val="zh-CN"/>
        </w:rPr>
        <w:t>，</w:t>
      </w:r>
      <w:r>
        <w:rPr>
          <w:rFonts w:hint="eastAsia" w:ascii="宋体" w:hAnsi="宋体" w:cs="宋体"/>
          <w:b/>
          <w:kern w:val="0"/>
          <w:szCs w:val="21"/>
          <w:highlight w:val="none"/>
          <w:lang w:val="zh-CN"/>
        </w:rPr>
        <w:t>不得出现“0元”“免费赠送”等形式的无偿报价，</w:t>
      </w:r>
      <w:r>
        <w:rPr>
          <w:rFonts w:hint="eastAsia" w:ascii="宋体" w:hAnsi="宋体" w:cs="宋体"/>
          <w:b/>
          <w:kern w:val="0"/>
          <w:szCs w:val="21"/>
          <w:highlight w:val="none"/>
        </w:rPr>
        <w:t>否则视为</w:t>
      </w:r>
      <w:r>
        <w:rPr>
          <w:rFonts w:hint="eastAsia" w:ascii="宋体" w:hAnsi="宋体" w:cs="宋体"/>
          <w:b/>
          <w:szCs w:val="21"/>
          <w:highlight w:val="none"/>
        </w:rPr>
        <w:t>投标文件含有招标人不能接受的附加条件的，投标无效</w:t>
      </w:r>
      <w:r>
        <w:rPr>
          <w:rFonts w:hint="eastAsia" w:ascii="宋体" w:hAnsi="宋体" w:cs="宋体"/>
          <w:b/>
          <w:kern w:val="0"/>
          <w:szCs w:val="21"/>
          <w:highlight w:val="none"/>
          <w:lang w:val="zh-CN"/>
        </w:rPr>
        <w:t>。</w:t>
      </w:r>
    </w:p>
    <w:p>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3、以上表格要求细分项目及报价，在“规格型号（或具体服务）”一栏中，货物类项目填写规格型号，服务类项目填写具体服务。</w:t>
      </w:r>
    </w:p>
    <w:p>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4、特别提示：招标代理机构将对项目名称和项目编号，中标人名称、地址和中标金额，主要中标标的的名称、规格型号、数量、单价、服务要求等予以公示。</w:t>
      </w:r>
    </w:p>
    <w:p>
      <w:pPr>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
        <w:jc w:val="center"/>
        <w:rPr>
          <w:rFonts w:ascii="宋体" w:hAnsi="宋体" w:cs="宋体"/>
          <w:highlight w:val="none"/>
        </w:rPr>
      </w:pPr>
      <w:r>
        <w:rPr>
          <w:rFonts w:hint="eastAsia" w:ascii="宋体" w:hAnsi="宋体" w:cs="宋体"/>
          <w:highlight w:val="none"/>
        </w:rPr>
        <w:t>二、中小企业声明函</w:t>
      </w:r>
    </w:p>
    <w:p>
      <w:pPr>
        <w:widowControl/>
        <w:spacing w:line="360" w:lineRule="auto"/>
        <w:ind w:firstLine="105" w:firstLineChars="50"/>
        <w:jc w:val="left"/>
        <w:rPr>
          <w:rFonts w:ascii="宋体" w:hAnsi="宋体" w:cs="宋体"/>
          <w:b/>
          <w:szCs w:val="21"/>
          <w:highlight w:val="none"/>
        </w:rPr>
      </w:pPr>
      <w:r>
        <w:rPr>
          <w:rFonts w:hint="eastAsia" w:ascii="宋体" w:hAnsi="宋体" w:cs="宋体"/>
          <w:b/>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tabs>
          <w:tab w:val="left" w:pos="8085"/>
        </w:tabs>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pacing w:line="500" w:lineRule="exact"/>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为贯彻落实中央、省、市关于支持民营经济健康发展有关精神，发挥政府采购在促进中小企业发展中的政策引导作用，缓解中小企业融资难、融资贵问题，杭州市财政局、</w:t>
      </w:r>
    </w:p>
    <w:p>
      <w:pPr>
        <w:spacing w:line="500" w:lineRule="exact"/>
        <w:rPr>
          <w:rFonts w:ascii="宋体" w:hAnsi="宋体" w:cs="宋体"/>
          <w:kern w:val="0"/>
          <w:szCs w:val="21"/>
          <w:highlight w:val="none"/>
          <w:lang w:val="zh-CN"/>
        </w:rPr>
      </w:pPr>
      <w:r>
        <w:rPr>
          <w:rFonts w:hint="eastAsia" w:ascii="宋体" w:hAnsi="宋体" w:cs="宋体"/>
          <w:kern w:val="0"/>
          <w:szCs w:val="21"/>
          <w:highlight w:val="none"/>
          <w:lang w:val="zh-CN"/>
        </w:rPr>
        <w:t>中国银保监会浙江监管局、杭州市地方金融监督管理局、杭州市经济和信息化局制定《杭州市政府采购支持中小企业信用融资管理办法》。相关事项通知如下：</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一、适用对象</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凡已在浙江政府采购网上注册入库，并取得杭州市政府采购合同的中小企业供应商（以下简称“供应商”），均可申请政府采购信用融资。</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二、相关信息获取方式</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三、　政府采购信用融资操作流程：</w:t>
      </w:r>
    </w:p>
    <w:p>
      <w:pPr>
        <w:spacing w:line="500" w:lineRule="exact"/>
        <w:rPr>
          <w:rFonts w:ascii="宋体" w:hAnsi="宋体" w:cs="宋体"/>
          <w:szCs w:val="21"/>
          <w:highlight w:val="none"/>
        </w:rPr>
      </w:pPr>
      <w:r>
        <w:rPr>
          <w:rFonts w:hint="eastAsia" w:ascii="宋体" w:hAnsi="宋体" w:cs="宋体"/>
          <w:szCs w:val="21"/>
          <w:highlight w:val="none"/>
        </w:rPr>
        <w:t>（一）线上融资模式：</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1.供应商根据合作银行提供的方案，自行选择金融产品，并办理开户等手续；</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2.供应商中标后，可通过杭州市政府采购网或“浙里办”测算授信额度；</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3.采购合同签订后，供应商在杭州市政府采购网或“浙里办”向合作银行发出融资申请；</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4.审批通过后，在线办理放贷手续。</w:t>
      </w:r>
    </w:p>
    <w:p>
      <w:pPr>
        <w:spacing w:line="500" w:lineRule="exact"/>
        <w:rPr>
          <w:rFonts w:ascii="宋体" w:hAnsi="宋体" w:cs="宋体"/>
          <w:szCs w:val="21"/>
          <w:highlight w:val="none"/>
        </w:rPr>
      </w:pPr>
      <w:r>
        <w:rPr>
          <w:rFonts w:hint="eastAsia" w:ascii="宋体" w:hAnsi="宋体" w:cs="宋体"/>
          <w:szCs w:val="21"/>
          <w:highlight w:val="none"/>
        </w:rPr>
        <w:t>（二）线下融资模式：</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1.供应商根据合作银行提供的方案，自行选择金融产品，向合作银行提出信用资格预审，并办理开户等手续；</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2.采购合同签订后，供应商在杭州市政府采购网或“浙里办”向合作银行发出融资申请；</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3.合作银行在信用融资模块受理申请后，供应商提供审批材料。合作银行应对申请信用融资的供应商及备案的政府采购合同信息进行核对和审查；</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4.审批通过后，合作银行应按照合作备忘录中约定的审批放款期限和优惠利率及时予以放款。</w:t>
      </w:r>
    </w:p>
    <w:p>
      <w:pPr>
        <w:spacing w:line="500" w:lineRule="exact"/>
        <w:rPr>
          <w:rFonts w:ascii="宋体" w:hAnsi="宋体" w:cs="宋体"/>
          <w:szCs w:val="21"/>
          <w:highlight w:val="none"/>
        </w:rPr>
      </w:pPr>
      <w:r>
        <w:rPr>
          <w:rFonts w:hint="eastAsia" w:ascii="宋体" w:hAnsi="宋体" w:cs="宋体"/>
          <w:szCs w:val="21"/>
          <w:highlight w:val="none"/>
        </w:rPr>
        <w:t>（三）杭州e融平台申请融资</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供应商通过杭州e融平台政采贷专区，自行选择金融产品，按规定手续办理贷款流程。</w:t>
      </w:r>
    </w:p>
    <w:p>
      <w:pPr>
        <w:spacing w:line="500" w:lineRule="exact"/>
        <w:ind w:firstLine="422" w:firstLineChars="200"/>
        <w:rPr>
          <w:rFonts w:ascii="宋体" w:hAnsi="宋体" w:cs="宋体"/>
          <w:b/>
          <w:szCs w:val="21"/>
          <w:highlight w:val="none"/>
        </w:rPr>
      </w:pPr>
      <w:r>
        <w:rPr>
          <w:rFonts w:hint="eastAsia" w:ascii="宋体" w:hAnsi="宋体" w:cs="宋体"/>
          <w:b/>
          <w:szCs w:val="21"/>
          <w:highlight w:val="none"/>
        </w:rPr>
        <w:t>四、注意事项</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1、对拟用于信用融资的政府采购合同，供应商在签订合同时应当在合同中注明融资银行名称及账号，作为在该银行的唯一收款账号。</w:t>
      </w:r>
    </w:p>
    <w:p>
      <w:pPr>
        <w:spacing w:line="500" w:lineRule="exact"/>
        <w:ind w:firstLine="420" w:firstLineChars="200"/>
        <w:rPr>
          <w:rFonts w:ascii="宋体" w:hAnsi="宋体" w:cs="宋体"/>
          <w:szCs w:val="21"/>
          <w:highlight w:val="none"/>
        </w:rPr>
      </w:pPr>
      <w:r>
        <w:rPr>
          <w:rFonts w:hint="eastAsia" w:ascii="宋体" w:hAnsi="宋体" w:cs="宋体"/>
          <w:szCs w:val="21"/>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4427" w:hanging="4427" w:hangingChars="2100"/>
        <w:rPr>
          <w:rFonts w:ascii="宋体" w:hAnsi="宋体" w:cs="宋体"/>
          <w:b/>
          <w:bCs/>
          <w:kern w:val="0"/>
          <w:szCs w:val="21"/>
          <w:highlight w:val="none"/>
        </w:rPr>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pPr>
    </w:p>
    <w:p>
      <w:pPr>
        <w:pStyle w:val="2"/>
        <w:jc w:val="center"/>
        <w:rPr>
          <w:rFonts w:ascii="宋体" w:hAnsi="宋体" w:cs="宋体"/>
          <w:highlight w:val="none"/>
        </w:rPr>
      </w:pPr>
      <w:bookmarkStart w:id="551" w:name="_Toc465665161"/>
      <w:r>
        <w:rPr>
          <w:rFonts w:hint="eastAsia" w:ascii="宋体" w:hAnsi="宋体" w:cs="宋体"/>
          <w:highlight w:val="none"/>
        </w:rPr>
        <w:t>附件</w:t>
      </w:r>
      <w:bookmarkEnd w:id="551"/>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52" w:name="OLE_LINK14"/>
      <w:bookmarkStart w:id="553" w:name="OLE_LINK13"/>
      <w:r>
        <w:rPr>
          <w:rFonts w:hint="eastAsia" w:ascii="宋体" w:hAnsi="宋体" w:cs="宋体"/>
          <w:b/>
          <w:spacing w:val="6"/>
          <w:sz w:val="32"/>
          <w:szCs w:val="32"/>
          <w:highlight w:val="none"/>
        </w:rPr>
        <w:t>残疾人福利性单位声明函</w:t>
      </w:r>
    </w:p>
    <w:bookmarkEnd w:id="552"/>
    <w:bookmarkEnd w:id="553"/>
    <w:p>
      <w:pPr>
        <w:spacing w:line="360" w:lineRule="auto"/>
        <w:rPr>
          <w:rFonts w:ascii="宋体" w:hAnsi="宋体" w:cs="宋体"/>
          <w:b/>
          <w:spacing w:val="6"/>
          <w:sz w:val="30"/>
          <w:szCs w:val="30"/>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w:t>
      </w:r>
      <w:r>
        <w:rPr>
          <w:rFonts w:hint="eastAsia" w:ascii="宋体" w:hAnsi="宋体" w:cs="宋体"/>
          <w:szCs w:val="21"/>
          <w:highlight w:val="none"/>
          <w:u w:val="single"/>
        </w:rPr>
        <w:t>（</w:t>
      </w:r>
      <w:r>
        <w:rPr>
          <w:rFonts w:hint="eastAsia" w:ascii="宋体" w:hAnsi="宋体" w:cs="宋体"/>
          <w:szCs w:val="21"/>
          <w:highlight w:val="none"/>
          <w:u w:val="single"/>
          <w:lang w:eastAsia="zh-CN"/>
        </w:rPr>
        <w:t>杭州第四中学新湾学校校园网络及综合布线项目</w:t>
      </w:r>
      <w:r>
        <w:rPr>
          <w:rFonts w:hint="eastAsia" w:ascii="宋体" w:hAnsi="宋体" w:cs="宋体"/>
          <w:szCs w:val="21"/>
          <w:highlight w:val="none"/>
          <w:u w:val="single"/>
        </w:rPr>
        <w:t xml:space="preserve">）（项目编号：ZJZBC-21-713） </w:t>
      </w:r>
      <w:r>
        <w:rPr>
          <w:rFonts w:hint="eastAsia" w:ascii="宋体" w:hAnsi="宋体" w:cs="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tabs>
          <w:tab w:val="left" w:pos="4860"/>
        </w:tabs>
        <w:spacing w:line="360" w:lineRule="auto"/>
        <w:ind w:right="1560" w:firstLine="420" w:firstLineChars="200"/>
        <w:jc w:val="cente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kern w:val="0"/>
          <w:szCs w:val="21"/>
          <w:highlight w:val="none"/>
          <w:lang w:val="zh-CN"/>
        </w:rPr>
        <w:t>投标人名称（电子签名）</w:t>
      </w:r>
      <w:r>
        <w:rPr>
          <w:rFonts w:hint="eastAsia" w:ascii="宋体" w:hAnsi="宋体" w:cs="宋体"/>
          <w:szCs w:val="21"/>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rPr>
          <w:rFonts w:ascii="宋体" w:hAnsi="宋体" w:cs="宋体"/>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监狱企业声明函</w:t>
      </w:r>
    </w:p>
    <w:p>
      <w:pPr>
        <w:widowControl/>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本公司郑重声明，根据《关于政府采购支持监狱企业发展有关问题的通知》 （财库[2014]68 号）的规定，本公司为监狱企业。</w:t>
      </w:r>
    </w:p>
    <w:p>
      <w:pPr>
        <w:widowControl/>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根据上述标准，我公司属于监狱企业的理由为：</w:t>
      </w:r>
      <w:r>
        <w:rPr>
          <w:rFonts w:hint="eastAsia" w:ascii="宋体" w:hAnsi="宋体" w:cs="宋体"/>
          <w:szCs w:val="21"/>
          <w:highlight w:val="none"/>
          <w:u w:val="single"/>
        </w:rPr>
        <w:t xml:space="preserve">         </w:t>
      </w:r>
      <w:r>
        <w:rPr>
          <w:rFonts w:hint="eastAsia" w:ascii="宋体" w:hAnsi="宋体" w:cs="宋体"/>
          <w:szCs w:val="21"/>
          <w:highlight w:val="none"/>
        </w:rPr>
        <w:t>。</w:t>
      </w:r>
    </w:p>
    <w:p>
      <w:pPr>
        <w:widowControl/>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本公司为参加（</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）（项目编号：ZJZBC-21-713）采购活动提供本企业提供服务。</w:t>
      </w:r>
    </w:p>
    <w:p>
      <w:pPr>
        <w:widowControl/>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本公司对上述声明的真实性负责。如有虚假，将依法承担相应责任。</w:t>
      </w:r>
    </w:p>
    <w:p>
      <w:pPr>
        <w:widowControl/>
        <w:snapToGrid w:val="0"/>
        <w:spacing w:line="360" w:lineRule="auto"/>
        <w:ind w:firstLine="420" w:firstLineChars="200"/>
        <w:jc w:val="left"/>
        <w:rPr>
          <w:rFonts w:ascii="宋体" w:hAnsi="宋体" w:cs="宋体"/>
          <w:szCs w:val="21"/>
          <w:highlight w:val="none"/>
        </w:rPr>
      </w:pPr>
    </w:p>
    <w:p>
      <w:pPr>
        <w:tabs>
          <w:tab w:val="left" w:pos="4860"/>
        </w:tabs>
        <w:spacing w:line="360" w:lineRule="auto"/>
        <w:ind w:right="1560" w:firstLine="3099" w:firstLineChars="1476"/>
        <w:jc w:val="left"/>
        <w:rPr>
          <w:rFonts w:ascii="宋体" w:hAnsi="宋体" w:cs="宋体"/>
          <w:szCs w:val="21"/>
          <w:highlight w:val="none"/>
        </w:rPr>
      </w:pPr>
      <w:r>
        <w:rPr>
          <w:rFonts w:hint="eastAsia" w:ascii="宋体" w:hAnsi="宋体" w:cs="宋体"/>
          <w:kern w:val="0"/>
          <w:szCs w:val="21"/>
          <w:highlight w:val="none"/>
          <w:lang w:val="zh-CN"/>
        </w:rPr>
        <w:t>投标人名称（电子签名）</w:t>
      </w:r>
      <w:r>
        <w:rPr>
          <w:rFonts w:hint="eastAsia" w:ascii="宋体" w:hAnsi="宋体" w:cs="宋体"/>
          <w:szCs w:val="21"/>
          <w:highlight w:val="none"/>
        </w:rPr>
        <w:t>：</w:t>
      </w:r>
    </w:p>
    <w:p>
      <w:pPr>
        <w:tabs>
          <w:tab w:val="left" w:pos="4860"/>
        </w:tabs>
        <w:spacing w:line="360" w:lineRule="auto"/>
        <w:ind w:right="1560" w:firstLine="3099" w:firstLineChars="1476"/>
        <w:jc w:val="left"/>
        <w:rPr>
          <w:rFonts w:ascii="宋体" w:hAnsi="宋体" w:cs="宋体"/>
          <w:szCs w:val="21"/>
          <w:highlight w:val="none"/>
        </w:rPr>
      </w:pPr>
      <w:r>
        <w:rPr>
          <w:rFonts w:hint="eastAsia" w:ascii="宋体" w:hAnsi="宋体" w:cs="宋体"/>
          <w:szCs w:val="21"/>
          <w:highlight w:val="none"/>
        </w:rPr>
        <w:t xml:space="preserve">       日  期：</w:t>
      </w:r>
    </w:p>
    <w:p>
      <w:pPr>
        <w:rPr>
          <w:rFonts w:ascii="宋体" w:hAnsi="宋体" w:cs="宋体"/>
          <w:highlight w:val="none"/>
        </w:rPr>
      </w:pP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sectPr>
          <w:pgSz w:w="11906" w:h="16838"/>
          <w:pgMar w:top="1276" w:right="1418" w:bottom="1247" w:left="1418" w:header="851" w:footer="992" w:gutter="0"/>
          <w:cols w:space="720" w:num="1"/>
          <w:titlePg/>
          <w:docGrid w:linePitch="312" w:charSpace="0"/>
        </w:sectPr>
      </w:pPr>
    </w:p>
    <w:p>
      <w:pPr>
        <w:rPr>
          <w:rFonts w:ascii="宋体" w:hAnsi="宋体" w:cs="宋体"/>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Cs w:val="21"/>
          <w:highlight w:val="none"/>
        </w:rPr>
      </w:pPr>
      <w:r>
        <w:rPr>
          <w:rFonts w:hint="eastAsia" w:ascii="宋体" w:hAnsi="宋体" w:cs="宋体"/>
          <w:bCs/>
          <w:szCs w:val="21"/>
          <w:highlight w:val="none"/>
        </w:rPr>
        <w:t>一、质疑供应商基本信息</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pPr>
        <w:snapToGrid w:val="0"/>
        <w:spacing w:line="360" w:lineRule="auto"/>
        <w:rPr>
          <w:rFonts w:ascii="宋体" w:hAnsi="宋体" w:cs="宋体"/>
          <w:bCs/>
          <w:szCs w:val="21"/>
          <w:highlight w:val="none"/>
        </w:rPr>
      </w:pPr>
      <w:r>
        <w:rPr>
          <w:rFonts w:hint="eastAsia" w:ascii="宋体" w:hAnsi="宋体" w:cs="宋体"/>
          <w:bCs/>
          <w:szCs w:val="21"/>
          <w:highlight w:val="none"/>
        </w:rPr>
        <w:t>二、质疑项目基本情况</w:t>
      </w:r>
    </w:p>
    <w:p>
      <w:pPr>
        <w:snapToGrid w:val="0"/>
        <w:spacing w:line="360" w:lineRule="auto"/>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招标人名称：</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招标文件获取日期：</w:t>
      </w:r>
      <w:r>
        <w:rPr>
          <w:rFonts w:hint="eastAsia" w:ascii="宋体" w:hAnsi="宋体" w:cs="宋体"/>
          <w:szCs w:val="21"/>
          <w:highlight w:val="none"/>
          <w:u w:val="dotted"/>
        </w:rPr>
        <w:t xml:space="preserve">                                           </w:t>
      </w:r>
    </w:p>
    <w:p>
      <w:pPr>
        <w:snapToGrid w:val="0"/>
        <w:spacing w:line="360" w:lineRule="auto"/>
        <w:rPr>
          <w:rFonts w:ascii="宋体" w:hAnsi="宋体" w:cs="宋体"/>
          <w:bCs/>
          <w:szCs w:val="21"/>
          <w:highlight w:val="none"/>
        </w:rPr>
      </w:pPr>
      <w:r>
        <w:rPr>
          <w:rFonts w:hint="eastAsia" w:ascii="宋体" w:hAnsi="宋体" w:cs="宋体"/>
          <w:bCs/>
          <w:szCs w:val="21"/>
          <w:highlight w:val="none"/>
        </w:rPr>
        <w:t>三、质疑事项具体内容</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质疑事项2</w:t>
      </w:r>
    </w:p>
    <w:p>
      <w:pPr>
        <w:snapToGrid w:val="0"/>
        <w:spacing w:line="360" w:lineRule="auto"/>
        <w:rPr>
          <w:rFonts w:ascii="宋体" w:hAnsi="宋体" w:cs="宋体"/>
          <w:szCs w:val="21"/>
          <w:highlight w:val="none"/>
        </w:rPr>
      </w:pPr>
      <w:r>
        <w:rPr>
          <w:rFonts w:hint="eastAsia" w:ascii="宋体" w:hAnsi="宋体" w:cs="宋体"/>
          <w:szCs w:val="21"/>
          <w:highlight w:val="none"/>
        </w:rPr>
        <w:t>……</w:t>
      </w:r>
    </w:p>
    <w:p>
      <w:pPr>
        <w:snapToGrid w:val="0"/>
        <w:spacing w:line="360" w:lineRule="auto"/>
        <w:rPr>
          <w:rFonts w:ascii="宋体" w:hAnsi="宋体" w:cs="宋体"/>
          <w:bCs/>
          <w:szCs w:val="21"/>
          <w:highlight w:val="none"/>
        </w:rPr>
      </w:pPr>
      <w:r>
        <w:rPr>
          <w:rFonts w:hint="eastAsia" w:ascii="宋体" w:hAnsi="宋体" w:cs="宋体"/>
          <w:bCs/>
          <w:szCs w:val="21"/>
          <w:highlight w:val="none"/>
        </w:rPr>
        <w:t>四、与质疑事项相关的质疑请求</w:t>
      </w:r>
    </w:p>
    <w:p>
      <w:pPr>
        <w:snapToGrid w:val="0"/>
        <w:spacing w:line="360" w:lineRule="auto"/>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 xml:space="preserve">签字(签章)：                   公章：                      </w:t>
      </w:r>
    </w:p>
    <w:p>
      <w:pPr>
        <w:spacing w:line="360" w:lineRule="auto"/>
        <w:rPr>
          <w:rFonts w:ascii="宋体" w:hAnsi="宋体" w:cs="宋体"/>
          <w:szCs w:val="21"/>
          <w:highlight w:val="none"/>
        </w:rPr>
      </w:pPr>
      <w:r>
        <w:rPr>
          <w:rFonts w:hint="eastAsia" w:ascii="宋体" w:hAnsi="宋体" w:cs="宋体"/>
          <w:szCs w:val="21"/>
          <w:highlight w:val="none"/>
        </w:rPr>
        <w:t xml:space="preserve">日期：    </w:t>
      </w:r>
    </w:p>
    <w:p>
      <w:pPr>
        <w:spacing w:line="360" w:lineRule="auto"/>
        <w:jc w:val="center"/>
        <w:rPr>
          <w:rFonts w:ascii="宋体" w:hAnsi="宋体" w:cs="宋体"/>
          <w:b/>
          <w:bCs/>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质疑函制作说明：</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1.供应商提出质疑时，应提交质疑函和必要的证明材料。</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5.质疑函的质疑请求应与质疑事项相关。</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rPr>
          <w:rFonts w:ascii="宋体" w:hAnsi="宋体" w:cs="宋体"/>
          <w:highlight w:val="none"/>
        </w:rPr>
      </w:pPr>
    </w:p>
    <w:p>
      <w:pPr>
        <w:spacing w:line="360" w:lineRule="auto"/>
        <w:jc w:val="center"/>
        <w:rPr>
          <w:rFonts w:ascii="宋体" w:hAnsi="宋体" w:cs="宋体"/>
          <w:b/>
          <w:spacing w:val="6"/>
          <w:sz w:val="32"/>
          <w:szCs w:val="32"/>
          <w:highlight w:val="none"/>
        </w:rPr>
      </w:pPr>
    </w:p>
    <w:p>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Cs w:val="21"/>
          <w:highlight w:val="none"/>
        </w:rPr>
      </w:pPr>
      <w:r>
        <w:rPr>
          <w:rFonts w:hint="eastAsia" w:ascii="宋体" w:hAnsi="宋体" w:cs="宋体"/>
          <w:szCs w:val="21"/>
          <w:highlight w:val="none"/>
        </w:rPr>
        <w:t>一、投诉相关主体基本情况</w:t>
      </w:r>
    </w:p>
    <w:p>
      <w:pPr>
        <w:spacing w:line="360" w:lineRule="auto"/>
        <w:rPr>
          <w:rFonts w:ascii="宋体" w:hAnsi="宋体" w:cs="宋体"/>
          <w:szCs w:val="21"/>
          <w:highlight w:val="none"/>
          <w:u w:val="dotted"/>
        </w:rPr>
      </w:pPr>
      <w:r>
        <w:rPr>
          <w:rFonts w:hint="eastAsia" w:ascii="宋体" w:hAnsi="宋体" w:cs="宋体"/>
          <w:szCs w:val="21"/>
          <w:highlight w:val="none"/>
        </w:rPr>
        <w:t>投诉人：</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tabs>
          <w:tab w:val="left" w:pos="6510"/>
        </w:tabs>
        <w:spacing w:line="360" w:lineRule="auto"/>
        <w:jc w:val="left"/>
        <w:rPr>
          <w:rFonts w:ascii="宋体" w:hAnsi="宋体" w:cs="宋体"/>
          <w:szCs w:val="21"/>
          <w:highlight w:val="none"/>
        </w:rPr>
      </w:pPr>
      <w:r>
        <w:rPr>
          <w:rFonts w:hint="eastAsia" w:ascii="宋体" w:hAnsi="宋体" w:cs="宋体"/>
          <w:szCs w:val="21"/>
          <w:highlight w:val="none"/>
        </w:rPr>
        <w:t>法定代表人/主要负责人：</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tabs>
          <w:tab w:val="left" w:pos="6510"/>
        </w:tabs>
        <w:spacing w:line="360" w:lineRule="auto"/>
        <w:rPr>
          <w:rFonts w:ascii="宋体" w:hAnsi="宋体" w:cs="宋体"/>
          <w:szCs w:val="21"/>
          <w:highlight w:val="none"/>
          <w:u w:val="dotted"/>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被投诉人1：</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rPr>
      </w:pPr>
      <w:r>
        <w:rPr>
          <w:rFonts w:hint="eastAsia" w:ascii="宋体" w:hAnsi="宋体" w:cs="宋体"/>
          <w:szCs w:val="21"/>
          <w:highlight w:val="none"/>
        </w:rPr>
        <w:t>被投诉人2</w:t>
      </w:r>
    </w:p>
    <w:p>
      <w:pPr>
        <w:spacing w:line="360" w:lineRule="auto"/>
        <w:rPr>
          <w:rFonts w:ascii="宋体" w:hAnsi="宋体" w:cs="宋体"/>
          <w:szCs w:val="21"/>
          <w:highlight w:val="none"/>
          <w:u w:val="dotted"/>
        </w:rPr>
      </w:pPr>
      <w:r>
        <w:rPr>
          <w:rFonts w:hint="eastAsia" w:ascii="宋体" w:hAnsi="宋体" w:cs="宋体"/>
          <w:szCs w:val="21"/>
          <w:highlight w:val="none"/>
        </w:rPr>
        <w:t>……</w:t>
      </w:r>
    </w:p>
    <w:p>
      <w:pPr>
        <w:spacing w:line="360" w:lineRule="auto"/>
        <w:rPr>
          <w:rFonts w:ascii="宋体" w:hAnsi="宋体" w:cs="宋体"/>
          <w:szCs w:val="21"/>
          <w:highlight w:val="none"/>
          <w:u w:val="single"/>
        </w:rPr>
      </w:pPr>
      <w:r>
        <w:rPr>
          <w:rFonts w:hint="eastAsia" w:ascii="宋体" w:hAnsi="宋体" w:cs="宋体"/>
          <w:szCs w:val="21"/>
          <w:highlight w:val="none"/>
        </w:rPr>
        <w:t>相关供应商：</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rPr>
      </w:pPr>
      <w:r>
        <w:rPr>
          <w:rFonts w:hint="eastAsia" w:ascii="宋体" w:hAnsi="宋体" w:cs="宋体"/>
          <w:szCs w:val="21"/>
          <w:highlight w:val="none"/>
        </w:rPr>
        <w:t>二、投诉项目基本情况</w:t>
      </w:r>
    </w:p>
    <w:p>
      <w:pPr>
        <w:spacing w:line="360" w:lineRule="auto"/>
        <w:rPr>
          <w:rFonts w:ascii="宋体" w:hAnsi="宋体" w:cs="宋体"/>
          <w:szCs w:val="21"/>
          <w:highlight w:val="none"/>
          <w:u w:val="dotted"/>
        </w:rPr>
      </w:pPr>
      <w:r>
        <w:rPr>
          <w:rFonts w:hint="eastAsia" w:ascii="宋体" w:hAnsi="宋体" w:cs="宋体"/>
          <w:szCs w:val="21"/>
          <w:highlight w:val="none"/>
        </w:rPr>
        <w:t>采购项目名称：</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招标人名称：</w:t>
      </w:r>
      <w:r>
        <w:rPr>
          <w:rFonts w:hint="eastAsia" w:ascii="宋体" w:hAnsi="宋体" w:cs="宋体"/>
          <w:szCs w:val="21"/>
          <w:highlight w:val="none"/>
          <w:u w:val="dotted"/>
        </w:rPr>
        <w:t xml:space="preserve">                                           </w:t>
      </w:r>
      <w:r>
        <w:rPr>
          <w:rFonts w:hint="eastAsia" w:ascii="宋体" w:hAnsi="宋体" w:cs="宋体"/>
          <w:szCs w:val="21"/>
          <w:highlight w:val="none"/>
          <w:u w:val="singl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代理机构名称：</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rPr>
        <w:t>招标文件公告: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采购结果公告: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三、质疑基本情况</w:t>
      </w:r>
    </w:p>
    <w:p>
      <w:pPr>
        <w:spacing w:line="360" w:lineRule="auto"/>
        <w:ind w:firstLine="420" w:firstLineChars="200"/>
        <w:rPr>
          <w:rFonts w:ascii="宋体" w:hAnsi="宋体" w:cs="宋体"/>
          <w:szCs w:val="21"/>
          <w:highlight w:val="none"/>
          <w:u w:val="dotted"/>
        </w:rPr>
      </w:pPr>
      <w:r>
        <w:rPr>
          <w:rFonts w:hint="eastAsia" w:ascii="宋体" w:hAnsi="宋体" w:cs="宋体"/>
          <w:szCs w:val="21"/>
          <w:highlight w:val="none"/>
        </w:rPr>
        <w:t>投诉人于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日,向</w:t>
      </w:r>
      <w:r>
        <w:rPr>
          <w:rFonts w:hint="eastAsia" w:ascii="宋体" w:hAnsi="宋体" w:cs="宋体"/>
          <w:szCs w:val="21"/>
          <w:highlight w:val="none"/>
          <w:u w:val="dotted"/>
        </w:rPr>
        <w:t xml:space="preserve">                   </w:t>
      </w:r>
      <w:r>
        <w:rPr>
          <w:rFonts w:hint="eastAsia" w:ascii="宋体" w:hAnsi="宋体" w:cs="宋体"/>
          <w:szCs w:val="21"/>
          <w:highlight w:val="none"/>
        </w:rPr>
        <w:t>提出质疑，质疑事项为：</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pacing w:line="360" w:lineRule="auto"/>
        <w:ind w:firstLine="315" w:firstLineChars="150"/>
        <w:rPr>
          <w:rFonts w:ascii="宋体" w:hAnsi="宋体" w:cs="宋体"/>
          <w:szCs w:val="21"/>
          <w:highlight w:val="none"/>
        </w:rPr>
      </w:pPr>
      <w:r>
        <w:rPr>
          <w:rFonts w:hint="eastAsia" w:ascii="宋体" w:hAnsi="宋体" w:cs="宋体"/>
          <w:szCs w:val="21"/>
          <w:highlight w:val="none"/>
          <w:u w:val="dotted"/>
        </w:rPr>
        <w:t>招标人/代理机构</w:t>
      </w:r>
      <w:r>
        <w:rPr>
          <w:rFonts w:hint="eastAsia" w:ascii="宋体" w:hAnsi="宋体" w:cs="宋体"/>
          <w:szCs w:val="21"/>
          <w:highlight w:val="none"/>
        </w:rPr>
        <w:t>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日,就质疑事项作出了答复/没有在法定期限内作出答复。</w:t>
      </w:r>
    </w:p>
    <w:p>
      <w:pPr>
        <w:spacing w:line="360" w:lineRule="auto"/>
        <w:rPr>
          <w:rFonts w:ascii="宋体" w:hAnsi="宋体" w:cs="宋体"/>
          <w:szCs w:val="21"/>
          <w:highlight w:val="none"/>
        </w:rPr>
      </w:pPr>
      <w:r>
        <w:rPr>
          <w:rFonts w:hint="eastAsia" w:ascii="宋体" w:hAnsi="宋体" w:cs="宋体"/>
          <w:szCs w:val="21"/>
          <w:highlight w:val="none"/>
        </w:rPr>
        <w:t>四、投诉事项具体内容</w:t>
      </w:r>
    </w:p>
    <w:p>
      <w:pPr>
        <w:spacing w:line="360" w:lineRule="auto"/>
        <w:rPr>
          <w:rFonts w:ascii="宋体" w:hAnsi="宋体" w:cs="宋体"/>
          <w:szCs w:val="21"/>
          <w:highlight w:val="none"/>
          <w:u w:val="single"/>
        </w:rPr>
      </w:pPr>
      <w:r>
        <w:rPr>
          <w:rFonts w:hint="eastAsia" w:ascii="宋体" w:hAnsi="宋体" w:cs="宋体"/>
          <w:szCs w:val="21"/>
          <w:highlight w:val="none"/>
        </w:rPr>
        <w:t>投诉事项 1：</w:t>
      </w: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pPr>
        <w:spacing w:line="360" w:lineRule="auto"/>
        <w:rPr>
          <w:rFonts w:ascii="宋体" w:hAnsi="宋体" w:cs="宋体"/>
          <w:szCs w:val="21"/>
          <w:highlight w:val="none"/>
          <w:u w:val="dotted"/>
        </w:rPr>
      </w:pPr>
      <w:r>
        <w:rPr>
          <w:rFonts w:hint="eastAsia" w:ascii="宋体" w:hAnsi="宋体" w:cs="宋体"/>
          <w:szCs w:val="21"/>
          <w:highlight w:val="none"/>
          <w:u w:val="dotted"/>
        </w:rPr>
        <w:t xml:space="preserve">                                                      </w:t>
      </w:r>
    </w:p>
    <w:p>
      <w:pPr>
        <w:spacing w:line="360" w:lineRule="auto"/>
        <w:rPr>
          <w:rFonts w:ascii="宋体" w:hAnsi="宋体" w:cs="宋体"/>
          <w:szCs w:val="21"/>
          <w:highlight w:val="none"/>
        </w:rPr>
      </w:pPr>
      <w:r>
        <w:rPr>
          <w:rFonts w:hint="eastAsia" w:ascii="宋体" w:hAnsi="宋体" w:cs="宋体"/>
          <w:szCs w:val="21"/>
          <w:highlight w:val="none"/>
        </w:rPr>
        <w:t>投诉事项2</w:t>
      </w:r>
    </w:p>
    <w:p>
      <w:pPr>
        <w:spacing w:line="360" w:lineRule="auto"/>
        <w:rPr>
          <w:rFonts w:ascii="宋体" w:hAnsi="宋体" w:cs="宋体"/>
          <w:szCs w:val="21"/>
          <w:highlight w:val="none"/>
          <w:u w:val="dotted"/>
        </w:rPr>
      </w:pPr>
      <w:r>
        <w:rPr>
          <w:rFonts w:hint="eastAsia" w:ascii="宋体" w:hAnsi="宋体" w:cs="宋体"/>
          <w:szCs w:val="21"/>
          <w:highlight w:val="none"/>
        </w:rPr>
        <w:t>……</w:t>
      </w:r>
    </w:p>
    <w:p>
      <w:pPr>
        <w:spacing w:line="360" w:lineRule="auto"/>
        <w:rPr>
          <w:rFonts w:ascii="宋体" w:hAnsi="宋体" w:cs="宋体"/>
          <w:szCs w:val="21"/>
          <w:highlight w:val="none"/>
        </w:rPr>
      </w:pPr>
      <w:r>
        <w:rPr>
          <w:rFonts w:hint="eastAsia" w:ascii="宋体" w:hAnsi="宋体" w:cs="宋体"/>
          <w:szCs w:val="21"/>
          <w:highlight w:val="none"/>
        </w:rPr>
        <w:t>五、与投诉事项相关的投诉请求</w:t>
      </w:r>
    </w:p>
    <w:p>
      <w:pPr>
        <w:spacing w:line="360" w:lineRule="auto"/>
        <w:rPr>
          <w:rFonts w:ascii="宋体" w:hAnsi="宋体" w:cs="宋体"/>
          <w:szCs w:val="21"/>
          <w:highlight w:val="none"/>
        </w:rPr>
      </w:pPr>
      <w:r>
        <w:rPr>
          <w:rFonts w:hint="eastAsia" w:ascii="宋体" w:hAnsi="宋体" w:cs="宋体"/>
          <w:szCs w:val="21"/>
          <w:highlight w:val="none"/>
        </w:rPr>
        <w:t>请求：</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pPr>
        <w:spacing w:line="360" w:lineRule="auto"/>
        <w:rPr>
          <w:rFonts w:ascii="宋体" w:hAnsi="宋体" w:cs="宋体"/>
          <w:szCs w:val="21"/>
          <w:highlight w:val="none"/>
          <w:u w:val="single"/>
        </w:rPr>
      </w:pPr>
      <w:r>
        <w:rPr>
          <w:rFonts w:hint="eastAsia" w:ascii="宋体" w:hAnsi="宋体" w:cs="宋体"/>
          <w:szCs w:val="21"/>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 xml:space="preserve">签字(签章)：                   公章：                      </w:t>
      </w:r>
    </w:p>
    <w:p>
      <w:pPr>
        <w:spacing w:line="360" w:lineRule="auto"/>
        <w:rPr>
          <w:rFonts w:ascii="宋体" w:hAnsi="宋体" w:cs="宋体"/>
          <w:szCs w:val="21"/>
          <w:highlight w:val="none"/>
        </w:rPr>
      </w:pPr>
      <w:r>
        <w:rPr>
          <w:rFonts w:hint="eastAsia" w:ascii="宋体" w:hAnsi="宋体" w:cs="宋体"/>
          <w:szCs w:val="21"/>
          <w:highlight w:val="none"/>
        </w:rPr>
        <w:t xml:space="preserve">日期：    </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投诉书制作说明：</w:t>
      </w:r>
    </w:p>
    <w:p>
      <w:pPr>
        <w:widowControl/>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3.投诉人若对项目的某一分包进行投诉，投诉书应列明具体分包号。</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4.投诉书应简要列明质疑事项，质疑函、质疑答复等作为附件材料提供。</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5.投诉书的投诉事项应具体、明确，并有必要的事实依据和法律依据。</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6.投诉书的投诉请求应与投诉事项相关。</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highlight w:val="none"/>
        </w:rPr>
      </w:pPr>
    </w:p>
    <w:p>
      <w:pPr>
        <w:rPr>
          <w:rFonts w:ascii="宋体" w:hAnsi="宋体" w:cs="宋体"/>
          <w:highlight w:val="none"/>
        </w:rPr>
      </w:pPr>
      <w:r>
        <w:rPr>
          <w:rFonts w:hint="eastAsia" w:ascii="宋体" w:hAnsi="宋体" w:cs="宋体"/>
          <w:b/>
          <w:sz w:val="24"/>
          <w:highlight w:val="none"/>
        </w:rPr>
        <w:br w:type="page"/>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Cs w:val="21"/>
          <w:highlight w:val="none"/>
        </w:rPr>
      </w:pPr>
      <w:r>
        <w:rPr>
          <w:rFonts w:hint="eastAsia" w:ascii="宋体" w:hAnsi="宋体" w:cs="宋体"/>
          <w:szCs w:val="21"/>
          <w:highlight w:val="none"/>
          <w:u w:val="single"/>
        </w:rPr>
        <w:t>杭州第四中学新湾学校、浙江省建设工程设备招标有限公司</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val="zh-CN"/>
        </w:rPr>
        <w:t>我方</w:t>
      </w:r>
      <w:r>
        <w:rPr>
          <w:rFonts w:hint="eastAsia" w:ascii="宋体" w:hAnsi="宋体" w:cs="宋体"/>
          <w:kern w:val="0"/>
          <w:szCs w:val="21"/>
          <w:highlight w:val="none"/>
          <w:u w:val="single"/>
          <w:lang w:val="zh-CN"/>
        </w:rPr>
        <w:t xml:space="preserve">                         </w:t>
      </w:r>
      <w:r>
        <w:rPr>
          <w:rFonts w:hint="eastAsia" w:ascii="宋体" w:hAnsi="宋体" w:cs="宋体"/>
          <w:szCs w:val="21"/>
          <w:highlight w:val="none"/>
        </w:rPr>
        <w:t>(投标人全称)是中华人民共和国依法登记注册的合法企业，</w:t>
      </w:r>
      <w:r>
        <w:rPr>
          <w:rFonts w:hint="eastAsia" w:ascii="宋体" w:hAnsi="宋体" w:cs="宋体"/>
          <w:bCs/>
          <w:szCs w:val="21"/>
          <w:highlight w:val="none"/>
        </w:rPr>
        <w:t>在参加</w:t>
      </w:r>
      <w:r>
        <w:rPr>
          <w:rFonts w:hint="eastAsia" w:ascii="宋体" w:hAnsi="宋体" w:cs="宋体"/>
          <w:szCs w:val="21"/>
          <w:highlight w:val="none"/>
        </w:rPr>
        <w:t>你方组织的</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项目【招标编号：</w:t>
      </w:r>
      <w:r>
        <w:rPr>
          <w:rFonts w:hint="eastAsia" w:ascii="宋体" w:hAnsi="宋体" w:cs="宋体"/>
          <w:szCs w:val="21"/>
          <w:highlight w:val="none"/>
          <w:lang w:eastAsia="zh-CN"/>
        </w:rPr>
        <w:t>ZJZBC-22-717</w:t>
      </w:r>
      <w:r>
        <w:rPr>
          <w:rFonts w:hint="eastAsia" w:ascii="宋体" w:hAnsi="宋体" w:cs="宋体"/>
          <w:szCs w:val="21"/>
          <w:highlight w:val="none"/>
        </w:rPr>
        <w:t>】</w:t>
      </w:r>
      <w:r>
        <w:rPr>
          <w:rFonts w:hint="eastAsia" w:ascii="宋体" w:hAnsi="宋体" w:cs="宋体"/>
          <w:bCs/>
          <w:szCs w:val="21"/>
          <w:highlight w:val="none"/>
        </w:rPr>
        <w:t>投标活动中作如下说明：</w:t>
      </w:r>
      <w:r>
        <w:rPr>
          <w:rFonts w:hint="eastAsia" w:ascii="宋体" w:hAnsi="宋体" w:cs="宋体"/>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特此说明。</w:t>
      </w:r>
    </w:p>
    <w:p>
      <w:pPr>
        <w:spacing w:line="360" w:lineRule="auto"/>
        <w:ind w:firstLine="494"/>
        <w:rPr>
          <w:rFonts w:ascii="宋体" w:hAnsi="宋体" w:cs="宋体"/>
          <w:szCs w:val="21"/>
          <w:highlight w:val="none"/>
        </w:rPr>
      </w:pPr>
    </w:p>
    <w:p>
      <w:pPr>
        <w:spacing w:line="360" w:lineRule="auto"/>
        <w:ind w:firstLine="494"/>
        <w:rPr>
          <w:rFonts w:ascii="宋体" w:hAnsi="宋体" w:cs="宋体"/>
          <w:szCs w:val="21"/>
          <w:highlight w:val="none"/>
        </w:rPr>
      </w:pPr>
    </w:p>
    <w:p>
      <w:pPr>
        <w:spacing w:line="360" w:lineRule="auto"/>
        <w:ind w:firstLine="494"/>
        <w:rPr>
          <w:rFonts w:ascii="宋体" w:hAnsi="宋体" w:cs="宋体"/>
          <w:szCs w:val="21"/>
          <w:highlight w:val="none"/>
        </w:rPr>
      </w:pPr>
    </w:p>
    <w:p>
      <w:pPr>
        <w:spacing w:line="360" w:lineRule="auto"/>
        <w:ind w:firstLine="494"/>
        <w:rPr>
          <w:rFonts w:ascii="宋体" w:hAnsi="宋体" w:cs="宋体"/>
          <w:szCs w:val="21"/>
          <w:highlight w:val="none"/>
        </w:rPr>
      </w:pPr>
    </w:p>
    <w:p>
      <w:pPr>
        <w:spacing w:line="360" w:lineRule="auto"/>
        <w:ind w:right="480" w:firstLine="3570" w:firstLineChars="1700"/>
        <w:rPr>
          <w:rFonts w:ascii="宋体" w:hAnsi="宋体" w:cs="宋体"/>
          <w:szCs w:val="21"/>
          <w:highlight w:val="none"/>
        </w:rPr>
      </w:pPr>
      <w:r>
        <w:rPr>
          <w:rFonts w:hint="eastAsia" w:ascii="宋体" w:hAnsi="宋体" w:cs="宋体"/>
          <w:szCs w:val="21"/>
          <w:highlight w:val="none"/>
        </w:rPr>
        <w:t>投标单位（法定名称章）：</w:t>
      </w:r>
    </w:p>
    <w:p>
      <w:pPr>
        <w:ind w:right="1440" w:firstLine="494"/>
        <w:jc w:val="center"/>
        <w:rPr>
          <w:rFonts w:ascii="宋体" w:hAnsi="宋体" w:cs="宋体"/>
          <w:szCs w:val="21"/>
          <w:highlight w:val="none"/>
        </w:rPr>
      </w:pPr>
      <w:r>
        <w:rPr>
          <w:rFonts w:hint="eastAsia" w:ascii="宋体" w:hAnsi="宋体" w:cs="宋体"/>
          <w:szCs w:val="21"/>
          <w:highlight w:val="none"/>
        </w:rPr>
        <w:t xml:space="preserve">                              日期：       年     月     日</w:t>
      </w:r>
    </w:p>
    <w:p>
      <w:pPr>
        <w:rPr>
          <w:rFonts w:ascii="宋体" w:hAnsi="宋体" w:cs="宋体"/>
          <w:szCs w:val="21"/>
          <w:highlight w:val="none"/>
        </w:rPr>
      </w:pPr>
      <w:r>
        <w:rPr>
          <w:rFonts w:hint="eastAsia" w:ascii="宋体" w:hAnsi="宋体" w:cs="宋体"/>
          <w:b/>
          <w:bCs/>
          <w:szCs w:val="21"/>
          <w:highlight w:val="none"/>
        </w:rPr>
        <w:t>附：</w:t>
      </w:r>
    </w:p>
    <w:p>
      <w:pPr>
        <w:spacing w:line="360" w:lineRule="auto"/>
        <w:rPr>
          <w:rFonts w:ascii="宋体" w:hAnsi="宋体" w:cs="宋体"/>
          <w:bCs/>
          <w:szCs w:val="21"/>
          <w:highlight w:val="none"/>
        </w:rPr>
      </w:pPr>
      <w:r>
        <w:rPr>
          <w:rFonts w:ascii="宋体" w:hAnsi="宋体" w:cs="宋体"/>
          <w:b/>
          <w:bCs/>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txbxContent>
                </v:textbox>
              </v:rect>
            </w:pict>
          </mc:Fallback>
        </mc:AlternateContent>
      </w:r>
      <w:r>
        <w:rPr>
          <w:rFonts w:ascii="宋体" w:hAnsi="宋体" w:cs="宋体"/>
          <w:b/>
          <w:bCs/>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txbxContent>
                </v:textbox>
              </v:rect>
            </w:pict>
          </mc:Fallback>
        </mc:AlternateContent>
      </w:r>
      <w:r>
        <w:rPr>
          <w:rFonts w:hint="eastAsia" w:ascii="宋体" w:hAnsi="宋体" w:cs="宋体"/>
          <w:szCs w:val="21"/>
          <w:highlight w:val="none"/>
        </w:rPr>
        <w:t>投标单位法定名称章（印模）                投标单位“XX专用章”（印模）</w:t>
      </w:r>
    </w:p>
    <w:p>
      <w:pPr>
        <w:autoSpaceDE w:val="0"/>
        <w:autoSpaceDN w:val="0"/>
        <w:jc w:val="center"/>
        <w:rPr>
          <w:rFonts w:ascii="宋体" w:hAnsi="宋体" w:cs="宋体"/>
          <w:b/>
          <w:spacing w:val="6"/>
          <w:szCs w:val="21"/>
          <w:highlight w:val="none"/>
        </w:rPr>
      </w:pPr>
    </w:p>
    <w:p>
      <w:pPr>
        <w:autoSpaceDE w:val="0"/>
        <w:autoSpaceDN w:val="0"/>
        <w:jc w:val="center"/>
        <w:rPr>
          <w:rFonts w:ascii="宋体" w:hAnsi="宋体" w:cs="宋体"/>
          <w:b/>
          <w:spacing w:val="6"/>
          <w:szCs w:val="21"/>
          <w:highlight w:val="none"/>
        </w:rPr>
      </w:pPr>
    </w:p>
    <w:p>
      <w:pPr>
        <w:autoSpaceDE w:val="0"/>
        <w:autoSpaceDN w:val="0"/>
        <w:jc w:val="center"/>
        <w:rPr>
          <w:rFonts w:ascii="宋体" w:hAnsi="宋体" w:cs="宋体"/>
          <w:b/>
          <w:spacing w:val="6"/>
          <w:szCs w:val="21"/>
          <w:highlight w:val="none"/>
        </w:rPr>
      </w:pPr>
    </w:p>
    <w:p>
      <w:pPr>
        <w:autoSpaceDE w:val="0"/>
        <w:autoSpaceDN w:val="0"/>
        <w:jc w:val="center"/>
        <w:rPr>
          <w:rFonts w:ascii="宋体" w:hAnsi="宋体" w:cs="宋体"/>
          <w:b/>
          <w:spacing w:val="6"/>
          <w:szCs w:val="21"/>
          <w:highlight w:val="none"/>
        </w:rPr>
      </w:pPr>
    </w:p>
    <w:p>
      <w:pPr>
        <w:autoSpaceDE w:val="0"/>
        <w:autoSpaceDN w:val="0"/>
        <w:jc w:val="center"/>
        <w:rPr>
          <w:rFonts w:ascii="宋体" w:hAnsi="宋体" w:cs="宋体"/>
          <w:b/>
          <w:spacing w:val="6"/>
          <w:szCs w:val="21"/>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rPr>
          <w:rFonts w:ascii="宋体" w:hAnsi="宋体" w:cs="宋体"/>
          <w:highlight w:val="none"/>
        </w:rPr>
      </w:pPr>
      <w:r>
        <w:rPr>
          <w:rFonts w:hint="eastAsia" w:ascii="宋体" w:hAnsi="宋体" w:cs="宋体"/>
          <w:b/>
          <w:spacing w:val="6"/>
          <w:sz w:val="32"/>
          <w:szCs w:val="32"/>
          <w:highlight w:val="none"/>
        </w:rPr>
        <w:br w:type="page"/>
      </w: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本公司（联合体）郑重声明，根据《政府采购促进中小企业发展管理办法》（财库﹝2020﹞46 号）的规定，本公司（联合体）参加 （单位名称） 的 </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rPr>
        <w:t>（标的名称）</w:t>
      </w:r>
      <w:r>
        <w:rPr>
          <w:rFonts w:hint="eastAsia" w:ascii="宋体" w:hAnsi="宋体" w:cs="宋体"/>
          <w:szCs w:val="21"/>
          <w:highlight w:val="none"/>
        </w:rPr>
        <w:t xml:space="preserve"> ，属于 </w:t>
      </w:r>
      <w:r>
        <w:rPr>
          <w:rFonts w:hint="eastAsia" w:ascii="宋体" w:hAnsi="宋体" w:cs="宋体"/>
          <w:szCs w:val="21"/>
          <w:highlight w:val="none"/>
          <w:u w:val="single"/>
        </w:rPr>
        <w:t>（招标文件中明确的所属行业）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（标的名称）</w:t>
      </w:r>
      <w:r>
        <w:rPr>
          <w:rFonts w:hint="eastAsia" w:ascii="宋体" w:hAnsi="宋体" w:cs="宋体"/>
          <w:szCs w:val="21"/>
          <w:highlight w:val="none"/>
        </w:rPr>
        <w:t xml:space="preserve"> ，属于 </w:t>
      </w:r>
      <w:r>
        <w:rPr>
          <w:rFonts w:hint="eastAsia" w:ascii="宋体" w:hAnsi="宋体" w:cs="宋体"/>
          <w:szCs w:val="21"/>
          <w:highlight w:val="none"/>
          <w:u w:val="single"/>
        </w:rPr>
        <w:t>（招标文件中明确的所属行业）</w:t>
      </w:r>
      <w:r>
        <w:rPr>
          <w:rFonts w:hint="eastAsia" w:ascii="宋体" w:hAnsi="宋体" w:cs="宋体"/>
          <w:szCs w:val="21"/>
          <w:highlight w:val="none"/>
        </w:rPr>
        <w:t>行业 ；制造商为</w:t>
      </w:r>
      <w:r>
        <w:rPr>
          <w:rFonts w:hint="eastAsia" w:ascii="宋体" w:hAnsi="宋体" w:cs="宋体"/>
          <w:szCs w:val="21"/>
          <w:highlight w:val="none"/>
          <w:u w:val="single"/>
        </w:rPr>
        <w:t xml:space="preserve"> （企业名称）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napToGrid w:val="0"/>
        <w:spacing w:line="360" w:lineRule="auto"/>
        <w:ind w:firstLine="4515" w:firstLineChars="2150"/>
        <w:rPr>
          <w:rFonts w:ascii="宋体" w:hAnsi="宋体" w:cs="宋体"/>
          <w:kern w:val="0"/>
          <w:szCs w:val="21"/>
          <w:highlight w:val="none"/>
        </w:rPr>
      </w:pPr>
      <w:r>
        <w:rPr>
          <w:rFonts w:hint="eastAsia" w:ascii="宋体" w:hAnsi="宋体" w:cs="宋体"/>
          <w:kern w:val="0"/>
          <w:szCs w:val="21"/>
          <w:highlight w:val="none"/>
          <w:lang w:val="zh-CN"/>
        </w:rPr>
        <w:t>投标人名称(电子签名)：</w:t>
      </w:r>
    </w:p>
    <w:p>
      <w:pPr>
        <w:snapToGrid w:val="0"/>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 xml:space="preserve">                                           日期</w:t>
      </w:r>
      <w:r>
        <w:rPr>
          <w:rFonts w:hint="eastAsia" w:ascii="宋体" w:hAnsi="宋体" w:cs="宋体"/>
          <w:kern w:val="0"/>
          <w:szCs w:val="21"/>
          <w:highlight w:val="none"/>
        </w:rPr>
        <w:t xml:space="preserve">：  年  </w:t>
      </w:r>
      <w:r>
        <w:rPr>
          <w:rFonts w:hint="eastAsia" w:ascii="宋体" w:hAnsi="宋体" w:cs="宋体"/>
          <w:kern w:val="0"/>
          <w:szCs w:val="21"/>
          <w:highlight w:val="none"/>
          <w:lang w:val="zh-CN"/>
        </w:rPr>
        <w:t>月</w:t>
      </w:r>
      <w:r>
        <w:rPr>
          <w:rFonts w:hint="eastAsia" w:ascii="宋体" w:hAnsi="宋体" w:cs="宋体"/>
          <w:kern w:val="0"/>
          <w:szCs w:val="21"/>
          <w:highlight w:val="none"/>
        </w:rPr>
        <w:t xml:space="preserve">   </w:t>
      </w:r>
      <w:r>
        <w:rPr>
          <w:rFonts w:hint="eastAsia" w:ascii="宋体" w:hAnsi="宋体" w:cs="宋体"/>
          <w:kern w:val="0"/>
          <w:szCs w:val="21"/>
          <w:highlight w:val="none"/>
          <w:lang w:val="zh-CN"/>
        </w:rPr>
        <w:t>日</w:t>
      </w:r>
    </w:p>
    <w:p>
      <w:pPr>
        <w:spacing w:line="360" w:lineRule="auto"/>
        <w:jc w:val="left"/>
        <w:rPr>
          <w:rFonts w:ascii="宋体" w:hAnsi="宋体" w:cs="宋体"/>
          <w:szCs w:val="21"/>
          <w:highlight w:val="none"/>
        </w:rPr>
      </w:pPr>
      <w:r>
        <w:rPr>
          <w:rFonts w:hint="eastAsia" w:ascii="宋体" w:hAnsi="宋体" w:cs="宋体"/>
          <w:szCs w:val="21"/>
          <w:highlight w:val="none"/>
        </w:rPr>
        <w:t>注：从业人员、营业收入、资产总额填报上一年度数据，无上一年度数据的新成立企业可不填报。</w:t>
      </w:r>
    </w:p>
    <w:p>
      <w:pPr>
        <w:spacing w:line="360" w:lineRule="auto"/>
        <w:ind w:right="420" w:firstLine="420" w:firstLineChars="200"/>
        <w:rPr>
          <w:rFonts w:ascii="宋体" w:hAnsi="宋体" w:cs="宋体"/>
          <w:b/>
          <w:szCs w:val="21"/>
          <w:highlight w:val="none"/>
        </w:rPr>
      </w:pPr>
      <w:r>
        <w:rPr>
          <w:rFonts w:hint="eastAsia" w:ascii="宋体" w:hAnsi="宋体" w:cs="宋体"/>
          <w:szCs w:val="21"/>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widowControl/>
        <w:adjustRightInd/>
        <w:jc w:val="left"/>
        <w:rPr>
          <w:rFonts w:ascii="宋体" w:hAnsi="宋体" w:cs="宋体"/>
          <w:b/>
          <w:sz w:val="32"/>
          <w:szCs w:val="32"/>
          <w:highlight w:val="none"/>
        </w:rPr>
      </w:pPr>
      <w:r>
        <w:rPr>
          <w:rFonts w:hint="eastAsia" w:ascii="宋体" w:hAnsi="宋体" w:cs="宋体"/>
          <w:b/>
          <w:sz w:val="32"/>
          <w:szCs w:val="32"/>
          <w:highlight w:val="none"/>
        </w:rPr>
        <w:br w:type="page"/>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中小企业声明函（工程、服务）</w:t>
      </w:r>
    </w:p>
    <w:p>
      <w:pPr>
        <w:spacing w:line="360" w:lineRule="auto"/>
        <w:rPr>
          <w:rFonts w:ascii="宋体" w:hAnsi="宋体" w:cs="宋体"/>
          <w:highlight w:val="none"/>
        </w:rPr>
      </w:pPr>
    </w:p>
    <w:p>
      <w:pP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 xml:space="preserve">本公司（联合体）郑重声明，根据《政府采购促进中小企业发展管理办法》（财库﹝2020﹞46 号）的规定，本公司（联合体）参加 （单位名称） 的 </w:t>
      </w:r>
      <w:r>
        <w:rPr>
          <w:rFonts w:hint="eastAsia" w:ascii="宋体" w:hAnsi="宋体" w:cs="宋体"/>
          <w:szCs w:val="21"/>
          <w:highlight w:val="none"/>
          <w:lang w:eastAsia="zh-CN"/>
        </w:rPr>
        <w:t>杭州第四中学新湾学校校园网络及综合布线项目</w:t>
      </w:r>
      <w:r>
        <w:rPr>
          <w:rFonts w:hint="eastAsia" w:ascii="宋体" w:hAnsi="宋体" w:cs="宋体"/>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rPr>
        <w:t>（标的名称）</w:t>
      </w:r>
      <w:r>
        <w:rPr>
          <w:rFonts w:hint="eastAsia" w:ascii="宋体" w:hAnsi="宋体" w:cs="宋体"/>
          <w:szCs w:val="21"/>
          <w:highlight w:val="none"/>
        </w:rPr>
        <w:t xml:space="preserve">，属于 </w:t>
      </w:r>
      <w:r>
        <w:rPr>
          <w:rFonts w:hint="eastAsia" w:ascii="宋体" w:hAnsi="宋体" w:cs="宋体"/>
          <w:szCs w:val="21"/>
          <w:highlight w:val="none"/>
          <w:u w:val="single"/>
        </w:rPr>
        <w:t>（招标文件中明确的所属行业）</w:t>
      </w:r>
      <w:r>
        <w:rPr>
          <w:rFonts w:hint="eastAsia" w:ascii="宋体" w:hAnsi="宋体" w:cs="宋体"/>
          <w:szCs w:val="21"/>
          <w:highlight w:val="none"/>
        </w:rPr>
        <w:t xml:space="preserve"> ；承建（承接）企业为 </w:t>
      </w:r>
      <w:r>
        <w:rPr>
          <w:rFonts w:hint="eastAsia" w:ascii="宋体" w:hAnsi="宋体" w:cs="宋体"/>
          <w:szCs w:val="21"/>
          <w:highlight w:val="none"/>
          <w:u w:val="single"/>
        </w:rPr>
        <w:t>（企业名称）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 </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（标的名称）</w:t>
      </w:r>
      <w:r>
        <w:rPr>
          <w:rFonts w:hint="eastAsia" w:ascii="宋体" w:hAnsi="宋体" w:cs="宋体"/>
          <w:szCs w:val="21"/>
          <w:highlight w:val="none"/>
        </w:rPr>
        <w:t xml:space="preserve">，属于 </w:t>
      </w:r>
      <w:r>
        <w:rPr>
          <w:rFonts w:hint="eastAsia" w:ascii="宋体" w:hAnsi="宋体" w:cs="宋体"/>
          <w:szCs w:val="21"/>
          <w:highlight w:val="none"/>
          <w:u w:val="single"/>
        </w:rPr>
        <w:t>（招标文件中明确的所属行业）</w:t>
      </w:r>
      <w:r>
        <w:rPr>
          <w:rFonts w:hint="eastAsia" w:ascii="宋体" w:hAnsi="宋体" w:cs="宋体"/>
          <w:szCs w:val="21"/>
          <w:highlight w:val="none"/>
        </w:rPr>
        <w:t xml:space="preserve"> ；承建（承接）企业为 </w:t>
      </w:r>
      <w:r>
        <w:rPr>
          <w:rFonts w:hint="eastAsia" w:ascii="宋体" w:hAnsi="宋体" w:cs="宋体"/>
          <w:szCs w:val="21"/>
          <w:highlight w:val="none"/>
          <w:u w:val="single"/>
        </w:rPr>
        <w:t>（企业名称）</w:t>
      </w:r>
      <w:r>
        <w:rPr>
          <w:rFonts w:hint="eastAsia" w:ascii="宋体" w:hAnsi="宋体" w:cs="宋体"/>
          <w:szCs w:val="21"/>
          <w:highlight w:val="none"/>
        </w:rPr>
        <w:t xml:space="preserve"> ，从业人员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szCs w:val="21"/>
          <w:highlight w:val="none"/>
          <w:u w:val="single"/>
        </w:rPr>
        <w:t xml:space="preserve"> （中型企业、小型企业、微型企业） </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pacing w:line="360" w:lineRule="auto"/>
        <w:ind w:right="1760"/>
        <w:jc w:val="right"/>
        <w:rPr>
          <w:rFonts w:ascii="宋体" w:hAnsi="宋体" w:cs="宋体"/>
          <w:szCs w:val="21"/>
          <w:highlight w:val="none"/>
        </w:rPr>
      </w:pPr>
      <w:r>
        <w:rPr>
          <w:rFonts w:hint="eastAsia" w:ascii="宋体" w:hAnsi="宋体" w:cs="宋体"/>
          <w:szCs w:val="21"/>
          <w:highlight w:val="none"/>
        </w:rPr>
        <w:t>投标人名称（电子签名）：</w:t>
      </w:r>
    </w:p>
    <w:p>
      <w:pPr>
        <w:spacing w:line="360" w:lineRule="auto"/>
        <w:ind w:right="1120" w:firstLine="4095" w:firstLineChars="1950"/>
        <w:rPr>
          <w:rFonts w:ascii="宋体" w:hAnsi="宋体" w:cs="宋体"/>
          <w:szCs w:val="21"/>
          <w:highlight w:val="none"/>
        </w:rPr>
      </w:pPr>
      <w:r>
        <w:rPr>
          <w:rFonts w:hint="eastAsia" w:ascii="宋体" w:hAnsi="宋体" w:cs="宋体"/>
          <w:szCs w:val="21"/>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Cs w:val="21"/>
          <w:highlight w:val="none"/>
        </w:rPr>
      </w:pPr>
    </w:p>
    <w:p>
      <w:pPr>
        <w:spacing w:line="360" w:lineRule="auto"/>
        <w:ind w:right="420"/>
        <w:rPr>
          <w:rFonts w:ascii="宋体" w:hAnsi="宋体" w:cs="宋体"/>
          <w:szCs w:val="21"/>
          <w:highlight w:val="none"/>
        </w:rPr>
      </w:pPr>
      <w:r>
        <w:rPr>
          <w:rFonts w:hint="eastAsia" w:ascii="宋体" w:hAnsi="宋体" w:cs="宋体"/>
          <w:szCs w:val="21"/>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highlight w:val="none"/>
        </w:rPr>
      </w:pPr>
    </w:p>
    <w:p>
      <w:pPr>
        <w:spacing w:line="360" w:lineRule="auto"/>
        <w:ind w:right="420"/>
        <w:rPr>
          <w:rFonts w:ascii="宋体" w:hAnsi="宋体" w:cs="宋体"/>
          <w:highlight w:val="none"/>
        </w:rPr>
      </w:pPr>
    </w:p>
    <w:p>
      <w:pPr>
        <w:spacing w:line="360" w:lineRule="auto"/>
        <w:rPr>
          <w:rFonts w:ascii="宋体" w:hAnsi="宋体" w:cs="宋体"/>
          <w:bCs/>
          <w:sz w:val="24"/>
          <w:highlight w:val="none"/>
        </w:rPr>
      </w:pPr>
    </w:p>
    <w:bookmarkEnd w:id="558"/>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54" w:name="_Toc36110187"/>
    <w:bookmarkStart w:id="555" w:name="_Toc164085800"/>
    <w:bookmarkStart w:id="556" w:name="_Toc13184514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w:t>
    </w:r>
    <w:r>
      <w:rPr>
        <w:rFonts w:hint="eastAsia"/>
      </w:rPr>
      <w:t>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w:t>
    </w:r>
    <w:r>
      <w:rPr>
        <w:rFonts w:hint="eastAsia"/>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 xml:space="preserve">                                                  </w:t>
    </w:r>
    <w:r>
      <w:t>杭州市政府采购公开</w:t>
    </w:r>
    <w:r>
      <w:rPr>
        <w:rFonts w:hint="eastAsia"/>
      </w:rPr>
      <w:t>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u w:val="single"/>
      </w:rPr>
    </w:pPr>
    <w:r>
      <w:rPr>
        <w:rFonts w:hint="eastAsia"/>
      </w:rPr>
      <w:t xml:space="preserve">                                  </w:t>
    </w:r>
    <w:r>
      <w:t>杭州市政府采购公开</w:t>
    </w:r>
    <w:r>
      <w:rPr>
        <w:rFonts w:hint="eastAsia"/>
      </w:rPr>
      <w:t>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w:t>
    </w:r>
    <w:r>
      <w:rPr>
        <w:rFonts w:hint="eastAsia"/>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iCs/>
        <w:u w:val="single"/>
      </w:rPr>
    </w:pPr>
    <w:r>
      <w:t>杭州市政府采购公开</w:t>
    </w:r>
    <w:r>
      <w:rPr>
        <w:rFonts w:hint="eastAsia"/>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AE965"/>
    <w:multiLevelType w:val="singleLevel"/>
    <w:tmpl w:val="ACDAE965"/>
    <w:lvl w:ilvl="0" w:tentative="0">
      <w:start w:val="7"/>
      <w:numFmt w:val="chineseCounting"/>
      <w:suff w:val="nothing"/>
      <w:lvlText w:val="%1、"/>
      <w:lvlJc w:val="left"/>
      <w:rPr>
        <w:rFonts w:hint="eastAsia"/>
      </w:rPr>
    </w:lvl>
  </w:abstractNum>
  <w:abstractNum w:abstractNumId="1">
    <w:nsid w:val="C2A69DDE"/>
    <w:multiLevelType w:val="singleLevel"/>
    <w:tmpl w:val="C2A69DDE"/>
    <w:lvl w:ilvl="0" w:tentative="0">
      <w:start w:val="1"/>
      <w:numFmt w:val="chineseCounting"/>
      <w:suff w:val="nothing"/>
      <w:lvlText w:val="%1、"/>
      <w:lvlJc w:val="left"/>
      <w:pPr>
        <w:ind w:left="0" w:firstLine="420"/>
      </w:pPr>
      <w:rPr>
        <w:rFonts w:hint="eastAsia"/>
      </w:rPr>
    </w:lvl>
  </w:abstractNum>
  <w:abstractNum w:abstractNumId="2">
    <w:nsid w:val="1129064B"/>
    <w:multiLevelType w:val="multilevel"/>
    <w:tmpl w:val="112906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E3D490"/>
    <w:multiLevelType w:val="singleLevel"/>
    <w:tmpl w:val="2CE3D490"/>
    <w:lvl w:ilvl="0" w:tentative="0">
      <w:start w:val="3"/>
      <w:numFmt w:val="chineseCounting"/>
      <w:suff w:val="nothing"/>
      <w:lvlText w:val="%1）"/>
      <w:lvlJc w:val="left"/>
      <w:rPr>
        <w:rFonts w:hint="eastAsia"/>
      </w:rPr>
    </w:lvl>
  </w:abstractNum>
  <w:abstractNum w:abstractNumId="4">
    <w:nsid w:val="34446DA2"/>
    <w:multiLevelType w:val="singleLevel"/>
    <w:tmpl w:val="34446DA2"/>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9FB"/>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57D77"/>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C1E"/>
    <w:rsid w:val="00090ED8"/>
    <w:rsid w:val="00090F9F"/>
    <w:rsid w:val="0009145F"/>
    <w:rsid w:val="0009184E"/>
    <w:rsid w:val="00091B4E"/>
    <w:rsid w:val="00092467"/>
    <w:rsid w:val="000925A0"/>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B61"/>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E61"/>
    <w:rsid w:val="000B456C"/>
    <w:rsid w:val="000B45B9"/>
    <w:rsid w:val="000B47CE"/>
    <w:rsid w:val="000B4B56"/>
    <w:rsid w:val="000B4C62"/>
    <w:rsid w:val="000B541D"/>
    <w:rsid w:val="000B54C1"/>
    <w:rsid w:val="000B5553"/>
    <w:rsid w:val="000B5FE8"/>
    <w:rsid w:val="000B666E"/>
    <w:rsid w:val="000B7C67"/>
    <w:rsid w:val="000C0A43"/>
    <w:rsid w:val="000C0CB1"/>
    <w:rsid w:val="000C1411"/>
    <w:rsid w:val="000C1ADE"/>
    <w:rsid w:val="000C1C38"/>
    <w:rsid w:val="000C21DC"/>
    <w:rsid w:val="000C2264"/>
    <w:rsid w:val="000C256B"/>
    <w:rsid w:val="000C347C"/>
    <w:rsid w:val="000C3970"/>
    <w:rsid w:val="000C3B1A"/>
    <w:rsid w:val="000C4727"/>
    <w:rsid w:val="000C47AE"/>
    <w:rsid w:val="000C4C6A"/>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A8C"/>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2FF"/>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2EF"/>
    <w:rsid w:val="00136762"/>
    <w:rsid w:val="00136E33"/>
    <w:rsid w:val="0013773D"/>
    <w:rsid w:val="0014042F"/>
    <w:rsid w:val="00140693"/>
    <w:rsid w:val="001409A7"/>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3D36"/>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A1B"/>
    <w:rsid w:val="001C31F5"/>
    <w:rsid w:val="001C6047"/>
    <w:rsid w:val="001C6698"/>
    <w:rsid w:val="001C6C5B"/>
    <w:rsid w:val="001C7399"/>
    <w:rsid w:val="001C759D"/>
    <w:rsid w:val="001C7CE0"/>
    <w:rsid w:val="001D005B"/>
    <w:rsid w:val="001D0947"/>
    <w:rsid w:val="001D16F5"/>
    <w:rsid w:val="001D1970"/>
    <w:rsid w:val="001D1A4E"/>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B8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BE5"/>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CA4"/>
    <w:rsid w:val="0024415B"/>
    <w:rsid w:val="00245565"/>
    <w:rsid w:val="002458C1"/>
    <w:rsid w:val="00245E62"/>
    <w:rsid w:val="002460D0"/>
    <w:rsid w:val="00246357"/>
    <w:rsid w:val="002467E4"/>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36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82"/>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FF"/>
    <w:rsid w:val="002C327D"/>
    <w:rsid w:val="002C3890"/>
    <w:rsid w:val="002C3AD9"/>
    <w:rsid w:val="002C4286"/>
    <w:rsid w:val="002C43FC"/>
    <w:rsid w:val="002C45C3"/>
    <w:rsid w:val="002C483B"/>
    <w:rsid w:val="002C4DFE"/>
    <w:rsid w:val="002C519E"/>
    <w:rsid w:val="002C5A5C"/>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671"/>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035"/>
    <w:rsid w:val="003272A3"/>
    <w:rsid w:val="003272E4"/>
    <w:rsid w:val="00327B71"/>
    <w:rsid w:val="00330F77"/>
    <w:rsid w:val="00331461"/>
    <w:rsid w:val="003316A8"/>
    <w:rsid w:val="00331C80"/>
    <w:rsid w:val="00331CC9"/>
    <w:rsid w:val="003320D7"/>
    <w:rsid w:val="00332265"/>
    <w:rsid w:val="00332862"/>
    <w:rsid w:val="00332D52"/>
    <w:rsid w:val="00333337"/>
    <w:rsid w:val="00333A28"/>
    <w:rsid w:val="00333B6C"/>
    <w:rsid w:val="00334927"/>
    <w:rsid w:val="00334E1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AE"/>
    <w:rsid w:val="00374677"/>
    <w:rsid w:val="0037510C"/>
    <w:rsid w:val="00375850"/>
    <w:rsid w:val="0037632F"/>
    <w:rsid w:val="00377B26"/>
    <w:rsid w:val="00381014"/>
    <w:rsid w:val="00381604"/>
    <w:rsid w:val="00381C68"/>
    <w:rsid w:val="00381F60"/>
    <w:rsid w:val="00383204"/>
    <w:rsid w:val="00383AB0"/>
    <w:rsid w:val="0038418B"/>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5DC"/>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3F7"/>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BA"/>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04"/>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88"/>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5E"/>
    <w:rsid w:val="005424C2"/>
    <w:rsid w:val="005426B2"/>
    <w:rsid w:val="00543519"/>
    <w:rsid w:val="00543640"/>
    <w:rsid w:val="00544019"/>
    <w:rsid w:val="005444C6"/>
    <w:rsid w:val="00544BF9"/>
    <w:rsid w:val="00544F05"/>
    <w:rsid w:val="00544FCC"/>
    <w:rsid w:val="005454B8"/>
    <w:rsid w:val="00545ACB"/>
    <w:rsid w:val="00545DB9"/>
    <w:rsid w:val="00545E23"/>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7B7"/>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CC"/>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6F4F"/>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F21"/>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B88"/>
    <w:rsid w:val="00625008"/>
    <w:rsid w:val="0062548B"/>
    <w:rsid w:val="00626710"/>
    <w:rsid w:val="00626930"/>
    <w:rsid w:val="00626AD3"/>
    <w:rsid w:val="00626BAC"/>
    <w:rsid w:val="006271C3"/>
    <w:rsid w:val="0062760D"/>
    <w:rsid w:val="00627B14"/>
    <w:rsid w:val="0063001E"/>
    <w:rsid w:val="00630023"/>
    <w:rsid w:val="006308EE"/>
    <w:rsid w:val="00630C70"/>
    <w:rsid w:val="00630D67"/>
    <w:rsid w:val="00631005"/>
    <w:rsid w:val="006310D4"/>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817"/>
    <w:rsid w:val="00642C69"/>
    <w:rsid w:val="0064330A"/>
    <w:rsid w:val="00643F89"/>
    <w:rsid w:val="00644011"/>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DEE"/>
    <w:rsid w:val="00671480"/>
    <w:rsid w:val="006717E7"/>
    <w:rsid w:val="00671FD5"/>
    <w:rsid w:val="006720BC"/>
    <w:rsid w:val="00672906"/>
    <w:rsid w:val="00672C73"/>
    <w:rsid w:val="00673B64"/>
    <w:rsid w:val="006743FC"/>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B4A"/>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E7B"/>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0A"/>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F1B"/>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5A"/>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468"/>
    <w:rsid w:val="00722A86"/>
    <w:rsid w:val="00722BC6"/>
    <w:rsid w:val="00722C69"/>
    <w:rsid w:val="0072311F"/>
    <w:rsid w:val="0072388C"/>
    <w:rsid w:val="0072454E"/>
    <w:rsid w:val="007249D1"/>
    <w:rsid w:val="00724FE4"/>
    <w:rsid w:val="00725829"/>
    <w:rsid w:val="00725D6A"/>
    <w:rsid w:val="007263A2"/>
    <w:rsid w:val="007266B9"/>
    <w:rsid w:val="00727351"/>
    <w:rsid w:val="0072761A"/>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20E"/>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206"/>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88E"/>
    <w:rsid w:val="007A5950"/>
    <w:rsid w:val="007A6D91"/>
    <w:rsid w:val="007A7618"/>
    <w:rsid w:val="007B00C9"/>
    <w:rsid w:val="007B02C7"/>
    <w:rsid w:val="007B0306"/>
    <w:rsid w:val="007B08E4"/>
    <w:rsid w:val="007B0D86"/>
    <w:rsid w:val="007B28C3"/>
    <w:rsid w:val="007B3A8E"/>
    <w:rsid w:val="007B3C9B"/>
    <w:rsid w:val="007B3F7A"/>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8A"/>
    <w:rsid w:val="007C21C5"/>
    <w:rsid w:val="007C2229"/>
    <w:rsid w:val="007C2313"/>
    <w:rsid w:val="007C3590"/>
    <w:rsid w:val="007C387A"/>
    <w:rsid w:val="007C3A0D"/>
    <w:rsid w:val="007C3EB0"/>
    <w:rsid w:val="007C43D6"/>
    <w:rsid w:val="007C47FF"/>
    <w:rsid w:val="007C543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91C"/>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C68"/>
    <w:rsid w:val="00823819"/>
    <w:rsid w:val="00823C4B"/>
    <w:rsid w:val="0082427D"/>
    <w:rsid w:val="00825441"/>
    <w:rsid w:val="00826855"/>
    <w:rsid w:val="00830052"/>
    <w:rsid w:val="008300D0"/>
    <w:rsid w:val="008308D8"/>
    <w:rsid w:val="00831C4B"/>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33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16"/>
    <w:rsid w:val="0088434F"/>
    <w:rsid w:val="00884371"/>
    <w:rsid w:val="008848E2"/>
    <w:rsid w:val="00884B7A"/>
    <w:rsid w:val="00884D47"/>
    <w:rsid w:val="008856C5"/>
    <w:rsid w:val="00886112"/>
    <w:rsid w:val="008872B3"/>
    <w:rsid w:val="00887392"/>
    <w:rsid w:val="0088766C"/>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C36"/>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894"/>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2FD5"/>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D2E"/>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905"/>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73"/>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5E5"/>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367"/>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1BAA"/>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E0D"/>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3B6"/>
    <w:rsid w:val="00AE6575"/>
    <w:rsid w:val="00AE71EE"/>
    <w:rsid w:val="00AF03CF"/>
    <w:rsid w:val="00AF0A0A"/>
    <w:rsid w:val="00AF0E32"/>
    <w:rsid w:val="00AF105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89"/>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2C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1F7B"/>
    <w:rsid w:val="00B52234"/>
    <w:rsid w:val="00B53623"/>
    <w:rsid w:val="00B53D1D"/>
    <w:rsid w:val="00B53E98"/>
    <w:rsid w:val="00B53F9B"/>
    <w:rsid w:val="00B540C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965"/>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2A"/>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5AB"/>
    <w:rsid w:val="00BC3BCB"/>
    <w:rsid w:val="00BC3CF1"/>
    <w:rsid w:val="00BC3D9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1"/>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F99"/>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A77"/>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EA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F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4A1"/>
    <w:rsid w:val="00CB0662"/>
    <w:rsid w:val="00CB0A82"/>
    <w:rsid w:val="00CB0F2F"/>
    <w:rsid w:val="00CB1556"/>
    <w:rsid w:val="00CB2913"/>
    <w:rsid w:val="00CB2B9E"/>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4FA"/>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6D93"/>
    <w:rsid w:val="00CD70DB"/>
    <w:rsid w:val="00CD7544"/>
    <w:rsid w:val="00CD78D4"/>
    <w:rsid w:val="00CE0697"/>
    <w:rsid w:val="00CE14CB"/>
    <w:rsid w:val="00CE2E2E"/>
    <w:rsid w:val="00CE3A51"/>
    <w:rsid w:val="00CE3AE6"/>
    <w:rsid w:val="00CE41F9"/>
    <w:rsid w:val="00CE4767"/>
    <w:rsid w:val="00CE59F6"/>
    <w:rsid w:val="00CE66CD"/>
    <w:rsid w:val="00CE6BA9"/>
    <w:rsid w:val="00CE71C3"/>
    <w:rsid w:val="00CE727A"/>
    <w:rsid w:val="00CF029C"/>
    <w:rsid w:val="00CF02B5"/>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B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77C"/>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6C5"/>
    <w:rsid w:val="00D5064C"/>
    <w:rsid w:val="00D50C94"/>
    <w:rsid w:val="00D511E7"/>
    <w:rsid w:val="00D517A9"/>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2C6"/>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6F4"/>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5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43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94"/>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DCF"/>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96"/>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32"/>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D1"/>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978"/>
    <w:rsid w:val="00E97D43"/>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D1F"/>
    <w:rsid w:val="00EC0F84"/>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AC5"/>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2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1DD"/>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85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B80"/>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D90"/>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D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45CB6"/>
    <w:rsid w:val="019F7441"/>
    <w:rsid w:val="01B37585"/>
    <w:rsid w:val="01CE4F7A"/>
    <w:rsid w:val="01D55165"/>
    <w:rsid w:val="01DF6BF8"/>
    <w:rsid w:val="01EC2C57"/>
    <w:rsid w:val="026B2E25"/>
    <w:rsid w:val="02824D4D"/>
    <w:rsid w:val="02DC4B10"/>
    <w:rsid w:val="02DD76CE"/>
    <w:rsid w:val="02F36323"/>
    <w:rsid w:val="02F5619C"/>
    <w:rsid w:val="0326446A"/>
    <w:rsid w:val="03280E59"/>
    <w:rsid w:val="032D5555"/>
    <w:rsid w:val="036634D2"/>
    <w:rsid w:val="037F593C"/>
    <w:rsid w:val="03DD35E4"/>
    <w:rsid w:val="04076900"/>
    <w:rsid w:val="041A5A3B"/>
    <w:rsid w:val="042311BA"/>
    <w:rsid w:val="042B157A"/>
    <w:rsid w:val="048F763B"/>
    <w:rsid w:val="049F330E"/>
    <w:rsid w:val="04AA775C"/>
    <w:rsid w:val="04AF1889"/>
    <w:rsid w:val="04F66F48"/>
    <w:rsid w:val="05251E14"/>
    <w:rsid w:val="05A16594"/>
    <w:rsid w:val="05A7762D"/>
    <w:rsid w:val="06085010"/>
    <w:rsid w:val="060E5941"/>
    <w:rsid w:val="06110FAF"/>
    <w:rsid w:val="06493CA7"/>
    <w:rsid w:val="065A6178"/>
    <w:rsid w:val="066F1CF3"/>
    <w:rsid w:val="06930BB8"/>
    <w:rsid w:val="07245D42"/>
    <w:rsid w:val="07264C62"/>
    <w:rsid w:val="0779354C"/>
    <w:rsid w:val="07F36615"/>
    <w:rsid w:val="08061376"/>
    <w:rsid w:val="081A5526"/>
    <w:rsid w:val="08452D77"/>
    <w:rsid w:val="086401F8"/>
    <w:rsid w:val="08751CAA"/>
    <w:rsid w:val="087E4C40"/>
    <w:rsid w:val="08D66AD6"/>
    <w:rsid w:val="08D8439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839DE"/>
    <w:rsid w:val="0A3E7710"/>
    <w:rsid w:val="0A581336"/>
    <w:rsid w:val="0A5B7E63"/>
    <w:rsid w:val="0A7D6541"/>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AA019C"/>
    <w:rsid w:val="0DCA30EF"/>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52AC8"/>
    <w:rsid w:val="10646583"/>
    <w:rsid w:val="107D4B15"/>
    <w:rsid w:val="108A3C80"/>
    <w:rsid w:val="10A31B29"/>
    <w:rsid w:val="10AB29FE"/>
    <w:rsid w:val="10BC794E"/>
    <w:rsid w:val="10C26171"/>
    <w:rsid w:val="10D41335"/>
    <w:rsid w:val="10E015C0"/>
    <w:rsid w:val="10F33360"/>
    <w:rsid w:val="10FC16EA"/>
    <w:rsid w:val="110F1D40"/>
    <w:rsid w:val="11266F33"/>
    <w:rsid w:val="113351B7"/>
    <w:rsid w:val="118963A1"/>
    <w:rsid w:val="11C6522A"/>
    <w:rsid w:val="11E104CC"/>
    <w:rsid w:val="11E20309"/>
    <w:rsid w:val="11F36B75"/>
    <w:rsid w:val="12255233"/>
    <w:rsid w:val="12530213"/>
    <w:rsid w:val="12654541"/>
    <w:rsid w:val="127723A9"/>
    <w:rsid w:val="12862074"/>
    <w:rsid w:val="12883966"/>
    <w:rsid w:val="129E45B4"/>
    <w:rsid w:val="12D81596"/>
    <w:rsid w:val="13072A44"/>
    <w:rsid w:val="13143247"/>
    <w:rsid w:val="135F4BE2"/>
    <w:rsid w:val="13700F85"/>
    <w:rsid w:val="139B1A0A"/>
    <w:rsid w:val="139D25C7"/>
    <w:rsid w:val="13BF3CE4"/>
    <w:rsid w:val="141008D8"/>
    <w:rsid w:val="14125FE6"/>
    <w:rsid w:val="146D271E"/>
    <w:rsid w:val="14982588"/>
    <w:rsid w:val="149A5AD9"/>
    <w:rsid w:val="14A7619D"/>
    <w:rsid w:val="14F81BF0"/>
    <w:rsid w:val="150536C3"/>
    <w:rsid w:val="150C1963"/>
    <w:rsid w:val="151447A0"/>
    <w:rsid w:val="154A6454"/>
    <w:rsid w:val="15715FBA"/>
    <w:rsid w:val="15762120"/>
    <w:rsid w:val="1674384A"/>
    <w:rsid w:val="168E50BE"/>
    <w:rsid w:val="16A8729C"/>
    <w:rsid w:val="16B33777"/>
    <w:rsid w:val="16BC70A7"/>
    <w:rsid w:val="16C6339E"/>
    <w:rsid w:val="172F2D79"/>
    <w:rsid w:val="17557BEF"/>
    <w:rsid w:val="176355FF"/>
    <w:rsid w:val="17D349C1"/>
    <w:rsid w:val="1830729E"/>
    <w:rsid w:val="1851627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044E"/>
    <w:rsid w:val="1BA209CF"/>
    <w:rsid w:val="1BB4777D"/>
    <w:rsid w:val="1BD75AB8"/>
    <w:rsid w:val="1C0459C2"/>
    <w:rsid w:val="1C1036BB"/>
    <w:rsid w:val="1C1B3B4A"/>
    <w:rsid w:val="1C88086E"/>
    <w:rsid w:val="1CDC3027"/>
    <w:rsid w:val="1CFD6D39"/>
    <w:rsid w:val="1D266CE1"/>
    <w:rsid w:val="1D2C6CA6"/>
    <w:rsid w:val="1D3963AF"/>
    <w:rsid w:val="1D3F69CF"/>
    <w:rsid w:val="1D594678"/>
    <w:rsid w:val="1D6A673C"/>
    <w:rsid w:val="1D9247AE"/>
    <w:rsid w:val="1DA36226"/>
    <w:rsid w:val="1DB567EC"/>
    <w:rsid w:val="1DED6B6E"/>
    <w:rsid w:val="1DF51A98"/>
    <w:rsid w:val="1E3D060F"/>
    <w:rsid w:val="1E3F7D2E"/>
    <w:rsid w:val="1E4134E4"/>
    <w:rsid w:val="1E5062B3"/>
    <w:rsid w:val="1E523514"/>
    <w:rsid w:val="1E714A66"/>
    <w:rsid w:val="1E7D04CD"/>
    <w:rsid w:val="1E802593"/>
    <w:rsid w:val="1EA703CC"/>
    <w:rsid w:val="1EB7330C"/>
    <w:rsid w:val="1EFD3FF2"/>
    <w:rsid w:val="1F0A0FF3"/>
    <w:rsid w:val="1F5771FF"/>
    <w:rsid w:val="1FB54F45"/>
    <w:rsid w:val="1FE868A9"/>
    <w:rsid w:val="1FF24910"/>
    <w:rsid w:val="20034907"/>
    <w:rsid w:val="20173E4B"/>
    <w:rsid w:val="201B5C14"/>
    <w:rsid w:val="204E48BC"/>
    <w:rsid w:val="20622EC2"/>
    <w:rsid w:val="208921B3"/>
    <w:rsid w:val="20924DED"/>
    <w:rsid w:val="20973DEB"/>
    <w:rsid w:val="20B26522"/>
    <w:rsid w:val="20B44310"/>
    <w:rsid w:val="211116EB"/>
    <w:rsid w:val="21112704"/>
    <w:rsid w:val="21240F9B"/>
    <w:rsid w:val="216133FC"/>
    <w:rsid w:val="21D56769"/>
    <w:rsid w:val="21E52EF3"/>
    <w:rsid w:val="21FB5D7B"/>
    <w:rsid w:val="220B1C3D"/>
    <w:rsid w:val="221D1D20"/>
    <w:rsid w:val="22334A87"/>
    <w:rsid w:val="22BE6801"/>
    <w:rsid w:val="22F4099F"/>
    <w:rsid w:val="231B5909"/>
    <w:rsid w:val="233500BF"/>
    <w:rsid w:val="23377FF7"/>
    <w:rsid w:val="23535CA9"/>
    <w:rsid w:val="235762AB"/>
    <w:rsid w:val="236B425F"/>
    <w:rsid w:val="23836192"/>
    <w:rsid w:val="23901F29"/>
    <w:rsid w:val="239C0061"/>
    <w:rsid w:val="23B908A4"/>
    <w:rsid w:val="23E95BEF"/>
    <w:rsid w:val="23FC3FAF"/>
    <w:rsid w:val="23FD0064"/>
    <w:rsid w:val="245375B0"/>
    <w:rsid w:val="24642C0A"/>
    <w:rsid w:val="24880917"/>
    <w:rsid w:val="24B22173"/>
    <w:rsid w:val="24B95AD9"/>
    <w:rsid w:val="24BE24DA"/>
    <w:rsid w:val="24CF5825"/>
    <w:rsid w:val="24D663E6"/>
    <w:rsid w:val="24D77F2B"/>
    <w:rsid w:val="24E1492D"/>
    <w:rsid w:val="256F348D"/>
    <w:rsid w:val="258B00E2"/>
    <w:rsid w:val="25A917A6"/>
    <w:rsid w:val="25BE27CC"/>
    <w:rsid w:val="25F74A5C"/>
    <w:rsid w:val="2628662C"/>
    <w:rsid w:val="262D45DE"/>
    <w:rsid w:val="26A10E3D"/>
    <w:rsid w:val="26A53EF9"/>
    <w:rsid w:val="26A94201"/>
    <w:rsid w:val="26AC274F"/>
    <w:rsid w:val="27044A29"/>
    <w:rsid w:val="271D34C8"/>
    <w:rsid w:val="276142BF"/>
    <w:rsid w:val="2776308C"/>
    <w:rsid w:val="27783712"/>
    <w:rsid w:val="27907362"/>
    <w:rsid w:val="2795275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C4600"/>
    <w:rsid w:val="2B437463"/>
    <w:rsid w:val="2B7807EE"/>
    <w:rsid w:val="2B82239E"/>
    <w:rsid w:val="2BBF00EC"/>
    <w:rsid w:val="2BC37CFD"/>
    <w:rsid w:val="2BD5237F"/>
    <w:rsid w:val="2BE536CE"/>
    <w:rsid w:val="2BE758D9"/>
    <w:rsid w:val="2C09049E"/>
    <w:rsid w:val="2C0A653C"/>
    <w:rsid w:val="2C191F85"/>
    <w:rsid w:val="2CE82D6F"/>
    <w:rsid w:val="2D343236"/>
    <w:rsid w:val="2D88240F"/>
    <w:rsid w:val="2DC75416"/>
    <w:rsid w:val="2DD15014"/>
    <w:rsid w:val="2DF72DE4"/>
    <w:rsid w:val="2E0220AF"/>
    <w:rsid w:val="2E4B082A"/>
    <w:rsid w:val="2E5D4E86"/>
    <w:rsid w:val="2E5D790B"/>
    <w:rsid w:val="2E9A3C18"/>
    <w:rsid w:val="2EBB0FEE"/>
    <w:rsid w:val="2EC63002"/>
    <w:rsid w:val="2F0A6B38"/>
    <w:rsid w:val="2F946CCB"/>
    <w:rsid w:val="2FD25781"/>
    <w:rsid w:val="2FFD7934"/>
    <w:rsid w:val="30446FEB"/>
    <w:rsid w:val="30733ACD"/>
    <w:rsid w:val="308C3862"/>
    <w:rsid w:val="309379D8"/>
    <w:rsid w:val="30A270F7"/>
    <w:rsid w:val="30DF1478"/>
    <w:rsid w:val="30E00977"/>
    <w:rsid w:val="30EC586F"/>
    <w:rsid w:val="31390FA7"/>
    <w:rsid w:val="319C6071"/>
    <w:rsid w:val="31AC537E"/>
    <w:rsid w:val="31C83722"/>
    <w:rsid w:val="31D65E3F"/>
    <w:rsid w:val="31E3679B"/>
    <w:rsid w:val="31E732FD"/>
    <w:rsid w:val="32517576"/>
    <w:rsid w:val="32761EA0"/>
    <w:rsid w:val="32BE5C2C"/>
    <w:rsid w:val="32FB6478"/>
    <w:rsid w:val="33263B3F"/>
    <w:rsid w:val="336963EB"/>
    <w:rsid w:val="33816EEB"/>
    <w:rsid w:val="33C46F2B"/>
    <w:rsid w:val="33E25A44"/>
    <w:rsid w:val="33EB55CD"/>
    <w:rsid w:val="33EC4C02"/>
    <w:rsid w:val="340D2360"/>
    <w:rsid w:val="3410665D"/>
    <w:rsid w:val="34211214"/>
    <w:rsid w:val="342E63AB"/>
    <w:rsid w:val="34950E68"/>
    <w:rsid w:val="34986E94"/>
    <w:rsid w:val="34AF62C9"/>
    <w:rsid w:val="34CB4388"/>
    <w:rsid w:val="34FA6E12"/>
    <w:rsid w:val="358D0F0B"/>
    <w:rsid w:val="358D5588"/>
    <w:rsid w:val="363A3B40"/>
    <w:rsid w:val="3643306C"/>
    <w:rsid w:val="365302AE"/>
    <w:rsid w:val="36607A0A"/>
    <w:rsid w:val="36625EF3"/>
    <w:rsid w:val="366E227C"/>
    <w:rsid w:val="366F2E0D"/>
    <w:rsid w:val="367B6A5C"/>
    <w:rsid w:val="36A74ADA"/>
    <w:rsid w:val="36AD60D5"/>
    <w:rsid w:val="36B224F9"/>
    <w:rsid w:val="36EC0CC9"/>
    <w:rsid w:val="373F410B"/>
    <w:rsid w:val="379910DD"/>
    <w:rsid w:val="37A87638"/>
    <w:rsid w:val="37EE7094"/>
    <w:rsid w:val="38296C89"/>
    <w:rsid w:val="383002EB"/>
    <w:rsid w:val="38586797"/>
    <w:rsid w:val="38BC0149"/>
    <w:rsid w:val="38D87D1C"/>
    <w:rsid w:val="38E72D1C"/>
    <w:rsid w:val="39293B32"/>
    <w:rsid w:val="39636459"/>
    <w:rsid w:val="396B7F6C"/>
    <w:rsid w:val="39B417A9"/>
    <w:rsid w:val="39FC5695"/>
    <w:rsid w:val="3A006D8E"/>
    <w:rsid w:val="3A3651E5"/>
    <w:rsid w:val="3A3758E9"/>
    <w:rsid w:val="3A744481"/>
    <w:rsid w:val="3A8C7BEF"/>
    <w:rsid w:val="3A906246"/>
    <w:rsid w:val="3A9A3C29"/>
    <w:rsid w:val="3B2349B7"/>
    <w:rsid w:val="3B616CFF"/>
    <w:rsid w:val="3B6259F6"/>
    <w:rsid w:val="3B976654"/>
    <w:rsid w:val="3BB96BD9"/>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F615E"/>
    <w:rsid w:val="3F060E16"/>
    <w:rsid w:val="3F1D1096"/>
    <w:rsid w:val="3F2F0234"/>
    <w:rsid w:val="3F6363FE"/>
    <w:rsid w:val="3F756B8F"/>
    <w:rsid w:val="3F95482B"/>
    <w:rsid w:val="3FD339BE"/>
    <w:rsid w:val="4019356B"/>
    <w:rsid w:val="40592157"/>
    <w:rsid w:val="406E1CAE"/>
    <w:rsid w:val="40A0133A"/>
    <w:rsid w:val="40BE19F5"/>
    <w:rsid w:val="40C31A53"/>
    <w:rsid w:val="40FF545D"/>
    <w:rsid w:val="410067C8"/>
    <w:rsid w:val="41423679"/>
    <w:rsid w:val="415F779A"/>
    <w:rsid w:val="416C5E78"/>
    <w:rsid w:val="41780CC1"/>
    <w:rsid w:val="418F0D2A"/>
    <w:rsid w:val="41D01505"/>
    <w:rsid w:val="42474939"/>
    <w:rsid w:val="424C3C57"/>
    <w:rsid w:val="42525D29"/>
    <w:rsid w:val="42613FF3"/>
    <w:rsid w:val="42660D96"/>
    <w:rsid w:val="428667D2"/>
    <w:rsid w:val="42A761AB"/>
    <w:rsid w:val="42CD1CE0"/>
    <w:rsid w:val="42E1381E"/>
    <w:rsid w:val="42ED6459"/>
    <w:rsid w:val="42FE58DD"/>
    <w:rsid w:val="43065B19"/>
    <w:rsid w:val="43174B3D"/>
    <w:rsid w:val="434B790E"/>
    <w:rsid w:val="4360274F"/>
    <w:rsid w:val="43977AB6"/>
    <w:rsid w:val="43A3342B"/>
    <w:rsid w:val="43BE59E8"/>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53B91"/>
    <w:rsid w:val="471F1666"/>
    <w:rsid w:val="473A2575"/>
    <w:rsid w:val="47741F66"/>
    <w:rsid w:val="477B778F"/>
    <w:rsid w:val="478203EC"/>
    <w:rsid w:val="47B025FA"/>
    <w:rsid w:val="4809698F"/>
    <w:rsid w:val="4811697D"/>
    <w:rsid w:val="48435459"/>
    <w:rsid w:val="487A3E25"/>
    <w:rsid w:val="488357CE"/>
    <w:rsid w:val="488B5503"/>
    <w:rsid w:val="48937E21"/>
    <w:rsid w:val="489A0361"/>
    <w:rsid w:val="48B94FF3"/>
    <w:rsid w:val="48E37AAB"/>
    <w:rsid w:val="48FD4B4C"/>
    <w:rsid w:val="490A68E0"/>
    <w:rsid w:val="491055FE"/>
    <w:rsid w:val="491B5A19"/>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A54934"/>
    <w:rsid w:val="4CB6685F"/>
    <w:rsid w:val="4CC367FE"/>
    <w:rsid w:val="4D077F3C"/>
    <w:rsid w:val="4D123355"/>
    <w:rsid w:val="4D2A3B31"/>
    <w:rsid w:val="4D312C52"/>
    <w:rsid w:val="4D4D7E99"/>
    <w:rsid w:val="4D905305"/>
    <w:rsid w:val="4D964A72"/>
    <w:rsid w:val="4D9C1254"/>
    <w:rsid w:val="4E45017D"/>
    <w:rsid w:val="4E793892"/>
    <w:rsid w:val="4E800872"/>
    <w:rsid w:val="4E860544"/>
    <w:rsid w:val="4EA22EA7"/>
    <w:rsid w:val="4EC569ED"/>
    <w:rsid w:val="4ED50EA1"/>
    <w:rsid w:val="4EEC050C"/>
    <w:rsid w:val="4EEC37AD"/>
    <w:rsid w:val="4F104EC3"/>
    <w:rsid w:val="4F1D60D5"/>
    <w:rsid w:val="4F47354A"/>
    <w:rsid w:val="4F911C54"/>
    <w:rsid w:val="4FC357FD"/>
    <w:rsid w:val="4FE625E0"/>
    <w:rsid w:val="500A009A"/>
    <w:rsid w:val="500F6434"/>
    <w:rsid w:val="5021480F"/>
    <w:rsid w:val="50962ECB"/>
    <w:rsid w:val="50A42E38"/>
    <w:rsid w:val="50A4577F"/>
    <w:rsid w:val="50B73D1F"/>
    <w:rsid w:val="50BB64D4"/>
    <w:rsid w:val="50BD5BC9"/>
    <w:rsid w:val="50C11EEE"/>
    <w:rsid w:val="50E97CFC"/>
    <w:rsid w:val="50FA4028"/>
    <w:rsid w:val="510D65B7"/>
    <w:rsid w:val="511157AB"/>
    <w:rsid w:val="5142540C"/>
    <w:rsid w:val="515A76EC"/>
    <w:rsid w:val="518832C8"/>
    <w:rsid w:val="51A0432A"/>
    <w:rsid w:val="51A12E7B"/>
    <w:rsid w:val="51A86090"/>
    <w:rsid w:val="51B7396D"/>
    <w:rsid w:val="522E4CC3"/>
    <w:rsid w:val="5244713B"/>
    <w:rsid w:val="52615633"/>
    <w:rsid w:val="52977FD4"/>
    <w:rsid w:val="52A25790"/>
    <w:rsid w:val="52A96B6F"/>
    <w:rsid w:val="52B45975"/>
    <w:rsid w:val="52C013F8"/>
    <w:rsid w:val="52D94AA4"/>
    <w:rsid w:val="52EA3A62"/>
    <w:rsid w:val="52F50BB8"/>
    <w:rsid w:val="52FD37BC"/>
    <w:rsid w:val="53097272"/>
    <w:rsid w:val="53544462"/>
    <w:rsid w:val="5397158E"/>
    <w:rsid w:val="54013861"/>
    <w:rsid w:val="54487265"/>
    <w:rsid w:val="544D6070"/>
    <w:rsid w:val="54605E1E"/>
    <w:rsid w:val="54B3506A"/>
    <w:rsid w:val="54CA0D16"/>
    <w:rsid w:val="54D12DCB"/>
    <w:rsid w:val="54DD4057"/>
    <w:rsid w:val="54E7490F"/>
    <w:rsid w:val="550764A4"/>
    <w:rsid w:val="550B2BF6"/>
    <w:rsid w:val="55214EB5"/>
    <w:rsid w:val="55284D78"/>
    <w:rsid w:val="55364EFD"/>
    <w:rsid w:val="555D4828"/>
    <w:rsid w:val="557A4C8B"/>
    <w:rsid w:val="558931E1"/>
    <w:rsid w:val="55923347"/>
    <w:rsid w:val="55925180"/>
    <w:rsid w:val="55983B1B"/>
    <w:rsid w:val="55A8376B"/>
    <w:rsid w:val="55DC29B6"/>
    <w:rsid w:val="55DD4241"/>
    <w:rsid w:val="55E02EBA"/>
    <w:rsid w:val="5650381B"/>
    <w:rsid w:val="566B6D1E"/>
    <w:rsid w:val="57032A2C"/>
    <w:rsid w:val="570F5219"/>
    <w:rsid w:val="57154464"/>
    <w:rsid w:val="575D12B5"/>
    <w:rsid w:val="57610A87"/>
    <w:rsid w:val="577B1140"/>
    <w:rsid w:val="577B7F21"/>
    <w:rsid w:val="577F181B"/>
    <w:rsid w:val="57921984"/>
    <w:rsid w:val="579737F0"/>
    <w:rsid w:val="57AB7B30"/>
    <w:rsid w:val="57AF5251"/>
    <w:rsid w:val="57B26373"/>
    <w:rsid w:val="57B63F04"/>
    <w:rsid w:val="57CD20C2"/>
    <w:rsid w:val="57CF44B7"/>
    <w:rsid w:val="57D675AB"/>
    <w:rsid w:val="57D95FDD"/>
    <w:rsid w:val="58917D2F"/>
    <w:rsid w:val="5894085C"/>
    <w:rsid w:val="58AE4F0C"/>
    <w:rsid w:val="58B85899"/>
    <w:rsid w:val="58E363A9"/>
    <w:rsid w:val="595E1678"/>
    <w:rsid w:val="596D5BD4"/>
    <w:rsid w:val="597E3DD8"/>
    <w:rsid w:val="59D72819"/>
    <w:rsid w:val="59F80043"/>
    <w:rsid w:val="5A09252F"/>
    <w:rsid w:val="5A0B2778"/>
    <w:rsid w:val="5A2A7C7B"/>
    <w:rsid w:val="5A3E2560"/>
    <w:rsid w:val="5A5D3B6E"/>
    <w:rsid w:val="5A637A76"/>
    <w:rsid w:val="5A6D33BA"/>
    <w:rsid w:val="5A792B1F"/>
    <w:rsid w:val="5A874767"/>
    <w:rsid w:val="5AAD6F28"/>
    <w:rsid w:val="5AD63A24"/>
    <w:rsid w:val="5B1676ED"/>
    <w:rsid w:val="5B2E1A1D"/>
    <w:rsid w:val="5B614CE5"/>
    <w:rsid w:val="5B843A1C"/>
    <w:rsid w:val="5B873E3F"/>
    <w:rsid w:val="5C02690E"/>
    <w:rsid w:val="5C196DA7"/>
    <w:rsid w:val="5C2A048C"/>
    <w:rsid w:val="5C80234E"/>
    <w:rsid w:val="5C8A680C"/>
    <w:rsid w:val="5D0C4701"/>
    <w:rsid w:val="5D0F0395"/>
    <w:rsid w:val="5D221076"/>
    <w:rsid w:val="5D397964"/>
    <w:rsid w:val="5D5A391C"/>
    <w:rsid w:val="5D5F10C0"/>
    <w:rsid w:val="5D850489"/>
    <w:rsid w:val="5D85196B"/>
    <w:rsid w:val="5D891B7B"/>
    <w:rsid w:val="5DAD38EE"/>
    <w:rsid w:val="5E006862"/>
    <w:rsid w:val="5E0207B9"/>
    <w:rsid w:val="5E1834A1"/>
    <w:rsid w:val="5E261785"/>
    <w:rsid w:val="5E4A7017"/>
    <w:rsid w:val="5E552BBA"/>
    <w:rsid w:val="5E611C10"/>
    <w:rsid w:val="5EC722EE"/>
    <w:rsid w:val="5EFC7377"/>
    <w:rsid w:val="5F06174D"/>
    <w:rsid w:val="5F1119B5"/>
    <w:rsid w:val="5F3A3602"/>
    <w:rsid w:val="5F6277C6"/>
    <w:rsid w:val="5F6D0B1D"/>
    <w:rsid w:val="5F8D0B82"/>
    <w:rsid w:val="5FCC5339"/>
    <w:rsid w:val="5FE34A5B"/>
    <w:rsid w:val="5FFE1E36"/>
    <w:rsid w:val="60232584"/>
    <w:rsid w:val="607330CE"/>
    <w:rsid w:val="60825176"/>
    <w:rsid w:val="60931BE5"/>
    <w:rsid w:val="609F2AC4"/>
    <w:rsid w:val="60E54AB6"/>
    <w:rsid w:val="60FA2EE8"/>
    <w:rsid w:val="61054A27"/>
    <w:rsid w:val="610A52BC"/>
    <w:rsid w:val="611D2366"/>
    <w:rsid w:val="61421856"/>
    <w:rsid w:val="615227C4"/>
    <w:rsid w:val="61654E3F"/>
    <w:rsid w:val="6182292A"/>
    <w:rsid w:val="619F7F92"/>
    <w:rsid w:val="61F23D20"/>
    <w:rsid w:val="61F94C26"/>
    <w:rsid w:val="62000E56"/>
    <w:rsid w:val="624F3E49"/>
    <w:rsid w:val="62632286"/>
    <w:rsid w:val="62885958"/>
    <w:rsid w:val="62F40B65"/>
    <w:rsid w:val="62FC2CFE"/>
    <w:rsid w:val="63024505"/>
    <w:rsid w:val="635B1DB5"/>
    <w:rsid w:val="63711FED"/>
    <w:rsid w:val="63880DDC"/>
    <w:rsid w:val="638D750D"/>
    <w:rsid w:val="63AC6CC0"/>
    <w:rsid w:val="63DF2082"/>
    <w:rsid w:val="64055776"/>
    <w:rsid w:val="641D2612"/>
    <w:rsid w:val="641D655D"/>
    <w:rsid w:val="64240056"/>
    <w:rsid w:val="643E143A"/>
    <w:rsid w:val="646A5A84"/>
    <w:rsid w:val="648B6EEF"/>
    <w:rsid w:val="64981F4A"/>
    <w:rsid w:val="64C158BF"/>
    <w:rsid w:val="64CE2EAA"/>
    <w:rsid w:val="653C3090"/>
    <w:rsid w:val="65854376"/>
    <w:rsid w:val="658767BE"/>
    <w:rsid w:val="65892531"/>
    <w:rsid w:val="65BB7054"/>
    <w:rsid w:val="660B715E"/>
    <w:rsid w:val="66195831"/>
    <w:rsid w:val="662E75B1"/>
    <w:rsid w:val="66342C2E"/>
    <w:rsid w:val="663E784C"/>
    <w:rsid w:val="663F7A7C"/>
    <w:rsid w:val="664D282F"/>
    <w:rsid w:val="668B6A45"/>
    <w:rsid w:val="672F3F24"/>
    <w:rsid w:val="673E055F"/>
    <w:rsid w:val="67551CE3"/>
    <w:rsid w:val="67A22552"/>
    <w:rsid w:val="67B22DCC"/>
    <w:rsid w:val="67BE71AA"/>
    <w:rsid w:val="67CA4CF5"/>
    <w:rsid w:val="67D90273"/>
    <w:rsid w:val="67DE5875"/>
    <w:rsid w:val="67E55852"/>
    <w:rsid w:val="67EB1AB4"/>
    <w:rsid w:val="67FA1285"/>
    <w:rsid w:val="68551F4F"/>
    <w:rsid w:val="687C10C9"/>
    <w:rsid w:val="68821194"/>
    <w:rsid w:val="68840C16"/>
    <w:rsid w:val="68876EFB"/>
    <w:rsid w:val="68884654"/>
    <w:rsid w:val="689F444F"/>
    <w:rsid w:val="68B96DBB"/>
    <w:rsid w:val="68CA2805"/>
    <w:rsid w:val="68E937A3"/>
    <w:rsid w:val="693E15D3"/>
    <w:rsid w:val="69627681"/>
    <w:rsid w:val="696941CD"/>
    <w:rsid w:val="6977531D"/>
    <w:rsid w:val="69CC2BFF"/>
    <w:rsid w:val="69F820EF"/>
    <w:rsid w:val="69FD55B8"/>
    <w:rsid w:val="6A0B1C62"/>
    <w:rsid w:val="6A2406C8"/>
    <w:rsid w:val="6A3F7D1E"/>
    <w:rsid w:val="6ADE0BD1"/>
    <w:rsid w:val="6AE96859"/>
    <w:rsid w:val="6B147746"/>
    <w:rsid w:val="6B24787C"/>
    <w:rsid w:val="6B573233"/>
    <w:rsid w:val="6B5B6274"/>
    <w:rsid w:val="6B935D53"/>
    <w:rsid w:val="6C196F71"/>
    <w:rsid w:val="6C226FCB"/>
    <w:rsid w:val="6C31226F"/>
    <w:rsid w:val="6C552F0B"/>
    <w:rsid w:val="6C8C67B7"/>
    <w:rsid w:val="6C9D744C"/>
    <w:rsid w:val="6D032C53"/>
    <w:rsid w:val="6D167928"/>
    <w:rsid w:val="6D26299B"/>
    <w:rsid w:val="6D4772EC"/>
    <w:rsid w:val="6D9078AF"/>
    <w:rsid w:val="6DAA3FEF"/>
    <w:rsid w:val="6DC0172B"/>
    <w:rsid w:val="6DCB690C"/>
    <w:rsid w:val="6DD41A5B"/>
    <w:rsid w:val="6DEA1D4F"/>
    <w:rsid w:val="6DF43C2E"/>
    <w:rsid w:val="6DF51CA3"/>
    <w:rsid w:val="6E04058E"/>
    <w:rsid w:val="6E8335BD"/>
    <w:rsid w:val="6E8E12EF"/>
    <w:rsid w:val="6E972936"/>
    <w:rsid w:val="6ED446C5"/>
    <w:rsid w:val="6F2A7D94"/>
    <w:rsid w:val="6F2F1826"/>
    <w:rsid w:val="6F4742ED"/>
    <w:rsid w:val="6F8331F1"/>
    <w:rsid w:val="6FAE1A09"/>
    <w:rsid w:val="6FD75BF8"/>
    <w:rsid w:val="707723D0"/>
    <w:rsid w:val="70F5661B"/>
    <w:rsid w:val="71360107"/>
    <w:rsid w:val="713B688E"/>
    <w:rsid w:val="71517C1D"/>
    <w:rsid w:val="71D43752"/>
    <w:rsid w:val="71F1796A"/>
    <w:rsid w:val="72154626"/>
    <w:rsid w:val="72262B5D"/>
    <w:rsid w:val="72283FF7"/>
    <w:rsid w:val="722E7212"/>
    <w:rsid w:val="723051E8"/>
    <w:rsid w:val="723A0474"/>
    <w:rsid w:val="725923E4"/>
    <w:rsid w:val="72864BF7"/>
    <w:rsid w:val="729023FC"/>
    <w:rsid w:val="736A3B7C"/>
    <w:rsid w:val="73C0646E"/>
    <w:rsid w:val="742222F5"/>
    <w:rsid w:val="74476126"/>
    <w:rsid w:val="74706664"/>
    <w:rsid w:val="747F3682"/>
    <w:rsid w:val="749C4185"/>
    <w:rsid w:val="75067759"/>
    <w:rsid w:val="752E6DCD"/>
    <w:rsid w:val="7551380D"/>
    <w:rsid w:val="75600BE5"/>
    <w:rsid w:val="7564475C"/>
    <w:rsid w:val="75774028"/>
    <w:rsid w:val="7583797F"/>
    <w:rsid w:val="75C840D4"/>
    <w:rsid w:val="75D20F1D"/>
    <w:rsid w:val="75DA2C18"/>
    <w:rsid w:val="75F54412"/>
    <w:rsid w:val="761D08E0"/>
    <w:rsid w:val="765D347C"/>
    <w:rsid w:val="76797FC2"/>
    <w:rsid w:val="767C0140"/>
    <w:rsid w:val="76826699"/>
    <w:rsid w:val="76C87133"/>
    <w:rsid w:val="76CD08D5"/>
    <w:rsid w:val="76DB4B92"/>
    <w:rsid w:val="77052AA4"/>
    <w:rsid w:val="77136511"/>
    <w:rsid w:val="77235D1D"/>
    <w:rsid w:val="77340A39"/>
    <w:rsid w:val="77351FD0"/>
    <w:rsid w:val="77405BF1"/>
    <w:rsid w:val="77472422"/>
    <w:rsid w:val="777F31F2"/>
    <w:rsid w:val="77D1700D"/>
    <w:rsid w:val="77EC04CC"/>
    <w:rsid w:val="781A739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861051"/>
    <w:rsid w:val="7A950461"/>
    <w:rsid w:val="7AAB1D04"/>
    <w:rsid w:val="7ABA4368"/>
    <w:rsid w:val="7AD05746"/>
    <w:rsid w:val="7AF75220"/>
    <w:rsid w:val="7B257FFD"/>
    <w:rsid w:val="7B343476"/>
    <w:rsid w:val="7B5A2978"/>
    <w:rsid w:val="7B5A7E4C"/>
    <w:rsid w:val="7B630F9A"/>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D275F"/>
    <w:rsid w:val="7EF56FBB"/>
    <w:rsid w:val="7F0768EB"/>
    <w:rsid w:val="7F143BEC"/>
    <w:rsid w:val="7F3B5180"/>
    <w:rsid w:val="7F715AF2"/>
    <w:rsid w:val="7F886E69"/>
    <w:rsid w:val="8BB7145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65"/>
    <w:qFormat/>
    <w:uiPriority w:val="0"/>
    <w:pPr>
      <w:keepNext/>
      <w:keepLines/>
      <w:tabs>
        <w:tab w:val="left" w:pos="432"/>
      </w:tabs>
      <w:adjustRightInd/>
      <w:spacing w:line="360" w:lineRule="auto"/>
      <w:ind w:left="432" w:hanging="432"/>
      <w:jc w:val="left"/>
      <w:outlineLvl w:val="1"/>
    </w:pPr>
    <w:rPr>
      <w:rFonts w:ascii="仿宋_GB2312" w:hAnsi="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9"/>
    <w:qFormat/>
    <w:uiPriority w:val="0"/>
    <w:pPr>
      <w:ind w:firstLine="420"/>
    </w:pPr>
    <w:rPr>
      <w:rFonts w:hAnsi="Calibri"/>
      <w:szCs w:val="20"/>
    </w:rPr>
  </w:style>
  <w:style w:type="paragraph" w:styleId="61">
    <w:name w:val="Body Text First Indent 2"/>
    <w:basedOn w:val="24"/>
    <w:next w:val="27"/>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link w:val="209"/>
    <w:qFormat/>
    <w:uiPriority w:val="99"/>
    <w:rPr>
      <w:rFonts w:ascii="宋体" w:hAnsi="宋体"/>
      <w:kern w:val="2"/>
      <w:sz w:val="24"/>
      <w:szCs w:val="24"/>
    </w:rPr>
  </w:style>
  <w:style w:type="paragraph" w:customStyle="1" w:styleId="209">
    <w:name w:val="正文文本缩进1"/>
    <w:basedOn w:val="1"/>
    <w:link w:val="208"/>
    <w:qFormat/>
    <w:uiPriority w:val="99"/>
    <w:pPr>
      <w:adjustRightInd/>
      <w:spacing w:line="480" w:lineRule="atLeast"/>
      <w:ind w:firstLine="570"/>
    </w:pPr>
    <w:rPr>
      <w:rFonts w:ascii="宋体" w:hAnsi="宋体"/>
      <w:sz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6"/>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1"/>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character" w:customStyle="1" w:styleId="962">
    <w:name w:val="NormalCharacter"/>
    <w:qFormat/>
    <w:uiPriority w:val="0"/>
  </w:style>
  <w:style w:type="paragraph" w:customStyle="1" w:styleId="963">
    <w:name w:val="表格正文"/>
    <w:basedOn w:val="1"/>
    <w:qFormat/>
    <w:uiPriority w:val="0"/>
    <w:pPr>
      <w:widowControl/>
      <w:jc w:val="center"/>
    </w:pPr>
    <w:rPr>
      <w:rFonts w:hint="eastAsia" w:ascii="宋体" w:hAnsi="宋体"/>
      <w:color w:val="000000"/>
      <w:kern w:val="0"/>
      <w:szCs w:val="21"/>
    </w:rPr>
  </w:style>
  <w:style w:type="character" w:customStyle="1" w:styleId="964">
    <w:name w:val="font101"/>
    <w:basedOn w:val="69"/>
    <w:qFormat/>
    <w:uiPriority w:val="0"/>
    <w:rPr>
      <w:rFonts w:hint="eastAsia" w:ascii="黑体" w:hAnsi="宋体" w:eastAsia="黑体" w:cs="黑体"/>
      <w:color w:val="FF0000"/>
      <w:sz w:val="22"/>
      <w:szCs w:val="22"/>
      <w:u w:val="none"/>
    </w:rPr>
  </w:style>
  <w:style w:type="character" w:customStyle="1" w:styleId="965">
    <w:name w:val="标题 2 字符1"/>
    <w:link w:val="2"/>
    <w:qFormat/>
    <w:uiPriority w:val="0"/>
    <w:rPr>
      <w:rFonts w:ascii="仿宋_GB2312" w:hAnsi="仿宋_GB2312" w:eastAsia="宋体"/>
      <w:b/>
      <w:bCs/>
      <w:sz w:val="32"/>
      <w:szCs w:val="32"/>
      <w:lang w:val="zh-CN"/>
    </w:rPr>
  </w:style>
  <w:style w:type="character" w:customStyle="1" w:styleId="966">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10237</Words>
  <Characters>58357</Characters>
  <Lines>486</Lines>
  <Paragraphs>136</Paragraphs>
  <TotalTime>47</TotalTime>
  <ScaleCrop>false</ScaleCrop>
  <LinksUpToDate>false</LinksUpToDate>
  <CharactersWithSpaces>68458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2022-01-04T12:53:00Z</dcterms:created>
  <dc:creator>玥</dc:creator>
  <cp:lastModifiedBy>y</cp:lastModifiedBy>
  <cp:lastPrinted>2021-12-27T11:06:00Z</cp:lastPrinted>
  <dcterms:modified xsi:type="dcterms:W3CDTF">2022-02-25T13:44:13Z</dcterms:modified>
  <dc:title>杭州市市民卡扩大发卡工程</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C9180D98F41C4EEB90C6EC003BDF1873</vt:lpwstr>
  </property>
</Properties>
</file>